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1D1EE">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31701FE8">
      <w:pPr>
        <w:keepNext w:val="0"/>
        <w:keepLines w:val="0"/>
        <w:widowControl/>
        <w:suppressLineNumbers w:val="0"/>
        <w:spacing w:before="0" w:beforeAutospacing="0" w:after="0" w:afterAutospacing="0" w:line="357" w:lineRule="atLeast"/>
        <w:ind w:left="0" w:right="0"/>
        <w:jc w:val="both"/>
        <w:rPr>
          <w:sz w:val="39"/>
          <w:szCs w:val="21"/>
          <w:highlight w:val="none"/>
          <w:lang w:val="en-US"/>
        </w:rPr>
      </w:pPr>
    </w:p>
    <w:p w14:paraId="41A1BFF4">
      <w:pPr>
        <w:keepNext w:val="0"/>
        <w:keepLines w:val="0"/>
        <w:widowControl/>
        <w:suppressLineNumbers w:val="0"/>
        <w:spacing w:before="0" w:beforeAutospacing="0" w:after="0" w:afterAutospacing="0" w:line="357" w:lineRule="atLeast"/>
        <w:ind w:left="0" w:right="0"/>
        <w:jc w:val="center"/>
        <w:rPr>
          <w:rFonts w:hint="default" w:ascii="宋体" w:hAnsi="宋体" w:eastAsia="宋体" w:cs="宋体"/>
          <w:b/>
          <w:bCs w:val="0"/>
          <w:color w:val="000000"/>
          <w:kern w:val="0"/>
          <w:sz w:val="72"/>
          <w:szCs w:val="72"/>
          <w:highlight w:val="none"/>
          <w:u w:color="000000"/>
          <w:lang w:val="en-US" w:eastAsia="zh-CN" w:bidi="ar"/>
        </w:rPr>
      </w:pPr>
      <w:r>
        <w:rPr>
          <w:rFonts w:hint="eastAsia" w:ascii="Times New Roman" w:hAnsi="Times New Roman" w:eastAsia="宋体" w:cs="宋体"/>
          <w:b/>
          <w:bCs w:val="0"/>
          <w:color w:val="000000"/>
          <w:kern w:val="0"/>
          <w:sz w:val="44"/>
          <w:szCs w:val="24"/>
          <w:highlight w:val="none"/>
          <w:u w:color="000000"/>
          <w:lang w:val="en-US" w:eastAsia="zh-CN" w:bidi="ar"/>
        </w:rPr>
        <w:t>滁州至南京城际铁路（滁州段）一期、二期全线监控CCTV补盲加装项目（二次）</w:t>
      </w:r>
    </w:p>
    <w:p w14:paraId="61A754CE">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kern w:val="0"/>
          <w:sz w:val="84"/>
          <w:szCs w:val="84"/>
          <w:highlight w:val="none"/>
          <w:u w:color="000000"/>
          <w:lang w:val="en-US" w:eastAsia="zh-CN" w:bidi="ar"/>
        </w:rPr>
      </w:pPr>
    </w:p>
    <w:p w14:paraId="2E1271B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FF"/>
          <w:sz w:val="28"/>
          <w:szCs w:val="28"/>
          <w:highlight w:val="none"/>
          <w:lang w:val="en-US"/>
        </w:rPr>
      </w:pPr>
      <w:r>
        <w:rPr>
          <w:rFonts w:hint="eastAsia" w:ascii="宋体" w:hAnsi="宋体" w:eastAsia="宋体" w:cs="宋体"/>
          <w:b/>
          <w:bCs w:val="0"/>
          <w:color w:val="000000"/>
          <w:kern w:val="0"/>
          <w:sz w:val="84"/>
          <w:szCs w:val="84"/>
          <w:highlight w:val="none"/>
          <w:u w:color="000000"/>
          <w:lang w:val="en-US" w:eastAsia="zh-CN" w:bidi="ar"/>
        </w:rPr>
        <w:t>招 标 文 件</w:t>
      </w:r>
    </w:p>
    <w:p w14:paraId="4D3A62A7">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highlight w:val="none"/>
          <w:lang w:val="en-US"/>
        </w:rPr>
      </w:pPr>
      <w:r>
        <w:rPr>
          <w:rFonts w:hint="eastAsia" w:ascii="宋体" w:hAnsi="宋体" w:eastAsia="宋体" w:cs="宋体"/>
          <w:bCs/>
          <w:color w:val="0000FF"/>
          <w:kern w:val="0"/>
          <w:sz w:val="28"/>
          <w:szCs w:val="28"/>
          <w:highlight w:val="none"/>
          <w:u w:color="000000"/>
          <w:lang w:val="en-US" w:eastAsia="zh-CN" w:bidi="ar"/>
        </w:rPr>
        <w:t xml:space="preserve">                 </w:t>
      </w:r>
    </w:p>
    <w:p w14:paraId="6551BB04">
      <w:pPr>
        <w:pStyle w:val="18"/>
        <w:widowControl/>
        <w:rPr>
          <w:highlight w:val="none"/>
          <w:lang w:val="en-US"/>
        </w:rPr>
      </w:pPr>
      <w:r>
        <w:rPr>
          <w:highlight w:val="none"/>
          <w:lang w:val="en-US"/>
        </w:rPr>
        <w:t xml:space="preserve"> </w:t>
      </w:r>
    </w:p>
    <w:p w14:paraId="2265E232">
      <w:pPr>
        <w:pStyle w:val="18"/>
        <w:widowControl/>
        <w:rPr>
          <w:highlight w:val="none"/>
          <w:lang w:val="en-US"/>
        </w:rPr>
      </w:pPr>
      <w:r>
        <w:rPr>
          <w:highlight w:val="none"/>
          <w:lang w:val="en-US"/>
        </w:rPr>
        <w:t xml:space="preserve"> </w:t>
      </w:r>
    </w:p>
    <w:p w14:paraId="313CB13E">
      <w:pPr>
        <w:pStyle w:val="18"/>
        <w:widowControl/>
        <w:rPr>
          <w:highlight w:val="none"/>
          <w:lang w:val="en-US"/>
        </w:rPr>
      </w:pPr>
      <w:r>
        <w:rPr>
          <w:highlight w:val="none"/>
          <w:lang w:val="en-US"/>
        </w:rPr>
        <w:t xml:space="preserve"> </w:t>
      </w:r>
    </w:p>
    <w:p w14:paraId="1B59EE29">
      <w:pPr>
        <w:pStyle w:val="18"/>
        <w:widowControl/>
        <w:rPr>
          <w:highlight w:val="none"/>
          <w:lang w:val="en-US"/>
        </w:rPr>
      </w:pPr>
      <w:r>
        <w:rPr>
          <w:highlight w:val="none"/>
          <w:lang w:val="en-US"/>
        </w:rPr>
        <w:t xml:space="preserve"> </w:t>
      </w:r>
    </w:p>
    <w:p w14:paraId="13060FF7">
      <w:pPr>
        <w:pStyle w:val="18"/>
        <w:widowControl/>
        <w:rPr>
          <w:rFonts w:eastAsia="宋体"/>
          <w:highlight w:val="none"/>
          <w:lang w:val="en-US"/>
        </w:rPr>
      </w:pPr>
      <w:r>
        <w:rPr>
          <w:highlight w:val="none"/>
          <w:lang w:val="en-US"/>
        </w:rPr>
        <w:t xml:space="preserve"> </w:t>
      </w:r>
    </w:p>
    <w:p w14:paraId="72405FB7">
      <w:pPr>
        <w:adjustRightInd w:val="0"/>
        <w:snapToGrid w:val="0"/>
        <w:ind w:firstLine="302" w:firstLineChars="94"/>
        <w:rPr>
          <w:rFonts w:hint="eastAsia" w:ascii="宋体" w:hAnsi="宋体"/>
          <w:b/>
          <w:sz w:val="32"/>
          <w:highlight w:val="none"/>
          <w:u w:val="thick"/>
        </w:rPr>
      </w:pPr>
      <w:r>
        <w:rPr>
          <w:rFonts w:hint="eastAsia" w:ascii="宋体" w:hAnsi="宋体"/>
          <w:b/>
          <w:sz w:val="32"/>
          <w:highlight w:val="none"/>
        </w:rPr>
        <w:t>招  标  人:</w:t>
      </w:r>
      <w:r>
        <w:rPr>
          <w:rFonts w:hint="eastAsia" w:ascii="宋体" w:hAnsi="宋体"/>
          <w:b/>
          <w:sz w:val="32"/>
          <w:highlight w:val="none"/>
          <w:u w:val="thick"/>
        </w:rPr>
        <w:t xml:space="preserve">  </w:t>
      </w:r>
      <w:r>
        <w:rPr>
          <w:rFonts w:hint="eastAsia" w:ascii="宋体" w:hAnsi="宋体"/>
          <w:b/>
          <w:sz w:val="32"/>
          <w:highlight w:val="none"/>
          <w:u w:val="thick"/>
          <w:lang w:val="en-US" w:eastAsia="zh-CN"/>
        </w:rPr>
        <w:t xml:space="preserve"> </w:t>
      </w:r>
      <w:r>
        <w:rPr>
          <w:rFonts w:hint="eastAsia" w:ascii="宋体" w:hAnsi="宋体"/>
          <w:b/>
          <w:sz w:val="32"/>
          <w:highlight w:val="none"/>
          <w:u w:val="thick"/>
          <w:lang w:eastAsia="zh-CN"/>
        </w:rPr>
        <w:t>滁州市滁宁城际铁路开发建设有限公司</w:t>
      </w:r>
      <w:r>
        <w:rPr>
          <w:rFonts w:hint="eastAsia" w:ascii="宋体" w:hAnsi="宋体"/>
          <w:b/>
          <w:sz w:val="32"/>
          <w:highlight w:val="none"/>
          <w:u w:val="thick"/>
        </w:rPr>
        <w:t xml:space="preserve"> </w:t>
      </w:r>
    </w:p>
    <w:p w14:paraId="3A101657">
      <w:pPr>
        <w:adjustRightInd w:val="0"/>
        <w:snapToGrid w:val="0"/>
        <w:ind w:firstLine="302" w:firstLineChars="94"/>
        <w:rPr>
          <w:rFonts w:hint="eastAsia" w:ascii="宋体" w:hAnsi="宋体"/>
          <w:b/>
          <w:sz w:val="32"/>
          <w:highlight w:val="none"/>
          <w:u w:val="thick"/>
        </w:rPr>
      </w:pPr>
    </w:p>
    <w:p w14:paraId="2E9A6BF1">
      <w:pPr>
        <w:adjustRightInd w:val="0"/>
        <w:snapToGrid w:val="0"/>
        <w:ind w:firstLine="340" w:firstLineChars="94"/>
        <w:rPr>
          <w:rFonts w:hint="eastAsia" w:ascii="宋体" w:hAnsi="宋体"/>
          <w:spacing w:val="20"/>
          <w:sz w:val="32"/>
          <w:highlight w:val="none"/>
          <w:u w:val="single"/>
        </w:rPr>
      </w:pPr>
      <w:r>
        <w:rPr>
          <w:rFonts w:hint="eastAsia" w:ascii="宋体" w:hAnsi="宋体"/>
          <w:b/>
          <w:spacing w:val="20"/>
          <w:sz w:val="32"/>
          <w:highlight w:val="none"/>
        </w:rPr>
        <w:t>招标代理机构:</w:t>
      </w:r>
      <w:r>
        <w:rPr>
          <w:rFonts w:hint="eastAsia" w:ascii="宋体" w:hAnsi="宋体"/>
          <w:b/>
          <w:spacing w:val="20"/>
          <w:sz w:val="32"/>
          <w:highlight w:val="none"/>
          <w:u w:val="thick"/>
        </w:rPr>
        <w:t xml:space="preserve"> </w:t>
      </w:r>
      <w:r>
        <w:rPr>
          <w:rFonts w:hint="eastAsia" w:ascii="宋体" w:hAnsi="宋体"/>
          <w:b/>
          <w:sz w:val="32"/>
          <w:highlight w:val="none"/>
          <w:u w:val="thick"/>
        </w:rPr>
        <w:t xml:space="preserve">滁州市城投工程咨询管理有限公司   </w:t>
      </w:r>
    </w:p>
    <w:p w14:paraId="085CEEDC">
      <w:pPr>
        <w:adjustRightInd w:val="0"/>
        <w:snapToGrid w:val="0"/>
        <w:rPr>
          <w:rFonts w:hint="eastAsia" w:ascii="宋体" w:hAnsi="宋体"/>
          <w:spacing w:val="20"/>
          <w:sz w:val="32"/>
          <w:highlight w:val="none"/>
          <w:u w:val="single"/>
        </w:rPr>
      </w:pPr>
    </w:p>
    <w:p w14:paraId="4B01FC1A">
      <w:pPr>
        <w:adjustRightInd w:val="0"/>
        <w:snapToGrid w:val="0"/>
        <w:spacing w:line="460" w:lineRule="exact"/>
        <w:ind w:firstLine="354" w:firstLineChars="98"/>
        <w:rPr>
          <w:rFonts w:hint="eastAsia" w:ascii="宋体" w:hAnsi="宋体"/>
          <w:b/>
          <w:spacing w:val="20"/>
          <w:sz w:val="32"/>
          <w:szCs w:val="32"/>
          <w:highlight w:val="none"/>
        </w:rPr>
      </w:pPr>
      <w:r>
        <w:rPr>
          <w:rFonts w:hint="eastAsia" w:ascii="宋体" w:hAnsi="宋体"/>
          <w:b/>
          <w:spacing w:val="20"/>
          <w:sz w:val="32"/>
          <w:highlight w:val="none"/>
        </w:rPr>
        <w:t>发 布 日 期:</w:t>
      </w:r>
      <w:r>
        <w:rPr>
          <w:rFonts w:hint="eastAsia" w:ascii="宋体" w:hAnsi="宋体"/>
          <w:b/>
          <w:sz w:val="32"/>
          <w:highlight w:val="none"/>
          <w:u w:val="thick"/>
        </w:rPr>
        <w:t xml:space="preserve">           202</w:t>
      </w:r>
      <w:r>
        <w:rPr>
          <w:rFonts w:hint="eastAsia" w:ascii="宋体" w:hAnsi="宋体"/>
          <w:b/>
          <w:sz w:val="32"/>
          <w:highlight w:val="none"/>
          <w:u w:val="thick"/>
          <w:lang w:val="en-US" w:eastAsia="zh-CN"/>
        </w:rPr>
        <w:t>6</w:t>
      </w:r>
      <w:r>
        <w:rPr>
          <w:rFonts w:hint="eastAsia" w:ascii="宋体" w:hAnsi="宋体"/>
          <w:b/>
          <w:sz w:val="32"/>
          <w:highlight w:val="none"/>
          <w:u w:val="thick"/>
        </w:rPr>
        <w:t>年</w:t>
      </w:r>
      <w:r>
        <w:rPr>
          <w:rFonts w:hint="eastAsia" w:ascii="宋体" w:hAnsi="宋体"/>
          <w:b/>
          <w:sz w:val="32"/>
          <w:highlight w:val="none"/>
          <w:u w:val="thick"/>
          <w:lang w:val="en-US" w:eastAsia="zh-CN"/>
        </w:rPr>
        <w:t>3</w:t>
      </w:r>
      <w:r>
        <w:rPr>
          <w:rFonts w:hint="eastAsia" w:ascii="宋体" w:hAnsi="宋体"/>
          <w:b/>
          <w:sz w:val="32"/>
          <w:highlight w:val="none"/>
          <w:u w:val="thick"/>
        </w:rPr>
        <w:t xml:space="preserve">月            </w:t>
      </w:r>
    </w:p>
    <w:p w14:paraId="57DADD6F">
      <w:pPr>
        <w:pStyle w:val="6"/>
        <w:widowControl/>
        <w:spacing w:before="0" w:beforeAutospacing="0" w:after="120" w:afterAutospacing="0"/>
        <w:ind w:leftChars="200" w:right="0"/>
        <w:rPr>
          <w:highlight w:val="none"/>
          <w:lang w:val="en-US"/>
        </w:rPr>
      </w:pPr>
      <w:r>
        <w:rPr>
          <w:highlight w:val="none"/>
          <w:lang w:val="en-US"/>
        </w:rPr>
        <w:t xml:space="preserve"> </w:t>
      </w:r>
    </w:p>
    <w:p w14:paraId="64F2DFD4">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 </w:t>
      </w:r>
    </w:p>
    <w:p w14:paraId="049D5674">
      <w:pPr>
        <w:jc w:val="center"/>
        <w:rPr>
          <w:rFonts w:hint="eastAsia" w:ascii="宋体" w:hAnsi="宋体" w:eastAsia="宋体" w:cs="宋体"/>
          <w:b/>
          <w:bCs w:val="0"/>
          <w:color w:val="000000"/>
          <w:kern w:val="0"/>
          <w:sz w:val="36"/>
          <w:szCs w:val="36"/>
          <w:highlight w:val="none"/>
          <w:u w:color="000000"/>
          <w:lang w:val="en-US" w:eastAsia="zh-CN" w:bidi="ar"/>
        </w:rPr>
      </w:pPr>
    </w:p>
    <w:p w14:paraId="68C9FD00">
      <w:pPr>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 xml:space="preserve">目 </w:t>
      </w:r>
      <w:r>
        <w:rPr>
          <w:rFonts w:hint="default" w:ascii="Times New Roman" w:hAnsi="Times New Roman" w:eastAsia="宋体" w:cs="Times New Roman"/>
          <w:b/>
          <w:bCs w:val="0"/>
          <w:color w:val="000000"/>
          <w:kern w:val="0"/>
          <w:sz w:val="36"/>
          <w:szCs w:val="36"/>
          <w:highlight w:val="none"/>
          <w:u w:color="000000"/>
          <w:lang w:val="en-US" w:eastAsia="zh-CN" w:bidi="ar"/>
        </w:rPr>
        <w:t xml:space="preserve"> </w:t>
      </w:r>
      <w:r>
        <w:rPr>
          <w:rFonts w:hint="eastAsia" w:ascii="宋体" w:hAnsi="宋体" w:eastAsia="宋体" w:cs="宋体"/>
          <w:b/>
          <w:bCs w:val="0"/>
          <w:color w:val="000000"/>
          <w:kern w:val="0"/>
          <w:sz w:val="36"/>
          <w:szCs w:val="36"/>
          <w:highlight w:val="none"/>
          <w:u w:color="000000"/>
          <w:lang w:val="en-US" w:eastAsia="zh-CN" w:bidi="ar"/>
        </w:rPr>
        <w:t>录</w:t>
      </w:r>
    </w:p>
    <w:p w14:paraId="0BBA8ED2">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第一章  招标公告</w:t>
      </w:r>
      <w:bookmarkStart w:id="0" w:name="OLE_LINK4"/>
      <w:r>
        <w:rPr>
          <w:rFonts w:hint="eastAsia" w:ascii="宋体" w:hAnsi="宋体" w:eastAsia="宋体" w:cs="宋体"/>
          <w:color w:val="000000"/>
          <w:kern w:val="0"/>
          <w:sz w:val="24"/>
          <w:szCs w:val="24"/>
          <w:highlight w:val="none"/>
          <w:u w:color="000000"/>
          <w:lang w:val="en-US" w:eastAsia="zh-CN" w:bidi="ar"/>
        </w:rPr>
        <w:t xml:space="preserve"> …………………………………………………………………</w:t>
      </w:r>
      <w:bookmarkEnd w:id="0"/>
      <w:r>
        <w:rPr>
          <w:rFonts w:hint="eastAsia" w:ascii="宋体" w:hAnsi="宋体" w:eastAsia="宋体" w:cs="宋体"/>
          <w:color w:val="000000"/>
          <w:kern w:val="0"/>
          <w:sz w:val="24"/>
          <w:szCs w:val="24"/>
          <w:highlight w:val="none"/>
          <w:u w:color="000000"/>
          <w:lang w:val="en-US" w:eastAsia="zh-CN" w:bidi="ar"/>
        </w:rPr>
        <w:t>1</w:t>
      </w:r>
    </w:p>
    <w:p w14:paraId="5023954A">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第二章  投标人须知 ………………………………………………………………3</w:t>
      </w:r>
    </w:p>
    <w:p w14:paraId="648B4037">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第三章  资格审查办法……………………………………………………………14</w:t>
      </w:r>
    </w:p>
    <w:p w14:paraId="6AE266BC">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第四章  评标办法…………………………………………………………………15</w:t>
      </w:r>
    </w:p>
    <w:p w14:paraId="5A66841E">
      <w:pPr>
        <w:keepNext w:val="0"/>
        <w:keepLines w:val="0"/>
        <w:widowControl/>
        <w:suppressLineNumbers w:val="0"/>
        <w:spacing w:before="0" w:beforeAutospacing="0" w:after="0" w:afterAutospacing="0" w:line="720" w:lineRule="auto"/>
        <w:ind w:left="0" w:right="0"/>
        <w:jc w:val="both"/>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第五章  采购需求…………………………………………………………………21</w:t>
      </w:r>
    </w:p>
    <w:p w14:paraId="1436ADDF">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第六章  合同条款及格式…………………………………………………………50</w:t>
      </w:r>
    </w:p>
    <w:p w14:paraId="36DFDF3D">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第七章  投标文件格式……………………………………………………………60</w:t>
      </w:r>
    </w:p>
    <w:p w14:paraId="7B3A915D">
      <w:pPr>
        <w:keepNext w:val="0"/>
        <w:keepLines w:val="0"/>
        <w:widowControl/>
        <w:suppressLineNumbers w:val="0"/>
        <w:spacing w:before="0" w:beforeAutospacing="0" w:after="0" w:afterAutospacing="0" w:line="72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第八章  招标人、招标代理机构对本招标文件的确认…………………………72</w:t>
      </w:r>
    </w:p>
    <w:p w14:paraId="7C586AB0">
      <w:pPr>
        <w:rPr>
          <w:rFonts w:hint="eastAsia" w:ascii="宋体" w:hAnsi="宋体" w:eastAsia="宋体" w:cs="宋体"/>
          <w:sz w:val="24"/>
          <w:szCs w:val="24"/>
          <w:highlight w:val="none"/>
          <w:lang w:val="en-US" w:eastAsia="zh-CN" w:bidi="ar"/>
        </w:rPr>
        <w:sectPr>
          <w:pgSz w:w="11906" w:h="16838"/>
          <w:pgMar w:top="1440" w:right="1800" w:bottom="1440" w:left="1800" w:header="851" w:footer="992" w:gutter="0"/>
          <w:pgNumType w:fmt="decimal" w:start="1"/>
          <w:cols w:space="425" w:num="1"/>
          <w:docGrid w:type="lines" w:linePitch="312" w:charSpace="0"/>
        </w:sectPr>
      </w:pPr>
    </w:p>
    <w:p w14:paraId="69713157">
      <w:pPr>
        <w:pStyle w:val="18"/>
        <w:keepNext w:val="0"/>
        <w:keepLines w:val="0"/>
        <w:pageBreakBefore w:val="0"/>
        <w:widowControl/>
        <w:kinsoku/>
        <w:overflowPunct/>
        <w:topLinePunct w:val="0"/>
        <w:autoSpaceDN/>
        <w:bidi w:val="0"/>
        <w:adjustRightInd/>
        <w:snapToGrid/>
        <w:spacing w:beforeAutospacing="0" w:afterAutospacing="0" w:line="480" w:lineRule="exact"/>
        <w:jc w:val="center"/>
        <w:textAlignment w:val="auto"/>
        <w:rPr>
          <w:rFonts w:hint="eastAsia" w:ascii="宋体" w:hAnsi="宋体" w:eastAsia="宋体" w:cs="宋体"/>
          <w:b/>
          <w:bCs/>
          <w:highlight w:val="none"/>
          <w:lang w:val="en-US"/>
        </w:rPr>
      </w:pPr>
      <w:bookmarkStart w:id="1" w:name="_Toc23741_WPSOffice_Level1"/>
      <w:bookmarkEnd w:id="1"/>
      <w:bookmarkStart w:id="2" w:name="_Toc29214"/>
      <w:bookmarkEnd w:id="2"/>
      <w:r>
        <w:rPr>
          <w:rFonts w:hint="eastAsia" w:ascii="宋体" w:hAnsi="宋体" w:eastAsia="宋体" w:cs="宋体"/>
          <w:b/>
          <w:bCs/>
          <w:highlight w:val="none"/>
          <w:lang w:eastAsia="zh-CN"/>
        </w:rPr>
        <w:t>第一章</w:t>
      </w:r>
      <w:r>
        <w:rPr>
          <w:rFonts w:hint="eastAsia" w:ascii="宋体" w:hAnsi="Calibri" w:eastAsia="楷体_GB2312" w:cs="宋体"/>
          <w:b/>
          <w:bCs/>
          <w:highlight w:val="none"/>
          <w:lang w:val="en-US"/>
        </w:rPr>
        <w:t xml:space="preserve">  </w:t>
      </w:r>
      <w:bookmarkStart w:id="3" w:name="_Toc7358"/>
      <w:bookmarkEnd w:id="3"/>
      <w:bookmarkStart w:id="4" w:name="_Toc18980_WPSOffice_Level1"/>
      <w:bookmarkEnd w:id="4"/>
      <w:r>
        <w:rPr>
          <w:rFonts w:hint="eastAsia" w:ascii="宋体" w:hAnsi="宋体" w:eastAsia="宋体" w:cs="宋体"/>
          <w:b/>
          <w:bCs/>
          <w:highlight w:val="none"/>
          <w:lang w:eastAsia="zh-CN"/>
        </w:rPr>
        <w:t>招标公告</w:t>
      </w:r>
    </w:p>
    <w:p w14:paraId="4801437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bookmarkStart w:id="5" w:name="_Toc35393621"/>
      <w:bookmarkEnd w:id="5"/>
      <w:bookmarkStart w:id="6" w:name="_Toc58430305"/>
      <w:bookmarkEnd w:id="6"/>
      <w:bookmarkStart w:id="7" w:name="_Toc28359002"/>
      <w:bookmarkEnd w:id="7"/>
      <w:bookmarkStart w:id="8" w:name="_Toc28359079"/>
      <w:bookmarkEnd w:id="8"/>
      <w:bookmarkStart w:id="9" w:name="_Toc35393790"/>
      <w:r>
        <w:rPr>
          <w:rFonts w:hint="eastAsia" w:ascii="宋体" w:hAnsi="宋体" w:eastAsia="宋体" w:cs="宋体"/>
          <w:color w:val="000000"/>
          <w:kern w:val="0"/>
          <w:sz w:val="24"/>
          <w:szCs w:val="24"/>
          <w:highlight w:val="none"/>
          <w:u w:color="000000"/>
          <w:lang w:val="en-US" w:eastAsia="zh-CN" w:bidi="ar"/>
        </w:rPr>
        <w:t>项目概况</w:t>
      </w:r>
    </w:p>
    <w:p w14:paraId="53112DB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滁州至南京城际铁路（滁州段）一期、二期全线监控CCTV补盲加装项目（二次）的潜在投标人应在滁州市滁宁城际铁路开发建设有限公司网站（http://czctgs.cn/）获取招标文件，并于2026年3月23日15时00分（北京时间）前递交投标文件。</w:t>
      </w:r>
    </w:p>
    <w:p w14:paraId="03D12322">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一、项目基本情况</w:t>
      </w:r>
      <w:bookmarkEnd w:id="9"/>
    </w:p>
    <w:p w14:paraId="0043750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项目名称：滁州至南京城际铁路（滁州段）一期、二期全线监控CCTV补盲加装项目（二次）</w:t>
      </w:r>
    </w:p>
    <w:p w14:paraId="552C87C5">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478" w:leftChars="228" w:right="0" w:firstLine="0" w:firstLineChars="0"/>
        <w:jc w:val="both"/>
        <w:textAlignment w:val="auto"/>
        <w:rPr>
          <w:rFonts w:hint="default" w:ascii="宋体" w:hAnsi="宋体" w:eastAsia="宋体" w:cs="宋体"/>
          <w:b w:val="0"/>
          <w:bCs w:val="0"/>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预算金额：835474.00元</w:t>
      </w:r>
    </w:p>
    <w:p w14:paraId="4AF8BD93">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最高限价：本项目最高限价为（人民币）835474.00元，投标报价不得超过最高限价，否则按</w:t>
      </w:r>
      <w:r>
        <w:rPr>
          <w:rFonts w:hint="eastAsia" w:ascii="宋体" w:hAnsi="宋体" w:eastAsia="宋体" w:cs="宋体"/>
          <w:color w:val="000000"/>
          <w:kern w:val="0"/>
          <w:sz w:val="24"/>
          <w:szCs w:val="24"/>
          <w:highlight w:val="none"/>
          <w:u w:color="000000"/>
          <w:lang w:val="en-US" w:eastAsia="zh-CN" w:bidi="ar"/>
        </w:rPr>
        <w:t>无效投标处理。</w:t>
      </w:r>
    </w:p>
    <w:p w14:paraId="7F87A83D">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采购需求：滁州至南京城际铁路（滁州段）一期、二期全线监控CCTV补盲加装，详见采购需求。</w:t>
      </w:r>
    </w:p>
    <w:p w14:paraId="7C85A147">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工期：自接到招标人通知起90个日历天内完成全部供货、安装、调试并验收通过。</w:t>
      </w:r>
    </w:p>
    <w:p w14:paraId="18D3B2A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本项目不接受联合体投标。</w:t>
      </w:r>
    </w:p>
    <w:p w14:paraId="58C6F4C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8"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二、</w:t>
      </w:r>
      <w:r>
        <w:rPr>
          <w:rFonts w:hint="eastAsia" w:ascii="宋体" w:hAnsi="宋体" w:eastAsia="宋体" w:cs="宋体"/>
          <w:b/>
          <w:bCs w:val="0"/>
          <w:color w:val="000000"/>
          <w:kern w:val="0"/>
          <w:sz w:val="24"/>
          <w:szCs w:val="24"/>
          <w:highlight w:val="none"/>
          <w:u w:color="000000"/>
          <w:lang w:val="en-US" w:eastAsia="zh-CN" w:bidi="ar"/>
        </w:rPr>
        <w:t>申请人的资格要求</w:t>
      </w:r>
    </w:p>
    <w:p w14:paraId="761C6723">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投标人须在中华人民共和国境内注册（不含港澳台）并取得营业执照且具有相应供货服务能力。</w:t>
      </w:r>
    </w:p>
    <w:p w14:paraId="72B177D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三、获取招标文件</w:t>
      </w:r>
    </w:p>
    <w:p w14:paraId="13F522E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时间：</w:t>
      </w:r>
      <w:r>
        <w:rPr>
          <w:rFonts w:hint="eastAsia" w:ascii="宋体" w:hAnsi="宋体" w:eastAsia="宋体" w:cs="宋体"/>
          <w:color w:val="000000"/>
          <w:kern w:val="0"/>
          <w:sz w:val="24"/>
          <w:szCs w:val="24"/>
          <w:highlight w:val="none"/>
          <w:u w:val="single" w:color="000000"/>
          <w:lang w:val="en-US" w:eastAsia="zh-CN" w:bidi="ar"/>
        </w:rPr>
        <w:t xml:space="preserve"> 2026年3月13日</w:t>
      </w:r>
      <w:r>
        <w:rPr>
          <w:rFonts w:hint="eastAsia" w:ascii="宋体" w:hAnsi="宋体" w:eastAsia="宋体" w:cs="宋体"/>
          <w:color w:val="000000"/>
          <w:kern w:val="0"/>
          <w:sz w:val="24"/>
          <w:szCs w:val="24"/>
          <w:highlight w:val="none"/>
          <w:u w:color="000000"/>
          <w:lang w:val="en-US" w:eastAsia="zh-CN" w:bidi="ar"/>
        </w:rPr>
        <w:t>至</w:t>
      </w:r>
      <w:r>
        <w:rPr>
          <w:rFonts w:hint="eastAsia" w:ascii="宋体" w:hAnsi="宋体" w:eastAsia="宋体" w:cs="宋体"/>
          <w:color w:val="000000"/>
          <w:kern w:val="0"/>
          <w:sz w:val="24"/>
          <w:szCs w:val="24"/>
          <w:highlight w:val="none"/>
          <w:u w:val="single" w:color="000000"/>
          <w:lang w:val="en-US" w:eastAsia="zh-CN" w:bidi="ar"/>
        </w:rPr>
        <w:t xml:space="preserve"> 2026年3月23日</w:t>
      </w:r>
    </w:p>
    <w:p w14:paraId="4C8A0E62">
      <w:pPr>
        <w:keepNext w:val="0"/>
        <w:keepLines w:val="0"/>
        <w:pageBreakBefore w:val="0"/>
        <w:kinsoku/>
        <w:overflowPunct/>
        <w:topLinePunct w:val="0"/>
        <w:autoSpaceDE/>
        <w:autoSpaceDN/>
        <w:bidi w:val="0"/>
        <w:adjustRightInd/>
        <w:snapToGrid/>
        <w:spacing w:line="480" w:lineRule="exact"/>
        <w:ind w:firstLine="540"/>
        <w:textAlignment w:val="auto"/>
        <w:rPr>
          <w:rFonts w:ascii="宋体" w:hAnsi="宋体" w:cs="宋体"/>
          <w:color w:val="auto"/>
          <w:sz w:val="24"/>
          <w:szCs w:val="24"/>
          <w:highlight w:val="none"/>
        </w:rPr>
      </w:pPr>
      <w:r>
        <w:rPr>
          <w:rFonts w:hint="eastAsia" w:ascii="宋体" w:hAnsi="宋体" w:eastAsia="宋体" w:cs="宋体"/>
          <w:color w:val="000000"/>
          <w:kern w:val="0"/>
          <w:sz w:val="24"/>
          <w:szCs w:val="24"/>
          <w:highlight w:val="none"/>
          <w:u w:color="000000"/>
          <w:lang w:val="en-US" w:eastAsia="zh-CN" w:bidi="ar"/>
        </w:rPr>
        <w:t>地点：</w:t>
      </w:r>
      <w:r>
        <w:rPr>
          <w:rFonts w:hint="eastAsia" w:ascii="宋体" w:hAnsi="宋体" w:cs="宋体"/>
          <w:color w:val="auto"/>
          <w:sz w:val="24"/>
          <w:szCs w:val="24"/>
          <w:highlight w:val="none"/>
          <w:lang w:eastAsia="zh-CN"/>
        </w:rPr>
        <w:t>滁州市滁宁城际铁路开发建设有限公司</w:t>
      </w:r>
      <w:r>
        <w:rPr>
          <w:rFonts w:hint="eastAsia" w:ascii="宋体" w:hAnsi="宋体" w:cs="宋体"/>
          <w:color w:val="auto"/>
          <w:sz w:val="24"/>
          <w:szCs w:val="24"/>
          <w:highlight w:val="none"/>
        </w:rPr>
        <w:t>网站</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http://czctgs.cn/</w:t>
      </w:r>
      <w:r>
        <w:rPr>
          <w:rFonts w:hint="eastAsia" w:ascii="宋体" w:hAnsi="宋体" w:cs="宋体"/>
          <w:color w:val="auto"/>
          <w:sz w:val="24"/>
          <w:szCs w:val="24"/>
          <w:highlight w:val="none"/>
          <w:u w:val="single"/>
        </w:rPr>
        <w:t>）</w:t>
      </w:r>
    </w:p>
    <w:p w14:paraId="343A6E1B">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方式：网上下载</w:t>
      </w:r>
    </w:p>
    <w:p w14:paraId="341CE36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售价：0元</w:t>
      </w:r>
    </w:p>
    <w:p w14:paraId="12C638EF">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sz w:val="24"/>
          <w:szCs w:val="24"/>
          <w:highlight w:val="none"/>
          <w:lang w:val="en-US"/>
        </w:rPr>
      </w:pPr>
      <w:bookmarkStart w:id="10" w:name="_Toc28359005"/>
      <w:bookmarkEnd w:id="10"/>
      <w:bookmarkStart w:id="11" w:name="_Toc58430308"/>
      <w:bookmarkEnd w:id="11"/>
      <w:bookmarkStart w:id="12" w:name="_Toc28359082"/>
      <w:bookmarkEnd w:id="12"/>
      <w:bookmarkStart w:id="13" w:name="_Toc35393793"/>
      <w:bookmarkEnd w:id="13"/>
      <w:r>
        <w:rPr>
          <w:rFonts w:hint="eastAsia" w:ascii="宋体" w:hAnsi="宋体" w:cs="宋体"/>
          <w:b/>
          <w:color w:val="auto"/>
          <w:sz w:val="24"/>
          <w:szCs w:val="24"/>
          <w:highlight w:val="none"/>
        </w:rPr>
        <w:t>四、提交投标文件截止时间、开标时间和</w:t>
      </w:r>
      <w:r>
        <w:rPr>
          <w:rFonts w:hint="eastAsia" w:ascii="宋体" w:hAnsi="宋体" w:cs="宋体"/>
          <w:b/>
          <w:color w:val="auto"/>
          <w:sz w:val="24"/>
          <w:szCs w:val="24"/>
          <w:highlight w:val="none"/>
          <w:lang w:val="en-US" w:eastAsia="zh-CN"/>
        </w:rPr>
        <w:t>地点</w:t>
      </w:r>
    </w:p>
    <w:p w14:paraId="4D4A626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截止时间：</w:t>
      </w:r>
      <w:r>
        <w:rPr>
          <w:rFonts w:hint="eastAsia" w:ascii="宋体" w:hAnsi="宋体" w:eastAsia="宋体" w:cs="宋体"/>
          <w:bCs/>
          <w:color w:val="000000"/>
          <w:kern w:val="0"/>
          <w:sz w:val="24"/>
          <w:szCs w:val="24"/>
          <w:highlight w:val="none"/>
          <w:u w:val="single" w:color="000000"/>
          <w:lang w:val="en-US" w:eastAsia="zh-CN" w:bidi="ar"/>
        </w:rPr>
        <w:t>2026年3月23日15时00分</w:t>
      </w:r>
      <w:r>
        <w:rPr>
          <w:rFonts w:hint="eastAsia" w:ascii="宋体" w:hAnsi="宋体" w:eastAsia="宋体" w:cs="宋体"/>
          <w:bCs/>
          <w:color w:val="000000"/>
          <w:kern w:val="0"/>
          <w:sz w:val="24"/>
          <w:szCs w:val="24"/>
          <w:highlight w:val="none"/>
          <w:u w:color="000000"/>
          <w:lang w:val="en-US" w:eastAsia="zh-CN" w:bidi="ar"/>
        </w:rPr>
        <w:t>（北京时间）</w:t>
      </w:r>
    </w:p>
    <w:p w14:paraId="61B10B30">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地点：滁州市轨道交通运营有限公司五楼514开评标室 (徽州路与扬子路交叉口东南侧)</w:t>
      </w:r>
    </w:p>
    <w:p w14:paraId="6C3487F5">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投标文件递交方式：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color w:val="000000"/>
          <w:kern w:val="0"/>
          <w:sz w:val="24"/>
          <w:szCs w:val="24"/>
          <w:highlight w:val="none"/>
          <w:u w:color="000000"/>
          <w:lang w:val="en-US" w:eastAsia="zh-CN" w:bidi="ar"/>
        </w:rPr>
        <w:fldChar w:fldCharType="begin"/>
      </w:r>
      <w:r>
        <w:rPr>
          <w:rFonts w:hint="eastAsia" w:ascii="宋体" w:hAnsi="宋体" w:eastAsia="宋体" w:cs="宋体"/>
          <w:color w:val="000000"/>
          <w:kern w:val="0"/>
          <w:sz w:val="24"/>
          <w:szCs w:val="24"/>
          <w:highlight w:val="none"/>
          <w:u w:color="000000"/>
          <w:lang w:val="en-US" w:eastAsia="zh-CN" w:bidi="ar"/>
        </w:rPr>
        <w:instrText xml:space="preserve"> HYPERLINK "mailto:2、在递交截止时间后30分钟内，将解压密码通过邮箱发送至代理机构邮箱（czsctgczx@163.com）" </w:instrText>
      </w:r>
      <w:r>
        <w:rPr>
          <w:rFonts w:hint="eastAsia" w:ascii="宋体" w:hAnsi="宋体" w:eastAsia="宋体" w:cs="宋体"/>
          <w:color w:val="000000"/>
          <w:kern w:val="0"/>
          <w:sz w:val="24"/>
          <w:szCs w:val="24"/>
          <w:highlight w:val="none"/>
          <w:u w:color="000000"/>
          <w:lang w:val="en-US" w:eastAsia="zh-CN" w:bidi="ar"/>
        </w:rPr>
        <w:fldChar w:fldCharType="separate"/>
      </w:r>
      <w:r>
        <w:rPr>
          <w:rFonts w:hint="eastAsia" w:ascii="宋体" w:hAnsi="宋体" w:eastAsia="宋体" w:cs="宋体"/>
          <w:color w:val="000000"/>
          <w:kern w:val="0"/>
          <w:sz w:val="24"/>
          <w:szCs w:val="24"/>
          <w:highlight w:val="none"/>
          <w:u w:color="000000"/>
          <w:lang w:val="en-US" w:eastAsia="zh-CN" w:bidi="ar"/>
        </w:rPr>
        <w:t>②在投标截止时间后30分钟内，将投标文件密码通过邮箱发送至滁州市城投工程咨询管理有限公司邮箱（czsctzx@163.com）</w:t>
      </w:r>
      <w:r>
        <w:rPr>
          <w:rFonts w:hint="eastAsia" w:ascii="宋体" w:hAnsi="宋体" w:eastAsia="宋体" w:cs="宋体"/>
          <w:color w:val="000000"/>
          <w:kern w:val="0"/>
          <w:sz w:val="24"/>
          <w:szCs w:val="24"/>
          <w:highlight w:val="none"/>
          <w:u w:color="000000"/>
          <w:lang w:val="en-US" w:eastAsia="zh-CN" w:bidi="ar"/>
        </w:rPr>
        <w:fldChar w:fldCharType="end"/>
      </w:r>
      <w:r>
        <w:rPr>
          <w:rFonts w:hint="eastAsia" w:ascii="宋体" w:hAnsi="宋体" w:eastAsia="宋体" w:cs="宋体"/>
          <w:color w:val="000000"/>
          <w:kern w:val="0"/>
          <w:sz w:val="24"/>
          <w:szCs w:val="24"/>
          <w:highlight w:val="none"/>
          <w:u w:color="000000"/>
          <w:lang w:val="en-US" w:eastAsia="zh-CN" w:bidi="ar"/>
        </w:rPr>
        <w:t>，未在规定时间内发送密码或发送的密码无法正确打开投标文件的，投标文件将被拒绝。</w:t>
      </w:r>
    </w:p>
    <w:p w14:paraId="186381E6">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五、投标保证金金额及缴纳账户</w:t>
      </w:r>
    </w:p>
    <w:p w14:paraId="502F0490">
      <w:pPr>
        <w:keepNext w:val="0"/>
        <w:keepLines w:val="0"/>
        <w:pageBreakBefore w:val="0"/>
        <w:widowControl/>
        <w:kinsoku/>
        <w:overflowPunct/>
        <w:topLinePunct w:val="0"/>
        <w:autoSpaceDE w:val="0"/>
        <w:autoSpaceDN/>
        <w:bidi w:val="0"/>
        <w:adjustRightInd/>
        <w:snapToGrid/>
        <w:spacing w:line="440" w:lineRule="exact"/>
        <w:ind w:firstLine="480" w:firstLineChars="200"/>
        <w:textAlignment w:val="auto"/>
        <w:rPr>
          <w:rFonts w:hint="eastAsia" w:ascii="宋体" w:hAnsi="宋体" w:eastAsia="宋体" w:cs="宋体"/>
          <w:bCs/>
          <w:color w:val="auto"/>
          <w:kern w:val="0"/>
          <w:sz w:val="24"/>
          <w:highlight w:val="none"/>
          <w:u w:color="000000"/>
          <w:lang w:bidi="ar"/>
        </w:rPr>
      </w:pPr>
      <w:r>
        <w:rPr>
          <w:rFonts w:hint="eastAsia" w:ascii="宋体" w:hAnsi="宋体" w:eastAsia="宋体" w:cs="宋体"/>
          <w:bCs/>
          <w:color w:val="auto"/>
          <w:kern w:val="0"/>
          <w:sz w:val="24"/>
          <w:highlight w:val="none"/>
          <w:u w:color="000000"/>
          <w:lang w:bidi="ar"/>
        </w:rPr>
        <w:t>是否要求投标人提交投标保证金：</w:t>
      </w:r>
      <w:r>
        <w:rPr>
          <w:rFonts w:hint="eastAsia" w:ascii="宋体" w:hAnsi="宋体" w:eastAsia="宋体" w:cs="宋体"/>
          <w:bCs/>
          <w:color w:val="auto"/>
          <w:kern w:val="0"/>
          <w:sz w:val="24"/>
          <w:highlight w:val="none"/>
          <w:u w:color="000000"/>
          <w:lang w:val="en-US" w:eastAsia="zh-CN" w:bidi="ar"/>
        </w:rPr>
        <w:t>不</w:t>
      </w:r>
      <w:r>
        <w:rPr>
          <w:rFonts w:hint="eastAsia" w:ascii="宋体" w:hAnsi="宋体" w:eastAsia="宋体" w:cs="宋体"/>
          <w:bCs/>
          <w:color w:val="auto"/>
          <w:kern w:val="0"/>
          <w:sz w:val="24"/>
          <w:highlight w:val="none"/>
          <w:u w:color="000000"/>
          <w:lang w:bidi="ar"/>
        </w:rPr>
        <w:t>要求。</w:t>
      </w:r>
    </w:p>
    <w:p w14:paraId="0AEACD3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right="0" w:firstLine="488" w:firstLineChars="200"/>
        <w:jc w:val="both"/>
        <w:textAlignment w:val="auto"/>
        <w:rPr>
          <w:rFonts w:hint="eastAsia" w:ascii="宋体" w:hAnsi="宋体" w:eastAsia="宋体" w:cs="宋体"/>
          <w:b/>
          <w:bCs w:val="0"/>
          <w:spacing w:val="2"/>
          <w:sz w:val="24"/>
          <w:szCs w:val="24"/>
          <w:highlight w:val="none"/>
          <w:lang w:val="en-US"/>
        </w:rPr>
      </w:pPr>
      <w:r>
        <w:rPr>
          <w:rFonts w:hint="eastAsia" w:ascii="宋体" w:hAnsi="宋体" w:eastAsia="宋体" w:cs="宋体"/>
          <w:b/>
          <w:bCs w:val="0"/>
          <w:color w:val="000000"/>
          <w:spacing w:val="2"/>
          <w:kern w:val="0"/>
          <w:sz w:val="24"/>
          <w:szCs w:val="24"/>
          <w:highlight w:val="none"/>
          <w:u w:color="000000"/>
          <w:lang w:val="en-US" w:eastAsia="zh-CN" w:bidi="ar"/>
        </w:rPr>
        <w:t>六、</w:t>
      </w:r>
      <w:r>
        <w:rPr>
          <w:rFonts w:hint="eastAsia" w:ascii="宋体" w:hAnsi="宋体" w:eastAsia="宋体" w:cs="宋体"/>
          <w:b/>
          <w:bCs w:val="0"/>
          <w:color w:val="000000"/>
          <w:kern w:val="0"/>
          <w:sz w:val="24"/>
          <w:szCs w:val="24"/>
          <w:highlight w:val="none"/>
          <w:u w:color="000000"/>
          <w:lang w:val="en-US" w:eastAsia="zh-CN" w:bidi="ar"/>
        </w:rPr>
        <w:t>对本次招标提出询问，请按以下方式联系</w:t>
      </w:r>
    </w:p>
    <w:p w14:paraId="77349B1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1.招标人信息</w:t>
      </w:r>
    </w:p>
    <w:p w14:paraId="195CA35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名称：滁州市滁宁城际铁路开发建设有限公司   </w:t>
      </w:r>
    </w:p>
    <w:p w14:paraId="582FFFE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 xml:space="preserve">地址：滁州市徽州路与扬子路交叉口东南侧7楼 </w:t>
      </w:r>
    </w:p>
    <w:p w14:paraId="47F8466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w:t>
      </w:r>
      <w:bookmarkStart w:id="14" w:name="_Toc28359010"/>
      <w:bookmarkEnd w:id="14"/>
      <w:bookmarkStart w:id="15" w:name="_Toc28359087"/>
      <w:r>
        <w:rPr>
          <w:rFonts w:hint="eastAsia" w:ascii="宋体" w:hAnsi="宋体" w:eastAsia="宋体" w:cs="宋体"/>
          <w:bCs/>
          <w:color w:val="000000"/>
          <w:kern w:val="0"/>
          <w:sz w:val="24"/>
          <w:highlight w:val="none"/>
          <w:lang w:eastAsia="zh-CN" w:bidi="ar"/>
        </w:rPr>
        <w:t>13339207910</w:t>
      </w:r>
    </w:p>
    <w:p w14:paraId="41CD5F1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2.</w:t>
      </w:r>
      <w:bookmarkEnd w:id="15"/>
      <w:r>
        <w:rPr>
          <w:rFonts w:hint="eastAsia" w:ascii="宋体" w:hAnsi="宋体" w:eastAsia="宋体" w:cs="宋体"/>
          <w:bCs/>
          <w:color w:val="000000"/>
          <w:kern w:val="0"/>
          <w:sz w:val="24"/>
          <w:szCs w:val="24"/>
          <w:highlight w:val="none"/>
          <w:u w:color="000000"/>
          <w:lang w:val="en-US" w:eastAsia="zh-CN" w:bidi="ar"/>
        </w:rPr>
        <w:t>代理机构信息</w:t>
      </w:r>
    </w:p>
    <w:p w14:paraId="082FEFF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名称：滁州市城投工程咨询管理有限公司</w:t>
      </w:r>
    </w:p>
    <w:p w14:paraId="4DD7911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sz w:val="24"/>
          <w:szCs w:val="24"/>
          <w:highlight w:val="none"/>
          <w:lang w:val="en-US"/>
        </w:rPr>
      </w:pPr>
      <w:r>
        <w:rPr>
          <w:rFonts w:hint="eastAsia" w:ascii="宋体" w:hAnsi="宋体" w:eastAsia="宋体" w:cs="宋体"/>
          <w:bCs/>
          <w:color w:val="000000"/>
          <w:kern w:val="0"/>
          <w:sz w:val="24"/>
          <w:szCs w:val="24"/>
          <w:highlight w:val="none"/>
          <w:u w:color="000000"/>
          <w:lang w:val="en-US" w:eastAsia="zh-CN" w:bidi="ar"/>
        </w:rPr>
        <w:t>地址：滁州市龙蟠大道109号房产大厦6楼605室</w:t>
      </w:r>
    </w:p>
    <w:p w14:paraId="2BF4BF6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联系方式：0550-3519519、18005505728</w:t>
      </w:r>
    </w:p>
    <w:p w14:paraId="1C43192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3.项目联系方式</w:t>
      </w:r>
    </w:p>
    <w:p w14:paraId="2F73EC9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 xml:space="preserve">项目联系人：杨雅辰、周蓓蕾    </w:t>
      </w:r>
    </w:p>
    <w:p w14:paraId="1D303122">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kern w:val="0"/>
          <w:sz w:val="24"/>
          <w:szCs w:val="24"/>
          <w:highlight w:val="none"/>
          <w:u w:color="000000"/>
          <w:lang w:val="en-US" w:eastAsia="zh-CN" w:bidi="ar"/>
        </w:rPr>
      </w:pPr>
      <w:r>
        <w:rPr>
          <w:rFonts w:hint="eastAsia" w:ascii="宋体" w:hAnsi="宋体" w:eastAsia="宋体" w:cs="宋体"/>
          <w:bCs/>
          <w:color w:val="000000"/>
          <w:kern w:val="0"/>
          <w:sz w:val="24"/>
          <w:szCs w:val="24"/>
          <w:highlight w:val="none"/>
          <w:u w:color="000000"/>
          <w:lang w:val="en-US" w:eastAsia="zh-CN" w:bidi="ar"/>
        </w:rPr>
        <w:t>电话：13339207910、18005505728</w:t>
      </w:r>
    </w:p>
    <w:p w14:paraId="15B7BEBE">
      <w:pPr>
        <w:keepNext w:val="0"/>
        <w:keepLines w:val="0"/>
        <w:pageBreakBefore w:val="0"/>
        <w:widowControl/>
        <w:numPr>
          <w:ilvl w:val="0"/>
          <w:numId w:val="1"/>
        </w:numPr>
        <w:suppressLineNumbers w:val="0"/>
        <w:kinsoku/>
        <w:overflowPunct/>
        <w:topLinePunct w:val="0"/>
        <w:autoSpaceDE w:val="0"/>
        <w:autoSpaceDN/>
        <w:bidi w:val="0"/>
        <w:adjustRightInd/>
        <w:snapToGrid/>
        <w:spacing w:before="0" w:beforeAutospacing="0" w:after="0" w:afterAutospacing="0" w:line="480" w:lineRule="exact"/>
        <w:ind w:right="0"/>
        <w:jc w:val="center"/>
        <w:textAlignment w:val="auto"/>
        <w:rPr>
          <w:rFonts w:hint="eastAsia" w:ascii="宋体" w:hAnsi="宋体" w:eastAsia="宋体" w:cs="宋体"/>
          <w:b/>
          <w:bCs/>
          <w:color w:val="auto"/>
          <w:kern w:val="0"/>
          <w:sz w:val="28"/>
          <w:szCs w:val="28"/>
          <w:highlight w:val="none"/>
          <w:u w:color="000000"/>
          <w:lang w:val="en-US" w:eastAsia="zh-CN" w:bidi="ar"/>
        </w:rPr>
      </w:pPr>
      <w:bookmarkStart w:id="364" w:name="_GoBack"/>
      <w:bookmarkEnd w:id="364"/>
      <w:r>
        <w:rPr>
          <w:rFonts w:hint="eastAsia" w:ascii="宋体" w:hAnsi="宋体" w:eastAsia="宋体" w:cs="宋体"/>
          <w:bCs/>
          <w:color w:val="000000"/>
          <w:kern w:val="0"/>
          <w:sz w:val="24"/>
          <w:szCs w:val="24"/>
          <w:highlight w:val="none"/>
          <w:u w:color="000000"/>
          <w:lang w:val="en-US" w:eastAsia="zh-CN" w:bidi="ar"/>
        </w:rPr>
        <w:br w:type="page"/>
      </w:r>
      <w:r>
        <w:rPr>
          <w:rFonts w:hint="eastAsia" w:ascii="宋体" w:hAnsi="宋体" w:eastAsia="宋体" w:cs="宋体"/>
          <w:b/>
          <w:bCs/>
          <w:color w:val="auto"/>
          <w:kern w:val="0"/>
          <w:sz w:val="28"/>
          <w:szCs w:val="28"/>
          <w:highlight w:val="none"/>
          <w:u w:color="000000"/>
          <w:lang w:val="en-US" w:eastAsia="zh-CN" w:bidi="ar"/>
        </w:rPr>
        <w:t>投标人须知</w:t>
      </w:r>
      <w:bookmarkStart w:id="16" w:name="_Toc9559"/>
      <w:bookmarkEnd w:id="16"/>
      <w:bookmarkStart w:id="17" w:name="_Toc28003_WPSOffice_Level2"/>
    </w:p>
    <w:p w14:paraId="46AA4A47">
      <w:pPr>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480" w:lineRule="exact"/>
        <w:ind w:right="0" w:rightChars="0"/>
        <w:jc w:val="center"/>
        <w:textAlignment w:val="auto"/>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一、投标人须知前附表</w:t>
      </w:r>
      <w:bookmarkEnd w:id="17"/>
    </w:p>
    <w:tbl>
      <w:tblPr>
        <w:tblStyle w:val="23"/>
        <w:tblW w:w="9809" w:type="dxa"/>
        <w:tblInd w:w="-26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6328"/>
      </w:tblGrid>
      <w:tr w14:paraId="014B12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79D18432">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hint="eastAsia" w:eastAsia="宋体" w:cs="Times New Roman"/>
                <w:b/>
                <w:bCs w:val="0"/>
                <w:highlight w:val="none"/>
                <w:lang w:val="en-US" w:eastAsia="zh-CN"/>
              </w:rPr>
            </w:pPr>
            <w:r>
              <w:rPr>
                <w:rFonts w:hint="eastAsia" w:cs="Times New Roman"/>
                <w:b/>
                <w:bCs w:val="0"/>
                <w:highlight w:val="none"/>
                <w:lang w:val="en-US" w:eastAsia="zh-CN"/>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2AD19423">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hint="eastAsia"/>
                <w:b/>
                <w:color w:val="auto"/>
                <w:szCs w:val="21"/>
                <w:highlight w:val="none"/>
                <w:lang w:val="en-US" w:eastAsia="zh-CN"/>
              </w:rPr>
              <w:t>条款名称</w:t>
            </w:r>
          </w:p>
        </w:tc>
        <w:tc>
          <w:tcPr>
            <w:tcW w:w="6328" w:type="dxa"/>
            <w:tcBorders>
              <w:top w:val="single" w:color="auto" w:sz="12" w:space="0"/>
              <w:left w:val="single" w:color="auto" w:sz="8" w:space="0"/>
              <w:bottom w:val="single" w:color="auto" w:sz="8" w:space="0"/>
              <w:right w:val="single" w:color="auto" w:sz="12" w:space="0"/>
            </w:tcBorders>
            <w:shd w:val="clear" w:color="auto" w:fill="auto"/>
            <w:vAlign w:val="center"/>
          </w:tcPr>
          <w:p w14:paraId="46C92CB0">
            <w:pPr>
              <w:pStyle w:val="13"/>
              <w:keepNext w:val="0"/>
              <w:keepLines w:val="0"/>
              <w:pageBreakBefore w:val="0"/>
              <w:widowControl/>
              <w:kinsoku/>
              <w:wordWrap/>
              <w:overflowPunct/>
              <w:topLinePunct w:val="0"/>
              <w:autoSpaceDN/>
              <w:bidi w:val="0"/>
              <w:adjustRightInd/>
              <w:snapToGrid/>
              <w:spacing w:line="360" w:lineRule="exact"/>
              <w:jc w:val="center"/>
              <w:textAlignment w:val="auto"/>
              <w:rPr>
                <w:rFonts w:cs="Times New Roman"/>
                <w:b/>
                <w:bCs w:val="0"/>
                <w:highlight w:val="none"/>
                <w:lang w:val="en-US"/>
              </w:rPr>
            </w:pPr>
            <w:r>
              <w:rPr>
                <w:rFonts w:cs="Times New Roman"/>
                <w:b/>
                <w:bCs w:val="0"/>
                <w:highlight w:val="none"/>
              </w:rPr>
              <w:t>说明与要求</w:t>
            </w:r>
          </w:p>
        </w:tc>
      </w:tr>
      <w:tr w14:paraId="3DEDF6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1BE3D3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9F79B70">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项目名称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EB5F2B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cs="Times New Roman"/>
                <w:bCs/>
                <w:highlight w:val="none"/>
                <w:lang w:val="en-US" w:eastAsia="zh-CN"/>
              </w:rPr>
            </w:pPr>
            <w:r>
              <w:rPr>
                <w:rFonts w:hint="eastAsia" w:cs="Times New Roman"/>
                <w:bCs/>
                <w:highlight w:val="none"/>
                <w:lang w:eastAsia="zh-CN"/>
              </w:rPr>
              <w:t>滁州至南京城际铁路（滁州段）一期、二期全线监控CCTV补盲加装项目（</w:t>
            </w:r>
            <w:r>
              <w:rPr>
                <w:rFonts w:hint="eastAsia" w:cs="Times New Roman"/>
                <w:bCs/>
                <w:highlight w:val="none"/>
                <w:lang w:val="en-US" w:eastAsia="zh-CN"/>
              </w:rPr>
              <w:t>二次）</w:t>
            </w:r>
          </w:p>
        </w:tc>
      </w:tr>
      <w:tr w14:paraId="41AC8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598881">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FDF3EC7">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ascii="宋体" w:hAnsi="宋体" w:eastAsia="宋体" w:cs="Times New Roman"/>
                <w:highlight w:val="none"/>
                <w:lang w:val="en-US"/>
              </w:rPr>
            </w:pPr>
            <w:r>
              <w:rPr>
                <w:rFonts w:hint="eastAsia" w:cs="Times New Roman"/>
                <w:highlight w:val="none"/>
                <w:lang w:val="en-US" w:eastAsia="zh-CN"/>
              </w:rPr>
              <w:t>工</w:t>
            </w:r>
            <w:r>
              <w:rPr>
                <w:rFonts w:hint="eastAsia" w:ascii="宋体" w:hAnsi="宋体" w:eastAsia="宋体" w:cs="Times New Roman"/>
                <w:highlight w:val="none"/>
                <w:lang w:val="en-US" w:eastAsia="zh-CN"/>
              </w:rPr>
              <w:t>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BDE0AD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cs="Times New Roman"/>
                <w:bCs/>
                <w:highlight w:val="none"/>
                <w:lang w:val="en-US" w:eastAsia="zh-CN"/>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5343A2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B1A8B0">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206D41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hint="eastAsia" w:cs="Times New Roman"/>
                <w:highlight w:val="none"/>
                <w:lang w:val="en-US" w:eastAsia="zh-CN"/>
              </w:rPr>
              <w:t>项目</w:t>
            </w:r>
            <w:r>
              <w:rPr>
                <w:rFonts w:cs="Times New Roman"/>
                <w:highlight w:val="none"/>
              </w:rPr>
              <w:t>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E7DD6A9">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bCs/>
                <w:highlight w:val="none"/>
                <w:lang w:val="en-US"/>
              </w:rPr>
            </w:pPr>
            <w:r>
              <w:rPr>
                <w:rFonts w:hint="eastAsia" w:ascii="宋体" w:hAnsi="宋体" w:eastAsia="宋体" w:cs="宋体"/>
                <w:color w:val="000000"/>
                <w:szCs w:val="21"/>
                <w:highlight w:val="none"/>
                <w:lang w:val="en-US" w:eastAsia="zh-CN"/>
              </w:rPr>
              <w:t>招标人指定地点</w:t>
            </w:r>
          </w:p>
        </w:tc>
      </w:tr>
      <w:tr w14:paraId="61021BD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BDF2975">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F17EF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044EE84">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宋体"/>
                <w:highlight w:val="none"/>
                <w:lang w:val="en-US"/>
              </w:rPr>
            </w:pPr>
            <w:r>
              <w:rPr>
                <w:rFonts w:hint="eastAsia" w:cs="宋体-18030"/>
                <w:color w:val="auto"/>
                <w:sz w:val="21"/>
                <w:szCs w:val="21"/>
                <w:highlight w:val="none"/>
                <w:lang w:val="en-US" w:eastAsia="zh-CN"/>
              </w:rPr>
              <w:t>杨雅</w:t>
            </w:r>
            <w:r>
              <w:rPr>
                <w:rFonts w:hint="eastAsia" w:ascii="宋体" w:hAnsi="宋体" w:eastAsia="宋体" w:cs="宋体-18030"/>
                <w:color w:val="auto"/>
                <w:sz w:val="21"/>
                <w:szCs w:val="21"/>
                <w:highlight w:val="none"/>
                <w:lang w:val="en-US" w:eastAsia="zh-CN"/>
              </w:rPr>
              <w:t>辰  13339207910</w:t>
            </w:r>
          </w:p>
        </w:tc>
      </w:tr>
      <w:tr w14:paraId="6355949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F41DC7C">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EB5C71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采购代理机构联系人及电话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E66BD4B">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宋体"/>
                <w:highlight w:val="none"/>
                <w:lang w:val="en-US"/>
              </w:rPr>
            </w:pPr>
            <w:r>
              <w:rPr>
                <w:rFonts w:cs="宋体"/>
                <w:highlight w:val="none"/>
              </w:rPr>
              <w:t xml:space="preserve">周蓓蕾 </w:t>
            </w:r>
            <w:r>
              <w:rPr>
                <w:rFonts w:hint="eastAsia" w:cs="宋体"/>
                <w:highlight w:val="none"/>
                <w:lang w:val="en-US" w:eastAsia="zh-CN"/>
              </w:rPr>
              <w:t xml:space="preserve"> </w:t>
            </w:r>
            <w:r>
              <w:rPr>
                <w:rFonts w:cs="宋体"/>
                <w:highlight w:val="none"/>
                <w:lang w:val="en-US"/>
              </w:rPr>
              <w:t>0550-3519519  18005505728</w:t>
            </w:r>
          </w:p>
        </w:tc>
      </w:tr>
      <w:tr w14:paraId="10225E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7B4C7F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F512C8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资金来源</w:t>
            </w:r>
            <w:r>
              <w:rPr>
                <w:rFonts w:cs="Times New Roman"/>
                <w:highlight w:val="none"/>
                <w:lang w:val="en-US"/>
              </w:rPr>
              <w:t xml:space="preserve">                                                                                                                                                                 </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1E7429AC">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自筹资金</w:t>
            </w:r>
          </w:p>
        </w:tc>
      </w:tr>
      <w:tr w14:paraId="0634EB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2FB25F5">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A18DD82">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项目预算</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90BD7EE">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cs="宋体"/>
                <w:bCs/>
                <w:color w:val="000000"/>
                <w:szCs w:val="21"/>
                <w:highlight w:val="none"/>
                <w:lang w:val="en-US" w:eastAsia="zh-CN"/>
              </w:rPr>
              <w:t>835474.00元</w:t>
            </w:r>
          </w:p>
        </w:tc>
      </w:tr>
      <w:tr w14:paraId="722D8D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CE83B9C">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2E656D7">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hint="default" w:eastAsia="宋体" w:cs="Times New Roman"/>
                <w:highlight w:val="none"/>
                <w:lang w:val="en-US" w:eastAsia="zh-CN"/>
              </w:rPr>
            </w:pPr>
            <w:r>
              <w:rPr>
                <w:rFonts w:cs="Times New Roman"/>
                <w:highlight w:val="none"/>
              </w:rPr>
              <w:t>最高限价</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D647838">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本项目最高限价为（人民币）</w:t>
            </w:r>
            <w:r>
              <w:rPr>
                <w:rFonts w:hint="eastAsia" w:cs="宋体"/>
                <w:bCs/>
                <w:color w:val="000000"/>
                <w:szCs w:val="21"/>
                <w:highlight w:val="none"/>
                <w:lang w:val="en-US" w:eastAsia="zh-CN"/>
              </w:rPr>
              <w:t>835474.00元</w:t>
            </w:r>
            <w:r>
              <w:rPr>
                <w:rFonts w:hint="eastAsia" w:ascii="宋体" w:hAnsi="宋体" w:eastAsia="宋体" w:cs="宋体"/>
                <w:bCs/>
                <w:color w:val="000000"/>
                <w:szCs w:val="21"/>
                <w:highlight w:val="none"/>
                <w:lang w:val="en-US" w:eastAsia="zh-CN"/>
              </w:rPr>
              <w:t>，投标报价不得超过最高限价，否则按无效投标处理。</w:t>
            </w:r>
          </w:p>
        </w:tc>
      </w:tr>
      <w:tr w14:paraId="1EB403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C0106E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eastAsia" w:eastAsia="宋体" w:cs="Times New Roman"/>
                <w:highlight w:val="none"/>
                <w:lang w:val="en-US" w:eastAsia="zh-CN"/>
              </w:rPr>
            </w:pPr>
            <w:r>
              <w:rPr>
                <w:rFonts w:hint="eastAsia" w:cs="Times New Roman"/>
                <w:highlight w:val="none"/>
                <w:lang w:val="en-US" w:eastAsia="zh-CN"/>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551771F">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采购内容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98EC8EA">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hint="eastAsia" w:cs="Times New Roman"/>
                <w:highlight w:val="none"/>
                <w:lang w:val="en-US" w:eastAsia="zh-CN"/>
              </w:rPr>
              <w:t>详见</w:t>
            </w:r>
            <w:r>
              <w:rPr>
                <w:rFonts w:hint="eastAsia" w:hAnsi="宋体" w:cs="宋体"/>
                <w:bCs/>
                <w:color w:val="000000"/>
                <w:szCs w:val="21"/>
                <w:highlight w:val="none"/>
              </w:rPr>
              <w:t>《</w:t>
            </w:r>
            <w:r>
              <w:rPr>
                <w:rFonts w:hint="eastAsia" w:cs="宋体"/>
                <w:bCs/>
                <w:color w:val="000000"/>
                <w:szCs w:val="21"/>
                <w:highlight w:val="none"/>
                <w:lang w:val="en-US" w:eastAsia="zh-CN"/>
              </w:rPr>
              <w:t>采购需求</w:t>
            </w:r>
            <w:r>
              <w:rPr>
                <w:rFonts w:hint="eastAsia" w:hAnsi="宋体" w:cs="宋体"/>
                <w:bCs/>
                <w:color w:val="000000"/>
                <w:szCs w:val="21"/>
                <w:highlight w:val="none"/>
              </w:rPr>
              <w:t>》</w:t>
            </w:r>
          </w:p>
        </w:tc>
      </w:tr>
      <w:tr w14:paraId="6156BB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AE1CB8B">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8A74711">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标包划分</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18EA6DE">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hint="eastAsia" w:eastAsia="宋体" w:cs="宋体"/>
                <w:highlight w:val="none"/>
                <w:lang w:val="en-US" w:eastAsia="zh-CN"/>
              </w:rPr>
            </w:pPr>
            <w:r>
              <w:rPr>
                <w:rFonts w:cs="Times New Roman"/>
                <w:highlight w:val="none"/>
              </w:rPr>
              <w:t>本项目划分为</w:t>
            </w:r>
            <w:r>
              <w:rPr>
                <w:rFonts w:cs="Times New Roman"/>
                <w:highlight w:val="none"/>
                <w:u w:val="single"/>
                <w:lang w:val="en-US"/>
              </w:rPr>
              <w:t xml:space="preserve"> 1 </w:t>
            </w:r>
            <w:r>
              <w:rPr>
                <w:rFonts w:cs="Times New Roman"/>
                <w:highlight w:val="none"/>
              </w:rPr>
              <w:t>个标</w:t>
            </w:r>
            <w:r>
              <w:rPr>
                <w:rFonts w:hint="eastAsia" w:cs="Times New Roman"/>
                <w:highlight w:val="none"/>
                <w:lang w:val="en-US" w:eastAsia="zh-CN"/>
              </w:rPr>
              <w:t>段</w:t>
            </w:r>
          </w:p>
        </w:tc>
      </w:tr>
      <w:tr w14:paraId="63E7C5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0C2D4D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C5F999B">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150A01E">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宋体"/>
                <w:highlight w:val="none"/>
              </w:rPr>
              <w:t>公开</w:t>
            </w:r>
            <w:r>
              <w:rPr>
                <w:rFonts w:cs="Times New Roman"/>
                <w:highlight w:val="none"/>
              </w:rPr>
              <w:t>招标</w:t>
            </w:r>
          </w:p>
        </w:tc>
      </w:tr>
      <w:tr w14:paraId="2046F9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D61F256">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5F75E6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投标人资格条件及其他要求</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CB31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ˎ̥" w:hAnsi="ˎ̥" w:eastAsia="ˎ̥" w:cs="ˎ̥"/>
                <w:kern w:val="2"/>
                <w:highlight w:val="none"/>
                <w:lang w:val="en-US"/>
              </w:rPr>
            </w:pPr>
            <w:r>
              <w:rPr>
                <w:rFonts w:hint="eastAsia" w:ascii="宋体" w:hAnsi="宋体" w:eastAsia="宋体" w:cs="宋体"/>
                <w:color w:val="000000"/>
                <w:kern w:val="2"/>
                <w:sz w:val="21"/>
                <w:szCs w:val="21"/>
                <w:highlight w:val="none"/>
                <w:u w:color="000000"/>
                <w:lang w:val="en-US" w:eastAsia="zh-CN" w:bidi="ar"/>
              </w:rPr>
              <w:t>详见第一章</w:t>
            </w:r>
            <w:r>
              <w:rPr>
                <w:rFonts w:hint="eastAsia" w:ascii="ˎ̥" w:hAnsi="ˎ̥" w:eastAsia="宋体" w:cs="宋体"/>
                <w:color w:val="000000"/>
                <w:kern w:val="2"/>
                <w:sz w:val="21"/>
                <w:szCs w:val="21"/>
                <w:highlight w:val="none"/>
                <w:u w:color="000000"/>
                <w:lang w:val="en-US" w:eastAsia="zh-CN" w:bidi="ar"/>
              </w:rPr>
              <w:t>“招标公告”</w:t>
            </w:r>
          </w:p>
        </w:tc>
      </w:tr>
      <w:tr w14:paraId="5C30D0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FC1684">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F362973">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踏勘现场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4D11FD">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不组织</w:t>
            </w:r>
            <w:r>
              <w:rPr>
                <w:rFonts w:cs="Times New Roman"/>
                <w:highlight w:val="none"/>
                <w:lang w:val="en-US"/>
              </w:rPr>
              <w:t>,</w:t>
            </w:r>
            <w:r>
              <w:rPr>
                <w:rFonts w:cs="Times New Roman"/>
                <w:highlight w:val="none"/>
              </w:rPr>
              <w:t>投标人自行踏勘现场</w:t>
            </w:r>
          </w:p>
        </w:tc>
      </w:tr>
      <w:tr w14:paraId="0EE711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7DEB2CC">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123901C">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投标预备会</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FF06243">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不召开</w:t>
            </w:r>
          </w:p>
        </w:tc>
      </w:tr>
      <w:tr w14:paraId="28C407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D0CDB3D">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C63C30C">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投标人提出</w:t>
            </w:r>
            <w:r>
              <w:rPr>
                <w:rFonts w:cs="Times New Roman"/>
                <w:highlight w:val="none"/>
                <w:u w:val="single"/>
              </w:rPr>
              <w:t>疑问</w:t>
            </w:r>
            <w:r>
              <w:rPr>
                <w:rFonts w:cs="Times New Roman"/>
                <w:highlight w:val="none"/>
              </w:rPr>
              <w:t>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30C485">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b w:val="0"/>
                <w:bCs w:val="0"/>
                <w:highlight w:val="none"/>
                <w:lang w:val="en-US"/>
              </w:rPr>
            </w:pPr>
            <w:r>
              <w:rPr>
                <w:rFonts w:cs="Times New Roman"/>
                <w:b w:val="0"/>
                <w:bCs w:val="0"/>
                <w:highlight w:val="none"/>
              </w:rPr>
              <w:t>如投标人对招标文件有疑问，请于</w:t>
            </w:r>
            <w:r>
              <w:rPr>
                <w:rFonts w:cs="Times New Roman"/>
                <w:b w:val="0"/>
                <w:bCs w:val="0"/>
                <w:highlight w:val="none"/>
                <w:lang w:val="en-US"/>
              </w:rPr>
              <w:t>202</w:t>
            </w:r>
            <w:r>
              <w:rPr>
                <w:rFonts w:hint="eastAsia" w:cs="Times New Roman"/>
                <w:b w:val="0"/>
                <w:bCs w:val="0"/>
                <w:highlight w:val="none"/>
                <w:lang w:val="en-US" w:eastAsia="zh-CN"/>
              </w:rPr>
              <w:t>6</w:t>
            </w:r>
            <w:r>
              <w:rPr>
                <w:rFonts w:cs="Times New Roman"/>
                <w:b w:val="0"/>
                <w:bCs w:val="0"/>
                <w:highlight w:val="none"/>
              </w:rPr>
              <w:t>年</w:t>
            </w:r>
            <w:r>
              <w:rPr>
                <w:rFonts w:hint="eastAsia" w:cs="Times New Roman"/>
                <w:b w:val="0"/>
                <w:bCs w:val="0"/>
                <w:highlight w:val="none"/>
                <w:lang w:val="en-US" w:eastAsia="zh-CN"/>
              </w:rPr>
              <w:t>3</w:t>
            </w:r>
            <w:r>
              <w:rPr>
                <w:rFonts w:cs="Times New Roman"/>
                <w:b w:val="0"/>
                <w:bCs w:val="0"/>
                <w:highlight w:val="none"/>
              </w:rPr>
              <w:t>月</w:t>
            </w:r>
            <w:r>
              <w:rPr>
                <w:rFonts w:hint="eastAsia" w:cs="Times New Roman"/>
                <w:b w:val="0"/>
                <w:bCs w:val="0"/>
                <w:highlight w:val="none"/>
                <w:lang w:val="en-US" w:eastAsia="zh-CN"/>
              </w:rPr>
              <w:t>18</w:t>
            </w:r>
            <w:r>
              <w:rPr>
                <w:rFonts w:cs="Times New Roman"/>
                <w:b w:val="0"/>
                <w:bCs w:val="0"/>
                <w:highlight w:val="none"/>
              </w:rPr>
              <w:t>日</w:t>
            </w:r>
            <w:r>
              <w:rPr>
                <w:rFonts w:hAnsi="Times New Roman" w:cs="Times New Roman"/>
                <w:b w:val="0"/>
                <w:bCs w:val="0"/>
                <w:highlight w:val="none"/>
                <w:lang w:val="en-US"/>
              </w:rPr>
              <w:t>1</w:t>
            </w:r>
            <w:r>
              <w:rPr>
                <w:rFonts w:hint="eastAsia" w:hAnsi="Times New Roman" w:cs="Times New Roman"/>
                <w:b w:val="0"/>
                <w:bCs w:val="0"/>
                <w:highlight w:val="none"/>
                <w:lang w:val="en-US" w:eastAsia="zh-CN"/>
              </w:rPr>
              <w:t>2</w:t>
            </w:r>
            <w:r>
              <w:rPr>
                <w:rFonts w:hAnsi="Times New Roman" w:cs="Times New Roman"/>
                <w:b w:val="0"/>
                <w:bCs w:val="0"/>
                <w:highlight w:val="none"/>
              </w:rPr>
              <w:t>时前</w:t>
            </w:r>
            <w:r>
              <w:rPr>
                <w:rFonts w:cs="Times New Roman"/>
                <w:b w:val="0"/>
                <w:bCs w:val="0"/>
                <w:highlight w:val="none"/>
              </w:rPr>
              <w:t>将疑问内容以书面的形式加盖投标单位公章，发送至滁州市城投工程咨询管理有限公司邮箱（</w:t>
            </w:r>
            <w:r>
              <w:rPr>
                <w:rFonts w:hAnsi="Times New Roman" w:cs="Times New Roman"/>
                <w:b w:val="0"/>
                <w:bCs w:val="0"/>
                <w:highlight w:val="none"/>
                <w:lang w:val="en-US"/>
              </w:rPr>
              <w:t>czsctzx@163.com</w:t>
            </w:r>
            <w:r>
              <w:rPr>
                <w:rFonts w:hAnsi="Times New Roman" w:cs="Times New Roman"/>
                <w:b w:val="0"/>
                <w:bCs w:val="0"/>
                <w:highlight w:val="none"/>
              </w:rPr>
              <w:t>）。</w:t>
            </w:r>
          </w:p>
        </w:tc>
      </w:tr>
      <w:tr w14:paraId="5E7EE6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D35E22">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98D3735">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招标人澄清的时间及方式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2EA56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b w:val="0"/>
                <w:bCs w:val="0"/>
                <w:kern w:val="2"/>
                <w:highlight w:val="none"/>
                <w:lang w:val="en-US"/>
              </w:rPr>
            </w:pPr>
            <w:r>
              <w:rPr>
                <w:rFonts w:hint="eastAsia" w:ascii="宋体" w:hAnsi="宋体" w:eastAsia="宋体" w:cs="宋体"/>
                <w:b w:val="0"/>
                <w:bCs w:val="0"/>
                <w:color w:val="000000"/>
                <w:kern w:val="2"/>
                <w:sz w:val="21"/>
                <w:szCs w:val="21"/>
                <w:highlight w:val="none"/>
                <w:u w:color="000000"/>
                <w:lang w:val="en-US" w:eastAsia="zh-CN" w:bidi="ar"/>
              </w:rPr>
              <w:t>招标人将在</w:t>
            </w:r>
            <w:r>
              <w:rPr>
                <w:rFonts w:hint="eastAsia" w:ascii="宋体" w:hAnsi="宋体" w:eastAsia="宋体" w:cs="Times New Roman"/>
                <w:b w:val="0"/>
                <w:bCs w:val="0"/>
                <w:color w:val="auto"/>
                <w:kern w:val="2"/>
                <w:sz w:val="21"/>
                <w:szCs w:val="21"/>
                <w:highlight w:val="none"/>
                <w:u w:color="auto"/>
                <w:lang w:val="en-US" w:eastAsia="zh-CN" w:bidi="ar"/>
              </w:rPr>
              <w:t>2026年3月18日17时后</w:t>
            </w:r>
            <w:r>
              <w:rPr>
                <w:rFonts w:hint="eastAsia" w:ascii="宋体" w:hAnsi="宋体" w:eastAsia="宋体" w:cs="宋体"/>
                <w:b w:val="0"/>
                <w:bCs w:val="0"/>
                <w:color w:val="000000"/>
                <w:kern w:val="2"/>
                <w:sz w:val="21"/>
                <w:szCs w:val="21"/>
                <w:highlight w:val="none"/>
                <w:u w:color="000000"/>
                <w:lang w:val="en-US" w:eastAsia="zh-CN" w:bidi="ar"/>
              </w:rPr>
              <w:t>以澄清公告形式在</w:t>
            </w:r>
            <w:r>
              <w:rPr>
                <w:rFonts w:hint="eastAsia" w:ascii="宋体" w:cs="宋体"/>
                <w:szCs w:val="21"/>
                <w:highlight w:val="none"/>
                <w:lang w:eastAsia="zh-CN"/>
              </w:rPr>
              <w:t>滁州市滁宁城际铁路开发建设有限公司</w:t>
            </w:r>
            <w:r>
              <w:rPr>
                <w:rFonts w:hint="eastAsia" w:ascii="宋体" w:cs="宋体"/>
                <w:szCs w:val="21"/>
                <w:highlight w:val="none"/>
                <w:lang w:val="en-US" w:eastAsia="zh-CN"/>
              </w:rPr>
              <w:t>网站</w:t>
            </w:r>
            <w:r>
              <w:rPr>
                <w:rFonts w:hint="eastAsia" w:ascii="宋体" w:cs="宋体"/>
                <w:szCs w:val="21"/>
                <w:highlight w:val="none"/>
              </w:rPr>
              <w:t xml:space="preserve">（ </w:t>
            </w:r>
            <w:r>
              <w:rPr>
                <w:rFonts w:hint="eastAsia" w:ascii="宋体" w:cs="宋体"/>
                <w:szCs w:val="21"/>
                <w:highlight w:val="none"/>
                <w:lang w:eastAsia="zh-CN"/>
              </w:rPr>
              <w:t>http://czctgs.cn/</w:t>
            </w:r>
            <w:r>
              <w:rPr>
                <w:rFonts w:hint="eastAsia" w:ascii="宋体" w:cs="宋体"/>
                <w:szCs w:val="21"/>
                <w:highlight w:val="none"/>
              </w:rPr>
              <w:t>）发布。</w:t>
            </w:r>
          </w:p>
        </w:tc>
      </w:tr>
      <w:tr w14:paraId="5F8061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C652E41">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9B80818">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联合体投标</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BDE0FF9">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本次招标</w:t>
            </w:r>
            <w:r>
              <w:rPr>
                <w:rFonts w:cs="Times New Roman"/>
                <w:highlight w:val="none"/>
                <w:u w:val="single"/>
              </w:rPr>
              <w:t>不接受</w:t>
            </w:r>
            <w:r>
              <w:rPr>
                <w:rFonts w:cs="Times New Roman"/>
                <w:highlight w:val="none"/>
              </w:rPr>
              <w:t>联合体投标</w:t>
            </w:r>
          </w:p>
        </w:tc>
      </w:tr>
      <w:tr w14:paraId="542CEA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4FE3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AFBE2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95F3F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代理服务费金额：招标代理费6266元，不含专家评审费（专家评审费用以实际支付为准，预计2000元整）。</w:t>
            </w:r>
          </w:p>
          <w:p w14:paraId="0A2D30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代理服务费及专家评审费支付主体：中标单位，中标单位在获取中标通知书时一次性支付给代理机构。</w:t>
            </w:r>
          </w:p>
        </w:tc>
      </w:tr>
      <w:tr w14:paraId="528EA8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97D35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28F7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27" w:rightChars="-13"/>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投标人要求澄清招标文件的截止时间及方式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E5F90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同表15条</w:t>
            </w:r>
          </w:p>
        </w:tc>
      </w:tr>
      <w:tr w14:paraId="6BE6D8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F0CA0EA">
            <w:pPr>
              <w:pStyle w:val="13"/>
              <w:keepNext w:val="0"/>
              <w:keepLines w:val="0"/>
              <w:pageBreakBefore w:val="0"/>
              <w:widowControl/>
              <w:kinsoku/>
              <w:wordWrap/>
              <w:overflowPunct/>
              <w:topLinePunct w:val="0"/>
              <w:autoSpaceDE w:val="0"/>
              <w:autoSpaceDN/>
              <w:bidi w:val="0"/>
              <w:adjustRightInd/>
              <w:snapToGrid/>
              <w:spacing w:line="360" w:lineRule="exact"/>
              <w:jc w:val="center"/>
              <w:textAlignment w:val="auto"/>
              <w:rPr>
                <w:rFonts w:hint="default" w:eastAsia="宋体" w:cs="Times New Roman"/>
                <w:highlight w:val="none"/>
                <w:lang w:val="en-US" w:eastAsia="zh-CN"/>
              </w:rPr>
            </w:pPr>
            <w:r>
              <w:rPr>
                <w:rFonts w:hint="eastAsia" w:cs="Times New Roman"/>
                <w:highlight w:val="none"/>
                <w:lang w:val="en-US" w:eastAsia="zh-CN"/>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5A2366D">
            <w:pPr>
              <w:pStyle w:val="13"/>
              <w:keepNext w:val="0"/>
              <w:keepLines w:val="0"/>
              <w:pageBreakBefore w:val="0"/>
              <w:widowControl/>
              <w:kinsoku/>
              <w:wordWrap/>
              <w:overflowPunct/>
              <w:topLinePunct w:val="0"/>
              <w:autoSpaceDE w:val="0"/>
              <w:autoSpaceDN/>
              <w:bidi w:val="0"/>
              <w:adjustRightInd/>
              <w:snapToGrid/>
              <w:spacing w:line="360" w:lineRule="exact"/>
              <w:jc w:val="left"/>
              <w:textAlignment w:val="auto"/>
              <w:rPr>
                <w:rFonts w:cs="Times New Roman"/>
                <w:highlight w:val="none"/>
                <w:lang w:val="en-US"/>
              </w:rPr>
            </w:pPr>
            <w:r>
              <w:rPr>
                <w:rFonts w:cs="Times New Roman"/>
                <w:highlight w:val="none"/>
              </w:rPr>
              <w:t>投标有效期</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31B796">
            <w:pPr>
              <w:pStyle w:val="13"/>
              <w:keepNext w:val="0"/>
              <w:keepLines w:val="0"/>
              <w:pageBreakBefore w:val="0"/>
              <w:widowControl/>
              <w:kinsoku/>
              <w:wordWrap/>
              <w:overflowPunct/>
              <w:topLinePunct w:val="0"/>
              <w:autoSpaceDE w:val="0"/>
              <w:autoSpaceDN/>
              <w:bidi w:val="0"/>
              <w:adjustRightInd/>
              <w:snapToGrid/>
              <w:spacing w:line="360" w:lineRule="exact"/>
              <w:textAlignment w:val="auto"/>
              <w:rPr>
                <w:rFonts w:cs="Times New Roman"/>
                <w:highlight w:val="none"/>
                <w:lang w:val="en-US"/>
              </w:rPr>
            </w:pPr>
            <w:r>
              <w:rPr>
                <w:rFonts w:cs="Times New Roman"/>
                <w:highlight w:val="none"/>
              </w:rPr>
              <w:t>投标有效期为</w:t>
            </w:r>
            <w:r>
              <w:rPr>
                <w:rFonts w:cs="Times New Roman"/>
                <w:highlight w:val="none"/>
                <w:u w:val="single"/>
                <w:lang w:val="en-US"/>
              </w:rPr>
              <w:t xml:space="preserve"> </w:t>
            </w:r>
            <w:r>
              <w:rPr>
                <w:rFonts w:hint="eastAsia" w:cs="Times New Roman"/>
                <w:highlight w:val="none"/>
                <w:u w:val="single"/>
                <w:lang w:val="en-US" w:eastAsia="zh-CN"/>
              </w:rPr>
              <w:t>6</w:t>
            </w:r>
            <w:r>
              <w:rPr>
                <w:rFonts w:cs="Times New Roman"/>
                <w:highlight w:val="none"/>
                <w:u w:val="single"/>
                <w:lang w:val="en-US"/>
              </w:rPr>
              <w:t xml:space="preserve">0 </w:t>
            </w:r>
            <w:r>
              <w:rPr>
                <w:rFonts w:cs="Times New Roman"/>
                <w:highlight w:val="none"/>
              </w:rPr>
              <w:t>日历天（从投标截止之日算起）。在此期限内，凡符合本招标文件要求的投标文件均保持有效。</w:t>
            </w:r>
          </w:p>
        </w:tc>
      </w:tr>
      <w:tr w14:paraId="65BC998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6AD8C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EAD5D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投标保证金</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55905A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default"/>
                <w:kern w:val="2"/>
                <w:highlight w:val="none"/>
                <w:lang w:val="en-US"/>
              </w:rPr>
            </w:pPr>
            <w:r>
              <w:rPr>
                <w:rFonts w:hint="eastAsia" w:ascii="宋体" w:hAnsi="宋体" w:eastAsia="宋体" w:cs="宋体"/>
                <w:color w:val="000000"/>
                <w:kern w:val="2"/>
                <w:sz w:val="21"/>
                <w:szCs w:val="21"/>
                <w:highlight w:val="none"/>
                <w:u w:color="000000"/>
                <w:lang w:val="en-US" w:eastAsia="zh-CN" w:bidi="ar"/>
              </w:rPr>
              <w:t>本项目不要求投标人提交投标保证金</w:t>
            </w:r>
          </w:p>
        </w:tc>
      </w:tr>
      <w:tr w14:paraId="6917C9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8E01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en-US" w:eastAsia="zh-CN"/>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987C1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eastAsiaTheme="minorEastAsia"/>
                <w:color w:val="auto"/>
                <w:sz w:val="21"/>
                <w:szCs w:val="21"/>
                <w:highlight w:val="none"/>
                <w:lang w:eastAsia="zh-CN"/>
              </w:rPr>
            </w:pPr>
            <w:r>
              <w:rPr>
                <w:rFonts w:hint="eastAsia" w:ascii="宋体" w:hAnsi="宋体" w:cs="宋体"/>
                <w:szCs w:val="21"/>
                <w:highlight w:val="none"/>
              </w:rPr>
              <w:t>投标文件</w:t>
            </w:r>
            <w:r>
              <w:rPr>
                <w:rFonts w:hint="eastAsia" w:ascii="宋体" w:hAnsi="宋体" w:cs="宋体"/>
                <w:szCs w:val="21"/>
                <w:highlight w:val="none"/>
                <w:lang w:val="en-US" w:eastAsia="zh-CN"/>
              </w:rPr>
              <w:t>份数</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5047F5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PDF电子版投标文件一份，</w:t>
            </w: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689D9D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E89E71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51ACA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color w:val="auto"/>
                <w:sz w:val="21"/>
                <w:szCs w:val="21"/>
                <w:highlight w:val="none"/>
              </w:rPr>
              <w:t>投标文件</w:t>
            </w:r>
            <w:r>
              <w:rPr>
                <w:rFonts w:hint="eastAsia" w:ascii="宋体"/>
                <w:color w:val="auto"/>
                <w:sz w:val="21"/>
                <w:szCs w:val="21"/>
                <w:highlight w:val="none"/>
                <w:lang w:val="en-US" w:eastAsia="zh-CN"/>
              </w:rPr>
              <w:t>及样品</w:t>
            </w:r>
            <w:r>
              <w:rPr>
                <w:rFonts w:hint="eastAsia" w:ascii="宋体"/>
                <w:color w:val="auto"/>
                <w:sz w:val="21"/>
                <w:szCs w:val="21"/>
                <w:highlight w:val="none"/>
              </w:rPr>
              <w:t>提交截止时间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AF37A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18" w:firstLineChars="9"/>
              <w:textAlignment w:val="auto"/>
              <w:rPr>
                <w:rFonts w:hint="eastAsia" w:ascii="宋体" w:hAnsi="宋体" w:eastAsia="宋体" w:cs="宋体"/>
                <w:kern w:val="2"/>
                <w:highlight w:val="none"/>
                <w:lang w:val="en-US"/>
              </w:rPr>
            </w:pPr>
            <w:r>
              <w:rPr>
                <w:rFonts w:hint="eastAsia" w:ascii="宋体" w:hAnsi="宋体" w:cs="宋体"/>
                <w:szCs w:val="21"/>
                <w:highlight w:val="none"/>
              </w:rPr>
              <w:t>在</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23</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15</w:t>
            </w:r>
            <w:r>
              <w:rPr>
                <w:rFonts w:hint="eastAsia" w:ascii="宋体" w:hAnsi="宋体" w:cs="宋体"/>
                <w:szCs w:val="21"/>
                <w:highlight w:val="none"/>
                <w:u w:val="single"/>
              </w:rPr>
              <w:t>时00分</w:t>
            </w:r>
            <w:r>
              <w:rPr>
                <w:rFonts w:hint="eastAsia" w:ascii="宋体" w:hAnsi="宋体" w:cs="宋体"/>
                <w:bCs/>
                <w:spacing w:val="-4"/>
                <w:kern w:val="0"/>
                <w:szCs w:val="21"/>
                <w:highlight w:val="none"/>
              </w:rPr>
              <w:t>（北京时间）</w:t>
            </w:r>
          </w:p>
        </w:tc>
      </w:tr>
      <w:tr w14:paraId="0C1E36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042F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C7B0B7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3ED43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否</w:t>
            </w:r>
          </w:p>
        </w:tc>
      </w:tr>
      <w:tr w14:paraId="7E3053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50D0D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1A102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开标时间及地点</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31B60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开标时间：2026年3月23日15时00分（北京时间）</w:t>
            </w:r>
          </w:p>
          <w:p w14:paraId="3557CC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开标地点：滁州市轨道交通运营有限公司五楼514开评标室 (徽州路与扬子路交叉口东南侧)</w:t>
            </w:r>
          </w:p>
        </w:tc>
      </w:tr>
      <w:tr w14:paraId="285E65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5F3065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eastAsia="宋体" w:cs="Times New Roman"/>
                <w:highlight w:val="none"/>
                <w:lang w:val="en-US" w:eastAsia="zh-CN"/>
              </w:rPr>
            </w:pPr>
            <w:r>
              <w:rPr>
                <w:rFonts w:hint="eastAsia" w:ascii="宋体" w:hAnsi="宋体" w:eastAsia="宋体" w:cs="宋体"/>
                <w:kern w:val="2"/>
                <w:highlight w:val="none"/>
                <w:lang w:val="en-US" w:eastAsia="zh-CN"/>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22457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default" w:cs="Times New Roman"/>
                <w:highlight w:val="none"/>
                <w:lang w:val="en-US"/>
              </w:rPr>
            </w:pPr>
            <w:r>
              <w:rPr>
                <w:rFonts w:hint="eastAsia" w:ascii="宋体" w:hAnsi="宋体" w:eastAsia="宋体" w:cs="宋体"/>
                <w:color w:val="000000"/>
                <w:kern w:val="2"/>
                <w:sz w:val="21"/>
                <w:szCs w:val="21"/>
                <w:highlight w:val="none"/>
                <w:u w:color="000000"/>
                <w:lang w:val="en-US" w:eastAsia="zh-CN" w:bidi="ar"/>
              </w:rPr>
              <w:t>开标程序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3A05D76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default" w:cs="Times New Roman"/>
                <w:spacing w:val="-4"/>
                <w:highlight w:val="none"/>
                <w:lang w:val="en-US"/>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4C55DB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1E24F8A">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D53964E">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评标委员会的组建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6B1AE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E0F93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06F7DE7">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54C3F13">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eastAsia="宋体" w:cs="宋体"/>
                <w:kern w:val="2"/>
                <w:highlight w:val="none"/>
                <w:lang w:val="en-US"/>
              </w:rPr>
            </w:pPr>
            <w:r>
              <w:rPr>
                <w:rFonts w:cs="Times New Roman"/>
                <w:highlight w:val="none"/>
              </w:rPr>
              <w:t>是否授权评标委员会确定中标候选人</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6F492EDB">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eastAsia="宋体" w:cs="宋体"/>
                <w:kern w:val="2"/>
                <w:highlight w:val="none"/>
                <w:lang w:val="en-US"/>
              </w:rPr>
            </w:pPr>
            <w:r>
              <w:rPr>
                <w:rFonts w:hint="eastAsia" w:ascii="宋体" w:hAnsi="宋体" w:cs="宋体"/>
                <w:szCs w:val="21"/>
                <w:highlight w:val="none"/>
              </w:rPr>
              <w:t>是，推荐的中标候选人数3名，并标明排序。</w:t>
            </w:r>
          </w:p>
        </w:tc>
      </w:tr>
      <w:tr w14:paraId="73FDF5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0DEA56A">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cs="Times New Roman"/>
                <w:highlight w:val="none"/>
                <w:lang w:val="en-US" w:eastAsia="zh-CN"/>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5D1504E">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jc w:val="left"/>
              <w:textAlignment w:val="auto"/>
              <w:rPr>
                <w:rFonts w:hint="eastAsia" w:ascii="宋体" w:hAnsi="宋体" w:cs="宋体"/>
                <w:szCs w:val="21"/>
                <w:highlight w:val="none"/>
              </w:rPr>
            </w:pPr>
            <w:r>
              <w:rPr>
                <w:rFonts w:cs="Times New Roman"/>
                <w:highlight w:val="none"/>
              </w:rPr>
              <w:t>中标结果公告媒介</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129759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33FE59A3">
            <w:pPr>
              <w:pStyle w:val="13"/>
              <w:keepNext w:val="0"/>
              <w:keepLines w:val="0"/>
              <w:pageBreakBefore w:val="0"/>
              <w:widowControl/>
              <w:kinsoku/>
              <w:wordWrap/>
              <w:overflowPunct/>
              <w:topLinePunct w:val="0"/>
              <w:autoSpaceDE w:val="0"/>
              <w:autoSpaceDN/>
              <w:bidi w:val="0"/>
              <w:adjustRightInd/>
              <w:snapToGrid/>
              <w:spacing w:line="360" w:lineRule="exact"/>
              <w:ind w:left="0" w:leftChars="0" w:right="0" w:rightChars="0"/>
              <w:textAlignment w:val="auto"/>
              <w:rPr>
                <w:rFonts w:hint="eastAsia"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7351B8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268D5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kern w:val="2"/>
                <w:highlight w:val="none"/>
                <w:lang w:val="en-US" w:eastAsia="zh-CN"/>
              </w:rPr>
            </w:pPr>
            <w:r>
              <w:rPr>
                <w:rFonts w:hint="eastAsia" w:ascii="宋体" w:hAnsi="宋体" w:eastAsia="宋体" w:cs="宋体"/>
                <w:kern w:val="2"/>
                <w:highlight w:val="none"/>
                <w:lang w:val="en-US" w:eastAsia="zh-CN"/>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CF614B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4B0F31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both"/>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中标通知书须加盖招标人、招标代理公司公章后方可发出。</w:t>
            </w:r>
          </w:p>
        </w:tc>
      </w:tr>
      <w:tr w14:paraId="2E06315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E27531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kern w:val="2"/>
                <w:highlight w:val="none"/>
                <w:lang w:val="en-US" w:eastAsia="zh-CN"/>
              </w:rPr>
            </w:pPr>
            <w:r>
              <w:rPr>
                <w:rFonts w:hint="eastAsia" w:ascii="宋体" w:hAnsi="宋体" w:eastAsia="宋体" w:cs="宋体"/>
                <w:kern w:val="2"/>
                <w:highlight w:val="none"/>
                <w:lang w:val="en-US" w:eastAsia="zh-CN"/>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A39A25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color w:val="000000"/>
                <w:kern w:val="2"/>
                <w:sz w:val="21"/>
                <w:szCs w:val="21"/>
                <w:highlight w:val="none"/>
                <w:u w:color="000000"/>
                <w:lang w:val="en-US" w:eastAsia="zh-CN" w:bidi="ar"/>
              </w:rPr>
              <w:t>履约担保</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F65246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要求中标人提交履约</w:t>
            </w:r>
            <w:r>
              <w:rPr>
                <w:rFonts w:hint="eastAsia" w:ascii="宋体" w:hAnsi="宋体" w:eastAsia="宋体" w:cs="宋体"/>
                <w:highlight w:val="none"/>
                <w:lang w:val="en-US" w:eastAsia="zh-CN"/>
              </w:rPr>
              <w:t>担保</w:t>
            </w:r>
            <w:r>
              <w:rPr>
                <w:rFonts w:hint="eastAsia" w:ascii="宋体" w:hAnsi="宋体" w:eastAsia="宋体" w:cs="宋体"/>
                <w:highlight w:val="none"/>
              </w:rPr>
              <w:t>。</w:t>
            </w:r>
          </w:p>
          <w:p w14:paraId="7E606E3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形式：支持银行转账、银行电汇、银行保函、担保机构担保、保证保险使用。</w:t>
            </w:r>
          </w:p>
          <w:p w14:paraId="45F5CF1C">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金额：</w:t>
            </w:r>
            <w:r>
              <w:rPr>
                <w:rFonts w:hint="eastAsia" w:ascii="Times New Roman" w:hAnsi="Times New Roman" w:eastAsia="宋体" w:cs="Times New Roman"/>
                <w:highlight w:val="none"/>
              </w:rPr>
              <w:t>中标合同金额×</w:t>
            </w:r>
            <w:r>
              <w:rPr>
                <w:rFonts w:hint="eastAsia" w:ascii="Times New Roman" w:hAnsi="Times New Roman" w:eastAsia="宋体" w:cs="Times New Roman"/>
                <w:highlight w:val="none"/>
                <w:lang w:val="en-US" w:eastAsia="zh-CN"/>
              </w:rPr>
              <w:t>10</w:t>
            </w:r>
            <w:r>
              <w:rPr>
                <w:rFonts w:hint="eastAsia" w:ascii="Times New Roman" w:hAnsi="Times New Roman" w:eastAsia="宋体" w:cs="Times New Roman"/>
                <w:highlight w:val="none"/>
              </w:rPr>
              <w:t>%</w:t>
            </w:r>
            <w:r>
              <w:rPr>
                <w:rFonts w:hint="eastAsia" w:ascii="宋体" w:hAnsi="宋体" w:eastAsia="宋体" w:cs="宋体"/>
                <w:highlight w:val="none"/>
              </w:rPr>
              <w:t>；</w:t>
            </w:r>
          </w:p>
          <w:p w14:paraId="27FFE6C2">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 xml:space="preserve">收款单位：另行通知                  </w:t>
            </w:r>
          </w:p>
          <w:p w14:paraId="00DAAA83">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 xml:space="preserve">开户银行：另行通知                 </w:t>
            </w:r>
          </w:p>
          <w:p w14:paraId="60261D1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 xml:space="preserve">银行账号：另行通知  </w:t>
            </w:r>
          </w:p>
          <w:p w14:paraId="512DFE86">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缴纳时限：中标人须在中标通知书发出后30日内完成履约</w:t>
            </w:r>
            <w:r>
              <w:rPr>
                <w:rFonts w:hint="eastAsia" w:ascii="宋体" w:hAnsi="宋体" w:eastAsia="宋体" w:cs="宋体"/>
                <w:highlight w:val="none"/>
                <w:lang w:val="en-US" w:eastAsia="zh-CN"/>
              </w:rPr>
              <w:t>担保</w:t>
            </w:r>
            <w:r>
              <w:rPr>
                <w:rFonts w:hint="eastAsia" w:ascii="宋体" w:hAnsi="宋体" w:eastAsia="宋体" w:cs="宋体"/>
                <w:highlight w:val="none"/>
              </w:rPr>
              <w:t xml:space="preserve">缴纳及合同签订，如未按期交齐履约保证金或未按期签订合同的，视同放弃中标资格。 </w:t>
            </w:r>
          </w:p>
          <w:p w14:paraId="4FCFC0BD">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退还时限：</w:t>
            </w:r>
            <w:r>
              <w:rPr>
                <w:rFonts w:hint="eastAsia" w:ascii="宋体" w:hAnsi="宋体" w:eastAsia="宋体" w:cs="宋体"/>
                <w:highlight w:val="none"/>
                <w:lang w:val="en-US" w:eastAsia="zh-CN"/>
              </w:rPr>
              <w:t xml:space="preserve">中标人在本合同约定的服务期限届满并经招标人验收合格后30日内办理履约保证金（或履约保函）退还手续。 </w:t>
            </w:r>
          </w:p>
          <w:p w14:paraId="26233BD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其他相关要求：</w:t>
            </w:r>
          </w:p>
          <w:p w14:paraId="271302D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1、采用银行保函的具体要求</w:t>
            </w:r>
          </w:p>
          <w:p w14:paraId="6239D505">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①保函形式须为见索即付型（无条件保函）；</w:t>
            </w:r>
          </w:p>
          <w:p w14:paraId="6F24071A">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②须经招标人认可。</w:t>
            </w:r>
          </w:p>
          <w:p w14:paraId="406C052B">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2、采用担保保函的具体要求：须经招标人认可。</w:t>
            </w:r>
          </w:p>
          <w:p w14:paraId="0089C700">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highlight w:val="none"/>
              </w:rPr>
            </w:pPr>
            <w:r>
              <w:rPr>
                <w:rFonts w:hint="eastAsia" w:ascii="宋体" w:hAnsi="宋体" w:eastAsia="宋体" w:cs="宋体"/>
                <w:highlight w:val="none"/>
              </w:rPr>
              <w:t>3、采用商业保险的具体要求：须经招标人认可。</w:t>
            </w:r>
          </w:p>
          <w:p w14:paraId="455A0B2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宋体" w:eastAsia="宋体" w:cs="宋体"/>
                <w:highlight w:val="none"/>
              </w:rPr>
              <w:t>4、采用第三方担保的具体要求：须经招标人认可。</w:t>
            </w:r>
          </w:p>
        </w:tc>
      </w:tr>
      <w:tr w14:paraId="7B33C6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15"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0687B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付款方式</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057E03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default" w:ascii="宋体" w:hAnsi="Times New Roman" w:eastAsia="宋体" w:cs="Times New Roman"/>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中标人提交付款申请及工作量清单，招标人审核后并按合同约定扣除索赔款项、违约金等，于【30】天内向中标人支付结算款，支付至结算款的97%，剩余3%作为质保金，待质保期（自项目验收合格之日起算2年）满且无任何质量问题一次性支付。</w:t>
            </w:r>
          </w:p>
        </w:tc>
      </w:tr>
      <w:tr w14:paraId="1E3718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5364177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招标文件获取方式和时间</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top"/>
          </w:tcPr>
          <w:p w14:paraId="4960497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招标文件获取方式：网上下载；</w:t>
            </w:r>
          </w:p>
          <w:p w14:paraId="0F77B2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获取时间：招标文件发布至投标截止时间。</w:t>
            </w:r>
          </w:p>
        </w:tc>
      </w:tr>
      <w:tr w14:paraId="485741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9501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rPr>
              <w:t>解释权</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2E21E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D22E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63194C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94D81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000000"/>
                <w:kern w:val="2"/>
                <w:sz w:val="21"/>
                <w:szCs w:val="21"/>
                <w:highlight w:val="none"/>
                <w:u w:color="000000"/>
                <w:lang w:val="en-US" w:eastAsia="zh-CN" w:bidi="ar"/>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766F1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3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4498C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同义词语</w:t>
            </w:r>
          </w:p>
        </w:tc>
        <w:tc>
          <w:tcPr>
            <w:tcW w:w="6328" w:type="dxa"/>
            <w:tcBorders>
              <w:top w:val="single" w:color="auto" w:sz="8" w:space="0"/>
              <w:left w:val="single" w:color="auto" w:sz="8" w:space="0"/>
              <w:bottom w:val="single" w:color="auto" w:sz="8" w:space="0"/>
              <w:right w:val="single" w:color="auto" w:sz="12" w:space="0"/>
            </w:tcBorders>
            <w:shd w:val="clear" w:color="auto" w:fill="auto"/>
            <w:vAlign w:val="center"/>
          </w:tcPr>
          <w:p w14:paraId="71E309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构成招标文件组成部分的“通用合同条款”、“专用合同条款”、“</w:t>
            </w:r>
            <w:r>
              <w:rPr>
                <w:rFonts w:hint="eastAsia" w:ascii="宋体" w:hAnsi="Times New Roman" w:eastAsia="宋体" w:cs="Times New Roman"/>
                <w:color w:val="auto"/>
                <w:sz w:val="21"/>
                <w:szCs w:val="21"/>
                <w:highlight w:val="none"/>
                <w:lang w:eastAsia="zh-CN"/>
              </w:rPr>
              <w:t>资信标</w:t>
            </w:r>
            <w:r>
              <w:rPr>
                <w:rFonts w:hint="eastAsia" w:ascii="宋体" w:hAnsi="Times New Roman" w:eastAsia="宋体" w:cs="Times New Roman"/>
                <w:color w:val="auto"/>
                <w:sz w:val="21"/>
                <w:szCs w:val="21"/>
                <w:highlight w:val="none"/>
              </w:rPr>
              <w:t>准和要求”等章节中 “发包人”和“承包人”，等同于招标投标阶段的“招标人”和“投标人/中标人”。</w:t>
            </w:r>
          </w:p>
        </w:tc>
      </w:tr>
      <w:tr w14:paraId="4FF1DE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12" w:space="0"/>
              <w:right w:val="single" w:color="auto" w:sz="8" w:space="0"/>
            </w:tcBorders>
            <w:shd w:val="clear" w:color="auto" w:fill="auto"/>
            <w:vAlign w:val="center"/>
          </w:tcPr>
          <w:p w14:paraId="768E2A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kern w:val="2"/>
                <w:highlight w:val="none"/>
                <w:lang w:val="en-US"/>
              </w:rPr>
            </w:pPr>
            <w:r>
              <w:rPr>
                <w:rFonts w:hint="eastAsia" w:ascii="宋体" w:hAnsi="宋体" w:eastAsia="宋体" w:cs="宋体"/>
                <w:color w:val="000000"/>
                <w:kern w:val="2"/>
                <w:sz w:val="21"/>
                <w:szCs w:val="21"/>
                <w:highlight w:val="none"/>
                <w:u w:color="000000"/>
                <w:lang w:val="en-US" w:eastAsia="zh-CN" w:bidi="ar"/>
              </w:rPr>
              <w:t>备注</w:t>
            </w:r>
          </w:p>
        </w:tc>
        <w:tc>
          <w:tcPr>
            <w:tcW w:w="6328" w:type="dxa"/>
            <w:tcBorders>
              <w:top w:val="single" w:color="auto" w:sz="8" w:space="0"/>
              <w:left w:val="single" w:color="auto" w:sz="8" w:space="0"/>
              <w:bottom w:val="single" w:color="auto" w:sz="12" w:space="0"/>
              <w:right w:val="single" w:color="auto" w:sz="12" w:space="0"/>
            </w:tcBorders>
            <w:shd w:val="clear" w:color="auto" w:fill="auto"/>
            <w:vAlign w:val="center"/>
          </w:tcPr>
          <w:p w14:paraId="6A0D4D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1、本项目采购清单中的技术规格以及参照的品牌或型号、推荐品牌仅起说明作用，并没有任何限制性。投标人在投标过程中可以选用替代标准、品牌/型号，但这些替代要实质上满足或者优于采购清单的相关要求。</w:t>
            </w:r>
          </w:p>
          <w:p w14:paraId="0AC4F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2、评标委员会只依靠投标人递交的投标文件及其按照招标文件要求提供的所有证明材料进行评审，而不依靠任何外来的证明材料。</w:t>
            </w:r>
          </w:p>
          <w:p w14:paraId="6F63E2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HYPERLINK "mailto:4、投标人须在投标文件截止时间前将投标文件以电子邮件的方式一次性发送至滁州市城投工程咨询管理有限公司邮箱（czsctzx@163.com），投标文件格式限定为PDF格式，将文件命名为\“投标单位名称（联系人及联系电话）+项目名称\”，在提交投标文件截止时间后送达的投标文件将被拒绝，投标文件送达时间以滁州市城投工程咨询管理有限公司邮箱显示的邮件送达时间为准，投标文件无法打开的，按无效投标处理。" </w:instrText>
            </w:r>
            <w:r>
              <w:rPr>
                <w:rFonts w:hint="eastAsia"/>
                <w:highlight w:val="none"/>
                <w:lang w:val="en-US" w:eastAsia="zh-CN"/>
              </w:rPr>
              <w:fldChar w:fldCharType="separate"/>
            </w:r>
            <w:r>
              <w:rPr>
                <w:rFonts w:hint="eastAsia"/>
                <w:highlight w:val="none"/>
                <w:lang w:val="en-US" w:eastAsia="zh-CN"/>
              </w:rPr>
              <w:t>3、投标人须在投标文件截止时间前将投标文件以电子邮件的方式一次性发送至滁州市城投工程咨询管理有限公司邮箱（czsctzx@163.com），投标文件格式限定为PDF格式，将文件命名为“投标单位名称（联系人及联系电话）+项目名称”，在提交投标文件截止时间后送达的投标文件将被拒绝，投标文件送达时间以滁州市城投工程咨询管理有限公司邮箱显示的邮件送达时间为准，投标文件无法打开的，按无效投标处理。</w:t>
            </w:r>
            <w:r>
              <w:rPr>
                <w:rFonts w:hint="eastAsia"/>
                <w:highlight w:val="none"/>
                <w:lang w:val="en-US" w:eastAsia="zh-CN"/>
              </w:rPr>
              <w:fldChar w:fldCharType="end"/>
            </w:r>
          </w:p>
          <w:p w14:paraId="05902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4、中标人提供的所有货物、材料或配件必须是全新的、合格的且未曾使用过的，否则，造成的一切后果由中标人承担。</w:t>
            </w:r>
          </w:p>
          <w:p w14:paraId="24D7D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5、对于有损坏等未通过招标人验收合格的货物，中标人应自行清理出招标人场地并承担所有相关费用，不增加结算金额。</w:t>
            </w:r>
          </w:p>
          <w:p w14:paraId="4FA8B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6、</w:t>
            </w:r>
            <w:r>
              <w:rPr>
                <w:rFonts w:hint="eastAsia" w:ascii="Times New Roman" w:hAnsi="Times New Roman" w:eastAsia="宋体" w:cs="Times New Roman"/>
                <w:highlight w:val="none"/>
                <w:lang w:val="en-US" w:eastAsia="zh-CN"/>
              </w:rPr>
              <w:t>招标人保留变更合同签订主体或增加第三方参与合同签订的权利。</w:t>
            </w:r>
          </w:p>
          <w:p w14:paraId="41EFA2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highlight w:val="none"/>
                <w:lang w:val="en-US" w:eastAsia="zh-CN"/>
              </w:rPr>
            </w:pPr>
            <w:r>
              <w:rPr>
                <w:rFonts w:hint="eastAsia"/>
                <w:highlight w:val="none"/>
                <w:lang w:val="en-US" w:eastAsia="zh-CN"/>
              </w:rPr>
              <w:t>7、招标人对本项目执行过程中的所有争议拥有最终的裁决权，投标人应无条件地服从招标人的裁决，不得以任何理由提出增加本项目合同费用和延误本项目工期。</w:t>
            </w:r>
          </w:p>
          <w:p w14:paraId="518268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eastAsia="宋体"/>
                <w:highlight w:val="none"/>
                <w:lang w:val="en-US" w:eastAsia="zh-CN"/>
              </w:rPr>
            </w:pPr>
            <w:r>
              <w:rPr>
                <w:rFonts w:hint="eastAsia"/>
                <w:highlight w:val="none"/>
                <w:lang w:val="en-US" w:eastAsia="zh-CN"/>
              </w:rPr>
              <w:t>8、本项目严禁非法转包，一经发现，招标人依法处理。</w:t>
            </w:r>
          </w:p>
        </w:tc>
      </w:tr>
    </w:tbl>
    <w:p w14:paraId="66FE8003">
      <w:pPr>
        <w:rPr>
          <w:rFonts w:hint="eastAsia" w:ascii="宋体" w:hAnsi="宋体" w:eastAsia="宋体" w:cs="宋体"/>
          <w:b/>
          <w:bCs w:val="0"/>
          <w:color w:val="000000"/>
          <w:kern w:val="0"/>
          <w:sz w:val="28"/>
          <w:szCs w:val="28"/>
          <w:highlight w:val="none"/>
          <w:u w:color="000000"/>
          <w:lang w:val="en-US" w:eastAsia="zh-CN" w:bidi="ar"/>
        </w:rPr>
      </w:pPr>
      <w:bookmarkStart w:id="18" w:name="_Toc122"/>
      <w:bookmarkEnd w:id="18"/>
      <w:r>
        <w:rPr>
          <w:rFonts w:hint="eastAsia" w:ascii="宋体" w:hAnsi="宋体" w:eastAsia="宋体" w:cs="宋体"/>
          <w:b/>
          <w:bCs w:val="0"/>
          <w:color w:val="000000"/>
          <w:kern w:val="0"/>
          <w:sz w:val="28"/>
          <w:szCs w:val="28"/>
          <w:highlight w:val="none"/>
          <w:u w:color="000000"/>
          <w:lang w:val="en-US" w:eastAsia="zh-CN" w:bidi="ar"/>
        </w:rPr>
        <w:br w:type="page"/>
      </w:r>
    </w:p>
    <w:p w14:paraId="17C9A56F">
      <w:pPr>
        <w:keepNext w:val="0"/>
        <w:keepLines w:val="0"/>
        <w:widowControl w:val="0"/>
        <w:suppressLineNumbers w:val="0"/>
        <w:snapToGrid w:val="0"/>
        <w:spacing w:before="156" w:beforeLines="50" w:beforeAutospacing="0" w:after="156" w:afterLines="50" w:afterAutospacing="0" w:line="440" w:lineRule="exact"/>
        <w:ind w:left="0" w:right="0"/>
        <w:jc w:val="center"/>
        <w:outlineLvl w:val="1"/>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二、投标人须知</w:t>
      </w:r>
    </w:p>
    <w:p w14:paraId="449D382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8"/>
          <w:szCs w:val="28"/>
          <w:highlight w:val="none"/>
          <w:lang w:val="en-US"/>
        </w:rPr>
      </w:pPr>
      <w:bookmarkStart w:id="19" w:name="_Toc26859"/>
      <w:bookmarkEnd w:id="19"/>
      <w:bookmarkStart w:id="20" w:name="_Toc14421_WPSOffice_Level3"/>
      <w:r>
        <w:rPr>
          <w:rFonts w:hint="eastAsia" w:ascii="宋体" w:hAnsi="宋体" w:eastAsia="宋体" w:cs="宋体"/>
          <w:b/>
          <w:bCs w:val="0"/>
          <w:color w:val="000000"/>
          <w:kern w:val="0"/>
          <w:sz w:val="28"/>
          <w:szCs w:val="28"/>
          <w:highlight w:val="none"/>
          <w:u w:color="000000"/>
          <w:lang w:val="en-US" w:eastAsia="zh-CN" w:bidi="ar"/>
        </w:rPr>
        <w:t>（一）总  则</w:t>
      </w:r>
      <w:bookmarkEnd w:id="20"/>
    </w:p>
    <w:p w14:paraId="0E3FDFA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1.项目概况</w:t>
      </w:r>
    </w:p>
    <w:p w14:paraId="7415B0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1.1本次招标项目名称：见投标人须知前附表。</w:t>
      </w:r>
    </w:p>
    <w:p w14:paraId="09AD4A6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招标人：见投标人须知前附表。</w:t>
      </w:r>
    </w:p>
    <w:p w14:paraId="3187F3C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工期：见投标人须知前附表。</w:t>
      </w:r>
    </w:p>
    <w:p w14:paraId="695365B7">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项目地点：见投标人须知前附表。</w:t>
      </w:r>
    </w:p>
    <w:p w14:paraId="3EE3943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1.2招标人及联系人：见投标人须知前附表。</w:t>
      </w:r>
    </w:p>
    <w:p w14:paraId="4A85545F">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 xml:space="preserve">  代理机构及联系人：见投标人须知前附表。</w:t>
      </w:r>
    </w:p>
    <w:p w14:paraId="44564A7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1.3资金来源：见投标人须知前附表。</w:t>
      </w:r>
    </w:p>
    <w:p w14:paraId="662DED8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1.4本项目预算：见投标人须知前附表。</w:t>
      </w:r>
    </w:p>
    <w:p w14:paraId="656B64EA">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1.5本项目最高限价：见投标人须知前附表。</w:t>
      </w:r>
    </w:p>
    <w:p w14:paraId="59761A15">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2.招标范围</w:t>
      </w:r>
    </w:p>
    <w:p w14:paraId="11E88C3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u w:val="single"/>
          <w:lang w:val="en-US"/>
        </w:rPr>
      </w:pPr>
      <w:r>
        <w:rPr>
          <w:rFonts w:hint="eastAsia" w:ascii="宋体" w:hAnsi="宋体" w:eastAsia="宋体" w:cs="宋体"/>
          <w:color w:val="000000"/>
          <w:kern w:val="0"/>
          <w:sz w:val="21"/>
          <w:szCs w:val="21"/>
          <w:highlight w:val="none"/>
          <w:u w:color="000000"/>
          <w:lang w:val="en-US" w:eastAsia="zh-CN" w:bidi="ar"/>
        </w:rPr>
        <w:t>2.1 采购内容：见投标人须知前附表。</w:t>
      </w:r>
    </w:p>
    <w:p w14:paraId="769EAC6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2.2技术要求：详见</w:t>
      </w:r>
      <w:r>
        <w:rPr>
          <w:rFonts w:hint="eastAsia" w:cs="Times New Roman"/>
          <w:highlight w:val="none"/>
          <w:lang w:val="en-US" w:eastAsia="zh-CN"/>
        </w:rPr>
        <w:t>《</w:t>
      </w:r>
      <w:r>
        <w:rPr>
          <w:rFonts w:hint="eastAsia" w:hAnsi="宋体" w:cs="宋体"/>
          <w:bCs/>
          <w:color w:val="000000"/>
          <w:szCs w:val="21"/>
          <w:highlight w:val="none"/>
          <w:lang w:eastAsia="zh-CN"/>
        </w:rPr>
        <w:t>采购需求</w:t>
      </w:r>
      <w:r>
        <w:rPr>
          <w:rFonts w:hint="eastAsia" w:cs="Times New Roman"/>
          <w:highlight w:val="none"/>
          <w:lang w:val="en-US" w:eastAsia="zh-CN"/>
        </w:rPr>
        <w:t>》</w:t>
      </w:r>
      <w:r>
        <w:rPr>
          <w:rFonts w:hint="eastAsia" w:ascii="宋体" w:hAnsi="宋体" w:eastAsia="宋体" w:cs="宋体"/>
          <w:color w:val="000000"/>
          <w:kern w:val="0"/>
          <w:sz w:val="21"/>
          <w:szCs w:val="21"/>
          <w:highlight w:val="none"/>
          <w:u w:color="000000"/>
          <w:lang w:val="en-US" w:eastAsia="zh-CN" w:bidi="ar"/>
        </w:rPr>
        <w:t>。</w:t>
      </w:r>
    </w:p>
    <w:p w14:paraId="2501DB1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3.标包划分</w:t>
      </w:r>
    </w:p>
    <w:p w14:paraId="705978E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3.1本项目划分：见投标人须知前附表。</w:t>
      </w:r>
    </w:p>
    <w:p w14:paraId="746F3D0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4.招标方式</w:t>
      </w:r>
    </w:p>
    <w:p w14:paraId="4AAAB3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4.1本项目招标方式：见投标人须知前附表。</w:t>
      </w:r>
    </w:p>
    <w:p w14:paraId="1D8BE48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5.计价方式</w:t>
      </w:r>
    </w:p>
    <w:p w14:paraId="5D0E8E53">
      <w:pPr>
        <w:snapToGrid w:val="0"/>
        <w:spacing w:line="440" w:lineRule="exact"/>
        <w:ind w:firstLine="420" w:firstLineChars="200"/>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5.1本次招标项目合同采用</w:t>
      </w:r>
      <w:r>
        <w:rPr>
          <w:rFonts w:hint="eastAsia" w:ascii="宋体" w:hAnsi="宋体" w:eastAsia="宋体" w:cs="宋体"/>
          <w:color w:val="000000"/>
          <w:kern w:val="0"/>
          <w:sz w:val="21"/>
          <w:szCs w:val="21"/>
          <w:highlight w:val="none"/>
          <w:u w:val="single" w:color="000000"/>
          <w:lang w:val="en-US" w:eastAsia="zh-CN" w:bidi="ar"/>
        </w:rPr>
        <w:t xml:space="preserve">   固定总价 。  </w:t>
      </w:r>
    </w:p>
    <w:p w14:paraId="07A8878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6.评标办法</w:t>
      </w:r>
    </w:p>
    <w:p w14:paraId="610F4AD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6.1本次招标评标采用</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szCs w:val="21"/>
          <w:highlight w:val="none"/>
          <w:u w:val="single"/>
          <w:lang w:val="en-US" w:eastAsia="zh-CN"/>
        </w:rPr>
        <w:t>综合评估</w:t>
      </w:r>
      <w:r>
        <w:rPr>
          <w:rFonts w:hint="eastAsia" w:ascii="宋体"/>
          <w:szCs w:val="21"/>
          <w:highlight w:val="none"/>
          <w:u w:val="single"/>
          <w:lang w:eastAsia="zh-CN"/>
        </w:rPr>
        <w:t>法</w:t>
      </w:r>
      <w:r>
        <w:rPr>
          <w:rFonts w:hint="eastAsia" w:ascii="宋体" w:hAnsi="宋体" w:eastAsia="宋体" w:cs="宋体"/>
          <w:color w:val="000000"/>
          <w:kern w:val="0"/>
          <w:sz w:val="21"/>
          <w:szCs w:val="21"/>
          <w:highlight w:val="none"/>
          <w:u w:val="single"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（详见第四章评标办法）</w:t>
      </w:r>
    </w:p>
    <w:p w14:paraId="5742EA3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7.投标人资格</w:t>
      </w:r>
    </w:p>
    <w:p w14:paraId="4BEDCB41">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7.1具体详见投标人须知前附表。</w:t>
      </w:r>
    </w:p>
    <w:p w14:paraId="2CEA47E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8. 投标费用</w:t>
      </w:r>
    </w:p>
    <w:p w14:paraId="34384500">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8.1投标人准备和参加投标活动发生的费用自理。</w:t>
      </w:r>
    </w:p>
    <w:p w14:paraId="3C9E41F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9.</w:t>
      </w:r>
      <w:bookmarkStart w:id="21" w:name="_Toc152045539"/>
      <w:bookmarkEnd w:id="21"/>
      <w:bookmarkStart w:id="22" w:name="_Toc247527563"/>
      <w:bookmarkEnd w:id="22"/>
      <w:bookmarkStart w:id="23" w:name="_Toc152042315"/>
      <w:bookmarkEnd w:id="23"/>
      <w:bookmarkStart w:id="24" w:name="_Toc296602429"/>
      <w:bookmarkEnd w:id="24"/>
      <w:bookmarkStart w:id="25" w:name="_Toc247513962"/>
      <w:bookmarkEnd w:id="25"/>
      <w:bookmarkStart w:id="26" w:name="_Toc144974507"/>
      <w:bookmarkEnd w:id="26"/>
      <w:bookmarkStart w:id="27" w:name="_Toc247592876"/>
      <w:r>
        <w:rPr>
          <w:rFonts w:hint="eastAsia" w:ascii="宋体" w:hAnsi="宋体" w:eastAsia="宋体" w:cs="宋体"/>
          <w:b/>
          <w:bCs w:val="0"/>
          <w:color w:val="000000"/>
          <w:kern w:val="0"/>
          <w:sz w:val="21"/>
          <w:szCs w:val="21"/>
          <w:highlight w:val="none"/>
          <w:u w:color="000000"/>
          <w:lang w:val="en-US" w:eastAsia="zh-CN" w:bidi="ar"/>
        </w:rPr>
        <w:t xml:space="preserve"> 踏勘现场</w:t>
      </w:r>
      <w:bookmarkEnd w:id="27"/>
    </w:p>
    <w:p w14:paraId="6ED8425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9.1 投标人须知前附表规定组织踏勘现场的，招标人按投标人须知前附表规定的时间、地点组织投标人踏勘项目现场。 </w:t>
      </w:r>
    </w:p>
    <w:p w14:paraId="3D5AD10E">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9.2 投标人踏勘现场发生的费用自理。</w:t>
      </w:r>
    </w:p>
    <w:p w14:paraId="1943CDED">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9.3 除招标人的原因外，投标人自行负责在踏勘现场中所发生的人员伤亡和财产损失。</w:t>
      </w:r>
    </w:p>
    <w:p w14:paraId="49CC04F0">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9.4 招标人在踏勘现场中介绍的场地和相关的周边环境情况，供投标人在编制投标文件时参考，招标人不对投标人据此作出的判断和决策负责。</w:t>
      </w:r>
    </w:p>
    <w:p w14:paraId="7664EDE5">
      <w:pPr>
        <w:spacing w:line="440" w:lineRule="exact"/>
        <w:ind w:firstLine="409" w:firstLineChars="195"/>
        <w:rPr>
          <w:rFonts w:hint="eastAsia"/>
          <w:highlight w:val="none"/>
          <w:lang w:val="en-US"/>
        </w:rPr>
      </w:pPr>
      <w:r>
        <w:rPr>
          <w:rFonts w:hint="eastAsia" w:ascii="宋体" w:hAnsi="Times New Roman" w:eastAsia="宋体" w:cs="Times New Roman"/>
          <w:color w:val="auto"/>
          <w:szCs w:val="21"/>
          <w:highlight w:val="none"/>
          <w:lang w:val="en-US" w:eastAsia="zh-CN"/>
        </w:rPr>
        <w:t>9.5</w:t>
      </w:r>
      <w:r>
        <w:rPr>
          <w:rFonts w:hint="eastAsia" w:ascii="宋体" w:hAnsi="Times New Roman" w:eastAsia="宋体" w:cs="Times New Roman"/>
          <w:color w:val="auto"/>
          <w:szCs w:val="21"/>
          <w:highlight w:val="none"/>
        </w:rPr>
        <w:t>无论投标人是否到施工现场实地踏勘，中标后签订合同时和履约过程中，投标人不得以不完全了解现场情况或现场情况与招标文件描述不一致等为由，提出任何形式的增加工程造价或索赔的要求。</w:t>
      </w:r>
    </w:p>
    <w:p w14:paraId="5A9CC7D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default" w:ascii="宋体" w:hAnsi="宋体" w:eastAsia="宋体" w:cs="宋体"/>
          <w:b/>
          <w:bCs w:val="0"/>
          <w:color w:val="000000"/>
          <w:kern w:val="0"/>
          <w:sz w:val="21"/>
          <w:szCs w:val="21"/>
          <w:highlight w:val="none"/>
          <w:u w:color="000000"/>
          <w:lang w:val="en-US" w:eastAsia="zh-CN" w:bidi="ar"/>
        </w:rPr>
        <w:t xml:space="preserve">10. </w:t>
      </w:r>
      <w:r>
        <w:rPr>
          <w:rFonts w:hint="eastAsia" w:ascii="宋体" w:hAnsi="宋体" w:eastAsia="宋体" w:cs="宋体"/>
          <w:b/>
          <w:bCs w:val="0"/>
          <w:color w:val="000000"/>
          <w:kern w:val="0"/>
          <w:sz w:val="21"/>
          <w:szCs w:val="21"/>
          <w:highlight w:val="none"/>
          <w:u w:color="000000"/>
          <w:lang w:val="en-US" w:eastAsia="zh-CN" w:bidi="ar"/>
        </w:rPr>
        <w:t>投标预备会（本项目不采用）</w:t>
      </w:r>
    </w:p>
    <w:p w14:paraId="2D87B0E3">
      <w:pPr>
        <w:spacing w:line="440" w:lineRule="exact"/>
        <w:ind w:firstLine="409" w:firstLineChars="195"/>
        <w:rPr>
          <w:rFonts w:hint="eastAsia" w:ascii="宋体"/>
          <w:color w:val="000000"/>
          <w:szCs w:val="21"/>
          <w:highlight w:val="none"/>
        </w:rPr>
      </w:pPr>
      <w:r>
        <w:rPr>
          <w:rFonts w:hint="eastAsia" w:ascii="宋体"/>
          <w:color w:val="000000"/>
          <w:szCs w:val="21"/>
          <w:highlight w:val="none"/>
        </w:rPr>
        <w:t>10.1投标人须知前附表规定召开投标预备会的，</w:t>
      </w:r>
      <w:r>
        <w:rPr>
          <w:rFonts w:hint="eastAsia" w:ascii="宋体"/>
          <w:color w:val="000000"/>
          <w:szCs w:val="21"/>
          <w:highlight w:val="none"/>
          <w:lang w:val="en-US" w:eastAsia="zh-CN"/>
        </w:rPr>
        <w:t>招标人</w:t>
      </w:r>
      <w:r>
        <w:rPr>
          <w:rFonts w:hint="eastAsia" w:ascii="宋体"/>
          <w:color w:val="000000"/>
          <w:szCs w:val="21"/>
          <w:highlight w:val="none"/>
        </w:rPr>
        <w:t>按投标人须知前附表规定的时间和地点召开投标预备会，澄清投标人提出的问题。</w:t>
      </w:r>
    </w:p>
    <w:p w14:paraId="667991AB">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11. 联合投标</w:t>
      </w:r>
    </w:p>
    <w:p w14:paraId="16C8EE4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11.1 </w:t>
      </w:r>
      <w:r>
        <w:rPr>
          <w:rFonts w:hint="eastAsia" w:ascii="宋体" w:hAnsi="宋体" w:eastAsia="宋体" w:cs="宋体"/>
          <w:color w:val="000000"/>
          <w:kern w:val="0"/>
          <w:sz w:val="21"/>
          <w:szCs w:val="21"/>
          <w:highlight w:val="none"/>
          <w:u w:color="000000"/>
          <w:lang w:val="en-US" w:eastAsia="zh-CN" w:bidi="ar"/>
        </w:rPr>
        <w:t>本次招标</w:t>
      </w:r>
      <w:r>
        <w:rPr>
          <w:rFonts w:hint="eastAsia" w:ascii="宋体" w:hAnsi="宋体" w:eastAsia="宋体" w:cs="宋体"/>
          <w:color w:val="000000"/>
          <w:kern w:val="0"/>
          <w:sz w:val="21"/>
          <w:szCs w:val="21"/>
          <w:highlight w:val="none"/>
          <w:u w:val="single" w:color="000000"/>
          <w:lang w:val="en-US" w:eastAsia="zh-CN" w:bidi="ar"/>
        </w:rPr>
        <w:t>不接受</w:t>
      </w:r>
      <w:r>
        <w:rPr>
          <w:rFonts w:hint="eastAsia" w:ascii="宋体" w:hAnsi="宋体" w:eastAsia="宋体" w:cs="宋体"/>
          <w:color w:val="000000"/>
          <w:kern w:val="0"/>
          <w:sz w:val="21"/>
          <w:szCs w:val="21"/>
          <w:highlight w:val="none"/>
          <w:u w:color="000000"/>
          <w:lang w:val="en-US" w:eastAsia="zh-CN" w:bidi="ar"/>
        </w:rPr>
        <w:t>联合体投标。</w:t>
      </w:r>
    </w:p>
    <w:p w14:paraId="08F70E2C">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12.招标代理费</w:t>
      </w:r>
    </w:p>
    <w:p w14:paraId="0B5D753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bCs/>
          <w:color w:val="000000"/>
          <w:kern w:val="0"/>
          <w:sz w:val="21"/>
          <w:szCs w:val="21"/>
          <w:highlight w:val="none"/>
          <w:u w:color="000000"/>
          <w:lang w:val="en-US" w:eastAsia="zh-CN" w:bidi="ar"/>
        </w:rPr>
        <w:t xml:space="preserve">12.1 </w:t>
      </w:r>
      <w:r>
        <w:rPr>
          <w:rFonts w:hint="eastAsia" w:ascii="宋体" w:hAnsi="宋体" w:eastAsia="宋体" w:cs="宋体"/>
          <w:color w:val="000000"/>
          <w:kern w:val="0"/>
          <w:sz w:val="21"/>
          <w:szCs w:val="21"/>
          <w:highlight w:val="none"/>
          <w:u w:color="000000"/>
          <w:lang w:val="en-US" w:eastAsia="zh-CN" w:bidi="ar"/>
        </w:rPr>
        <w:t>本项目的招标代理费详见投标人须知前附表。</w:t>
      </w:r>
    </w:p>
    <w:p w14:paraId="3FFA7F9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13.投标人应注意的事项</w:t>
      </w:r>
    </w:p>
    <w:p w14:paraId="23AD1BFF">
      <w:pPr>
        <w:spacing w:line="360" w:lineRule="auto"/>
        <w:ind w:firstLine="420" w:firstLineChars="200"/>
        <w:rPr>
          <w:rFonts w:hint="eastAsia" w:ascii="宋体"/>
          <w:szCs w:val="21"/>
          <w:highlight w:val="none"/>
        </w:rPr>
      </w:pPr>
      <w:bookmarkStart w:id="28" w:name="_Toc10668_WPSOffice_Level3"/>
      <w:bookmarkEnd w:id="28"/>
      <w:bookmarkStart w:id="29" w:name="_Toc24655"/>
      <w:bookmarkEnd w:id="29"/>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154387F7">
      <w:pPr>
        <w:spacing w:line="360" w:lineRule="auto"/>
        <w:ind w:firstLine="420" w:firstLineChars="200"/>
        <w:rPr>
          <w:rFonts w:hint="eastAsia" w:ascii="宋体"/>
          <w:szCs w:val="21"/>
          <w:highlight w:val="none"/>
        </w:rPr>
      </w:pPr>
      <w:r>
        <w:rPr>
          <w:rFonts w:hint="eastAsia" w:ascii="宋体"/>
          <w:szCs w:val="21"/>
          <w:highlight w:val="none"/>
        </w:rPr>
        <w:t>13.2投标人对采购内容中规定的技术参数、规格、数量和要求等必须满足招标文件的相关要求。</w:t>
      </w:r>
    </w:p>
    <w:p w14:paraId="02E25687">
      <w:pPr>
        <w:spacing w:line="440" w:lineRule="exact"/>
        <w:ind w:firstLine="420" w:firstLineChars="200"/>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3</w:t>
      </w:r>
      <w:r>
        <w:rPr>
          <w:rFonts w:hint="eastAsia" w:ascii="宋体"/>
          <w:szCs w:val="21"/>
          <w:highlight w:val="none"/>
        </w:rPr>
        <w:t xml:space="preserve"> </w:t>
      </w:r>
      <w:r>
        <w:rPr>
          <w:rFonts w:ascii="宋体"/>
          <w:bCs/>
          <w:szCs w:val="21"/>
          <w:highlight w:val="none"/>
        </w:rPr>
        <w:t>单位负责人为同一人或者存在直接控股、管理关系的不同</w:t>
      </w:r>
      <w:r>
        <w:rPr>
          <w:rFonts w:hint="eastAsia" w:ascii="宋体"/>
          <w:bCs/>
          <w:szCs w:val="21"/>
          <w:highlight w:val="none"/>
          <w:lang w:eastAsia="zh-CN"/>
        </w:rPr>
        <w:t>投标人</w:t>
      </w:r>
      <w:r>
        <w:rPr>
          <w:rFonts w:ascii="宋体"/>
          <w:bCs/>
          <w:szCs w:val="21"/>
          <w:highlight w:val="none"/>
        </w:rPr>
        <w:t>，不得参加同一合同项下的采购活动。</w:t>
      </w:r>
    </w:p>
    <w:p w14:paraId="17E2E871">
      <w:pPr>
        <w:spacing w:line="400" w:lineRule="exact"/>
        <w:ind w:firstLine="417" w:firstLineChars="199"/>
        <w:jc w:val="left"/>
        <w:rPr>
          <w:rFonts w:hint="eastAsia" w:ascii="宋体"/>
          <w:szCs w:val="21"/>
          <w:highlight w:val="none"/>
        </w:rPr>
      </w:pPr>
      <w:r>
        <w:rPr>
          <w:rFonts w:hint="eastAsia" w:ascii="宋体"/>
          <w:szCs w:val="21"/>
          <w:highlight w:val="none"/>
        </w:rPr>
        <w:t>13.</w:t>
      </w:r>
      <w:r>
        <w:rPr>
          <w:rFonts w:hint="eastAsia" w:ascii="宋体"/>
          <w:szCs w:val="21"/>
          <w:highlight w:val="none"/>
          <w:lang w:val="en-US" w:eastAsia="zh-CN"/>
        </w:rPr>
        <w:t>4</w:t>
      </w:r>
      <w:r>
        <w:rPr>
          <w:rFonts w:hint="eastAsia" w:ascii="宋体"/>
          <w:szCs w:val="21"/>
          <w:highlight w:val="none"/>
        </w:rPr>
        <w:t>投标人被视为充分熟悉本招标项目所在地的与履行合同有关的各种情况，包括但不限于：</w:t>
      </w:r>
    </w:p>
    <w:p w14:paraId="650B1BB6">
      <w:pPr>
        <w:spacing w:line="400" w:lineRule="exact"/>
        <w:ind w:firstLine="315" w:firstLineChars="15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5EA21800">
      <w:pPr>
        <w:spacing w:line="400" w:lineRule="exact"/>
        <w:ind w:firstLine="315" w:firstLineChars="150"/>
        <w:rPr>
          <w:rFonts w:hint="eastAsia" w:ascii="宋体"/>
          <w:szCs w:val="21"/>
          <w:highlight w:val="none"/>
        </w:rPr>
      </w:pPr>
      <w:r>
        <w:rPr>
          <w:rFonts w:hint="eastAsia" w:ascii="宋体"/>
          <w:szCs w:val="21"/>
          <w:highlight w:val="none"/>
        </w:rPr>
        <w:t>（2）安徽省及滁州市等有关管理部门的相关规定；</w:t>
      </w:r>
    </w:p>
    <w:p w14:paraId="0E199FBD">
      <w:pPr>
        <w:spacing w:line="400" w:lineRule="exact"/>
        <w:ind w:firstLine="315" w:firstLineChars="150"/>
        <w:rPr>
          <w:rFonts w:hint="eastAsia" w:ascii="宋体"/>
          <w:szCs w:val="21"/>
          <w:highlight w:val="none"/>
        </w:rPr>
      </w:pPr>
      <w:r>
        <w:rPr>
          <w:rFonts w:hint="eastAsia" w:ascii="宋体"/>
          <w:szCs w:val="21"/>
          <w:highlight w:val="none"/>
        </w:rPr>
        <w:t>（3）招标人的相关场地情况、基础建设、电力供应情况及相关设计标准。</w:t>
      </w:r>
    </w:p>
    <w:p w14:paraId="1B2FBB4A">
      <w:pPr>
        <w:spacing w:line="400" w:lineRule="exact"/>
        <w:ind w:firstLine="315" w:firstLineChars="150"/>
        <w:rPr>
          <w:rFonts w:ascii="宋体"/>
          <w:szCs w:val="21"/>
          <w:highlight w:val="none"/>
        </w:rPr>
      </w:pPr>
      <w:r>
        <w:rPr>
          <w:rFonts w:hint="eastAsia" w:ascii="宋体"/>
          <w:szCs w:val="21"/>
          <w:highlight w:val="none"/>
        </w:rPr>
        <w:t>本招标文件不再对上述情况进行描述。</w:t>
      </w:r>
    </w:p>
    <w:p w14:paraId="421FD49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14.保密</w:t>
      </w:r>
    </w:p>
    <w:p w14:paraId="1E7702FA">
      <w:pPr>
        <w:spacing w:line="440" w:lineRule="exact"/>
        <w:ind w:firstLine="525" w:firstLineChars="250"/>
        <w:rPr>
          <w:rFonts w:hint="eastAsia" w:ascii="宋体" w:hAnsi="宋体" w:eastAsia="宋体" w:cs="宋体"/>
          <w:b/>
          <w:bCs w:val="0"/>
          <w:color w:val="000000"/>
          <w:kern w:val="0"/>
          <w:sz w:val="24"/>
          <w:szCs w:val="24"/>
          <w:highlight w:val="none"/>
          <w:u w:color="000000"/>
          <w:lang w:val="en-US" w:eastAsia="zh-CN" w:bidi="ar"/>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5620FC83">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（二）招标文件</w:t>
      </w:r>
    </w:p>
    <w:p w14:paraId="61211ECF">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15. 招标文件的编制依据</w:t>
      </w:r>
    </w:p>
    <w:p w14:paraId="5FF3DC6A">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highlight w:val="none"/>
          <w:lang w:val="en-US"/>
        </w:rPr>
      </w:pPr>
      <w:r>
        <w:rPr>
          <w:rFonts w:hint="eastAsia" w:ascii="宋体" w:hAnsi="宋体" w:eastAsia="宋体" w:cs="宋体"/>
          <w:color w:val="000000"/>
          <w:kern w:val="0"/>
          <w:sz w:val="21"/>
          <w:szCs w:val="21"/>
          <w:highlight w:val="none"/>
          <w:u w:color="000000"/>
          <w:lang w:val="en-US" w:eastAsia="zh-CN" w:bidi="ar"/>
        </w:rPr>
        <w:t>根据《中华人民共和国招标投标法》、《中华人民共和国招标投标法实施条例》和《中华人民共和国民法典》</w:t>
      </w:r>
      <w:r>
        <w:rPr>
          <w:rFonts w:hint="eastAsia" w:ascii="宋体" w:hAnsi="宋体" w:eastAsia="宋体" w:cs="宋体"/>
          <w:color w:val="000000"/>
          <w:spacing w:val="-2"/>
          <w:kern w:val="0"/>
          <w:sz w:val="21"/>
          <w:szCs w:val="21"/>
          <w:highlight w:val="none"/>
          <w:u w:color="000000"/>
          <w:lang w:val="en-US" w:eastAsia="zh-CN" w:bidi="ar"/>
        </w:rPr>
        <w:t>等相关法律法规和规章及部、省、市级规范性文件的规定，编制本招标文件。</w:t>
      </w:r>
    </w:p>
    <w:p w14:paraId="11A948F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16. 招标文件的组成</w:t>
      </w:r>
    </w:p>
    <w:p w14:paraId="4B475B0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16.1 招标文件包括内容：</w:t>
      </w:r>
    </w:p>
    <w:p w14:paraId="57A355B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第一章  招标公告</w:t>
      </w:r>
    </w:p>
    <w:p w14:paraId="10B2E01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第二章  投标须知</w:t>
      </w:r>
    </w:p>
    <w:p w14:paraId="1752288B">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第三章  资格审查办法</w:t>
      </w:r>
    </w:p>
    <w:p w14:paraId="6D10238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第四章  评标办法</w:t>
      </w:r>
    </w:p>
    <w:p w14:paraId="2398EDEE">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第五章  采购需求</w:t>
      </w:r>
    </w:p>
    <w:p w14:paraId="37B88F6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第六章  合同条款及格式</w:t>
      </w:r>
    </w:p>
    <w:p w14:paraId="187886B2">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第七章  投标文件格式</w:t>
      </w:r>
    </w:p>
    <w:p w14:paraId="38CC658D">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第八章  招标人、招标代理机构对本文件的确认</w:t>
      </w:r>
    </w:p>
    <w:p w14:paraId="311A984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16.2 除16.1内容外，招标答疑亦为招标文件的组成部分，对招标人和投标人起约束作用。</w:t>
      </w:r>
    </w:p>
    <w:p w14:paraId="3F4056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szCs w:val="21"/>
          <w:highlight w:val="none"/>
          <w:lang w:eastAsia="zh-CN"/>
        </w:rPr>
      </w:pPr>
      <w:r>
        <w:rPr>
          <w:rFonts w:hint="eastAsia" w:ascii="宋体" w:hAnsi="Times New Roman" w:eastAsia="宋体" w:cs="Times New Roman"/>
          <w:szCs w:val="21"/>
          <w:highlight w:val="none"/>
        </w:rPr>
        <w:t>16.3投标人应仔细阅读和检查招标文件的全部内容。如发现缺页或附件不全，应及时向招标人提出，以便补齐</w:t>
      </w:r>
      <w:r>
        <w:rPr>
          <w:rFonts w:hint="eastAsia" w:ascii="宋体" w:hAnsi="Times New Roman" w:eastAsia="宋体" w:cs="Times New Roman"/>
          <w:szCs w:val="21"/>
          <w:highlight w:val="none"/>
          <w:lang w:eastAsia="zh-CN"/>
        </w:rPr>
        <w:t>。</w:t>
      </w:r>
    </w:p>
    <w:p w14:paraId="67D7E6D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hAnsi="Times New Roman" w:eastAsia="宋体" w:cs="Times New Roman"/>
          <w:szCs w:val="21"/>
          <w:highlight w:val="none"/>
        </w:rPr>
        <w:t>16.4 当招标文件、招标文件的澄清或修改等在同一内容的表述上不一致时，以最后发出的文件为准。</w:t>
      </w:r>
    </w:p>
    <w:p w14:paraId="16B2BF85">
      <w:pPr>
        <w:spacing w:line="440" w:lineRule="exact"/>
        <w:ind w:firstLine="420" w:firstLineChars="200"/>
        <w:rPr>
          <w:rFonts w:hint="eastAsia" w:ascii="黑体" w:hAnsi="宋体" w:eastAsia="黑体" w:cs="宋体"/>
          <w:b/>
          <w:bCs/>
          <w:highlight w:val="none"/>
          <w:lang w:val="en-US"/>
        </w:rPr>
      </w:pPr>
      <w:r>
        <w:rPr>
          <w:rFonts w:hint="eastAsia" w:ascii="黑体" w:hAnsi="宋体" w:eastAsia="黑体" w:cs="宋体"/>
          <w:b/>
          <w:bCs/>
          <w:color w:val="000000"/>
          <w:kern w:val="0"/>
          <w:sz w:val="21"/>
          <w:szCs w:val="21"/>
          <w:highlight w:val="none"/>
          <w:u w:color="000000"/>
          <w:lang w:val="en-US" w:eastAsia="zh-CN" w:bidi="ar"/>
        </w:rPr>
        <w:t xml:space="preserve">17. </w:t>
      </w:r>
      <w:r>
        <w:rPr>
          <w:rFonts w:hint="eastAsia" w:ascii="宋体" w:hAnsi="Times New Roman" w:eastAsia="宋体" w:cs="Times New Roman"/>
          <w:b/>
          <w:bCs/>
          <w:color w:val="auto"/>
          <w:szCs w:val="21"/>
          <w:highlight w:val="none"/>
        </w:rPr>
        <w:t>招标文件的异议</w:t>
      </w:r>
      <w:r>
        <w:rPr>
          <w:rFonts w:hint="eastAsia" w:ascii="宋体" w:hAnsi="Times New Roman" w:eastAsia="宋体" w:cs="Times New Roman"/>
          <w:b/>
          <w:bCs/>
          <w:color w:val="auto"/>
          <w:szCs w:val="21"/>
          <w:highlight w:val="none"/>
          <w:lang w:eastAsia="zh-CN"/>
        </w:rPr>
        <w:t>、</w:t>
      </w:r>
      <w:r>
        <w:rPr>
          <w:rFonts w:hint="eastAsia" w:ascii="宋体" w:hAnsi="Times New Roman" w:eastAsia="宋体" w:cs="Times New Roman"/>
          <w:b/>
          <w:bCs/>
          <w:color w:val="auto"/>
          <w:szCs w:val="21"/>
          <w:highlight w:val="none"/>
          <w:lang w:val="en-US" w:eastAsia="zh-CN"/>
        </w:rPr>
        <w:t>澄清</w:t>
      </w:r>
    </w:p>
    <w:p w14:paraId="5F643BE0">
      <w:pPr>
        <w:spacing w:line="440" w:lineRule="exact"/>
        <w:ind w:firstLine="420" w:firstLineChars="200"/>
        <w:rPr>
          <w:rFonts w:ascii="宋体" w:hAnsi="Times New Roman" w:eastAsia="宋体" w:cs="Times New Roman"/>
          <w:bCs/>
          <w:szCs w:val="21"/>
          <w:highlight w:val="none"/>
        </w:rPr>
      </w:pPr>
      <w:r>
        <w:rPr>
          <w:rFonts w:hint="eastAsia" w:ascii="宋体" w:hAnsi="宋体" w:eastAsia="宋体" w:cs="宋体"/>
          <w:color w:val="000000"/>
          <w:kern w:val="0"/>
          <w:szCs w:val="21"/>
          <w:highlight w:val="none"/>
          <w:u w:color="000000"/>
          <w:lang w:bidi="ar"/>
        </w:rPr>
        <w:t xml:space="preserve">17.1 </w:t>
      </w:r>
      <w:r>
        <w:rPr>
          <w:rFonts w:hint="eastAsia" w:ascii="宋体" w:hAnsi="Times New Roman" w:eastAsia="宋体" w:cs="Times New Roman"/>
          <w:bCs/>
          <w:szCs w:val="21"/>
          <w:highlight w:val="none"/>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6CC63017">
      <w:pPr>
        <w:widowControl/>
        <w:spacing w:line="400" w:lineRule="exact"/>
        <w:ind w:firstLine="420" w:firstLineChars="200"/>
        <w:rPr>
          <w:rFonts w:ascii="宋体" w:hAnsi="宋体" w:eastAsia="宋体" w:cs="宋体"/>
          <w:bCs/>
          <w:highlight w:val="none"/>
        </w:rPr>
      </w:pPr>
      <w:r>
        <w:rPr>
          <w:rFonts w:hint="eastAsia" w:ascii="宋体" w:hAnsi="宋体" w:eastAsia="宋体" w:cs="宋体"/>
          <w:bCs/>
          <w:color w:val="000000"/>
          <w:kern w:val="0"/>
          <w:szCs w:val="21"/>
          <w:highlight w:val="none"/>
          <w:u w:color="000000"/>
          <w:lang w:bidi="ar"/>
        </w:rPr>
        <w:t>17.2 投标人应在投标截止时间前关注原采购信息发布媒体上有关本项目有无变更公告，如不及时查看造成后果由投标人自负。</w:t>
      </w:r>
    </w:p>
    <w:p w14:paraId="2AE75A3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18. 招标文件的发出</w:t>
      </w:r>
    </w:p>
    <w:p w14:paraId="2672C15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18.1招标文件、招标文件的澄清、修改、补充及招标答疑等均在</w:t>
      </w:r>
      <w:r>
        <w:rPr>
          <w:rFonts w:hint="eastAsia" w:ascii="宋体" w:hAnsi="宋体" w:eastAsia="宋体" w:cs="宋体"/>
          <w:color w:val="000000"/>
          <w:kern w:val="0"/>
          <w:sz w:val="21"/>
          <w:szCs w:val="21"/>
          <w:highlight w:val="none"/>
          <w:u w:color="000000"/>
          <w:lang w:val="en-US" w:eastAsia="zh-CN" w:bidi="ar"/>
        </w:rPr>
        <w:t>滁州市滁宁城际铁路开发建设有限公司网站（http://czctgs.cn/）</w:t>
      </w:r>
      <w:r>
        <w:rPr>
          <w:rFonts w:hint="eastAsia" w:ascii="宋体" w:hAnsi="宋体" w:eastAsia="宋体" w:cs="宋体"/>
          <w:bCs/>
          <w:color w:val="000000"/>
          <w:kern w:val="0"/>
          <w:sz w:val="21"/>
          <w:szCs w:val="21"/>
          <w:highlight w:val="none"/>
          <w:u w:color="000000"/>
          <w:lang w:val="en-US" w:eastAsia="zh-CN" w:bidi="ar"/>
        </w:rPr>
        <w:t>发出。</w:t>
      </w:r>
    </w:p>
    <w:p w14:paraId="77D85133">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bookmarkStart w:id="30" w:name="_Toc1549_WPSOffice_Level3"/>
      <w:bookmarkEnd w:id="30"/>
      <w:bookmarkStart w:id="31" w:name="_Toc9710"/>
      <w:r>
        <w:rPr>
          <w:rFonts w:hint="eastAsia" w:ascii="宋体" w:hAnsi="宋体" w:eastAsia="宋体" w:cs="宋体"/>
          <w:b/>
          <w:bCs w:val="0"/>
          <w:color w:val="000000"/>
          <w:kern w:val="0"/>
          <w:sz w:val="21"/>
          <w:szCs w:val="21"/>
          <w:highlight w:val="none"/>
          <w:u w:color="000000"/>
          <w:lang w:val="en-US" w:eastAsia="zh-CN" w:bidi="ar"/>
        </w:rPr>
        <w:t>19.样品</w:t>
      </w:r>
      <w:bookmarkEnd w:id="31"/>
    </w:p>
    <w:p w14:paraId="20DA793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kern w:val="0"/>
          <w:sz w:val="21"/>
          <w:szCs w:val="21"/>
          <w:highlight w:val="none"/>
          <w:u w:color="000000"/>
          <w:lang w:val="en-US" w:eastAsia="zh-CN" w:bidi="ar"/>
        </w:rPr>
      </w:pPr>
      <w:r>
        <w:rPr>
          <w:rFonts w:hint="eastAsia" w:ascii="宋体" w:hAnsi="宋体" w:eastAsia="宋体" w:cs="宋体"/>
          <w:bCs/>
          <w:color w:val="000000"/>
          <w:kern w:val="0"/>
          <w:sz w:val="21"/>
          <w:szCs w:val="21"/>
          <w:highlight w:val="none"/>
          <w:u w:color="000000"/>
          <w:lang w:val="en-US" w:eastAsia="zh-CN" w:bidi="ar"/>
        </w:rPr>
        <w:t>19.1本项目无需提供样品。</w:t>
      </w:r>
    </w:p>
    <w:p w14:paraId="1E81783C">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（三）投标文件的编制</w:t>
      </w:r>
    </w:p>
    <w:p w14:paraId="1F40CE47">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20. 投标的语言及度量衡单位</w:t>
      </w:r>
    </w:p>
    <w:p w14:paraId="4E431746">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20.1投标人的投标文件、以及投标人与招标人就投标的所有往来函电，均须使用简体中文。</w:t>
      </w:r>
    </w:p>
    <w:p w14:paraId="538CB80F">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Calibri"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20.2除招标文件中另有规定外，投标文件所使用的度量衡均须采用法定计量单位。</w:t>
      </w:r>
    </w:p>
    <w:p w14:paraId="040871EC">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21. 投标文件的组成</w:t>
      </w:r>
    </w:p>
    <w:p w14:paraId="2A83C705">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21.1投标文件</w:t>
      </w:r>
      <w:r>
        <w:rPr>
          <w:rFonts w:hint="default" w:ascii="宋体" w:hAnsi="宋体" w:eastAsia="宋体" w:cs="宋体"/>
          <w:color w:val="000000"/>
          <w:kern w:val="0"/>
          <w:sz w:val="21"/>
          <w:szCs w:val="21"/>
          <w:highlight w:val="none"/>
          <w:u w:color="000000"/>
          <w:lang w:val="en-US" w:eastAsia="zh-CN" w:bidi="ar"/>
        </w:rPr>
        <w:t>须</w:t>
      </w:r>
      <w:r>
        <w:rPr>
          <w:rFonts w:hint="eastAsia" w:ascii="宋体" w:hAnsi="宋体" w:eastAsia="宋体" w:cs="宋体"/>
          <w:color w:val="000000"/>
          <w:kern w:val="0"/>
          <w:sz w:val="21"/>
          <w:szCs w:val="21"/>
          <w:highlight w:val="none"/>
          <w:u w:color="000000"/>
          <w:lang w:val="en-US" w:eastAsia="zh-CN" w:bidi="ar"/>
        </w:rPr>
        <w:t>签字盖章完毕后扫描成一个连续性的整体PDF格式文件。</w:t>
      </w:r>
    </w:p>
    <w:p w14:paraId="34D8DBB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21.2投标文件的编制</w:t>
      </w:r>
    </w:p>
    <w:p w14:paraId="3ED9BAEF">
      <w:pPr>
        <w:keepNext w:val="0"/>
        <w:keepLines w:val="0"/>
        <w:widowControl/>
        <w:numPr>
          <w:ilvl w:val="0"/>
          <w:numId w:val="2"/>
        </w:numPr>
        <w:suppressLineNumbers w:val="0"/>
        <w:spacing w:before="0" w:beforeAutospacing="0" w:after="0" w:afterAutospacing="0" w:line="380" w:lineRule="exact"/>
        <w:ind w:left="0" w:right="0" w:firstLine="424" w:firstLineChars="202"/>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投标文件应按第六章“投标文件格式文本”进行编写，如有必要，可以增加附页，作为投标文件的组成部分。</w:t>
      </w:r>
    </w:p>
    <w:p w14:paraId="3AF4E612">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22.投标报价</w:t>
      </w:r>
    </w:p>
    <w:p w14:paraId="53765A0D">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22.1投标报价文件中的单价和总价全部采用人民币表示。</w:t>
      </w:r>
    </w:p>
    <w:p w14:paraId="108D8313">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22.2投标人只允许有一个方案、一个报价。</w:t>
      </w:r>
    </w:p>
    <w:p w14:paraId="12D0DBD9">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22.3投标报价包括完成本项目全部供货及服务的一切费用：包括但不限于材料费、装卸费、运输费、管理费、安装费、其他费用（如包装费、仓储费、保管费）、利润、招标代理费、专家评审费、售后服务费、税金、政策性文件规定及合同包含的所有风险和责任等、货物送至招标人指定地点前的各项应有费用。投标时投标人必须保证报价的完整性，如有漏报，则视为优惠，中标后不允许追加费用。</w:t>
      </w:r>
    </w:p>
    <w:p w14:paraId="337A7458">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22.4投标报价的价格是完成项目全部内容（包括后期的相关服务）的价格，其总价即为履行合同的固定总价。</w:t>
      </w:r>
    </w:p>
    <w:p w14:paraId="67A2F6E6">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22.5投标报价应由法定代表人或被授权人签署。</w:t>
      </w:r>
    </w:p>
    <w:p w14:paraId="57A545A5">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22.6投标人的投标报价不得超过最高限价，否则将作为无效投标处理。</w:t>
      </w:r>
    </w:p>
    <w:p w14:paraId="225928F8">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22.7总投标价中不得包含招标文件要求以外的内容，否则，在评标时不予核减，但在授予合同时，招标人有权将这部分价格从其中标价格中扣除。</w:t>
      </w:r>
    </w:p>
    <w:p w14:paraId="24B73527">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22.8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08E2BB90">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23.投标有效期</w:t>
      </w:r>
    </w:p>
    <w:p w14:paraId="54BEF1E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23.1 除投标人须知前附表另有规定外，投标有效期为60天。</w:t>
      </w:r>
    </w:p>
    <w:p w14:paraId="1BF52864">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23.2在投标有效期内，投标人撤销或修改其投标文件的，应承担招标文件和法律规定的责任。</w:t>
      </w:r>
    </w:p>
    <w:p w14:paraId="7F018D6A">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23.3出现特殊情况需要延长投标有效期的，招标人以书面形式通知所有投标人延长投标有效期。投标人同意延长的，不得要求或被允许修改或撤销其投标文件；投标人拒绝延长的，其投标失效。</w:t>
      </w:r>
    </w:p>
    <w:p w14:paraId="6AE99086">
      <w:pPr>
        <w:keepNext w:val="0"/>
        <w:keepLines w:val="0"/>
        <w:widowControl w:val="0"/>
        <w:suppressLineNumbers w:val="0"/>
        <w:spacing w:before="0" w:beforeAutospacing="0" w:after="0" w:afterAutospacing="0" w:line="440" w:lineRule="exact"/>
        <w:ind w:left="0" w:right="0" w:firstLine="514" w:firstLineChars="245"/>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24.投标保证金</w:t>
      </w:r>
    </w:p>
    <w:p w14:paraId="08E9E097">
      <w:pPr>
        <w:keepNext w:val="0"/>
        <w:keepLines w:val="0"/>
        <w:widowControl/>
        <w:suppressLineNumbers w:val="0"/>
        <w:spacing w:before="0" w:beforeAutospacing="0" w:after="0" w:afterAutospacing="0" w:line="312" w:lineRule="auto"/>
        <w:ind w:left="0" w:right="0" w:firstLine="525" w:firstLineChars="25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24.1本项目不要求投标人提交投标保证金。</w:t>
      </w:r>
    </w:p>
    <w:p w14:paraId="7749EDAD">
      <w:pPr>
        <w:keepNext w:val="0"/>
        <w:keepLines w:val="0"/>
        <w:widowControl w:val="0"/>
        <w:suppressLineNumbers w:val="0"/>
        <w:snapToGrid w:val="0"/>
        <w:spacing w:before="156" w:beforeLines="50" w:beforeAutospacing="0" w:after="156" w:afterLines="50" w:afterAutospacing="0" w:line="440" w:lineRule="exact"/>
        <w:ind w:left="0" w:right="0"/>
        <w:jc w:val="center"/>
        <w:outlineLvl w:val="2"/>
        <w:rPr>
          <w:rFonts w:hint="eastAsia" w:ascii="宋体" w:hAnsi="宋体" w:eastAsia="宋体" w:cs="宋体"/>
          <w:b/>
          <w:bCs w:val="0"/>
          <w:sz w:val="24"/>
          <w:szCs w:val="24"/>
          <w:highlight w:val="none"/>
          <w:lang w:val="en-US"/>
        </w:rPr>
      </w:pPr>
      <w:bookmarkStart w:id="32" w:name="_Toc6570_WPSOffice_Level3"/>
      <w:bookmarkEnd w:id="32"/>
      <w:bookmarkStart w:id="33" w:name="_Toc26398"/>
      <w:r>
        <w:rPr>
          <w:rFonts w:hint="eastAsia" w:ascii="宋体" w:hAnsi="宋体" w:eastAsia="宋体" w:cs="宋体"/>
          <w:b/>
          <w:bCs w:val="0"/>
          <w:color w:val="000000"/>
          <w:kern w:val="0"/>
          <w:sz w:val="24"/>
          <w:szCs w:val="24"/>
          <w:highlight w:val="none"/>
          <w:u w:color="000000"/>
          <w:lang w:val="en-US" w:eastAsia="zh-CN" w:bidi="ar"/>
        </w:rPr>
        <w:t>（四）投标文件的递交</w:t>
      </w:r>
      <w:bookmarkEnd w:id="33"/>
    </w:p>
    <w:p w14:paraId="1B1DB80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val="0"/>
          <w:highlight w:val="none"/>
          <w:lang w:val="en-US"/>
        </w:rPr>
      </w:pPr>
      <w:bookmarkStart w:id="34" w:name="_Toc30407_WPSOffice_Level3"/>
      <w:bookmarkEnd w:id="34"/>
      <w:bookmarkStart w:id="35" w:name="_Toc490"/>
      <w:bookmarkEnd w:id="35"/>
      <w:r>
        <w:rPr>
          <w:rFonts w:hint="eastAsia" w:ascii="宋体" w:hAnsi="宋体" w:eastAsia="宋体" w:cs="宋体"/>
          <w:b/>
          <w:bCs w:val="0"/>
          <w:color w:val="000000"/>
          <w:kern w:val="0"/>
          <w:sz w:val="21"/>
          <w:szCs w:val="21"/>
          <w:highlight w:val="none"/>
          <w:u w:color="000000"/>
          <w:lang w:val="en-US" w:eastAsia="zh-CN" w:bidi="ar"/>
        </w:rPr>
        <w:t>25.投标文件的份数和签署</w:t>
      </w:r>
    </w:p>
    <w:p w14:paraId="0157167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25.1投标文件份数：一份PDF电子版投标文件。投标人中标后须递交与网上电子投标文件完全一致的纸质版投标文件，并按要求加盖公章；份数：正本1份，副本2份；中标单位领取中标通知书时，一并递交给招标代理机构。</w:t>
      </w:r>
    </w:p>
    <w:p w14:paraId="286B56FD">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25.2按格式文件要求签字或盖章，否则经评委会一致认定且经过招标人同意后, 按照无效投标处理。</w:t>
      </w:r>
    </w:p>
    <w:p w14:paraId="7DA5DF4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26. 投标文件的提交</w:t>
      </w:r>
    </w:p>
    <w:p w14:paraId="4AF98246">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26.1</w:t>
      </w:r>
      <w:r>
        <w:rPr>
          <w:rFonts w:hint="eastAsia" w:ascii="宋体" w:hAnsi="宋体" w:eastAsia="宋体" w:cs="宋体"/>
          <w:highlight w:val="none"/>
        </w:rPr>
        <w:t>①投标人须在投标文件截止时间前将投标文件以电子邮件的方式一次性发送至滁州市城投工程咨询管理有限公司邮箱（czsc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"mailto:2、在递交截止时间后30分钟内，将解压密码通过邮箱发送至代理机构邮箱（czsctgczx@163.com）" </w:instrText>
      </w:r>
      <w:r>
        <w:rPr>
          <w:rFonts w:hint="eastAsia" w:ascii="宋体" w:hAnsi="宋体" w:eastAsia="宋体" w:cs="宋体"/>
          <w:highlight w:val="none"/>
        </w:rPr>
        <w:fldChar w:fldCharType="separate"/>
      </w:r>
      <w:r>
        <w:rPr>
          <w:rFonts w:hint="eastAsia" w:ascii="宋体" w:hAnsi="宋体" w:eastAsia="宋体" w:cs="宋体"/>
          <w:highlight w:val="none"/>
        </w:rPr>
        <w:t>②在投标截止时间后30分钟内，将投标文件密码通过邮箱发送至滁州市城投工程咨询管理有限公司邮箱（czsctzx@163.com）</w:t>
      </w:r>
      <w:r>
        <w:rPr>
          <w:rFonts w:hint="eastAsia" w:ascii="宋体" w:hAnsi="宋体" w:eastAsia="宋体" w:cs="宋体"/>
          <w:highlight w:val="none"/>
        </w:rPr>
        <w:fldChar w:fldCharType="end"/>
      </w:r>
      <w:r>
        <w:rPr>
          <w:rFonts w:hint="eastAsia" w:ascii="宋体" w:hAnsi="宋体" w:eastAsia="宋体" w:cs="宋体"/>
          <w:highlight w:val="none"/>
        </w:rPr>
        <w:t>，未在规定时间内发送密码或发送的密码无法正确打开投标文件的，投标文件将被拒绝。</w:t>
      </w:r>
    </w:p>
    <w:p w14:paraId="0F241F9C">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27．投标文件的</w:t>
      </w:r>
      <w:r>
        <w:rPr>
          <w:rFonts w:hint="eastAsia" w:ascii="宋体"/>
          <w:b/>
          <w:szCs w:val="21"/>
          <w:highlight w:val="none"/>
        </w:rPr>
        <w:t>修改与撤回</w:t>
      </w:r>
    </w:p>
    <w:p w14:paraId="34E83124">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27.1在第一章“招标公告”规定的投标截止时间前，投标人可以自行从网上撤回已递交的投标文件，并可修改后重新发送，开标时以投标截止时间前投标人最后送达的投标文件为准。</w:t>
      </w:r>
    </w:p>
    <w:p w14:paraId="7B884CA0">
      <w:pPr>
        <w:keepNext w:val="0"/>
        <w:keepLines w:val="0"/>
        <w:widowControl/>
        <w:suppressLineNumbers w:val="0"/>
        <w:spacing w:before="0" w:beforeAutospacing="0" w:after="0" w:afterAutospacing="0" w:line="440" w:lineRule="exact"/>
        <w:ind w:right="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（五）开标、评标和定标</w:t>
      </w:r>
    </w:p>
    <w:p w14:paraId="18CA4689">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b/>
          <w:bCs w:val="0"/>
          <w:highlight w:val="none"/>
          <w:lang w:val="en-US"/>
        </w:rPr>
      </w:pPr>
      <w:bookmarkStart w:id="36" w:name="_Toc28864"/>
      <w:bookmarkEnd w:id="36"/>
      <w:bookmarkStart w:id="37" w:name="_Toc8453_WPSOffice_Level3"/>
      <w:r>
        <w:rPr>
          <w:rFonts w:hint="eastAsia" w:ascii="宋体" w:hAnsi="宋体" w:eastAsia="宋体" w:cs="宋体"/>
          <w:b/>
          <w:bCs w:val="0"/>
          <w:color w:val="000000"/>
          <w:kern w:val="0"/>
          <w:sz w:val="21"/>
          <w:szCs w:val="21"/>
          <w:highlight w:val="none"/>
          <w:u w:color="000000"/>
          <w:lang w:val="en-US" w:eastAsia="zh-CN" w:bidi="ar"/>
        </w:rPr>
        <w:t>28.</w:t>
      </w:r>
      <w:r>
        <w:rPr>
          <w:rFonts w:hint="eastAsia" w:ascii="黑体" w:hAnsi="宋体" w:eastAsia="黑体" w:cs="宋体"/>
          <w:b/>
          <w:bCs w:val="0"/>
          <w:color w:val="000000"/>
          <w:kern w:val="0"/>
          <w:sz w:val="21"/>
          <w:szCs w:val="21"/>
          <w:highlight w:val="none"/>
          <w:u w:color="000000"/>
          <w:lang w:val="en-US" w:eastAsia="zh-CN" w:bidi="ar"/>
        </w:rPr>
        <w:t>开标</w:t>
      </w:r>
    </w:p>
    <w:p w14:paraId="1E5A5BF2">
      <w:pPr>
        <w:keepNext w:val="0"/>
        <w:keepLines w:val="0"/>
        <w:widowControl/>
        <w:suppressLineNumbers w:val="0"/>
        <w:autoSpaceDE w:val="0"/>
        <w:autoSpaceDN/>
        <w:spacing w:before="0" w:beforeAutospacing="0" w:after="0" w:afterAutospacing="0" w:line="40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 开标的时间和地点</w:t>
      </w:r>
    </w:p>
    <w:p w14:paraId="2283822C">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28.1.1招标人投标须知前附表规定的提交投标文件的截止时间和地点公开开标。</w:t>
      </w:r>
    </w:p>
    <w:p w14:paraId="722E3AAD">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28.2 参与开标的监督部门</w:t>
      </w:r>
    </w:p>
    <w:p w14:paraId="203BC218">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spacing w:val="-8"/>
          <w:highlight w:val="none"/>
          <w:lang w:val="en-US"/>
        </w:rPr>
      </w:pPr>
      <w:bookmarkStart w:id="38" w:name="_Toc15542_WPSOffice_Level3"/>
      <w:bookmarkEnd w:id="38"/>
      <w:r>
        <w:rPr>
          <w:rFonts w:hint="eastAsia" w:ascii="宋体" w:hAnsi="宋体" w:eastAsia="宋体" w:cs="宋体"/>
          <w:color w:val="000000"/>
          <w:kern w:val="0"/>
          <w:sz w:val="21"/>
          <w:szCs w:val="21"/>
          <w:highlight w:val="none"/>
          <w:u w:color="000000"/>
          <w:lang w:val="en-US" w:eastAsia="zh-CN" w:bidi="ar"/>
        </w:rPr>
        <w:t>28.2.1招标人可以邀请相关监管部门参加。</w:t>
      </w:r>
    </w:p>
    <w:p w14:paraId="0FCD1FAD">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color w:val="000000"/>
          <w:kern w:val="0"/>
          <w:sz w:val="21"/>
          <w:szCs w:val="21"/>
          <w:highlight w:val="none"/>
          <w:u w:color="000000"/>
          <w:lang w:val="en-US" w:eastAsia="zh-CN" w:bidi="ar"/>
        </w:rPr>
        <w:t>28.3开标程序</w:t>
      </w:r>
    </w:p>
    <w:p w14:paraId="399F5213">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开标会议由</w:t>
      </w:r>
      <w:r>
        <w:rPr>
          <w:rFonts w:hint="eastAsia" w:ascii="宋体" w:hAnsi="宋体" w:eastAsia="宋体" w:cs="宋体"/>
          <w:color w:val="000000"/>
          <w:kern w:val="0"/>
          <w:sz w:val="21"/>
          <w:szCs w:val="21"/>
          <w:highlight w:val="none"/>
          <w:u w:val="single" w:color="000000"/>
          <w:lang w:val="en-US" w:eastAsia="zh-CN" w:bidi="ar"/>
        </w:rPr>
        <w:t xml:space="preserve"> 滁州市城投工程咨询管理有限公司 </w:t>
      </w:r>
      <w:r>
        <w:rPr>
          <w:rFonts w:hint="eastAsia" w:ascii="宋体" w:hAnsi="宋体" w:eastAsia="宋体" w:cs="宋体"/>
          <w:color w:val="000000"/>
          <w:kern w:val="0"/>
          <w:sz w:val="21"/>
          <w:szCs w:val="21"/>
          <w:highlight w:val="none"/>
          <w:u w:color="000000"/>
          <w:lang w:val="en-US" w:eastAsia="zh-CN" w:bidi="ar"/>
        </w:rPr>
        <w:t>主持。</w:t>
      </w:r>
    </w:p>
    <w:p w14:paraId="13DBB84F">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（1）宣布开标纪律；</w:t>
      </w:r>
    </w:p>
    <w:p w14:paraId="6981901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（2）宣布采购人、代理机构主持人、见证人等有关人员姓名；</w:t>
      </w:r>
    </w:p>
    <w:p w14:paraId="409899A8">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（3）公布投标人投标报价、服务期及其他内容，并记录在案</w:t>
      </w:r>
    </w:p>
    <w:p w14:paraId="2BCB440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（4）开标结束。</w:t>
      </w:r>
    </w:p>
    <w:p w14:paraId="06923436">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29.开标异议</w:t>
      </w:r>
    </w:p>
    <w:p w14:paraId="6B92F22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投标人对开标有异议的，</w:t>
      </w:r>
      <w:r>
        <w:rPr>
          <w:rFonts w:hint="eastAsia" w:ascii="宋体" w:hAnsi="宋体" w:eastAsia="宋体" w:cs="宋体"/>
          <w:color w:val="000000"/>
          <w:szCs w:val="21"/>
          <w:highlight w:val="none"/>
        </w:rPr>
        <w:t>应当在开标过程中提出，招标人在开标过程中作出答复，并制作记录。</w:t>
      </w:r>
    </w:p>
    <w:p w14:paraId="0157C60D">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highlight w:val="none"/>
          <w:lang w:val="en-US"/>
        </w:rPr>
      </w:pPr>
      <w:r>
        <w:rPr>
          <w:rFonts w:hint="eastAsia" w:ascii="黑体" w:hAnsi="宋体" w:eastAsia="黑体" w:cs="宋体"/>
          <w:b/>
          <w:bCs w:val="0"/>
          <w:color w:val="000000"/>
          <w:kern w:val="0"/>
          <w:sz w:val="21"/>
          <w:szCs w:val="21"/>
          <w:highlight w:val="none"/>
          <w:u w:color="000000"/>
          <w:lang w:val="en-US" w:eastAsia="zh-CN" w:bidi="ar"/>
        </w:rPr>
        <w:t>30.评标委员会</w:t>
      </w:r>
    </w:p>
    <w:p w14:paraId="3985D341">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  评标委员会的组成</w:t>
      </w:r>
    </w:p>
    <w:p w14:paraId="0B01EBC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30.1.1</w:t>
      </w:r>
      <w:r>
        <w:rPr>
          <w:rFonts w:hint="eastAsia" w:ascii="宋体" w:hAnsi="宋体" w:cs="宋体"/>
          <w:color w:val="auto"/>
          <w:szCs w:val="21"/>
          <w:highlight w:val="none"/>
        </w:rPr>
        <w:t>评标由招标人依法组建的评标委员会负责。评标委员会由招标人或其委托的招标代理机构熟悉相关业务的代表，以及有关技术、经济等方面的专家组成。</w:t>
      </w:r>
    </w:p>
    <w:p w14:paraId="53FA51E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lang w:val="en-US" w:eastAsia="zh-CN"/>
        </w:rPr>
        <w:t>30</w:t>
      </w:r>
      <w:r>
        <w:rPr>
          <w:rFonts w:ascii="宋体" w:hAnsi="宋体" w:cs="宋体"/>
          <w:color w:val="auto"/>
          <w:szCs w:val="21"/>
          <w:highlight w:val="none"/>
        </w:rPr>
        <w:t xml:space="preserve">.2 </w:t>
      </w:r>
      <w:r>
        <w:rPr>
          <w:rFonts w:hint="eastAsia" w:ascii="宋体" w:hAnsi="宋体" w:cs="宋体"/>
          <w:color w:val="auto"/>
          <w:szCs w:val="21"/>
          <w:highlight w:val="none"/>
        </w:rPr>
        <w:t>评标委员会成员有下列情形之一的，应当回避：</w:t>
      </w:r>
    </w:p>
    <w:p w14:paraId="45E5AF56">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）投标人或投标人主要负责人的近亲属；</w:t>
      </w:r>
    </w:p>
    <w:p w14:paraId="4C97829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）项目主管部门或者行政监督部门的人员；</w:t>
      </w:r>
    </w:p>
    <w:p w14:paraId="2C98505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）与投标人有经济利益关系；</w:t>
      </w:r>
    </w:p>
    <w:p w14:paraId="73B4E9CC">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）曾因在招标、评标以及其他与招标投标有关活动中从事违法行为而受过行政处罚或刑事处罚的；</w:t>
      </w:r>
    </w:p>
    <w:p w14:paraId="2B1A9721">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）与投标人有其他利害关系。</w:t>
      </w:r>
    </w:p>
    <w:p w14:paraId="5094578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评标过程中，评标委员会成员有回避事由、擅离职守或因健康等原因不能继续评标的，招标人有权更换。被更换的评标委员会成员作出的评审结论无效，由更换后的评标委员会成员重新进行评审。</w:t>
      </w:r>
    </w:p>
    <w:p w14:paraId="1D37B27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bCs/>
          <w:highlight w:val="none"/>
          <w:lang w:val="en-US"/>
        </w:rPr>
      </w:pPr>
      <w:r>
        <w:rPr>
          <w:rFonts w:hint="eastAsia" w:ascii="宋体" w:hAnsi="宋体" w:eastAsia="宋体" w:cs="宋体"/>
          <w:bCs/>
          <w:color w:val="000000"/>
          <w:kern w:val="0"/>
          <w:sz w:val="21"/>
          <w:szCs w:val="21"/>
          <w:highlight w:val="none"/>
          <w:u w:color="000000"/>
          <w:lang w:val="en-US" w:eastAsia="zh-CN" w:bidi="ar"/>
        </w:rPr>
        <w:t>30.4</w:t>
      </w:r>
      <w:r>
        <w:rPr>
          <w:rFonts w:hint="eastAsia" w:ascii="宋体" w:hAnsi="宋体" w:eastAsia="宋体" w:cs="宋体"/>
          <w:b/>
          <w:bCs/>
          <w:color w:val="000000"/>
          <w:kern w:val="0"/>
          <w:sz w:val="21"/>
          <w:szCs w:val="21"/>
          <w:highlight w:val="none"/>
          <w:u w:color="000000"/>
          <w:lang w:val="en-US" w:eastAsia="zh-CN" w:bidi="ar"/>
        </w:rPr>
        <w:t>招标人授权评标委员会对投标人资格进行审查。</w:t>
      </w:r>
    </w:p>
    <w:p w14:paraId="2BB48C23">
      <w:pPr>
        <w:keepNext w:val="0"/>
        <w:keepLines w:val="0"/>
        <w:widowControl/>
        <w:suppressLineNumbers w:val="0"/>
        <w:spacing w:before="0" w:beforeAutospacing="0" w:after="0" w:afterAutospacing="0" w:line="400" w:lineRule="exact"/>
        <w:ind w:left="0" w:right="0" w:firstLine="415" w:firstLineChars="198"/>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31. 评标</w:t>
      </w:r>
    </w:p>
    <w:p w14:paraId="750F17A7">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.1评标委员会按照第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章“评标办法”规定的方法、评审因素、标准和程序对投标文件进行评审。第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章“评标办法”没有规定的方法、评审因素和标准，不作为评标依据。</w:t>
      </w:r>
    </w:p>
    <w:p w14:paraId="2EF7E832">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highlight w:val="none"/>
          <w:lang w:val="en-US"/>
        </w:rPr>
      </w:pP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17190F3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31.3评标原则：</w:t>
      </w:r>
    </w:p>
    <w:p w14:paraId="757B694E">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bookmarkStart w:id="39" w:name="_Toc5272_WPSOffice_Level3"/>
      <w:bookmarkEnd w:id="39"/>
      <w:r>
        <w:rPr>
          <w:rFonts w:hint="eastAsia" w:ascii="宋体" w:hAnsi="宋体" w:eastAsia="宋体" w:cs="宋体"/>
          <w:color w:val="000000"/>
          <w:kern w:val="0"/>
          <w:sz w:val="21"/>
          <w:szCs w:val="21"/>
          <w:highlight w:val="none"/>
          <w:u w:color="000000"/>
          <w:lang w:val="en-US" w:eastAsia="zh-CN" w:bidi="ar"/>
        </w:rPr>
        <w:t>31.3.1遵循公平、公正、科学和择优的原则。</w:t>
      </w:r>
    </w:p>
    <w:p w14:paraId="7E580809">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31.4报价合理性的判断</w:t>
      </w:r>
    </w:p>
    <w:p w14:paraId="1F6C7515">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kern w:val="0"/>
          <w:sz w:val="21"/>
          <w:szCs w:val="21"/>
          <w:highlight w:val="none"/>
          <w:u w:color="000000"/>
          <w:lang w:val="en-US" w:eastAsia="zh-CN" w:bidi="ar"/>
        </w:rPr>
      </w:pPr>
      <w:r>
        <w:rPr>
          <w:rFonts w:hint="eastAsia" w:ascii="宋体" w:hAnsi="宋体" w:eastAsia="宋体" w:cs="宋体"/>
          <w:color w:val="000000"/>
          <w:kern w:val="0"/>
          <w:sz w:val="21"/>
          <w:szCs w:val="21"/>
          <w:highlight w:val="none"/>
          <w:u w:color="000000"/>
          <w:lang w:val="en-US" w:eastAsia="zh-CN" w:bidi="ar"/>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1BD4457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1</w:t>
      </w: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评审意见分歧的处理办法</w:t>
      </w:r>
    </w:p>
    <w:p w14:paraId="0491C263">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（1）评标委员会应当对投标人提供的报告、证明材料及详细说明认真研究。对存在意见分歧的，可采用投票方式表决决定（按多数评委意见为准）；</w:t>
      </w:r>
    </w:p>
    <w:p w14:paraId="5D85599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（2）招标投标当事人对评标结果提出异议或者投诉，公共资源交易监督机构认为需要重新进行评标的，评标委员会成员应当按照公共资源交易监督机构要求重新评标。</w:t>
      </w:r>
    </w:p>
    <w:p w14:paraId="684098F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评标报告的签署</w:t>
      </w:r>
    </w:p>
    <w:p w14:paraId="6928153F">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31.6</w:t>
      </w:r>
      <w:r>
        <w:rPr>
          <w:rFonts w:hint="eastAsia" w:ascii="宋体" w:hAnsi="Times New Roman" w:eastAsia="宋体" w:cs="Times New Roman"/>
          <w:color w:val="auto"/>
          <w:szCs w:val="21"/>
          <w:highlight w:val="none"/>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41827E7C">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w:t>
      </w:r>
      <w:r>
        <w:rPr>
          <w:rFonts w:hint="eastAsia" w:ascii="宋体" w:hAnsi="Times New Roman" w:eastAsia="宋体" w:cs="Times New Roman"/>
          <w:color w:val="auto"/>
          <w:szCs w:val="21"/>
          <w:highlight w:val="none"/>
        </w:rPr>
        <w:t>评标过程的保密</w:t>
      </w:r>
    </w:p>
    <w:p w14:paraId="54DD55BB">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31.7.1</w:t>
      </w:r>
      <w:r>
        <w:rPr>
          <w:rFonts w:hint="eastAsia" w:ascii="宋体" w:hAnsi="Times New Roman" w:eastAsia="宋体" w:cs="Times New Roman"/>
          <w:color w:val="auto"/>
          <w:szCs w:val="21"/>
          <w:highlight w:val="none"/>
        </w:rPr>
        <w:t>评标委员会成员和与评标活动有关的工作人员不得透露对投标文件的评审和比较、中标人的推荐情况以及与评标有关的其他情况。</w:t>
      </w:r>
    </w:p>
    <w:p w14:paraId="24587682">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highlight w:val="none"/>
          <w:lang w:val="en-US"/>
        </w:rPr>
      </w:pPr>
      <w:r>
        <w:rPr>
          <w:rFonts w:hint="eastAsia" w:ascii="宋体" w:hAnsi="宋体" w:eastAsia="宋体" w:cs="宋体"/>
          <w:b/>
          <w:bCs w:val="0"/>
          <w:color w:val="000000"/>
          <w:kern w:val="0"/>
          <w:sz w:val="21"/>
          <w:szCs w:val="21"/>
          <w:highlight w:val="none"/>
          <w:u w:color="000000"/>
          <w:lang w:val="en-US" w:eastAsia="zh-CN" w:bidi="ar"/>
        </w:rPr>
        <w:t>32.开评审异常情况处理</w:t>
      </w:r>
    </w:p>
    <w:p w14:paraId="4AA52FE9">
      <w:pPr>
        <w:keepNext w:val="0"/>
        <w:keepLines w:val="0"/>
        <w:widowControl/>
        <w:suppressLineNumbers w:val="0"/>
        <w:spacing w:before="0" w:beforeAutospacing="0" w:after="0" w:afterAutospacing="0" w:line="420" w:lineRule="exact"/>
        <w:ind w:left="0" w:right="-312" w:rightChars="-149" w:firstLine="420" w:firstLineChars="200"/>
        <w:jc w:val="both"/>
        <w:rPr>
          <w:rFonts w:hint="eastAsia" w:ascii="宋体" w:hAnsi="Times New Roman"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32.1若有效投标人不足三家，则采用竞争性谈判方式确定中标候选人，若有效投标人只有一家则项目流标。</w:t>
      </w:r>
    </w:p>
    <w:p w14:paraId="5A226875">
      <w:pPr>
        <w:keepNext w:val="0"/>
        <w:keepLines w:val="0"/>
        <w:widowControl/>
        <w:numPr>
          <w:ilvl w:val="0"/>
          <w:numId w:val="0"/>
        </w:numPr>
        <w:suppressLineNumbers w:val="0"/>
        <w:spacing w:before="0" w:beforeAutospacing="0" w:after="0" w:afterAutospacing="0" w:line="440" w:lineRule="exact"/>
        <w:ind w:leftChars="198" w:right="0" w:rightChars="0"/>
        <w:jc w:val="left"/>
        <w:rPr>
          <w:rFonts w:hint="eastAsia" w:ascii="宋体" w:hAnsi="宋体" w:eastAsia="宋体" w:cs="宋体"/>
          <w:b/>
          <w:bCs w:val="0"/>
          <w:color w:val="000000"/>
          <w:kern w:val="0"/>
          <w:sz w:val="21"/>
          <w:szCs w:val="21"/>
          <w:highlight w:val="none"/>
          <w:u w:color="000000"/>
          <w:lang w:val="en-US" w:eastAsia="zh-CN" w:bidi="ar"/>
        </w:rPr>
      </w:pPr>
      <w:r>
        <w:rPr>
          <w:rFonts w:hint="eastAsia" w:ascii="宋体" w:hAnsi="宋体" w:eastAsia="宋体" w:cs="宋体"/>
          <w:b/>
          <w:bCs w:val="0"/>
          <w:color w:val="000000"/>
          <w:kern w:val="0"/>
          <w:sz w:val="21"/>
          <w:szCs w:val="21"/>
          <w:highlight w:val="none"/>
          <w:u w:color="000000"/>
          <w:lang w:val="en-US" w:eastAsia="zh-CN" w:bidi="ar"/>
        </w:rPr>
        <w:t xml:space="preserve">33.重新招标 </w:t>
      </w:r>
    </w:p>
    <w:p w14:paraId="7B5BB3A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33.1有下列情形之一的，招标人将重新招标：</w:t>
      </w:r>
    </w:p>
    <w:p w14:paraId="586DC432">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(1)经评标委员会评审后否决所有投标的；</w:t>
      </w:r>
    </w:p>
    <w:p w14:paraId="366BCB5E">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(2)</w:t>
      </w:r>
      <w:r>
        <w:rPr>
          <w:rFonts w:hint="eastAsia" w:ascii="宋体" w:hAnsi="Times New Roman" w:eastAsia="宋体" w:cs="Times New Roman"/>
          <w:color w:val="auto"/>
          <w:spacing w:val="0"/>
          <w:sz w:val="21"/>
          <w:szCs w:val="21"/>
          <w:highlight w:val="none"/>
          <w:lang w:val="en-US" w:eastAsia="zh-CN"/>
        </w:rPr>
        <w:t>中标候选人均未与招标人签订合同的</w:t>
      </w:r>
      <w:r>
        <w:rPr>
          <w:rFonts w:hint="eastAsia" w:ascii="宋体" w:hAnsi="宋体" w:eastAsia="宋体" w:cs="宋体"/>
          <w:color w:val="000000"/>
          <w:kern w:val="0"/>
          <w:sz w:val="21"/>
          <w:szCs w:val="21"/>
          <w:highlight w:val="none"/>
          <w:u w:color="000000"/>
          <w:lang w:val="en-US" w:eastAsia="zh-CN" w:bidi="ar"/>
        </w:rPr>
        <w:t>；</w:t>
      </w:r>
    </w:p>
    <w:p w14:paraId="691BA37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(3)</w:t>
      </w:r>
      <w:r>
        <w:rPr>
          <w:rFonts w:hint="eastAsia" w:ascii="宋体" w:hAnsi="Times New Roman" w:eastAsia="宋体" w:cs="Times New Roman"/>
          <w:color w:val="auto"/>
          <w:spacing w:val="0"/>
          <w:sz w:val="21"/>
          <w:szCs w:val="21"/>
          <w:highlight w:val="none"/>
          <w:lang w:val="en-US" w:eastAsia="zh-CN"/>
        </w:rPr>
        <w:t>法律、法规规定的其他情形</w:t>
      </w:r>
      <w:r>
        <w:rPr>
          <w:rFonts w:hint="eastAsia" w:ascii="宋体" w:hAnsi="宋体" w:eastAsia="宋体" w:cs="宋体"/>
          <w:color w:val="000000"/>
          <w:kern w:val="0"/>
          <w:sz w:val="21"/>
          <w:szCs w:val="21"/>
          <w:highlight w:val="none"/>
          <w:u w:color="000000"/>
          <w:lang w:val="en-US" w:eastAsia="zh-CN" w:bidi="ar"/>
        </w:rPr>
        <w:t>。</w:t>
      </w:r>
    </w:p>
    <w:p w14:paraId="01E638B2">
      <w:pPr>
        <w:keepNext w:val="0"/>
        <w:keepLines w:val="0"/>
        <w:widowControl w:val="0"/>
        <w:suppressLineNumbers w:val="0"/>
        <w:autoSpaceDE w:val="0"/>
        <w:autoSpaceDN/>
        <w:snapToGrid w:val="0"/>
        <w:spacing w:before="156" w:beforeLines="50" w:beforeAutospacing="0" w:after="156" w:afterLines="50" w:afterAutospacing="0" w:line="400" w:lineRule="exact"/>
        <w:ind w:left="0" w:right="0"/>
        <w:jc w:val="center"/>
        <w:outlineLvl w:val="2"/>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（六）合同授予</w:t>
      </w:r>
      <w:bookmarkEnd w:id="37"/>
    </w:p>
    <w:p w14:paraId="361B6CEF">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34.中标公示</w:t>
      </w:r>
    </w:p>
    <w:p w14:paraId="26B1519B">
      <w:pPr>
        <w:spacing w:line="420" w:lineRule="exact"/>
        <w:ind w:firstLine="420" w:firstLineChars="200"/>
        <w:jc w:val="left"/>
        <w:rPr>
          <w:rFonts w:ascii="宋体" w:hAnsi="宋体" w:eastAsia="宋体" w:cs="宋体"/>
          <w:color w:val="auto"/>
          <w:highlight w:val="none"/>
        </w:rPr>
      </w:pPr>
      <w:r>
        <w:rPr>
          <w:rFonts w:hint="eastAsia" w:ascii="宋体" w:hAnsi="宋体" w:eastAsia="宋体" w:cs="宋体"/>
          <w:color w:val="auto"/>
          <w:kern w:val="0"/>
          <w:szCs w:val="21"/>
          <w:highlight w:val="none"/>
          <w:u w:color="000000"/>
          <w:lang w:bidi="ar"/>
        </w:rPr>
        <w:t>3</w:t>
      </w:r>
      <w:r>
        <w:rPr>
          <w:rFonts w:hint="eastAsia" w:ascii="宋体" w:hAnsi="宋体" w:eastAsia="宋体" w:cs="宋体"/>
          <w:color w:val="auto"/>
          <w:kern w:val="0"/>
          <w:szCs w:val="21"/>
          <w:highlight w:val="none"/>
          <w:u w:color="000000"/>
          <w:lang w:val="en-US" w:eastAsia="zh-CN" w:bidi="ar"/>
        </w:rPr>
        <w:t>4</w:t>
      </w:r>
      <w:r>
        <w:rPr>
          <w:rFonts w:hint="eastAsia" w:ascii="宋体" w:hAnsi="宋体" w:eastAsia="宋体" w:cs="宋体"/>
          <w:color w:val="auto"/>
          <w:kern w:val="0"/>
          <w:szCs w:val="21"/>
          <w:highlight w:val="none"/>
          <w:u w:color="000000"/>
          <w:lang w:bidi="ar"/>
        </w:rPr>
        <w:t>.1</w:t>
      </w:r>
      <w:r>
        <w:rPr>
          <w:rFonts w:hint="eastAsia" w:ascii="宋体" w:hAnsi="Times New Roman" w:eastAsia="宋体" w:cs="Times New Roman"/>
          <w:color w:val="auto"/>
          <w:szCs w:val="21"/>
          <w:highlight w:val="none"/>
        </w:rPr>
        <w:t>招标人在收到评标报告之日起3日内，按照投标人须知前附表规定的公示媒介和期限依法公示。公示期不得少于3日。</w:t>
      </w:r>
    </w:p>
    <w:p w14:paraId="51D03219">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35.评标结果异议</w:t>
      </w:r>
    </w:p>
    <w:p w14:paraId="1563F9B9">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5</w:t>
      </w:r>
      <w:r>
        <w:rPr>
          <w:rFonts w:hint="eastAsia" w:ascii="宋体" w:hAnsi="Times New Roman" w:eastAsia="宋体" w:cs="Times New Roman"/>
          <w:color w:val="auto"/>
          <w:szCs w:val="21"/>
          <w:highlight w:val="none"/>
        </w:rPr>
        <w:t>.1投标人或其他利害关系人对评标结果有异议的，应在中标候选人公示期内提出。招标人将在收到异议之日起3日内作出答复；作出答复前，将暂停招标投标活动。</w:t>
      </w:r>
    </w:p>
    <w:p w14:paraId="2F306C40">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36.定标</w:t>
      </w:r>
    </w:p>
    <w:p w14:paraId="6AF9F180">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6</w:t>
      </w:r>
      <w:r>
        <w:rPr>
          <w:rFonts w:hint="eastAsia" w:ascii="宋体" w:hAnsi="Times New Roman" w:eastAsia="宋体" w:cs="Times New Roman"/>
          <w:color w:val="auto"/>
          <w:szCs w:val="21"/>
          <w:highlight w:val="none"/>
        </w:rPr>
        <w:t>.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86138AF">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37.中标通知</w:t>
      </w:r>
    </w:p>
    <w:p w14:paraId="47AE25A0">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7</w:t>
      </w:r>
      <w:r>
        <w:rPr>
          <w:rFonts w:hint="eastAsia" w:ascii="宋体" w:hAnsi="Times New Roman" w:eastAsia="宋体" w:cs="Times New Roman"/>
          <w:color w:val="auto"/>
          <w:szCs w:val="21"/>
          <w:highlight w:val="none"/>
        </w:rPr>
        <w:t>.1在本招标文件规定的投标有效期内，招标人向中标人发出中标通知书，同时将中标结果通知未中标的投标人。</w:t>
      </w:r>
    </w:p>
    <w:p w14:paraId="0071E376">
      <w:pPr>
        <w:keepNext w:val="0"/>
        <w:keepLines w:val="0"/>
        <w:widowControl/>
        <w:suppressLineNumbers w:val="0"/>
        <w:spacing w:before="0" w:beforeAutospacing="0" w:after="0" w:afterAutospacing="0" w:line="440" w:lineRule="exact"/>
        <w:ind w:left="0" w:right="0" w:firstLine="420" w:firstLineChars="200"/>
        <w:jc w:val="left"/>
        <w:rPr>
          <w:rFonts w:hint="eastAsia" w:ascii="黑体" w:hAnsi="宋体" w:eastAsia="黑体" w:cs="宋体"/>
          <w:b/>
          <w:bCs w:val="0"/>
          <w:color w:val="auto"/>
          <w:kern w:val="0"/>
          <w:sz w:val="21"/>
          <w:szCs w:val="21"/>
          <w:highlight w:val="none"/>
          <w:u w:color="000000"/>
          <w:lang w:val="en-US" w:eastAsia="zh-CN" w:bidi="ar"/>
        </w:rPr>
      </w:pPr>
      <w:r>
        <w:rPr>
          <w:rFonts w:hint="eastAsia" w:ascii="黑体" w:hAnsi="宋体" w:eastAsia="黑体" w:cs="宋体"/>
          <w:b/>
          <w:bCs w:val="0"/>
          <w:color w:val="auto"/>
          <w:kern w:val="0"/>
          <w:sz w:val="21"/>
          <w:szCs w:val="21"/>
          <w:highlight w:val="none"/>
          <w:u w:color="000000"/>
          <w:lang w:val="en-US" w:eastAsia="zh-CN" w:bidi="ar"/>
        </w:rPr>
        <w:t>38.</w:t>
      </w:r>
      <w:bookmarkStart w:id="40" w:name="_Toc217446068"/>
      <w:r>
        <w:rPr>
          <w:rFonts w:hint="eastAsia" w:ascii="黑体" w:hAnsi="宋体" w:eastAsia="黑体" w:cs="宋体"/>
          <w:b/>
          <w:bCs w:val="0"/>
          <w:color w:val="auto"/>
          <w:kern w:val="0"/>
          <w:sz w:val="21"/>
          <w:szCs w:val="21"/>
          <w:highlight w:val="none"/>
          <w:u w:color="000000"/>
          <w:lang w:val="en-US" w:eastAsia="zh-CN" w:bidi="ar"/>
        </w:rPr>
        <w:t>履约保证金</w:t>
      </w:r>
      <w:bookmarkEnd w:id="40"/>
    </w:p>
    <w:p w14:paraId="2FB9F8FA">
      <w:pPr>
        <w:spacing w:line="420" w:lineRule="exact"/>
        <w:ind w:firstLine="420" w:firstLineChars="200"/>
        <w:jc w:val="left"/>
        <w:rPr>
          <w:rFonts w:ascii="宋体" w:hAnsi="Times New Roman" w:eastAsia="宋体" w:cs="Times New Roman"/>
          <w:color w:val="auto"/>
          <w:szCs w:val="21"/>
          <w:highlight w:val="none"/>
        </w:rPr>
      </w:pPr>
      <w:bookmarkStart w:id="41" w:name="_Toc316_WPSOffice_Level3"/>
      <w:bookmarkEnd w:id="41"/>
      <w:bookmarkStart w:id="42" w:name="_Toc23484"/>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8</w:t>
      </w:r>
      <w:r>
        <w:rPr>
          <w:rFonts w:hint="eastAsia" w:ascii="宋体" w:hAnsi="Times New Roman" w:eastAsia="宋体" w:cs="Times New Roman"/>
          <w:color w:val="auto"/>
          <w:szCs w:val="21"/>
          <w:highlight w:val="none"/>
        </w:rPr>
        <w:t>.1</w:t>
      </w:r>
      <w:bookmarkEnd w:id="42"/>
      <w:r>
        <w:rPr>
          <w:rFonts w:hint="eastAsia" w:ascii="宋体" w:hAnsi="Times New Roman" w:eastAsia="宋体" w:cs="Times New Roman"/>
          <w:color w:val="auto"/>
          <w:szCs w:val="21"/>
          <w:highlight w:val="none"/>
        </w:rPr>
        <w:t>在签订合同前，中标人应按投标人须知前附表规定的担保形式和招标文件第</w:t>
      </w:r>
      <w:r>
        <w:rPr>
          <w:rFonts w:hint="eastAsia" w:ascii="宋体" w:hAnsi="Times New Roman" w:eastAsia="宋体" w:cs="Times New Roman"/>
          <w:color w:val="auto"/>
          <w:szCs w:val="21"/>
          <w:highlight w:val="none"/>
          <w:lang w:val="en-US" w:eastAsia="zh-CN"/>
        </w:rPr>
        <w:t>六</w:t>
      </w:r>
      <w:r>
        <w:rPr>
          <w:rFonts w:hint="eastAsia" w:ascii="宋体" w:hAnsi="Times New Roman" w:eastAsia="宋体" w:cs="Times New Roman"/>
          <w:color w:val="auto"/>
          <w:szCs w:val="21"/>
          <w:highlight w:val="none"/>
        </w:rPr>
        <w:t>章“合同条款及格式”规定的或者事先经过招标人书面认可的履约担保格式向招标人提交履约担保。</w:t>
      </w:r>
    </w:p>
    <w:p w14:paraId="51DDA9A1">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8</w:t>
      </w:r>
      <w:r>
        <w:rPr>
          <w:rFonts w:hint="eastAsia" w:ascii="宋体" w:hAnsi="Times New Roman" w:eastAsia="宋体" w:cs="Times New Roman"/>
          <w:color w:val="auto"/>
          <w:szCs w:val="21"/>
          <w:highlight w:val="none"/>
        </w:rPr>
        <w:t>.2中标人不能按本章第3</w:t>
      </w:r>
      <w:r>
        <w:rPr>
          <w:rFonts w:hint="eastAsia" w:ascii="宋体" w:hAnsi="Times New Roman" w:eastAsia="宋体" w:cs="Times New Roman"/>
          <w:color w:val="auto"/>
          <w:szCs w:val="21"/>
          <w:highlight w:val="none"/>
          <w:lang w:val="en-US" w:eastAsia="zh-CN"/>
        </w:rPr>
        <w:t>8.</w:t>
      </w:r>
      <w:r>
        <w:rPr>
          <w:rFonts w:hint="eastAsia" w:ascii="宋体" w:hAnsi="Times New Roman" w:eastAsia="宋体" w:cs="Times New Roman"/>
          <w:color w:val="auto"/>
          <w:szCs w:val="21"/>
          <w:highlight w:val="none"/>
        </w:rPr>
        <w:t>1项要求提交履约担保的，视为放弃中标，给招标人造成的损失，中标人还应当予以赔偿。</w:t>
      </w:r>
    </w:p>
    <w:p w14:paraId="458C332C">
      <w:pPr>
        <w:keepNext w:val="0"/>
        <w:keepLines w:val="0"/>
        <w:widowControl w:val="0"/>
        <w:suppressLineNumbers w:val="0"/>
        <w:autoSpaceDE w:val="0"/>
        <w:autoSpaceDN/>
        <w:spacing w:before="0" w:beforeAutospacing="0" w:after="0" w:afterAutospacing="0" w:line="400" w:lineRule="exact"/>
        <w:ind w:left="0" w:right="0" w:firstLine="480" w:firstLineChars="200"/>
        <w:jc w:val="center"/>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（七）纪律和监督</w:t>
      </w:r>
    </w:p>
    <w:p w14:paraId="7B6AC9F1">
      <w:pPr>
        <w:widowControl/>
        <w:spacing w:line="440" w:lineRule="exact"/>
        <w:ind w:left="41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3</w:t>
      </w:r>
      <w:r>
        <w:rPr>
          <w:rFonts w:hint="eastAsia" w:ascii="宋体" w:hAnsi="宋体" w:eastAsia="宋体" w:cs="宋体"/>
          <w:b/>
          <w:color w:val="auto"/>
          <w:kern w:val="0"/>
          <w:szCs w:val="21"/>
          <w:highlight w:val="none"/>
          <w:u w:color="000000"/>
          <w:lang w:val="en-US" w:eastAsia="zh-CN" w:bidi="ar"/>
        </w:rPr>
        <w:t>9</w:t>
      </w:r>
      <w:r>
        <w:rPr>
          <w:rFonts w:hint="eastAsia" w:ascii="宋体" w:hAnsi="宋体" w:eastAsia="宋体" w:cs="宋体"/>
          <w:b/>
          <w:color w:val="auto"/>
          <w:kern w:val="0"/>
          <w:szCs w:val="21"/>
          <w:highlight w:val="none"/>
          <w:u w:color="000000"/>
          <w:lang w:bidi="ar"/>
        </w:rPr>
        <w:t xml:space="preserve">.对招标人的纪律要求 </w:t>
      </w:r>
    </w:p>
    <w:p w14:paraId="2003A691">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w:t>
      </w:r>
      <w:r>
        <w:rPr>
          <w:rFonts w:hint="eastAsia" w:ascii="宋体" w:hAnsi="Times New Roman" w:eastAsia="宋体" w:cs="Times New Roman"/>
          <w:color w:val="auto"/>
          <w:szCs w:val="21"/>
          <w:highlight w:val="none"/>
          <w:lang w:val="en-US" w:eastAsia="zh-CN"/>
        </w:rPr>
        <w:t>9</w:t>
      </w:r>
      <w:r>
        <w:rPr>
          <w:rFonts w:hint="eastAsia" w:ascii="宋体" w:hAnsi="Times New Roman" w:eastAsia="宋体" w:cs="Times New Roman"/>
          <w:color w:val="auto"/>
          <w:szCs w:val="21"/>
          <w:highlight w:val="none"/>
        </w:rPr>
        <w:t xml:space="preserve">.1招标人不得泄漏招标投标活动中应当保密的情况和资料，不得与投标人串通损害国家利益，社会公共利益或者他人合法权益。 </w:t>
      </w:r>
    </w:p>
    <w:p w14:paraId="2EACE090">
      <w:pPr>
        <w:widowControl/>
        <w:spacing w:line="440" w:lineRule="exact"/>
        <w:ind w:left="41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val="en-US" w:eastAsia="zh-CN" w:bidi="ar"/>
        </w:rPr>
        <w:t>40</w:t>
      </w:r>
      <w:r>
        <w:rPr>
          <w:rFonts w:hint="eastAsia" w:ascii="宋体" w:hAnsi="宋体" w:eastAsia="宋体" w:cs="宋体"/>
          <w:b/>
          <w:color w:val="auto"/>
          <w:kern w:val="0"/>
          <w:szCs w:val="21"/>
          <w:highlight w:val="none"/>
          <w:u w:color="000000"/>
          <w:lang w:bidi="ar"/>
        </w:rPr>
        <w:t xml:space="preserve">.对投标人的纪律要求 </w:t>
      </w:r>
    </w:p>
    <w:p w14:paraId="6848E36B">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40</w:t>
      </w:r>
      <w:r>
        <w:rPr>
          <w:rFonts w:hint="eastAsia" w:ascii="宋体" w:hAnsi="Times New Roman" w:eastAsia="宋体" w:cs="Times New Roman"/>
          <w:color w:val="auto"/>
          <w:szCs w:val="21"/>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14:paraId="07A32B04">
      <w:pPr>
        <w:widowControl/>
        <w:spacing w:line="440" w:lineRule="exact"/>
        <w:ind w:left="41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4</w:t>
      </w:r>
      <w:r>
        <w:rPr>
          <w:rFonts w:hint="eastAsia" w:ascii="宋体" w:hAnsi="宋体" w:eastAsia="宋体" w:cs="宋体"/>
          <w:b/>
          <w:color w:val="auto"/>
          <w:kern w:val="0"/>
          <w:szCs w:val="21"/>
          <w:highlight w:val="none"/>
          <w:u w:color="000000"/>
          <w:lang w:val="en-US" w:eastAsia="zh-CN" w:bidi="ar"/>
        </w:rPr>
        <w:t>1</w:t>
      </w:r>
      <w:r>
        <w:rPr>
          <w:rFonts w:hint="eastAsia" w:ascii="宋体" w:hAnsi="宋体" w:eastAsia="宋体" w:cs="宋体"/>
          <w:b/>
          <w:color w:val="auto"/>
          <w:kern w:val="0"/>
          <w:szCs w:val="21"/>
          <w:highlight w:val="none"/>
          <w:u w:color="000000"/>
          <w:lang w:bidi="ar"/>
        </w:rPr>
        <w:t xml:space="preserve">.对评标委员会成员的纪律要求 </w:t>
      </w:r>
    </w:p>
    <w:p w14:paraId="4A9784EC">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val="en-US" w:eastAsia="zh-CN"/>
        </w:rPr>
        <w:t>41</w:t>
      </w:r>
      <w:r>
        <w:rPr>
          <w:rFonts w:hint="eastAsia" w:ascii="宋体" w:hAnsi="Times New Roman" w:eastAsia="宋体" w:cs="Times New Roman"/>
          <w:color w:val="auto"/>
          <w:szCs w:val="21"/>
          <w:highlight w:val="none"/>
        </w:rPr>
        <w:t>.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ADF6AA3">
      <w:pPr>
        <w:widowControl/>
        <w:spacing w:line="440" w:lineRule="exact"/>
        <w:ind w:left="41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4</w:t>
      </w:r>
      <w:r>
        <w:rPr>
          <w:rFonts w:hint="eastAsia" w:ascii="宋体" w:hAnsi="宋体" w:eastAsia="宋体" w:cs="宋体"/>
          <w:b/>
          <w:color w:val="auto"/>
          <w:kern w:val="0"/>
          <w:szCs w:val="21"/>
          <w:highlight w:val="none"/>
          <w:u w:color="000000"/>
          <w:lang w:val="en-US" w:eastAsia="zh-CN" w:bidi="ar"/>
        </w:rPr>
        <w:t>2</w:t>
      </w:r>
      <w:r>
        <w:rPr>
          <w:rFonts w:hint="eastAsia" w:ascii="宋体" w:hAnsi="宋体" w:eastAsia="宋体" w:cs="宋体"/>
          <w:b/>
          <w:color w:val="auto"/>
          <w:kern w:val="0"/>
          <w:szCs w:val="21"/>
          <w:highlight w:val="none"/>
          <w:u w:color="000000"/>
          <w:lang w:bidi="ar"/>
        </w:rPr>
        <w:t xml:space="preserve">.对与评标活动有关的工作人员的纪律要求 </w:t>
      </w:r>
    </w:p>
    <w:p w14:paraId="5FC62A45">
      <w:pPr>
        <w:spacing w:line="420" w:lineRule="exact"/>
        <w:ind w:firstLine="420" w:firstLineChars="200"/>
        <w:jc w:val="left"/>
        <w:rPr>
          <w:rFonts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2</w:t>
      </w:r>
      <w:r>
        <w:rPr>
          <w:rFonts w:hint="eastAsia" w:ascii="宋体" w:hAnsi="Times New Roman" w:eastAsia="宋体" w:cs="Times New Roman"/>
          <w:color w:val="auto"/>
          <w:szCs w:val="21"/>
          <w:highlight w:val="none"/>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65CF1532">
      <w:pPr>
        <w:keepNext w:val="0"/>
        <w:keepLines w:val="0"/>
        <w:widowControl w:val="0"/>
        <w:suppressLineNumbers w:val="0"/>
        <w:snapToGrid w:val="0"/>
        <w:spacing w:before="156" w:beforeLines="50" w:beforeAutospacing="0" w:after="156" w:afterLines="50" w:afterAutospacing="0" w:line="400" w:lineRule="exact"/>
        <w:ind w:left="0" w:right="0"/>
        <w:jc w:val="center"/>
        <w:outlineLvl w:val="2"/>
        <w:rPr>
          <w:rFonts w:hint="eastAsia" w:ascii="黑体" w:hAnsi="宋体" w:eastAsia="黑体" w:cs="黑体"/>
          <w:sz w:val="28"/>
          <w:szCs w:val="28"/>
          <w:highlight w:val="none"/>
          <w:lang w:val="en-US"/>
        </w:rPr>
      </w:pPr>
      <w:r>
        <w:rPr>
          <w:rFonts w:hint="eastAsia" w:ascii="宋体" w:hAnsi="宋体" w:eastAsia="宋体" w:cs="宋体"/>
          <w:b/>
          <w:bCs w:val="0"/>
          <w:color w:val="000000"/>
          <w:kern w:val="0"/>
          <w:sz w:val="24"/>
          <w:szCs w:val="24"/>
          <w:highlight w:val="none"/>
          <w:u w:color="000000"/>
          <w:lang w:val="en-US" w:eastAsia="zh-CN" w:bidi="ar"/>
        </w:rPr>
        <w:t>（八）投诉</w:t>
      </w:r>
    </w:p>
    <w:p w14:paraId="7DDAFA1C">
      <w:pPr>
        <w:widowControl/>
        <w:spacing w:line="440" w:lineRule="exact"/>
        <w:ind w:left="415" w:leftChars="198"/>
        <w:jc w:val="left"/>
        <w:rPr>
          <w:rFonts w:ascii="宋体" w:hAnsi="宋体" w:eastAsia="宋体" w:cs="宋体"/>
          <w:b/>
          <w:color w:val="auto"/>
          <w:kern w:val="0"/>
          <w:szCs w:val="21"/>
          <w:highlight w:val="none"/>
          <w:u w:color="000000"/>
          <w:lang w:bidi="ar"/>
        </w:rPr>
      </w:pPr>
      <w:r>
        <w:rPr>
          <w:rFonts w:hint="eastAsia" w:ascii="宋体" w:hAnsi="宋体" w:eastAsia="宋体" w:cs="宋体"/>
          <w:b/>
          <w:color w:val="auto"/>
          <w:kern w:val="0"/>
          <w:szCs w:val="21"/>
          <w:highlight w:val="none"/>
          <w:u w:color="000000"/>
          <w:lang w:bidi="ar"/>
        </w:rPr>
        <w:t>4</w:t>
      </w:r>
      <w:r>
        <w:rPr>
          <w:rFonts w:hint="eastAsia" w:ascii="宋体" w:hAnsi="宋体" w:eastAsia="宋体" w:cs="宋体"/>
          <w:b/>
          <w:color w:val="auto"/>
          <w:kern w:val="0"/>
          <w:szCs w:val="21"/>
          <w:highlight w:val="none"/>
          <w:u w:color="000000"/>
          <w:lang w:val="en-US" w:eastAsia="zh-CN" w:bidi="ar"/>
        </w:rPr>
        <w:t>3</w:t>
      </w:r>
      <w:r>
        <w:rPr>
          <w:rFonts w:hint="eastAsia" w:ascii="宋体" w:hAnsi="宋体" w:eastAsia="宋体" w:cs="宋体"/>
          <w:b/>
          <w:color w:val="auto"/>
          <w:kern w:val="0"/>
          <w:szCs w:val="21"/>
          <w:highlight w:val="none"/>
          <w:u w:color="000000"/>
          <w:lang w:bidi="ar"/>
        </w:rPr>
        <w:t>.投诉</w:t>
      </w:r>
    </w:p>
    <w:p w14:paraId="54FF0986">
      <w:pPr>
        <w:spacing w:line="420" w:lineRule="exact"/>
        <w:ind w:firstLine="420" w:firstLineChars="200"/>
        <w:jc w:val="left"/>
        <w:rPr>
          <w:rFonts w:hint="eastAsia" w:ascii="宋体"/>
          <w:b/>
          <w:color w:val="auto"/>
          <w:sz w:val="32"/>
          <w:szCs w:val="32"/>
          <w:highlight w:val="none"/>
        </w:rPr>
      </w:pPr>
      <w:r>
        <w:rPr>
          <w:rFonts w:hint="eastAsia" w:ascii="宋体" w:hAnsi="Times New Roman" w:eastAsia="宋体" w:cs="Times New Roman"/>
          <w:color w:val="auto"/>
          <w:szCs w:val="21"/>
          <w:highlight w:val="none"/>
        </w:rPr>
        <w:t>4</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.1投标人或者其他利害关系人认为招标投标活动违反法律、法规和规章规定的，有权向相关行政监督部门投诉。投诉应当有明确的请求和必要的证明材料。</w:t>
      </w:r>
    </w:p>
    <w:p w14:paraId="48771897">
      <w:pPr>
        <w:rPr>
          <w:rFonts w:hint="eastAsia" w:ascii="宋体"/>
          <w:b/>
          <w:color w:val="auto"/>
          <w:sz w:val="32"/>
          <w:szCs w:val="32"/>
          <w:highlight w:val="none"/>
        </w:rPr>
      </w:pPr>
      <w:r>
        <w:rPr>
          <w:rFonts w:hint="eastAsia" w:ascii="宋体"/>
          <w:b/>
          <w:color w:val="auto"/>
          <w:sz w:val="32"/>
          <w:szCs w:val="32"/>
          <w:highlight w:val="none"/>
        </w:rPr>
        <w:br w:type="page"/>
      </w:r>
    </w:p>
    <w:p w14:paraId="168B1AB6">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 xml:space="preserve">章 </w:t>
      </w:r>
      <w:r>
        <w:rPr>
          <w:rFonts w:hint="eastAsia" w:ascii="宋体"/>
          <w:b/>
          <w:color w:val="auto"/>
          <w:sz w:val="32"/>
          <w:szCs w:val="32"/>
          <w:highlight w:val="none"/>
          <w:lang w:val="en-US" w:eastAsia="zh-CN"/>
        </w:rPr>
        <w:t>资格审查</w:t>
      </w:r>
      <w:r>
        <w:rPr>
          <w:rFonts w:hint="eastAsia" w:ascii="宋体"/>
          <w:b/>
          <w:color w:val="auto"/>
          <w:sz w:val="32"/>
          <w:szCs w:val="32"/>
          <w:highlight w:val="none"/>
        </w:rPr>
        <w:t>办法</w:t>
      </w:r>
    </w:p>
    <w:p w14:paraId="4FF62F00">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1"/>
        <w:rPr>
          <w:rFonts w:hint="eastAsia" w:ascii="宋体" w:hAnsi="Times New Roman" w:eastAsia="宋体" w:cs="Times New Roman"/>
          <w:b/>
          <w:color w:val="000000"/>
          <w:sz w:val="28"/>
          <w:szCs w:val="28"/>
          <w:highlight w:val="none"/>
        </w:rPr>
      </w:pPr>
      <w:r>
        <w:rPr>
          <w:rFonts w:hint="eastAsia" w:ascii="宋体" w:hAnsi="Times New Roman" w:eastAsia="宋体" w:cs="Times New Roman"/>
          <w:b/>
          <w:color w:val="000000"/>
          <w:sz w:val="28"/>
          <w:szCs w:val="28"/>
          <w:highlight w:val="none"/>
          <w:lang w:eastAsia="zh-CN"/>
        </w:rPr>
        <w:t>（</w:t>
      </w:r>
      <w:r>
        <w:rPr>
          <w:rFonts w:hint="eastAsia" w:ascii="宋体" w:hAnsi="Times New Roman" w:eastAsia="宋体" w:cs="Times New Roman"/>
          <w:b/>
          <w:color w:val="000000"/>
          <w:sz w:val="28"/>
          <w:szCs w:val="28"/>
          <w:highlight w:val="none"/>
          <w:lang w:val="en-US" w:eastAsia="zh-CN"/>
        </w:rPr>
        <w:t>一）</w:t>
      </w:r>
      <w:r>
        <w:rPr>
          <w:rFonts w:hint="eastAsia" w:ascii="宋体" w:hAnsi="Times New Roman" w:eastAsia="宋体" w:cs="Times New Roman"/>
          <w:b/>
          <w:color w:val="000000"/>
          <w:sz w:val="28"/>
          <w:szCs w:val="28"/>
          <w:highlight w:val="none"/>
        </w:rPr>
        <w:t>资格审查办法前附表</w:t>
      </w:r>
    </w:p>
    <w:p w14:paraId="1E00ACD9">
      <w:pPr>
        <w:adjustRightInd w:val="0"/>
        <w:snapToGrid w:val="0"/>
        <w:spacing w:line="560" w:lineRule="exact"/>
        <w:jc w:val="left"/>
        <w:rPr>
          <w:rFonts w:hint="eastAsia"/>
          <w:color w:val="auto"/>
          <w:szCs w:val="21"/>
          <w:highlight w:val="none"/>
        </w:rPr>
      </w:pPr>
      <w:r>
        <w:rPr>
          <w:rFonts w:hint="eastAsia"/>
          <w:color w:val="000000"/>
          <w:highlight w:val="none"/>
          <w:lang w:val="en-US" w:eastAsia="zh-CN"/>
        </w:rPr>
        <w:t>1.</w:t>
      </w:r>
      <w:r>
        <w:rPr>
          <w:rFonts w:hint="eastAsia"/>
          <w:color w:val="000000"/>
          <w:highlight w:val="none"/>
        </w:rPr>
        <w:t>资信证明文件评审</w:t>
      </w:r>
      <w:r>
        <w:rPr>
          <w:rFonts w:hint="eastAsia" w:ascii="宋体"/>
          <w:b/>
          <w:color w:val="auto"/>
          <w:szCs w:val="21"/>
          <w:highlight w:val="none"/>
        </w:rPr>
        <w:t>:</w:t>
      </w:r>
    </w:p>
    <w:tbl>
      <w:tblPr>
        <w:tblStyle w:val="2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52F4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0CC19D4A">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黑体" w:eastAsia="黑体" w:cs="黑体"/>
                <w:b/>
                <w:bCs/>
                <w:color w:val="000000"/>
                <w:szCs w:val="21"/>
                <w:highlight w:val="none"/>
              </w:rPr>
              <w:t>序号</w:t>
            </w:r>
          </w:p>
        </w:tc>
        <w:tc>
          <w:tcPr>
            <w:tcW w:w="4243" w:type="dxa"/>
            <w:gridSpan w:val="2"/>
            <w:noWrap w:val="0"/>
            <w:vAlign w:val="center"/>
          </w:tcPr>
          <w:p w14:paraId="142266E1">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评审因素</w:t>
            </w:r>
          </w:p>
        </w:tc>
        <w:tc>
          <w:tcPr>
            <w:tcW w:w="3929" w:type="dxa"/>
            <w:noWrap w:val="0"/>
            <w:vAlign w:val="center"/>
          </w:tcPr>
          <w:p w14:paraId="7C34AD61">
            <w:pPr>
              <w:keepNext w:val="0"/>
              <w:keepLines w:val="0"/>
              <w:suppressLineNumbers w:val="0"/>
              <w:spacing w:before="0" w:beforeAutospacing="0" w:after="0" w:afterAutospacing="0" w:line="320" w:lineRule="exact"/>
              <w:ind w:left="0" w:right="0"/>
              <w:jc w:val="center"/>
              <w:rPr>
                <w:rFonts w:hint="eastAsia"/>
                <w:color w:val="000000"/>
                <w:highlight w:val="none"/>
              </w:rPr>
            </w:pPr>
            <w:r>
              <w:rPr>
                <w:rFonts w:hint="eastAsia" w:ascii="宋体" w:hAnsi="宋体"/>
                <w:color w:val="000000"/>
                <w:szCs w:val="21"/>
                <w:highlight w:val="none"/>
              </w:rPr>
              <w:t>评审标准</w:t>
            </w:r>
          </w:p>
        </w:tc>
      </w:tr>
      <w:tr w14:paraId="070F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70356464">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1</w:t>
            </w:r>
          </w:p>
        </w:tc>
        <w:tc>
          <w:tcPr>
            <w:tcW w:w="1235" w:type="dxa"/>
            <w:noWrap w:val="0"/>
            <w:vAlign w:val="center"/>
          </w:tcPr>
          <w:p w14:paraId="23A24DE5">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color w:val="000000"/>
                <w:szCs w:val="21"/>
                <w:highlight w:val="none"/>
              </w:rPr>
              <w:t>重要要求</w:t>
            </w:r>
          </w:p>
        </w:tc>
        <w:tc>
          <w:tcPr>
            <w:tcW w:w="3008" w:type="dxa"/>
            <w:noWrap w:val="0"/>
            <w:vAlign w:val="center"/>
          </w:tcPr>
          <w:p w14:paraId="7CE7F292">
            <w:pPr>
              <w:keepNext w:val="0"/>
              <w:keepLines w:val="0"/>
              <w:suppressLineNumbers w:val="0"/>
              <w:spacing w:before="0" w:beforeAutospacing="0" w:after="0" w:afterAutospacing="0" w:line="320" w:lineRule="exact"/>
              <w:ind w:left="0" w:right="0"/>
              <w:jc w:val="left"/>
              <w:rPr>
                <w:rFonts w:hint="eastAsia" w:ascii="宋体" w:hAnsi="宋体"/>
                <w:color w:val="000000"/>
                <w:szCs w:val="21"/>
                <w:highlight w:val="none"/>
              </w:rPr>
            </w:pPr>
            <w:r>
              <w:rPr>
                <w:rFonts w:hint="eastAsia"/>
                <w:color w:val="000000"/>
                <w:highlight w:val="none"/>
              </w:rPr>
              <w:t>（</w:t>
            </w:r>
            <w:r>
              <w:rPr>
                <w:rFonts w:hint="eastAsia"/>
                <w:color w:val="000000"/>
                <w:highlight w:val="none"/>
                <w:lang w:val="en-US" w:eastAsia="zh-CN"/>
              </w:rPr>
              <w:t>1</w:t>
            </w:r>
            <w:r>
              <w:rPr>
                <w:rFonts w:hint="eastAsia"/>
                <w:color w:val="000000"/>
                <w:highlight w:val="none"/>
              </w:rPr>
              <w:t>）法定代表人身份证明和本人有效身份证(或法定代表人授权委托书和委托代理人有效身份证)</w:t>
            </w:r>
          </w:p>
        </w:tc>
        <w:tc>
          <w:tcPr>
            <w:tcW w:w="3929" w:type="dxa"/>
            <w:noWrap w:val="0"/>
            <w:vAlign w:val="center"/>
          </w:tcPr>
          <w:p w14:paraId="76734E10">
            <w:pPr>
              <w:keepNext w:val="0"/>
              <w:keepLines w:val="0"/>
              <w:suppressLineNumbers w:val="0"/>
              <w:spacing w:before="0" w:beforeAutospacing="0" w:after="0" w:afterAutospacing="0" w:line="320" w:lineRule="exact"/>
              <w:ind w:left="0" w:right="0"/>
              <w:jc w:val="left"/>
              <w:rPr>
                <w:rFonts w:hint="eastAsia" w:ascii="宋体" w:hAnsi="宋体"/>
                <w:color w:val="000000"/>
                <w:szCs w:val="21"/>
                <w:highlight w:val="none"/>
              </w:rPr>
            </w:pPr>
            <w:r>
              <w:rPr>
                <w:rFonts w:hint="eastAsia"/>
                <w:color w:val="000000"/>
                <w:highlight w:val="none"/>
              </w:rPr>
              <w:t>检验电子标书。</w:t>
            </w:r>
          </w:p>
        </w:tc>
      </w:tr>
      <w:tr w14:paraId="7B0A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29DBC902">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r>
              <w:rPr>
                <w:rFonts w:hint="eastAsia" w:ascii="宋体" w:hAnsi="宋体"/>
                <w:color w:val="000000"/>
                <w:szCs w:val="21"/>
                <w:highlight w:val="none"/>
              </w:rPr>
              <w:t>2</w:t>
            </w:r>
          </w:p>
        </w:tc>
        <w:tc>
          <w:tcPr>
            <w:tcW w:w="1235" w:type="dxa"/>
            <w:vMerge w:val="restart"/>
            <w:noWrap w:val="0"/>
            <w:vAlign w:val="center"/>
          </w:tcPr>
          <w:p w14:paraId="1673CA47">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noWrap w:val="0"/>
            <w:vAlign w:val="center"/>
          </w:tcPr>
          <w:p w14:paraId="546F0711">
            <w:pPr>
              <w:keepNext w:val="0"/>
              <w:keepLines w:val="0"/>
              <w:suppressLineNumbers w:val="0"/>
              <w:spacing w:before="0" w:beforeAutospacing="0" w:after="0" w:afterAutospacing="0" w:line="320" w:lineRule="exact"/>
              <w:ind w:left="0" w:right="0"/>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（2）具有独立承担民事责任的能力</w:t>
            </w:r>
          </w:p>
        </w:tc>
        <w:tc>
          <w:tcPr>
            <w:tcW w:w="3929" w:type="dxa"/>
            <w:noWrap w:val="0"/>
            <w:vAlign w:val="center"/>
          </w:tcPr>
          <w:p w14:paraId="7168B65D">
            <w:pPr>
              <w:keepNext w:val="0"/>
              <w:keepLines w:val="0"/>
              <w:suppressLineNumbers w:val="0"/>
              <w:spacing w:before="0" w:beforeAutospacing="0" w:after="0" w:afterAutospacing="0" w:line="320" w:lineRule="exact"/>
              <w:ind w:left="0" w:right="0"/>
              <w:jc w:val="left"/>
              <w:rPr>
                <w:rFonts w:hint="eastAsia" w:ascii="宋体" w:hAnsi="宋体"/>
                <w:color w:val="000000"/>
                <w:szCs w:val="21"/>
                <w:highlight w:val="none"/>
              </w:rPr>
            </w:pPr>
            <w:r>
              <w:rPr>
                <w:rFonts w:hint="eastAsia" w:ascii="宋体"/>
                <w:b/>
                <w:color w:val="000000"/>
                <w:szCs w:val="21"/>
                <w:highlight w:val="none"/>
              </w:rPr>
              <w:t>评审核验电子标书中的下列证书、证明材料：</w:t>
            </w:r>
          </w:p>
          <w:p w14:paraId="27D073C5">
            <w:pPr>
              <w:keepNext w:val="0"/>
              <w:keepLines w:val="0"/>
              <w:suppressLineNumbers w:val="0"/>
              <w:spacing w:before="0" w:beforeAutospacing="0" w:after="0" w:afterAutospacing="0" w:line="320" w:lineRule="exact"/>
              <w:ind w:left="0" w:right="0"/>
              <w:jc w:val="left"/>
              <w:rPr>
                <w:rFonts w:hint="eastAsia" w:ascii="宋体"/>
                <w:color w:val="000000"/>
                <w:szCs w:val="21"/>
                <w:highlight w:val="none"/>
              </w:rPr>
            </w:pPr>
            <w:r>
              <w:rPr>
                <w:rFonts w:hint="eastAsia" w:ascii="宋体"/>
                <w:color w:val="000000"/>
                <w:szCs w:val="21"/>
                <w:highlight w:val="none"/>
              </w:rPr>
              <w:t>投标人有效的营业执照、税务登记证、组织机构码证（或“三证合一证书”）</w:t>
            </w:r>
          </w:p>
        </w:tc>
      </w:tr>
      <w:tr w14:paraId="1752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7D4EA2C3">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222B604D">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008" w:type="dxa"/>
            <w:noWrap w:val="0"/>
            <w:vAlign w:val="center"/>
          </w:tcPr>
          <w:p w14:paraId="58C12D70">
            <w:pPr>
              <w:keepNext w:val="0"/>
              <w:keepLines w:val="0"/>
              <w:suppressLineNumbers w:val="0"/>
              <w:spacing w:before="0" w:beforeAutospacing="0" w:after="0" w:afterAutospacing="0" w:line="320" w:lineRule="exact"/>
              <w:ind w:left="0" w:right="0"/>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（3）诚信投标承诺书</w:t>
            </w:r>
          </w:p>
        </w:tc>
        <w:tc>
          <w:tcPr>
            <w:tcW w:w="3929" w:type="dxa"/>
            <w:noWrap w:val="0"/>
            <w:vAlign w:val="center"/>
          </w:tcPr>
          <w:p w14:paraId="75423EB2">
            <w:pPr>
              <w:keepNext w:val="0"/>
              <w:keepLines w:val="0"/>
              <w:suppressLineNumbers w:val="0"/>
              <w:spacing w:before="0" w:beforeAutospacing="0" w:after="0" w:afterAutospacing="0" w:line="360" w:lineRule="exact"/>
              <w:ind w:left="0" w:right="0"/>
              <w:jc w:val="left"/>
              <w:rPr>
                <w:rFonts w:hint="eastAsia" w:ascii="宋体"/>
                <w:b/>
                <w:color w:val="000000"/>
                <w:szCs w:val="21"/>
                <w:highlight w:val="none"/>
              </w:rPr>
            </w:pPr>
            <w:r>
              <w:rPr>
                <w:rFonts w:hint="eastAsia"/>
                <w:color w:val="000000"/>
                <w:highlight w:val="none"/>
              </w:rPr>
              <w:t>格式见附件，检验电子标书</w:t>
            </w:r>
          </w:p>
        </w:tc>
      </w:tr>
      <w:tr w14:paraId="710F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619BDE92">
            <w:pPr>
              <w:keepNext w:val="0"/>
              <w:keepLines w:val="0"/>
              <w:suppressLineNumbers w:val="0"/>
              <w:spacing w:before="0" w:beforeAutospacing="0" w:after="0" w:afterAutospacing="0" w:line="320" w:lineRule="exact"/>
              <w:ind w:left="0" w:right="0"/>
              <w:jc w:val="center"/>
              <w:rPr>
                <w:rFonts w:hint="eastAsia" w:ascii="宋体" w:hAnsi="宋体"/>
                <w:color w:val="000000"/>
                <w:szCs w:val="21"/>
                <w:highlight w:val="none"/>
              </w:rPr>
            </w:pPr>
          </w:p>
        </w:tc>
        <w:tc>
          <w:tcPr>
            <w:tcW w:w="1235" w:type="dxa"/>
            <w:vMerge w:val="continue"/>
            <w:noWrap w:val="0"/>
            <w:vAlign w:val="center"/>
          </w:tcPr>
          <w:p w14:paraId="4BF990DE">
            <w:pPr>
              <w:keepNext w:val="0"/>
              <w:keepLines w:val="0"/>
              <w:suppressLineNumbers w:val="0"/>
              <w:spacing w:before="0" w:beforeAutospacing="0" w:after="0" w:afterAutospacing="0" w:line="320" w:lineRule="exact"/>
              <w:ind w:left="0" w:right="0"/>
              <w:rPr>
                <w:rFonts w:hint="eastAsia" w:ascii="宋体" w:hAnsi="宋体"/>
                <w:color w:val="000000"/>
                <w:szCs w:val="21"/>
                <w:highlight w:val="none"/>
              </w:rPr>
            </w:pPr>
          </w:p>
        </w:tc>
        <w:tc>
          <w:tcPr>
            <w:tcW w:w="3008" w:type="dxa"/>
            <w:noWrap w:val="0"/>
            <w:vAlign w:val="center"/>
          </w:tcPr>
          <w:p w14:paraId="7063ABCB">
            <w:pPr>
              <w:keepNext w:val="0"/>
              <w:keepLines w:val="0"/>
              <w:suppressLineNumbers w:val="0"/>
              <w:spacing w:before="0" w:beforeAutospacing="0" w:after="0" w:afterAutospacing="0" w:line="320" w:lineRule="exact"/>
              <w:ind w:left="0" w:right="0"/>
              <w:jc w:val="left"/>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（4）服务承诺书</w:t>
            </w:r>
          </w:p>
        </w:tc>
        <w:tc>
          <w:tcPr>
            <w:tcW w:w="3929" w:type="dxa"/>
            <w:noWrap w:val="0"/>
            <w:vAlign w:val="center"/>
          </w:tcPr>
          <w:p w14:paraId="63E978CD">
            <w:pPr>
              <w:keepNext w:val="0"/>
              <w:keepLines w:val="0"/>
              <w:suppressLineNumbers w:val="0"/>
              <w:spacing w:before="0" w:beforeAutospacing="0" w:after="0" w:afterAutospacing="0" w:line="360" w:lineRule="exact"/>
              <w:ind w:left="0" w:right="0"/>
              <w:jc w:val="left"/>
              <w:rPr>
                <w:rFonts w:hint="eastAsia" w:ascii="宋体"/>
                <w:color w:val="000000"/>
                <w:szCs w:val="21"/>
                <w:highlight w:val="none"/>
              </w:rPr>
            </w:pPr>
            <w:r>
              <w:rPr>
                <w:rFonts w:hint="eastAsia"/>
                <w:color w:val="000000"/>
                <w:highlight w:val="none"/>
              </w:rPr>
              <w:t>格式见附件，检验电子标书</w:t>
            </w:r>
          </w:p>
        </w:tc>
      </w:tr>
    </w:tbl>
    <w:p w14:paraId="415B144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000000"/>
        </w:rPr>
      </w:pPr>
      <w:bookmarkStart w:id="43" w:name="_Toc60061492"/>
      <w:bookmarkStart w:id="44" w:name="_Toc95223395"/>
      <w:bookmarkStart w:id="45" w:name="_Toc506107320"/>
      <w:bookmarkStart w:id="46" w:name="_Toc15058909"/>
      <w:r>
        <w:rPr>
          <w:rFonts w:hint="eastAsia" w:ascii="Times New Roman" w:hAnsi="Times New Roman" w:eastAsia="宋体" w:cs="Times New Roman"/>
          <w:color w:val="000000"/>
        </w:rPr>
        <w:t>重要提示：</w:t>
      </w:r>
    </w:p>
    <w:p w14:paraId="3A70A0B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1）</w:t>
      </w:r>
      <w:r>
        <w:rPr>
          <w:rFonts w:hint="eastAsia" w:ascii="Times New Roman" w:hAnsi="Times New Roman" w:eastAsia="宋体" w:cs="Times New Roman"/>
          <w:color w:val="000000"/>
        </w:rPr>
        <w:t>评标专家在检验投标文件过程中，如果由于投标人自身原因导致评标专家无法查看并检验投标文件中相关资料的，视为无效标处理。即使投标人将原件携带至现场的，同样按无效标处理</w:t>
      </w:r>
      <w:r>
        <w:rPr>
          <w:rFonts w:hint="eastAsia" w:ascii="Times New Roman" w:hAnsi="Times New Roman" w:eastAsia="宋体" w:cs="Times New Roman"/>
          <w:color w:val="000000"/>
          <w:lang w:eastAsia="zh-CN"/>
        </w:rPr>
        <w:t>。</w:t>
      </w:r>
    </w:p>
    <w:p w14:paraId="1780212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2.审查办法</w:t>
      </w:r>
      <w:bookmarkEnd w:id="43"/>
      <w:bookmarkEnd w:id="44"/>
      <w:bookmarkEnd w:id="45"/>
      <w:bookmarkEnd w:id="46"/>
    </w:p>
    <w:p w14:paraId="77A0F09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bookmarkStart w:id="47" w:name="_Toc15058910"/>
      <w:bookmarkStart w:id="48" w:name="_Toc60061493"/>
      <w:bookmarkStart w:id="49" w:name="_Toc506107321"/>
      <w:bookmarkStart w:id="50" w:name="_Toc324404868"/>
      <w:r>
        <w:rPr>
          <w:rFonts w:hint="eastAsia" w:ascii="Times New Roman" w:hAnsi="Times New Roman" w:eastAsia="宋体" w:cs="Times New Roman"/>
          <w:color w:val="000000"/>
        </w:rPr>
        <w:t>由资格审查委员会（评标委员会）按资格审查办法前附表中资格审查必要合格条件评审表要求对投标人审查资料进行核验。</w:t>
      </w:r>
    </w:p>
    <w:p w14:paraId="3AACF25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bookmarkStart w:id="51" w:name="_Toc95223396"/>
      <w:r>
        <w:rPr>
          <w:rFonts w:hint="eastAsia" w:ascii="Times New Roman" w:hAnsi="Times New Roman" w:eastAsia="宋体" w:cs="Times New Roman"/>
          <w:color w:val="000000"/>
        </w:rPr>
        <w:t>3.资格审查委员会和审查标准</w:t>
      </w:r>
      <w:bookmarkEnd w:id="47"/>
      <w:bookmarkEnd w:id="48"/>
      <w:bookmarkEnd w:id="49"/>
      <w:bookmarkEnd w:id="50"/>
      <w:bookmarkEnd w:id="51"/>
    </w:p>
    <w:p w14:paraId="7D0D4B1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3.1资格审查由招标人依法组建的资格审查委员会（或评标委员会）负责。审查标准见资格审查办法前附表。</w:t>
      </w:r>
    </w:p>
    <w:p w14:paraId="0346726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 xml:space="preserve">3.2由资格审查委员会（评标委员会）按资格审查办法前附表要求对投标人的审查资料进行核验。投标申请人有下列情形之一的，其资格审查为不合格： </w:t>
      </w:r>
    </w:p>
    <w:p w14:paraId="7E25EDD4">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（1）未</w:t>
      </w:r>
      <w:r>
        <w:rPr>
          <w:rFonts w:hint="eastAsia" w:ascii="Times New Roman" w:hAnsi="Times New Roman" w:eastAsia="宋体" w:cs="Times New Roman"/>
          <w:color w:val="000000"/>
          <w:lang w:val="en-US" w:eastAsia="zh-CN"/>
        </w:rPr>
        <w:t>发送</w:t>
      </w:r>
      <w:r>
        <w:rPr>
          <w:rFonts w:hint="eastAsia" w:ascii="Times New Roman" w:hAnsi="Times New Roman" w:eastAsia="宋体" w:cs="Times New Roman"/>
          <w:color w:val="000000"/>
        </w:rPr>
        <w:t>标书或电子标书经审查不合格；</w:t>
      </w:r>
    </w:p>
    <w:p w14:paraId="16E65FD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rPr>
        <w:t>（2）电子标书</w:t>
      </w:r>
      <w:r>
        <w:rPr>
          <w:rFonts w:hint="eastAsia" w:ascii="Times New Roman" w:hAnsi="Times New Roman" w:eastAsia="宋体" w:cs="Times New Roman"/>
          <w:color w:val="000000"/>
          <w:lang w:val="en-US" w:eastAsia="zh-CN"/>
        </w:rPr>
        <w:t>无法打开。</w:t>
      </w:r>
    </w:p>
    <w:p w14:paraId="1FC23E8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bookmarkStart w:id="52" w:name="_Toc324404869"/>
      <w:bookmarkStart w:id="53" w:name="_Toc95223397"/>
      <w:bookmarkStart w:id="54" w:name="_Toc15058911"/>
      <w:bookmarkStart w:id="55" w:name="_Toc60061494"/>
      <w:bookmarkStart w:id="56" w:name="_Toc506107322"/>
      <w:r>
        <w:rPr>
          <w:rFonts w:hint="eastAsia" w:ascii="Times New Roman" w:hAnsi="Times New Roman" w:eastAsia="宋体" w:cs="Times New Roman"/>
          <w:color w:val="000000"/>
        </w:rPr>
        <w:t>4.审查结果</w:t>
      </w:r>
      <w:bookmarkEnd w:id="52"/>
      <w:bookmarkEnd w:id="53"/>
      <w:bookmarkEnd w:id="54"/>
      <w:bookmarkEnd w:id="55"/>
      <w:bookmarkEnd w:id="56"/>
    </w:p>
    <w:p w14:paraId="243344E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000000"/>
        </w:rPr>
      </w:pPr>
      <w:r>
        <w:rPr>
          <w:rFonts w:hint="eastAsia" w:ascii="Times New Roman" w:hAnsi="Times New Roman" w:eastAsia="宋体" w:cs="Times New Roman"/>
          <w:color w:val="000000"/>
        </w:rPr>
        <w:t>只有通过资格审查的投标人才能进入下一步的评标程序。</w:t>
      </w:r>
    </w:p>
    <w:p w14:paraId="0E854C51">
      <w:pPr>
        <w:rPr>
          <w:rFonts w:hint="eastAsia" w:ascii="宋体" w:hAnsi="宋体" w:eastAsia="宋体" w:cs="宋体"/>
          <w:b/>
          <w:bCs/>
          <w:color w:val="000000"/>
          <w:kern w:val="0"/>
          <w:sz w:val="28"/>
          <w:szCs w:val="28"/>
          <w:highlight w:val="none"/>
          <w:u w:color="000000"/>
          <w:lang w:val="en-US" w:eastAsia="zh-CN" w:bidi="ar"/>
        </w:rPr>
      </w:pPr>
      <w:r>
        <w:rPr>
          <w:rFonts w:hint="eastAsia" w:ascii="宋体" w:hAnsi="宋体" w:eastAsia="宋体" w:cs="宋体"/>
          <w:b/>
          <w:bCs/>
          <w:color w:val="000000"/>
          <w:kern w:val="0"/>
          <w:sz w:val="28"/>
          <w:szCs w:val="28"/>
          <w:highlight w:val="none"/>
          <w:u w:color="000000"/>
          <w:lang w:val="en-US" w:eastAsia="zh-CN" w:bidi="ar"/>
        </w:rPr>
        <w:br w:type="page"/>
      </w:r>
    </w:p>
    <w:p w14:paraId="719145FC">
      <w:pPr>
        <w:adjustRightInd w:val="0"/>
        <w:snapToGrid w:val="0"/>
        <w:spacing w:line="560" w:lineRule="exact"/>
        <w:jc w:val="center"/>
        <w:rPr>
          <w:rFonts w:hint="default" w:ascii="宋体" w:hAnsi="宋体" w:eastAsia="宋体" w:cs="宋体"/>
          <w:b/>
          <w:bCs/>
          <w:sz w:val="28"/>
          <w:szCs w:val="28"/>
          <w:highlight w:val="none"/>
          <w:lang w:val="en-US"/>
        </w:rPr>
      </w:pPr>
      <w:r>
        <w:rPr>
          <w:rFonts w:hint="eastAsia" w:ascii="宋体" w:hAnsi="宋体" w:eastAsia="宋体" w:cs="宋体"/>
          <w:b/>
          <w:bCs/>
          <w:color w:val="000000"/>
          <w:kern w:val="0"/>
          <w:sz w:val="28"/>
          <w:szCs w:val="28"/>
          <w:highlight w:val="none"/>
          <w:u w:color="000000"/>
          <w:lang w:val="en-US" w:eastAsia="zh-CN" w:bidi="ar"/>
        </w:rPr>
        <w:t xml:space="preserve">第四章  </w:t>
      </w:r>
      <w:r>
        <w:rPr>
          <w:rFonts w:hint="eastAsia" w:ascii="宋体" w:hAnsi="宋体" w:eastAsia="宋体" w:cs="宋体"/>
          <w:b/>
          <w:bCs w:val="0"/>
          <w:color w:val="000000"/>
          <w:kern w:val="44"/>
          <w:sz w:val="28"/>
          <w:szCs w:val="28"/>
          <w:highlight w:val="none"/>
          <w:u w:color="000000"/>
          <w:lang w:val="en-US" w:eastAsia="zh-CN" w:bidi="ar"/>
        </w:rPr>
        <w:t>评标办法</w:t>
      </w:r>
    </w:p>
    <w:p w14:paraId="21D607D9">
      <w:pPr>
        <w:adjustRightInd w:val="0"/>
        <w:snapToGrid w:val="0"/>
        <w:spacing w:line="420" w:lineRule="exact"/>
        <w:ind w:firstLine="315" w:firstLineChars="150"/>
        <w:rPr>
          <w:rFonts w:hint="eastAsia" w:ascii="宋体" w:hAnsi="宋体" w:eastAsia="宋体" w:cs="宋体"/>
          <w:color w:val="000000"/>
          <w:szCs w:val="21"/>
          <w:highlight w:val="none"/>
        </w:rPr>
      </w:pPr>
      <w:bookmarkStart w:id="57" w:name="_Toc23254"/>
      <w:bookmarkEnd w:id="57"/>
      <w:r>
        <w:rPr>
          <w:rFonts w:hint="eastAsia" w:ascii="宋体" w:hAnsi="宋体" w:eastAsia="宋体" w:cs="宋体"/>
          <w:color w:val="000000"/>
          <w:szCs w:val="21"/>
          <w:highlight w:val="none"/>
        </w:rPr>
        <w:t>1.中标候选人的确定</w:t>
      </w:r>
    </w:p>
    <w:p w14:paraId="1F0F189A">
      <w:pPr>
        <w:adjustRightInd w:val="0"/>
        <w:snapToGrid w:val="0"/>
        <w:spacing w:line="420" w:lineRule="exact"/>
        <w:ind w:firstLine="315" w:firstLineChars="150"/>
        <w:rPr>
          <w:rFonts w:hint="eastAsia" w:ascii="宋体" w:hAnsi="宋体" w:eastAsia="宋体" w:cs="宋体"/>
          <w:color w:val="000000"/>
          <w:szCs w:val="21"/>
          <w:highlight w:val="none"/>
        </w:rPr>
      </w:pPr>
      <w:r>
        <w:rPr>
          <w:rFonts w:hint="eastAsia" w:ascii="宋体" w:hAnsi="宋体" w:cs="宋体"/>
          <w:color w:val="000000"/>
          <w:szCs w:val="21"/>
          <w:highlight w:val="none"/>
        </w:rPr>
        <w:t>评标委员会对投标人依次进行资信、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6CD1B1B5">
      <w:pPr>
        <w:spacing w:line="440" w:lineRule="exact"/>
        <w:ind w:firstLine="210" w:firstLineChars="100"/>
        <w:rPr>
          <w:rFonts w:ascii="宋体" w:hAnsi="宋体" w:cs="宋体"/>
          <w:b/>
          <w:bCs/>
          <w:szCs w:val="21"/>
          <w:highlight w:val="none"/>
        </w:rPr>
      </w:pPr>
      <w:r>
        <w:rPr>
          <w:rFonts w:hint="eastAsia" w:ascii="宋体" w:hAnsi="宋体" w:cs="宋体"/>
          <w:b/>
          <w:bCs/>
          <w:szCs w:val="21"/>
          <w:highlight w:val="none"/>
        </w:rPr>
        <w:t>2.资信标评审（</w:t>
      </w:r>
      <w:r>
        <w:rPr>
          <w:rFonts w:hint="eastAsia" w:ascii="宋体" w:hAnsi="宋体" w:cs="宋体"/>
          <w:b/>
          <w:bCs/>
          <w:szCs w:val="21"/>
          <w:highlight w:val="none"/>
          <w:lang w:val="en-US" w:eastAsia="zh-CN"/>
        </w:rPr>
        <w:t>2</w:t>
      </w:r>
      <w:r>
        <w:rPr>
          <w:rFonts w:hint="eastAsia" w:ascii="宋体" w:hAnsi="宋体" w:cs="宋体"/>
          <w:b/>
          <w:bCs/>
          <w:szCs w:val="21"/>
          <w:highlight w:val="none"/>
        </w:rPr>
        <w:t>0分）</w:t>
      </w:r>
    </w:p>
    <w:tbl>
      <w:tblPr>
        <w:tblStyle w:val="23"/>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72"/>
        <w:gridCol w:w="768"/>
        <w:gridCol w:w="4886"/>
        <w:gridCol w:w="2155"/>
      </w:tblGrid>
      <w:tr w14:paraId="5AE3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95" w:type="dxa"/>
            <w:noWrap w:val="0"/>
            <w:vAlign w:val="center"/>
          </w:tcPr>
          <w:p w14:paraId="2745FD60">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rPr>
              <w:t>序号</w:t>
            </w:r>
          </w:p>
        </w:tc>
        <w:tc>
          <w:tcPr>
            <w:tcW w:w="1272" w:type="dxa"/>
            <w:noWrap w:val="0"/>
            <w:vAlign w:val="center"/>
          </w:tcPr>
          <w:p w14:paraId="20F36CD2">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rPr>
              <w:t>评分因素</w:t>
            </w:r>
          </w:p>
        </w:tc>
        <w:tc>
          <w:tcPr>
            <w:tcW w:w="768" w:type="dxa"/>
            <w:noWrap w:val="0"/>
            <w:vAlign w:val="center"/>
          </w:tcPr>
          <w:p w14:paraId="7D3904DE">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rPr>
              <w:t>分值</w:t>
            </w:r>
          </w:p>
        </w:tc>
        <w:tc>
          <w:tcPr>
            <w:tcW w:w="4886" w:type="dxa"/>
            <w:noWrap w:val="0"/>
            <w:vAlign w:val="center"/>
          </w:tcPr>
          <w:p w14:paraId="235775CE">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cs="宋体"/>
                <w:szCs w:val="21"/>
                <w:highlight w:val="none"/>
              </w:rPr>
              <w:t>评审细则</w:t>
            </w:r>
          </w:p>
        </w:tc>
        <w:tc>
          <w:tcPr>
            <w:tcW w:w="2155" w:type="dxa"/>
            <w:noWrap w:val="0"/>
            <w:vAlign w:val="center"/>
          </w:tcPr>
          <w:p w14:paraId="550BA36A">
            <w:pPr>
              <w:keepNext w:val="0"/>
              <w:keepLines w:val="0"/>
              <w:suppressLineNumbers w:val="0"/>
              <w:spacing w:before="0" w:beforeAutospacing="0" w:after="0" w:afterAutospacing="0" w:line="300" w:lineRule="exact"/>
              <w:ind w:left="0" w:right="0"/>
              <w:jc w:val="center"/>
              <w:rPr>
                <w:rFonts w:hint="default" w:ascii="宋体" w:hAnsi="宋体" w:cs="宋体"/>
                <w:szCs w:val="21"/>
                <w:highlight w:val="none"/>
              </w:rPr>
            </w:pPr>
            <w:r>
              <w:rPr>
                <w:rFonts w:hint="eastAsia" w:ascii="宋体" w:hAnsi="宋体"/>
                <w:szCs w:val="21"/>
                <w:highlight w:val="none"/>
              </w:rPr>
              <w:t>须提供的证明材料</w:t>
            </w:r>
          </w:p>
        </w:tc>
      </w:tr>
      <w:tr w14:paraId="3EFD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noWrap w:val="0"/>
            <w:vAlign w:val="center"/>
          </w:tcPr>
          <w:p w14:paraId="1A0F9E8D">
            <w:pPr>
              <w:keepNext w:val="0"/>
              <w:keepLines w:val="0"/>
              <w:suppressLineNumbers w:val="0"/>
              <w:spacing w:before="0" w:beforeAutospacing="0" w:after="0" w:afterAutospacing="0" w:line="300" w:lineRule="exact"/>
              <w:ind w:left="0" w:right="0" w:firstLine="28"/>
              <w:jc w:val="center"/>
              <w:rPr>
                <w:rFonts w:hint="eastAsia" w:ascii="宋体" w:hAnsi="宋体" w:eastAsia="宋体"/>
                <w:szCs w:val="21"/>
                <w:highlight w:val="none"/>
                <w:lang w:eastAsia="zh-CN"/>
              </w:rPr>
            </w:pPr>
            <w:r>
              <w:rPr>
                <w:rFonts w:hint="eastAsia" w:ascii="宋体" w:hAnsi="宋体"/>
                <w:szCs w:val="21"/>
                <w:highlight w:val="none"/>
                <w:lang w:val="en-US" w:eastAsia="zh-CN"/>
              </w:rPr>
              <w:t>1</w:t>
            </w:r>
          </w:p>
        </w:tc>
        <w:tc>
          <w:tcPr>
            <w:tcW w:w="1272" w:type="dxa"/>
            <w:noWrap w:val="0"/>
            <w:vAlign w:val="center"/>
          </w:tcPr>
          <w:p w14:paraId="4B2EAB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投标人业绩</w:t>
            </w:r>
          </w:p>
        </w:tc>
        <w:tc>
          <w:tcPr>
            <w:tcW w:w="768" w:type="dxa"/>
            <w:noWrap w:val="0"/>
            <w:vAlign w:val="center"/>
          </w:tcPr>
          <w:p w14:paraId="3201F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宋体" w:hAnsi="宋体" w:eastAsia="宋体" w:cs="宋体"/>
                <w:szCs w:val="21"/>
                <w:highlight w:val="none"/>
              </w:rPr>
            </w:pPr>
            <w:r>
              <w:rPr>
                <w:rFonts w:hint="eastAsia" w:ascii="宋体" w:hAnsi="宋体" w:eastAsia="宋体" w:cs="宋体"/>
                <w:color w:val="auto"/>
                <w:sz w:val="21"/>
                <w:szCs w:val="21"/>
                <w:highlight w:val="none"/>
                <w:lang w:val="en-US" w:eastAsia="zh-CN"/>
              </w:rPr>
              <w:t>5分</w:t>
            </w:r>
          </w:p>
        </w:tc>
        <w:tc>
          <w:tcPr>
            <w:tcW w:w="4886" w:type="dxa"/>
            <w:noWrap w:val="0"/>
            <w:vAlign w:val="center"/>
          </w:tcPr>
          <w:p w14:paraId="7AB65D1C">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自20</w:t>
            </w:r>
            <w:r>
              <w:rPr>
                <w:rFonts w:hint="eastAsia" w:ascii="宋体" w:hAnsi="宋体" w:cs="宋体"/>
                <w:szCs w:val="21"/>
                <w:highlight w:val="none"/>
                <w:lang w:val="en-US" w:eastAsia="zh-CN"/>
              </w:rPr>
              <w:t>23</w:t>
            </w:r>
            <w:r>
              <w:rPr>
                <w:rFonts w:hint="eastAsia" w:ascii="宋体" w:hAnsi="宋体" w:eastAsia="宋体" w:cs="宋体"/>
                <w:szCs w:val="21"/>
                <w:highlight w:val="none"/>
              </w:rPr>
              <w:t>年1月1日至投标截止时间（以合同签订时间为准）</w:t>
            </w:r>
            <w:r>
              <w:rPr>
                <w:rFonts w:hint="eastAsia" w:ascii="宋体" w:hAnsi="宋体" w:eastAsia="宋体" w:cs="宋体"/>
                <w:szCs w:val="21"/>
                <w:highlight w:val="none"/>
                <w:lang w:eastAsia="zh-CN"/>
              </w:rPr>
              <w:t>，</w:t>
            </w:r>
            <w:r>
              <w:rPr>
                <w:rFonts w:hint="eastAsia" w:ascii="宋体" w:hAnsi="宋体" w:eastAsia="宋体" w:cs="宋体"/>
                <w:szCs w:val="21"/>
                <w:highlight w:val="none"/>
              </w:rPr>
              <w:t>投标人提供一个</w:t>
            </w:r>
            <w:r>
              <w:rPr>
                <w:rFonts w:hint="eastAsia" w:ascii="宋体" w:hAnsi="宋体" w:eastAsia="宋体" w:cs="宋体"/>
                <w:color w:val="000000"/>
                <w:kern w:val="0"/>
                <w:sz w:val="21"/>
                <w:szCs w:val="21"/>
                <w:highlight w:val="none"/>
                <w:lang w:val="en-US" w:eastAsia="zh-CN" w:bidi="ar"/>
              </w:rPr>
              <w:t>视频监控改造</w:t>
            </w:r>
            <w:r>
              <w:rPr>
                <w:rFonts w:hint="eastAsia" w:ascii="宋体" w:hAnsi="宋体" w:eastAsia="宋体" w:cs="Arial"/>
                <w:spacing w:val="-4"/>
                <w:kern w:val="0"/>
                <w:sz w:val="21"/>
                <w:szCs w:val="21"/>
                <w:highlight w:val="none"/>
              </w:rPr>
              <w:t>业绩</w:t>
            </w:r>
            <w:r>
              <w:rPr>
                <w:rFonts w:hint="eastAsia" w:ascii="宋体" w:hAnsi="宋体" w:eastAsia="宋体" w:cs="Arial"/>
                <w:spacing w:val="-4"/>
                <w:kern w:val="0"/>
                <w:sz w:val="21"/>
                <w:szCs w:val="21"/>
                <w:highlight w:val="none"/>
                <w:lang w:val="en-US" w:eastAsia="zh-CN"/>
              </w:rPr>
              <w:t>的</w:t>
            </w:r>
            <w:r>
              <w:rPr>
                <w:rFonts w:hint="eastAsia" w:ascii="宋体" w:hAnsi="宋体" w:eastAsia="宋体" w:cs="宋体"/>
                <w:szCs w:val="21"/>
                <w:highlight w:val="none"/>
              </w:rPr>
              <w:t>得</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r>
              <w:rPr>
                <w:rFonts w:hint="eastAsia" w:ascii="宋体" w:hAnsi="宋体" w:eastAsia="宋体" w:cs="宋体"/>
                <w:szCs w:val="21"/>
                <w:highlight w:val="none"/>
                <w:lang w:val="en-US" w:eastAsia="zh-CN"/>
              </w:rPr>
              <w:t>其他的不得分，</w:t>
            </w:r>
            <w:r>
              <w:rPr>
                <w:rFonts w:hint="eastAsia" w:ascii="宋体" w:hAnsi="宋体" w:eastAsia="宋体" w:cs="宋体"/>
                <w:szCs w:val="21"/>
                <w:highlight w:val="none"/>
              </w:rPr>
              <w:t>本条满分</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p>
          <w:p w14:paraId="6E5A9091">
            <w:pPr>
              <w:keepNext w:val="0"/>
              <w:keepLines w:val="0"/>
              <w:suppressLineNumbers w:val="0"/>
              <w:spacing w:before="0" w:beforeAutospacing="0" w:after="0" w:afterAutospacing="0"/>
              <w:ind w:left="0" w:right="0"/>
              <w:rPr>
                <w:rFonts w:hint="eastAsia" w:ascii="宋体" w:hAnsi="宋体" w:cs="宋体"/>
                <w:szCs w:val="21"/>
                <w:highlight w:val="none"/>
                <w:lang w:val="zh-CN"/>
              </w:rPr>
            </w:pPr>
            <w:r>
              <w:rPr>
                <w:rFonts w:hint="eastAsia" w:ascii="宋体" w:hAnsi="宋体" w:cs="宋体"/>
                <w:szCs w:val="21"/>
                <w:highlight w:val="none"/>
              </w:rPr>
              <w:t>注</w:t>
            </w:r>
            <w:r>
              <w:rPr>
                <w:rFonts w:hint="eastAsia" w:ascii="宋体" w:hAnsi="宋体" w:cs="宋体"/>
                <w:szCs w:val="21"/>
                <w:highlight w:val="none"/>
                <w:lang w:val="zh-CN"/>
              </w:rPr>
              <w:t>：</w:t>
            </w:r>
            <w:r>
              <w:rPr>
                <w:rFonts w:hint="eastAsia" w:ascii="宋体" w:hAnsi="宋体" w:eastAsia="宋体" w:cs="宋体"/>
                <w:szCs w:val="21"/>
                <w:highlight w:val="none"/>
                <w:lang w:val="zh-CN"/>
              </w:rPr>
              <w:t>①</w:t>
            </w:r>
            <w:r>
              <w:rPr>
                <w:rFonts w:hint="eastAsia" w:ascii="宋体" w:hAnsi="宋体" w:eastAsia="宋体" w:cs="宋体"/>
                <w:szCs w:val="21"/>
                <w:highlight w:val="none"/>
                <w:lang w:val="en-US" w:eastAsia="zh-CN"/>
              </w:rPr>
              <w:t>投标人业绩和拟派项目负责人业绩相同的，仅计分一次，不重复计分。</w:t>
            </w:r>
          </w:p>
          <w:p w14:paraId="451A1654">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cs="宋体"/>
                <w:szCs w:val="21"/>
                <w:highlight w:val="none"/>
              </w:rPr>
              <w:t>投标人投标时只须提供</w:t>
            </w:r>
            <w:r>
              <w:rPr>
                <w:rFonts w:hint="eastAsia" w:ascii="宋体" w:hAnsi="宋体" w:cs="宋体"/>
                <w:szCs w:val="21"/>
                <w:highlight w:val="none"/>
                <w:lang w:val="en-US" w:eastAsia="zh-CN"/>
              </w:rPr>
              <w:t>1</w:t>
            </w:r>
            <w:r>
              <w:rPr>
                <w:rFonts w:hint="eastAsia" w:ascii="宋体" w:hAnsi="宋体" w:cs="宋体"/>
                <w:szCs w:val="21"/>
                <w:highlight w:val="none"/>
              </w:rPr>
              <w:t>个评审业绩，若投标人提供业绩个数超过</w:t>
            </w:r>
            <w:r>
              <w:rPr>
                <w:rFonts w:hint="eastAsia" w:ascii="宋体" w:hAnsi="宋体" w:cs="宋体"/>
                <w:szCs w:val="21"/>
                <w:highlight w:val="none"/>
                <w:lang w:val="en-US" w:eastAsia="zh-CN"/>
              </w:rPr>
              <w:t>1</w:t>
            </w:r>
            <w:r>
              <w:rPr>
                <w:rFonts w:hint="eastAsia" w:ascii="宋体" w:hAnsi="宋体" w:cs="宋体"/>
                <w:szCs w:val="21"/>
                <w:highlight w:val="none"/>
              </w:rPr>
              <w:t>个，则按照排列顺序从首个业绩开始评审至对应数量（</w:t>
            </w:r>
            <w:r>
              <w:rPr>
                <w:rFonts w:hint="eastAsia" w:ascii="宋体" w:hAnsi="宋体" w:cs="宋体"/>
                <w:szCs w:val="21"/>
                <w:highlight w:val="none"/>
                <w:lang w:val="en-US" w:eastAsia="zh-CN"/>
              </w:rPr>
              <w:t>1</w:t>
            </w:r>
            <w:r>
              <w:rPr>
                <w:rFonts w:hint="eastAsia" w:ascii="宋体" w:hAnsi="宋体" w:cs="宋体"/>
                <w:szCs w:val="21"/>
                <w:highlight w:val="none"/>
              </w:rPr>
              <w:t>个），超出部分业绩不进行评审。对应数量（</w:t>
            </w:r>
            <w:r>
              <w:rPr>
                <w:rFonts w:hint="eastAsia" w:ascii="宋体" w:hAnsi="宋体" w:cs="宋体"/>
                <w:szCs w:val="21"/>
                <w:highlight w:val="none"/>
                <w:lang w:val="en-US" w:eastAsia="zh-CN"/>
              </w:rPr>
              <w:t>1</w:t>
            </w:r>
            <w:r>
              <w:rPr>
                <w:rFonts w:hint="eastAsia" w:ascii="宋体" w:hAnsi="宋体" w:cs="宋体"/>
                <w:szCs w:val="21"/>
                <w:highlight w:val="none"/>
              </w:rPr>
              <w:t>个）内业绩不符合招标文件要求不得分的，不再补充评审超出部分业绩。如：提供</w:t>
            </w:r>
            <w:r>
              <w:rPr>
                <w:rFonts w:hint="eastAsia" w:ascii="宋体" w:hAnsi="宋体" w:cs="宋体"/>
                <w:szCs w:val="21"/>
                <w:highlight w:val="none"/>
                <w:lang w:val="en-US" w:eastAsia="zh-CN"/>
              </w:rPr>
              <w:t>1</w:t>
            </w:r>
            <w:r>
              <w:rPr>
                <w:rFonts w:hint="eastAsia" w:ascii="宋体" w:hAnsi="宋体" w:cs="宋体"/>
                <w:szCs w:val="21"/>
                <w:highlight w:val="none"/>
              </w:rPr>
              <w:t>个业绩即得满分的，按照投标文件排序评审第一项业绩，其余超出部分不再评审”。</w:t>
            </w:r>
          </w:p>
        </w:tc>
        <w:tc>
          <w:tcPr>
            <w:tcW w:w="2155" w:type="dxa"/>
            <w:noWrap w:val="0"/>
            <w:vAlign w:val="center"/>
          </w:tcPr>
          <w:p w14:paraId="0F4D7577">
            <w:pPr>
              <w:keepNext w:val="0"/>
              <w:keepLines w:val="0"/>
              <w:suppressLineNumbers w:val="0"/>
              <w:spacing w:before="0" w:beforeAutospacing="0" w:after="0" w:afterAutospacing="0"/>
              <w:ind w:left="0" w:leftChars="0" w:right="0" w:rightChars="0"/>
              <w:jc w:val="center"/>
              <w:rPr>
                <w:rFonts w:hint="default"/>
                <w:szCs w:val="21"/>
                <w:highlight w:val="none"/>
              </w:rPr>
            </w:pPr>
            <w:r>
              <w:rPr>
                <w:rFonts w:hint="eastAsia" w:ascii="宋体" w:hAnsi="宋体" w:eastAsia="宋体" w:cs="宋体"/>
                <w:color w:val="auto"/>
                <w:sz w:val="21"/>
                <w:szCs w:val="21"/>
                <w:highlight w:val="none"/>
                <w:lang w:val="en-US" w:eastAsia="zh-CN"/>
              </w:rPr>
              <w:t>投标文件中须提供业绩合同扫描件</w:t>
            </w:r>
            <w:r>
              <w:rPr>
                <w:rFonts w:hint="eastAsia" w:ascii="宋体" w:hAnsi="宋体" w:eastAsia="宋体" w:cs="宋体"/>
                <w:color w:val="000000"/>
                <w:kern w:val="0"/>
                <w:sz w:val="21"/>
                <w:szCs w:val="21"/>
                <w:highlight w:val="none"/>
                <w:lang w:val="en-US" w:eastAsia="zh-CN" w:bidi="ar"/>
              </w:rPr>
              <w:t>或验收证明扫描件</w:t>
            </w:r>
            <w:r>
              <w:rPr>
                <w:rFonts w:hint="eastAsia" w:ascii="Times New Roman" w:hAnsi="Times New Roman" w:eastAsia="宋体" w:cs="Times New Roman"/>
                <w:szCs w:val="21"/>
                <w:highlight w:val="none"/>
                <w:lang w:val="en-US" w:eastAsia="zh-CN"/>
              </w:rPr>
              <w:t>。</w:t>
            </w:r>
            <w:r>
              <w:rPr>
                <w:rFonts w:hint="eastAsia" w:ascii="宋体" w:hAnsi="宋体" w:eastAsia="宋体" w:cs="宋体"/>
                <w:szCs w:val="21"/>
                <w:highlight w:val="none"/>
              </w:rPr>
              <w:t>若</w:t>
            </w:r>
            <w:r>
              <w:rPr>
                <w:rFonts w:hint="eastAsia" w:ascii="宋体" w:hAnsi="宋体" w:eastAsia="宋体" w:cs="宋体"/>
                <w:szCs w:val="21"/>
                <w:highlight w:val="none"/>
                <w:lang w:val="en-US" w:eastAsia="zh-CN"/>
              </w:rPr>
              <w:t>上述证明材料</w:t>
            </w:r>
            <w:r>
              <w:rPr>
                <w:rFonts w:hint="eastAsia" w:ascii="宋体" w:hAnsi="宋体" w:eastAsia="宋体" w:cs="宋体"/>
                <w:szCs w:val="21"/>
                <w:highlight w:val="none"/>
              </w:rPr>
              <w:t>无法体现签订时间、服务内容等关键评审因素的，需另附招标人（合同甲方）证明材料的扫描件。</w:t>
            </w:r>
          </w:p>
        </w:tc>
      </w:tr>
      <w:tr w14:paraId="630B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noWrap w:val="0"/>
            <w:vAlign w:val="center"/>
          </w:tcPr>
          <w:p w14:paraId="54255234">
            <w:pPr>
              <w:keepNext w:val="0"/>
              <w:keepLines w:val="0"/>
              <w:suppressLineNumbers w:val="0"/>
              <w:spacing w:before="0" w:beforeAutospacing="0" w:after="0" w:afterAutospacing="0" w:line="300" w:lineRule="exact"/>
              <w:ind w:left="0" w:right="0" w:firstLine="28"/>
              <w:jc w:val="center"/>
              <w:rPr>
                <w:rFonts w:hint="default" w:ascii="宋体" w:hAnsi="宋体"/>
                <w:szCs w:val="21"/>
                <w:highlight w:val="none"/>
                <w:lang w:val="en-US" w:eastAsia="zh-CN"/>
              </w:rPr>
            </w:pPr>
            <w:r>
              <w:rPr>
                <w:rFonts w:hint="eastAsia" w:ascii="宋体" w:hAnsi="宋体"/>
                <w:szCs w:val="21"/>
                <w:highlight w:val="none"/>
                <w:lang w:val="en-US" w:eastAsia="zh-CN"/>
              </w:rPr>
              <w:t>2</w:t>
            </w:r>
          </w:p>
        </w:tc>
        <w:tc>
          <w:tcPr>
            <w:tcW w:w="1272" w:type="dxa"/>
            <w:noWrap w:val="0"/>
            <w:vAlign w:val="center"/>
          </w:tcPr>
          <w:p w14:paraId="73919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拟派项目负责人业绩</w:t>
            </w:r>
          </w:p>
        </w:tc>
        <w:tc>
          <w:tcPr>
            <w:tcW w:w="768" w:type="dxa"/>
            <w:noWrap w:val="0"/>
            <w:vAlign w:val="center"/>
          </w:tcPr>
          <w:p w14:paraId="3D186D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5分</w:t>
            </w:r>
          </w:p>
        </w:tc>
        <w:tc>
          <w:tcPr>
            <w:tcW w:w="4886" w:type="dxa"/>
            <w:noWrap w:val="0"/>
            <w:vAlign w:val="center"/>
          </w:tcPr>
          <w:p w14:paraId="7E81BD4A">
            <w:pPr>
              <w:keepNext w:val="0"/>
              <w:keepLines w:val="0"/>
              <w:suppressLineNumbers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投标人</w:t>
            </w:r>
            <w:r>
              <w:rPr>
                <w:rFonts w:hint="eastAsia" w:ascii="宋体" w:hAnsi="宋体" w:eastAsia="宋体" w:cs="宋体"/>
                <w:szCs w:val="21"/>
                <w:highlight w:val="none"/>
                <w:lang w:val="en-US" w:eastAsia="zh-CN"/>
              </w:rPr>
              <w:t>拟派项目负责人</w:t>
            </w:r>
            <w:r>
              <w:rPr>
                <w:rFonts w:hint="eastAsia" w:ascii="宋体" w:hAnsi="宋体" w:eastAsia="宋体" w:cs="宋体"/>
                <w:szCs w:val="21"/>
                <w:highlight w:val="none"/>
              </w:rPr>
              <w:t>每提供一个</w:t>
            </w:r>
            <w:r>
              <w:rPr>
                <w:rFonts w:hint="eastAsia" w:ascii="宋体" w:hAnsi="宋体" w:eastAsia="宋体" w:cs="宋体"/>
                <w:color w:val="000000"/>
                <w:kern w:val="0"/>
                <w:sz w:val="21"/>
                <w:szCs w:val="21"/>
                <w:highlight w:val="none"/>
                <w:lang w:val="en-US" w:eastAsia="zh-CN" w:bidi="ar"/>
              </w:rPr>
              <w:t>视频监控改造</w:t>
            </w:r>
            <w:r>
              <w:rPr>
                <w:rFonts w:hint="eastAsia" w:ascii="宋体" w:hAnsi="宋体" w:eastAsia="宋体" w:cs="Arial"/>
                <w:spacing w:val="-4"/>
                <w:kern w:val="0"/>
                <w:sz w:val="21"/>
                <w:szCs w:val="21"/>
                <w:highlight w:val="none"/>
              </w:rPr>
              <w:t>业</w:t>
            </w:r>
            <w:r>
              <w:rPr>
                <w:rFonts w:hint="eastAsia" w:ascii="宋体" w:hAnsi="宋体" w:eastAsia="宋体" w:cs="宋体"/>
                <w:szCs w:val="21"/>
                <w:highlight w:val="none"/>
              </w:rPr>
              <w:t>绩</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得</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r>
              <w:rPr>
                <w:rFonts w:hint="eastAsia" w:ascii="宋体" w:hAnsi="宋体" w:eastAsia="宋体" w:cs="宋体"/>
                <w:szCs w:val="21"/>
                <w:highlight w:val="none"/>
                <w:lang w:val="en-US" w:eastAsia="zh-CN"/>
              </w:rPr>
              <w:t>其他的不得分，</w:t>
            </w:r>
            <w:r>
              <w:rPr>
                <w:rFonts w:hint="eastAsia" w:ascii="宋体" w:hAnsi="宋体" w:eastAsia="宋体" w:cs="宋体"/>
                <w:szCs w:val="21"/>
                <w:highlight w:val="none"/>
              </w:rPr>
              <w:t>本条满分</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分。</w:t>
            </w:r>
          </w:p>
          <w:p w14:paraId="1C1B0250">
            <w:pPr>
              <w:keepNext w:val="0"/>
              <w:keepLines w:val="0"/>
              <w:suppressLineNumbers w:val="0"/>
              <w:spacing w:before="0" w:beforeAutospacing="0" w:after="0" w:afterAutospacing="0"/>
              <w:ind w:left="0" w:right="0"/>
              <w:rPr>
                <w:rFonts w:hint="eastAsia" w:ascii="宋体" w:hAnsi="宋体" w:eastAsia="宋体" w:cs="宋体"/>
                <w:szCs w:val="21"/>
                <w:highlight w:val="none"/>
                <w:lang w:val="en-US" w:eastAsia="zh-CN"/>
              </w:rPr>
            </w:pPr>
            <w:r>
              <w:rPr>
                <w:rFonts w:hint="eastAsia" w:ascii="宋体" w:hAnsi="宋体" w:eastAsia="宋体" w:cs="宋体"/>
                <w:szCs w:val="21"/>
                <w:highlight w:val="none"/>
              </w:rPr>
              <w:t>注</w:t>
            </w:r>
            <w:r>
              <w:rPr>
                <w:rFonts w:hint="eastAsia" w:ascii="宋体" w:hAnsi="宋体" w:eastAsia="宋体" w:cs="宋体"/>
                <w:szCs w:val="21"/>
                <w:highlight w:val="none"/>
                <w:lang w:val="zh-CN"/>
              </w:rPr>
              <w:t>：①</w:t>
            </w:r>
            <w:r>
              <w:rPr>
                <w:rFonts w:hint="eastAsia" w:ascii="宋体" w:hAnsi="宋体" w:eastAsia="宋体" w:cs="宋体"/>
                <w:szCs w:val="21"/>
                <w:highlight w:val="none"/>
                <w:lang w:val="en-US" w:eastAsia="zh-CN"/>
              </w:rPr>
              <w:t xml:space="preserve">投标人业绩和拟派项目负责人业绩相同的，仅计分一次，不重复计分。 </w:t>
            </w:r>
          </w:p>
          <w:p w14:paraId="7C6F2085">
            <w:pPr>
              <w:keepNext w:val="0"/>
              <w:keepLines w:val="0"/>
              <w:suppressLineNumbers w:val="0"/>
              <w:spacing w:before="0" w:beforeAutospacing="0" w:after="0" w:afterAutospacing="0"/>
              <w:ind w:left="0" w:right="0"/>
              <w:rPr>
                <w:rFonts w:hint="default" w:ascii="宋体" w:hAnsi="宋体" w:eastAsia="宋体" w:cs="宋体"/>
                <w:szCs w:val="21"/>
                <w:highlight w:val="none"/>
                <w:lang w:val="en-US" w:eastAsia="zh-CN"/>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拟派项目负责人业绩须在投标单位以项目负责人身份参与的业绩，在其他单位或以其他身份参与的业绩不予以评分。</w:t>
            </w:r>
          </w:p>
          <w:p w14:paraId="1DB2C33B">
            <w:pPr>
              <w:keepNext w:val="0"/>
              <w:keepLines w:val="0"/>
              <w:suppressLineNumbers w:val="0"/>
              <w:spacing w:before="0" w:beforeAutospacing="0" w:after="0" w:afterAutospacing="0"/>
              <w:ind w:left="0" w:leftChars="0" w:right="0" w:rightChars="0"/>
              <w:rPr>
                <w:rFonts w:hint="eastAsia" w:ascii="宋体" w:hAnsi="宋体" w:cs="宋体"/>
                <w:szCs w:val="21"/>
                <w:highlight w:val="none"/>
              </w:rPr>
            </w:pPr>
            <w:r>
              <w:rPr>
                <w:rFonts w:hint="eastAsia" w:ascii="宋体" w:hAnsi="宋体" w:eastAsia="宋体" w:cs="宋体"/>
                <w:szCs w:val="21"/>
                <w:highlight w:val="none"/>
              </w:rPr>
              <w:t>③</w:t>
            </w:r>
            <w:r>
              <w:rPr>
                <w:rFonts w:hint="eastAsia" w:ascii="宋体" w:hAnsi="宋体" w:cs="宋体"/>
                <w:szCs w:val="21"/>
                <w:highlight w:val="none"/>
              </w:rPr>
              <w:t>投标人投标时只须提供</w:t>
            </w:r>
            <w:r>
              <w:rPr>
                <w:rFonts w:hint="eastAsia" w:ascii="宋体" w:hAnsi="宋体" w:cs="宋体"/>
                <w:szCs w:val="21"/>
                <w:highlight w:val="none"/>
                <w:lang w:val="en-US" w:eastAsia="zh-CN"/>
              </w:rPr>
              <w:t>1</w:t>
            </w:r>
            <w:r>
              <w:rPr>
                <w:rFonts w:hint="eastAsia" w:ascii="宋体" w:hAnsi="宋体" w:cs="宋体"/>
                <w:szCs w:val="21"/>
                <w:highlight w:val="none"/>
              </w:rPr>
              <w:t>个评审业绩，若投标人提供业绩个数超过</w:t>
            </w:r>
            <w:r>
              <w:rPr>
                <w:rFonts w:hint="eastAsia" w:ascii="宋体" w:hAnsi="宋体" w:cs="宋体"/>
                <w:szCs w:val="21"/>
                <w:highlight w:val="none"/>
                <w:lang w:val="en-US" w:eastAsia="zh-CN"/>
              </w:rPr>
              <w:t>1</w:t>
            </w:r>
            <w:r>
              <w:rPr>
                <w:rFonts w:hint="eastAsia" w:ascii="宋体" w:hAnsi="宋体" w:cs="宋体"/>
                <w:szCs w:val="21"/>
                <w:highlight w:val="none"/>
              </w:rPr>
              <w:t>个，则按照排列顺序从首个业绩开始评审至对应数量（</w:t>
            </w:r>
            <w:r>
              <w:rPr>
                <w:rFonts w:hint="eastAsia" w:ascii="宋体" w:hAnsi="宋体" w:cs="宋体"/>
                <w:szCs w:val="21"/>
                <w:highlight w:val="none"/>
                <w:lang w:val="en-US" w:eastAsia="zh-CN"/>
              </w:rPr>
              <w:t>1</w:t>
            </w:r>
            <w:r>
              <w:rPr>
                <w:rFonts w:hint="eastAsia" w:ascii="宋体" w:hAnsi="宋体" w:cs="宋体"/>
                <w:szCs w:val="21"/>
                <w:highlight w:val="none"/>
              </w:rPr>
              <w:t>个），超出部分业绩不进行评审。对应数量（</w:t>
            </w:r>
            <w:r>
              <w:rPr>
                <w:rFonts w:hint="eastAsia" w:ascii="宋体" w:hAnsi="宋体" w:cs="宋体"/>
                <w:szCs w:val="21"/>
                <w:highlight w:val="none"/>
                <w:lang w:val="en-US" w:eastAsia="zh-CN"/>
              </w:rPr>
              <w:t>1</w:t>
            </w:r>
            <w:r>
              <w:rPr>
                <w:rFonts w:hint="eastAsia" w:ascii="宋体" w:hAnsi="宋体" w:cs="宋体"/>
                <w:szCs w:val="21"/>
                <w:highlight w:val="none"/>
              </w:rPr>
              <w:t>个）内业绩不符合招标文件要求不得分的，不再补充评审超出部分业绩。如：提供</w:t>
            </w:r>
            <w:r>
              <w:rPr>
                <w:rFonts w:hint="eastAsia" w:ascii="宋体" w:hAnsi="宋体" w:cs="宋体"/>
                <w:szCs w:val="21"/>
                <w:highlight w:val="none"/>
                <w:lang w:val="en-US" w:eastAsia="zh-CN"/>
              </w:rPr>
              <w:t>1</w:t>
            </w:r>
            <w:r>
              <w:rPr>
                <w:rFonts w:hint="eastAsia" w:ascii="宋体" w:hAnsi="宋体" w:cs="宋体"/>
                <w:szCs w:val="21"/>
                <w:highlight w:val="none"/>
              </w:rPr>
              <w:t>个业绩即得满分的，按照投标文件排序评审第一项业绩，其余超出部分不再评审”。</w:t>
            </w:r>
          </w:p>
        </w:tc>
        <w:tc>
          <w:tcPr>
            <w:tcW w:w="2155" w:type="dxa"/>
            <w:noWrap w:val="0"/>
            <w:vAlign w:val="center"/>
          </w:tcPr>
          <w:p w14:paraId="079F56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投标文件中须提供业绩合同扫描件</w:t>
            </w:r>
            <w:r>
              <w:rPr>
                <w:rFonts w:hint="eastAsia" w:ascii="宋体" w:hAnsi="宋体" w:eastAsia="宋体" w:cs="宋体"/>
                <w:color w:val="000000"/>
                <w:kern w:val="0"/>
                <w:sz w:val="21"/>
                <w:szCs w:val="21"/>
                <w:highlight w:val="none"/>
                <w:lang w:val="en-US" w:eastAsia="zh-CN" w:bidi="ar"/>
              </w:rPr>
              <w:t>或验收证明扫描件</w:t>
            </w:r>
            <w:r>
              <w:rPr>
                <w:rFonts w:hint="eastAsia" w:ascii="Times New Roman" w:hAnsi="Times New Roman" w:eastAsia="宋体" w:cs="Times New Roman"/>
                <w:szCs w:val="21"/>
                <w:highlight w:val="none"/>
                <w:lang w:val="en-US" w:eastAsia="zh-CN"/>
              </w:rPr>
              <w:t>。</w:t>
            </w:r>
            <w:r>
              <w:rPr>
                <w:rFonts w:hint="eastAsia" w:ascii="宋体" w:hAnsi="宋体" w:eastAsia="宋体" w:cs="宋体"/>
                <w:szCs w:val="21"/>
                <w:highlight w:val="none"/>
              </w:rPr>
              <w:t>若</w:t>
            </w:r>
            <w:r>
              <w:rPr>
                <w:rFonts w:hint="eastAsia" w:ascii="宋体" w:hAnsi="宋体" w:eastAsia="宋体" w:cs="宋体"/>
                <w:szCs w:val="21"/>
                <w:highlight w:val="none"/>
                <w:lang w:val="en-US" w:eastAsia="zh-CN"/>
              </w:rPr>
              <w:t>上述证明材料</w:t>
            </w:r>
            <w:r>
              <w:rPr>
                <w:rFonts w:hint="eastAsia" w:ascii="宋体" w:hAnsi="宋体" w:eastAsia="宋体" w:cs="宋体"/>
                <w:szCs w:val="21"/>
                <w:highlight w:val="none"/>
              </w:rPr>
              <w:t>无法体现签订时间、服务内容</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项目负责人姓名</w:t>
            </w:r>
            <w:r>
              <w:rPr>
                <w:rFonts w:hint="eastAsia" w:ascii="宋体" w:hAnsi="宋体" w:eastAsia="宋体" w:cs="宋体"/>
                <w:szCs w:val="21"/>
                <w:highlight w:val="none"/>
              </w:rPr>
              <w:t>等关键评审因素的，需另附招标人（合同甲方）证明材料的扫描件。</w:t>
            </w:r>
          </w:p>
        </w:tc>
      </w:tr>
      <w:tr w14:paraId="3ECD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noWrap w:val="0"/>
            <w:vAlign w:val="center"/>
          </w:tcPr>
          <w:p w14:paraId="4909001B">
            <w:pPr>
              <w:keepNext w:val="0"/>
              <w:keepLines w:val="0"/>
              <w:suppressLineNumbers w:val="0"/>
              <w:spacing w:before="0" w:beforeAutospacing="0" w:after="0" w:afterAutospacing="0" w:line="300" w:lineRule="exact"/>
              <w:ind w:left="0" w:right="0" w:firstLine="28"/>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272" w:type="dxa"/>
            <w:noWrap w:val="0"/>
            <w:vAlign w:val="center"/>
          </w:tcPr>
          <w:p w14:paraId="16831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人员配备</w:t>
            </w:r>
          </w:p>
        </w:tc>
        <w:tc>
          <w:tcPr>
            <w:tcW w:w="768" w:type="dxa"/>
            <w:noWrap w:val="0"/>
            <w:vAlign w:val="center"/>
          </w:tcPr>
          <w:p w14:paraId="15E24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szCs w:val="21"/>
                <w:highlight w:val="none"/>
                <w:lang w:val="en-US" w:eastAsia="zh-CN"/>
              </w:rPr>
              <w:t>4分</w:t>
            </w:r>
          </w:p>
        </w:tc>
        <w:tc>
          <w:tcPr>
            <w:tcW w:w="4886" w:type="dxa"/>
            <w:noWrap w:val="0"/>
            <w:vAlign w:val="center"/>
          </w:tcPr>
          <w:p w14:paraId="269EA496">
            <w:pPr>
              <w:keepNext w:val="0"/>
              <w:keepLines w:val="0"/>
              <w:suppressLineNumbers w:val="0"/>
              <w:spacing w:before="0" w:beforeAutospacing="0" w:after="0" w:afterAutospacing="0"/>
              <w:ind w:left="0" w:right="0"/>
              <w:rPr>
                <w:rFonts w:hint="eastAsia" w:ascii="宋体" w:hAnsi="宋体" w:cs="宋体"/>
                <w:szCs w:val="21"/>
                <w:highlight w:val="none"/>
              </w:rPr>
            </w:pPr>
            <w:r>
              <w:rPr>
                <w:rFonts w:hint="eastAsia" w:ascii="宋体" w:hAnsi="宋体" w:eastAsia="宋体" w:cs="宋体"/>
                <w:szCs w:val="21"/>
                <w:highlight w:val="none"/>
                <w:lang w:val="en-US" w:eastAsia="zh-CN"/>
              </w:rPr>
              <w:t>投标人拟派项目负责人具有</w:t>
            </w:r>
            <w:r>
              <w:rPr>
                <w:rFonts w:hint="eastAsia" w:ascii="宋体" w:hAnsi="宋体" w:eastAsia="宋体" w:cs="宋体"/>
                <w:color w:val="000000"/>
                <w:kern w:val="0"/>
                <w:sz w:val="21"/>
                <w:szCs w:val="21"/>
                <w:highlight w:val="none"/>
                <w:lang w:val="en-US" w:eastAsia="zh-CN" w:bidi="ar"/>
              </w:rPr>
              <w:t>通信（或信号或电子信息或自动化或计算机或机电类等相关专业的高级</w:t>
            </w:r>
            <w:r>
              <w:rPr>
                <w:rFonts w:hint="eastAsia" w:ascii="宋体" w:hAnsi="宋体" w:eastAsia="宋体" w:cs="宋体"/>
                <w:szCs w:val="21"/>
                <w:highlight w:val="none"/>
                <w:lang w:val="en-US" w:eastAsia="zh-CN"/>
              </w:rPr>
              <w:t>职称的得4分；其他的不得分，本条满分4分。</w:t>
            </w:r>
          </w:p>
        </w:tc>
        <w:tc>
          <w:tcPr>
            <w:tcW w:w="2155" w:type="dxa"/>
            <w:noWrap w:val="0"/>
            <w:vAlign w:val="center"/>
          </w:tcPr>
          <w:p w14:paraId="1EB2FBA4">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jc w:val="center"/>
              <w:textAlignment w:val="auto"/>
              <w:rPr>
                <w:rFonts w:hint="eastAsia" w:ascii="宋体" w:hAnsi="宋体" w:eastAsia="宋体" w:cs="宋体"/>
                <w:szCs w:val="21"/>
                <w:highlight w:val="none"/>
                <w:lang w:eastAsia="zh-CN"/>
              </w:rPr>
            </w:pPr>
            <w:r>
              <w:rPr>
                <w:rFonts w:hint="eastAsia" w:ascii="Times New Roman" w:hAnsi="Times New Roman" w:eastAsia="宋体" w:cs="Times New Roman"/>
                <w:szCs w:val="21"/>
                <w:highlight w:val="none"/>
                <w:lang w:val="en-US" w:eastAsia="zh-CN"/>
              </w:rPr>
              <w:t>投标文件中提供有效的</w:t>
            </w:r>
            <w:r>
              <w:rPr>
                <w:rFonts w:hint="eastAsia" w:cs="Times New Roman"/>
                <w:szCs w:val="21"/>
                <w:highlight w:val="none"/>
                <w:lang w:val="en-US" w:eastAsia="zh-CN"/>
              </w:rPr>
              <w:t>证书扫描件</w:t>
            </w:r>
          </w:p>
        </w:tc>
      </w:tr>
      <w:tr w14:paraId="1F1F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5" w:type="dxa"/>
            <w:noWrap w:val="0"/>
            <w:vAlign w:val="center"/>
          </w:tcPr>
          <w:p w14:paraId="431751E3">
            <w:pPr>
              <w:keepNext w:val="0"/>
              <w:keepLines w:val="0"/>
              <w:suppressLineNumbers w:val="0"/>
              <w:spacing w:before="0" w:beforeAutospacing="0" w:after="0" w:afterAutospacing="0" w:line="300" w:lineRule="exact"/>
              <w:ind w:left="0" w:right="0" w:firstLine="28"/>
              <w:jc w:val="center"/>
              <w:rPr>
                <w:rFonts w:hint="default" w:ascii="宋体" w:hAnsi="宋体"/>
                <w:szCs w:val="21"/>
                <w:highlight w:val="none"/>
                <w:lang w:val="en-US" w:eastAsia="zh-CN"/>
              </w:rPr>
            </w:pPr>
            <w:r>
              <w:rPr>
                <w:rFonts w:hint="eastAsia" w:ascii="宋体" w:hAnsi="宋体"/>
                <w:szCs w:val="21"/>
                <w:highlight w:val="none"/>
                <w:lang w:val="en-US" w:eastAsia="zh-CN"/>
              </w:rPr>
              <w:t>4</w:t>
            </w:r>
          </w:p>
        </w:tc>
        <w:tc>
          <w:tcPr>
            <w:tcW w:w="1272" w:type="dxa"/>
            <w:noWrap w:val="0"/>
            <w:vAlign w:val="center"/>
          </w:tcPr>
          <w:p w14:paraId="38D9E3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szCs w:val="21"/>
                <w:highlight w:val="none"/>
                <w:lang w:val="en-US" w:eastAsia="zh-CN"/>
              </w:rPr>
            </w:pPr>
            <w:r>
              <w:rPr>
                <w:rFonts w:hint="eastAsia" w:ascii="宋体" w:hAnsi="宋体" w:eastAsia="宋体" w:cs="宋体"/>
                <w:szCs w:val="21"/>
                <w:highlight w:val="none"/>
                <w:lang w:val="en-US" w:eastAsia="zh-CN"/>
              </w:rPr>
              <w:t>认证体系</w:t>
            </w:r>
          </w:p>
        </w:tc>
        <w:tc>
          <w:tcPr>
            <w:tcW w:w="768" w:type="dxa"/>
            <w:noWrap w:val="0"/>
            <w:vAlign w:val="center"/>
          </w:tcPr>
          <w:p w14:paraId="3845D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6</w:t>
            </w:r>
            <w:r>
              <w:rPr>
                <w:rFonts w:hint="eastAsia" w:ascii="宋体" w:hAnsi="宋体" w:eastAsia="宋体" w:cs="宋体"/>
                <w:szCs w:val="21"/>
                <w:highlight w:val="none"/>
                <w:lang w:val="en-US" w:eastAsia="zh-CN"/>
              </w:rPr>
              <w:t>分</w:t>
            </w:r>
          </w:p>
        </w:tc>
        <w:tc>
          <w:tcPr>
            <w:tcW w:w="4886" w:type="dxa"/>
            <w:noWrap w:val="0"/>
            <w:vAlign w:val="center"/>
          </w:tcPr>
          <w:p w14:paraId="3EEB84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投标人具有经中国国家认证认可监督管理委员会认证机构颁发的有效的下列证书：</w:t>
            </w:r>
          </w:p>
          <w:p w14:paraId="41930E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（1）具有有效的质量管理体系认证证书；</w:t>
            </w:r>
          </w:p>
          <w:p w14:paraId="75270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（2）具有有效的环境管理体系认证证书；</w:t>
            </w:r>
          </w:p>
          <w:p w14:paraId="5F76F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（3）有效的职业健康安全管理体系认证证书；</w:t>
            </w:r>
          </w:p>
          <w:p w14:paraId="0CAAB5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highlight w:val="none"/>
                <w:lang w:val="en-US" w:eastAsia="zh-CN"/>
              </w:rPr>
            </w:pPr>
            <w:r>
              <w:rPr>
                <w:rFonts w:hint="eastAsia" w:ascii="宋体" w:hAnsi="宋体" w:eastAsia="宋体" w:cs="宋体"/>
                <w:szCs w:val="21"/>
                <w:highlight w:val="none"/>
                <w:lang w:val="en-US" w:eastAsia="zh-CN"/>
              </w:rPr>
              <w:t>每提供1个得2分，其他的不得分，本</w:t>
            </w:r>
            <w:r>
              <w:rPr>
                <w:rFonts w:hint="eastAsia" w:ascii="宋体" w:hAnsi="宋体" w:cs="宋体"/>
                <w:szCs w:val="21"/>
                <w:highlight w:val="none"/>
                <w:lang w:val="en-US" w:eastAsia="zh-CN"/>
              </w:rPr>
              <w:t>项</w:t>
            </w:r>
            <w:r>
              <w:rPr>
                <w:rFonts w:hint="eastAsia" w:ascii="宋体" w:hAnsi="宋体" w:eastAsia="宋体" w:cs="宋体"/>
                <w:szCs w:val="21"/>
                <w:highlight w:val="none"/>
                <w:lang w:val="en-US" w:eastAsia="zh-CN"/>
              </w:rPr>
              <w:t>满分6分。</w:t>
            </w:r>
          </w:p>
        </w:tc>
        <w:tc>
          <w:tcPr>
            <w:tcW w:w="2155" w:type="dxa"/>
            <w:noWrap w:val="0"/>
            <w:vAlign w:val="center"/>
          </w:tcPr>
          <w:p w14:paraId="19240FBA">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投标文件中提供有效的证书扫描件以及全国认证认可信息公共服务平台证书信息查询截图。</w:t>
            </w:r>
          </w:p>
        </w:tc>
      </w:tr>
    </w:tbl>
    <w:p w14:paraId="4996C871">
      <w:pPr>
        <w:spacing w:line="440" w:lineRule="exact"/>
        <w:ind w:firstLine="210" w:firstLineChars="100"/>
        <w:jc w:val="left"/>
        <w:rPr>
          <w:rFonts w:ascii="宋体"/>
          <w:b/>
          <w:color w:val="000000"/>
          <w:szCs w:val="21"/>
          <w:highlight w:val="none"/>
        </w:rPr>
      </w:pPr>
      <w:r>
        <w:rPr>
          <w:rFonts w:hint="eastAsia" w:ascii="宋体" w:hAnsi="宋体"/>
          <w:b/>
          <w:szCs w:val="21"/>
          <w:highlight w:val="none"/>
        </w:rPr>
        <w:t>注</w:t>
      </w:r>
      <w:r>
        <w:rPr>
          <w:rFonts w:hint="eastAsia" w:ascii="宋体"/>
          <w:b/>
          <w:color w:val="000000"/>
          <w:szCs w:val="21"/>
          <w:highlight w:val="none"/>
        </w:rPr>
        <w:t>：各评委得分的平均值为投标人资信标得分，分值保留两位小数点。</w:t>
      </w:r>
    </w:p>
    <w:p w14:paraId="7E975075">
      <w:pPr>
        <w:spacing w:line="440" w:lineRule="exact"/>
        <w:ind w:firstLine="210" w:firstLineChars="100"/>
        <w:rPr>
          <w:rFonts w:hint="eastAsia" w:ascii="宋体" w:hAnsi="宋体" w:cs="宋体"/>
          <w:b/>
          <w:bCs/>
          <w:szCs w:val="21"/>
          <w:highlight w:val="none"/>
        </w:rPr>
      </w:pPr>
      <w:r>
        <w:rPr>
          <w:rFonts w:hint="eastAsia" w:ascii="宋体" w:hAnsi="宋体" w:cs="宋体"/>
          <w:b/>
          <w:bCs/>
          <w:szCs w:val="21"/>
          <w:highlight w:val="none"/>
        </w:rPr>
        <w:t>3.技术标评审（</w:t>
      </w:r>
      <w:r>
        <w:rPr>
          <w:rFonts w:hint="eastAsia" w:ascii="宋体" w:hAnsi="宋体" w:cs="宋体"/>
          <w:b/>
          <w:bCs/>
          <w:szCs w:val="21"/>
          <w:highlight w:val="none"/>
          <w:lang w:val="en-US" w:eastAsia="zh-CN"/>
        </w:rPr>
        <w:t>20</w:t>
      </w:r>
      <w:r>
        <w:rPr>
          <w:rFonts w:hint="eastAsia" w:ascii="宋体" w:hAnsi="宋体" w:cs="宋体"/>
          <w:b/>
          <w:bCs/>
          <w:szCs w:val="21"/>
          <w:highlight w:val="none"/>
        </w:rPr>
        <w:t>分）</w:t>
      </w:r>
    </w:p>
    <w:tbl>
      <w:tblPr>
        <w:tblStyle w:val="23"/>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21"/>
        <w:gridCol w:w="736"/>
        <w:gridCol w:w="4708"/>
        <w:gridCol w:w="2025"/>
      </w:tblGrid>
      <w:tr w14:paraId="453D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82" w:type="dxa"/>
            <w:noWrap w:val="0"/>
            <w:vAlign w:val="center"/>
          </w:tcPr>
          <w:p w14:paraId="67F117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bCs/>
                <w:szCs w:val="21"/>
                <w:highlight w:val="none"/>
              </w:rPr>
            </w:pPr>
            <w:r>
              <w:rPr>
                <w:rFonts w:hint="eastAsia" w:ascii="宋体" w:hAnsi="宋体" w:cs="宋体"/>
                <w:b/>
                <w:bCs/>
                <w:szCs w:val="21"/>
                <w:highlight w:val="none"/>
              </w:rPr>
              <w:t xml:space="preserve">序号 </w:t>
            </w:r>
            <w:r>
              <w:rPr>
                <w:rFonts w:hint="eastAsia" w:ascii="宋体" w:cs="宋体"/>
                <w:b/>
                <w:bCs/>
                <w:sz w:val="28"/>
                <w:highlight w:val="none"/>
              </w:rPr>
              <w:t xml:space="preserve">    </w:t>
            </w:r>
          </w:p>
        </w:tc>
        <w:tc>
          <w:tcPr>
            <w:tcW w:w="1521" w:type="dxa"/>
            <w:noWrap w:val="0"/>
            <w:vAlign w:val="center"/>
          </w:tcPr>
          <w:p w14:paraId="1E5BDF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bCs/>
                <w:sz w:val="28"/>
                <w:highlight w:val="none"/>
              </w:rPr>
            </w:pPr>
            <w:r>
              <w:rPr>
                <w:rFonts w:hint="eastAsia" w:ascii="宋体" w:hAnsi="宋体" w:cs="宋体"/>
                <w:b/>
                <w:bCs/>
                <w:szCs w:val="21"/>
                <w:highlight w:val="none"/>
              </w:rPr>
              <w:t>评分因素</w:t>
            </w:r>
          </w:p>
        </w:tc>
        <w:tc>
          <w:tcPr>
            <w:tcW w:w="736" w:type="dxa"/>
            <w:noWrap w:val="0"/>
            <w:vAlign w:val="center"/>
          </w:tcPr>
          <w:p w14:paraId="3ACE95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cs="宋体"/>
                <w:b/>
                <w:bCs/>
                <w:szCs w:val="21"/>
                <w:highlight w:val="none"/>
              </w:rPr>
            </w:pPr>
            <w:r>
              <w:rPr>
                <w:rFonts w:hint="eastAsia" w:ascii="宋体" w:hAnsi="宋体" w:cs="宋体"/>
                <w:b/>
                <w:bCs/>
                <w:szCs w:val="21"/>
                <w:highlight w:val="none"/>
              </w:rPr>
              <w:t>分值</w:t>
            </w:r>
          </w:p>
        </w:tc>
        <w:tc>
          <w:tcPr>
            <w:tcW w:w="4708" w:type="dxa"/>
            <w:noWrap w:val="0"/>
            <w:vAlign w:val="center"/>
          </w:tcPr>
          <w:p w14:paraId="5380E5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bCs/>
                <w:sz w:val="28"/>
                <w:highlight w:val="none"/>
              </w:rPr>
            </w:pPr>
            <w:r>
              <w:rPr>
                <w:rFonts w:hint="eastAsia" w:ascii="宋体" w:cs="宋体"/>
                <w:b/>
                <w:bCs/>
                <w:szCs w:val="21"/>
                <w:highlight w:val="none"/>
              </w:rPr>
              <w:t>评审细则</w:t>
            </w:r>
          </w:p>
        </w:tc>
        <w:tc>
          <w:tcPr>
            <w:tcW w:w="2025" w:type="dxa"/>
            <w:noWrap w:val="0"/>
            <w:vAlign w:val="center"/>
          </w:tcPr>
          <w:p w14:paraId="0F5601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cs="宋体"/>
                <w:b/>
                <w:bCs/>
                <w:szCs w:val="21"/>
                <w:highlight w:val="none"/>
              </w:rPr>
            </w:pPr>
            <w:r>
              <w:rPr>
                <w:rFonts w:hint="eastAsia" w:ascii="宋体" w:cs="宋体"/>
                <w:b/>
                <w:bCs/>
                <w:szCs w:val="21"/>
                <w:highlight w:val="none"/>
              </w:rPr>
              <w:t>须提供的证明材料</w:t>
            </w:r>
          </w:p>
        </w:tc>
      </w:tr>
      <w:tr w14:paraId="0105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1C916829">
            <w:pPr>
              <w:keepNext w:val="0"/>
              <w:keepLines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宋体" w:hAnsi="宋体" w:cs="宋体"/>
                <w:szCs w:val="21"/>
                <w:highlight w:val="none"/>
                <w:lang w:val="en-US" w:eastAsia="zh-CN"/>
              </w:rPr>
              <w:t>1</w:t>
            </w:r>
          </w:p>
        </w:tc>
        <w:tc>
          <w:tcPr>
            <w:tcW w:w="1521" w:type="dxa"/>
            <w:noWrap w:val="0"/>
            <w:vAlign w:val="center"/>
          </w:tcPr>
          <w:p w14:paraId="2FEAACC3">
            <w:pPr>
              <w:keepNext w:val="0"/>
              <w:keepLines w:val="0"/>
              <w:suppressLineNumbers w:val="0"/>
              <w:spacing w:before="0" w:beforeAutospacing="0" w:after="0" w:afterAutospacing="0"/>
              <w:ind w:left="0" w:leftChars="0" w:right="0" w:rightChars="0"/>
              <w:jc w:val="center"/>
              <w:rPr>
                <w:rFonts w:hint="default" w:cs="宋体"/>
                <w:bCs/>
                <w:szCs w:val="21"/>
                <w:highlight w:val="none"/>
              </w:rPr>
            </w:pPr>
            <w:r>
              <w:rPr>
                <w:rFonts w:hint="eastAsia" w:ascii="宋体" w:hAnsi="宋体" w:eastAsia="宋体" w:cs="宋体"/>
                <w:sz w:val="21"/>
                <w:szCs w:val="21"/>
                <w:highlight w:val="none"/>
              </w:rPr>
              <w:t>技术方案</w:t>
            </w:r>
          </w:p>
        </w:tc>
        <w:tc>
          <w:tcPr>
            <w:tcW w:w="736" w:type="dxa"/>
            <w:noWrap w:val="0"/>
            <w:vAlign w:val="center"/>
          </w:tcPr>
          <w:p w14:paraId="172A752B">
            <w:pPr>
              <w:keepNext w:val="0"/>
              <w:keepLines w:val="0"/>
              <w:suppressLineNumbers w:val="0"/>
              <w:spacing w:before="0" w:beforeAutospacing="0" w:after="0" w:afterAutospacing="0" w:line="276" w:lineRule="auto"/>
              <w:ind w:left="0" w:leftChars="0" w:right="0" w:rightChars="0"/>
              <w:jc w:val="center"/>
              <w:rPr>
                <w:rFonts w:hint="eastAsia" w:ascii="宋体" w:hAnsi="宋体"/>
                <w:color w:val="000000"/>
                <w:szCs w:val="21"/>
                <w:highlight w:val="none"/>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p>
        </w:tc>
        <w:tc>
          <w:tcPr>
            <w:tcW w:w="4708" w:type="dxa"/>
            <w:noWrap w:val="0"/>
            <w:vAlign w:val="center"/>
          </w:tcPr>
          <w:p w14:paraId="602DA138">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设备技术参数需描述准确，能满足技术规格书的新增设备要求和设备功能及要求，项目电缆、光缆、视频摄像机等</w:t>
            </w:r>
            <w:r>
              <w:rPr>
                <w:rFonts w:hint="eastAsia" w:ascii="宋体" w:hAnsi="宋体" w:cs="宋体"/>
                <w:color w:val="000000"/>
                <w:kern w:val="0"/>
                <w:sz w:val="21"/>
                <w:szCs w:val="21"/>
                <w:lang w:val="en-US" w:eastAsia="zh-CN" w:bidi="ar"/>
              </w:rPr>
              <w:t>设备</w:t>
            </w:r>
            <w:r>
              <w:rPr>
                <w:rFonts w:hint="eastAsia" w:ascii="宋体" w:hAnsi="宋体" w:eastAsia="宋体" w:cs="宋体"/>
                <w:color w:val="000000"/>
                <w:kern w:val="0"/>
                <w:sz w:val="21"/>
                <w:szCs w:val="21"/>
                <w:lang w:val="en-US" w:eastAsia="zh-CN" w:bidi="ar"/>
              </w:rPr>
              <w:t>符合本项目要求，且针对本项目有详细的描述和选型原因，设备的统一性、产品的统一性、品牌的统一性要求，与线路既有品牌型号相符，有详细且合理的设计方案。符合本项目要求，对本项目安装环境调研理解充分，有详细勘查记录和报告。</w:t>
            </w:r>
            <w:r>
              <w:rPr>
                <w:rFonts w:hint="eastAsia" w:ascii="宋体" w:hAnsi="宋体" w:eastAsia="宋体" w:cs="宋体"/>
                <w:sz w:val="21"/>
                <w:szCs w:val="21"/>
                <w:highlight w:val="none"/>
              </w:rPr>
              <w:t>优秀：</w:t>
            </w:r>
            <w:r>
              <w:rPr>
                <w:rFonts w:hint="eastAsia" w:ascii="宋体" w:hAnsi="宋体" w:eastAsia="宋体" w:cs="宋体"/>
                <w:sz w:val="21"/>
                <w:szCs w:val="21"/>
                <w:highlight w:val="none"/>
                <w:lang w:val="zh-CN"/>
              </w:rPr>
              <w:t>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分</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良</w:t>
            </w:r>
            <w:r>
              <w:rPr>
                <w:rFonts w:hint="eastAsia" w:ascii="宋体" w:hAnsi="宋体" w:eastAsia="宋体" w:cs="宋体"/>
                <w:sz w:val="21"/>
                <w:szCs w:val="21"/>
                <w:highlight w:val="none"/>
              </w:rPr>
              <w:t>好</w:t>
            </w:r>
            <w:r>
              <w:rPr>
                <w:rFonts w:hint="eastAsia" w:ascii="宋体" w:hAnsi="宋体" w:eastAsia="宋体" w:cs="宋体"/>
                <w:sz w:val="21"/>
                <w:szCs w:val="21"/>
                <w:highlight w:val="none"/>
                <w:lang w:val="zh-CN"/>
              </w:rPr>
              <w:t>：得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分</w:t>
            </w:r>
            <w:r>
              <w:rPr>
                <w:rFonts w:hint="eastAsia" w:ascii="宋体" w:hAnsi="宋体" w:cs="宋体"/>
                <w:sz w:val="21"/>
                <w:szCs w:val="21"/>
                <w:highlight w:val="none"/>
                <w:lang w:val="zh-CN"/>
              </w:rPr>
              <w:t>；</w:t>
            </w:r>
            <w:r>
              <w:rPr>
                <w:rFonts w:hint="eastAsia" w:ascii="宋体" w:hAnsi="宋体" w:eastAsia="宋体" w:cs="宋体"/>
                <w:sz w:val="21"/>
                <w:szCs w:val="21"/>
                <w:highlight w:val="none"/>
              </w:rPr>
              <w:t>一般</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差</w:t>
            </w:r>
            <w:r>
              <w:rPr>
                <w:rFonts w:hint="eastAsia" w:ascii="宋体" w:hAnsi="宋体" w:eastAsia="宋体" w:cs="宋体"/>
                <w:color w:val="000000"/>
                <w:sz w:val="21"/>
                <w:szCs w:val="21"/>
                <w:highlight w:val="none"/>
                <w:lang w:val="en-US" w:eastAsia="zh-CN"/>
              </w:rPr>
              <w:t>的和未提供的不得分，本</w:t>
            </w:r>
            <w:r>
              <w:rPr>
                <w:rFonts w:hint="eastAsia" w:ascii="宋体" w:hAnsi="宋体" w:cs="宋体"/>
                <w:color w:val="000000"/>
                <w:sz w:val="21"/>
                <w:szCs w:val="21"/>
                <w:highlight w:val="none"/>
                <w:lang w:val="en-US" w:eastAsia="zh-CN"/>
              </w:rPr>
              <w:t>项</w:t>
            </w:r>
            <w:r>
              <w:rPr>
                <w:rFonts w:hint="eastAsia" w:ascii="宋体" w:hAnsi="宋体" w:eastAsia="宋体" w:cs="宋体"/>
                <w:color w:val="000000"/>
                <w:sz w:val="21"/>
                <w:szCs w:val="21"/>
                <w:highlight w:val="none"/>
                <w:lang w:val="en-US" w:eastAsia="zh-CN"/>
              </w:rPr>
              <w:t>满分</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rPr>
              <w:t>。</w:t>
            </w:r>
          </w:p>
        </w:tc>
        <w:tc>
          <w:tcPr>
            <w:tcW w:w="2025" w:type="dxa"/>
            <w:noWrap w:val="0"/>
            <w:vAlign w:val="center"/>
          </w:tcPr>
          <w:p w14:paraId="4696416E">
            <w:pPr>
              <w:keepNext w:val="0"/>
              <w:keepLines w:val="0"/>
              <w:suppressLineNumbers w:val="0"/>
              <w:spacing w:before="0" w:beforeAutospacing="0" w:after="0" w:afterAutospacing="0" w:line="240" w:lineRule="auto"/>
              <w:ind w:left="0" w:leftChars="0" w:right="0" w:rightChars="0"/>
              <w:jc w:val="center"/>
              <w:rPr>
                <w:rFonts w:hint="eastAsia" w:ascii="宋体" w:hAnsi="宋体" w:cs="宋体"/>
                <w:szCs w:val="21"/>
                <w:highlight w:val="none"/>
              </w:rPr>
            </w:pPr>
            <w:r>
              <w:rPr>
                <w:rFonts w:hint="eastAsia" w:ascii="宋体" w:hAnsi="宋体" w:eastAsia="宋体" w:cs="宋体"/>
                <w:sz w:val="21"/>
                <w:szCs w:val="21"/>
                <w:highlight w:val="none"/>
                <w:lang w:val="zh-TW"/>
              </w:rPr>
              <w:t>技术标中须能充分有效反映出本评分项内容</w:t>
            </w:r>
            <w:r>
              <w:rPr>
                <w:rFonts w:hint="eastAsia" w:ascii="宋体" w:hAnsi="宋体" w:cs="宋体"/>
                <w:sz w:val="21"/>
                <w:szCs w:val="21"/>
                <w:highlight w:val="none"/>
                <w:lang w:val="zh-TW" w:eastAsia="zh-CN"/>
              </w:rPr>
              <w:t>。</w:t>
            </w:r>
          </w:p>
        </w:tc>
      </w:tr>
      <w:tr w14:paraId="775C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36D74D19">
            <w:pPr>
              <w:keepNext w:val="0"/>
              <w:keepLines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宋体" w:hAnsi="宋体" w:cs="宋体"/>
                <w:szCs w:val="21"/>
                <w:highlight w:val="none"/>
                <w:lang w:val="en-US" w:eastAsia="zh-CN"/>
              </w:rPr>
              <w:t>2</w:t>
            </w:r>
          </w:p>
        </w:tc>
        <w:tc>
          <w:tcPr>
            <w:tcW w:w="1521" w:type="dxa"/>
            <w:noWrap w:val="0"/>
            <w:vAlign w:val="center"/>
          </w:tcPr>
          <w:p w14:paraId="72DA981F">
            <w:pPr>
              <w:keepNext w:val="0"/>
              <w:keepLines w:val="0"/>
              <w:suppressLineNumbers w:val="0"/>
              <w:spacing w:before="0" w:beforeAutospacing="0" w:after="0" w:afterAutospacing="0"/>
              <w:ind w:left="0" w:leftChars="0" w:right="0" w:rightChars="0"/>
              <w:jc w:val="center"/>
              <w:rPr>
                <w:rFonts w:hint="default" w:cs="宋体"/>
                <w:bCs/>
                <w:szCs w:val="21"/>
                <w:highlight w:val="none"/>
              </w:rPr>
            </w:pPr>
            <w:r>
              <w:rPr>
                <w:rFonts w:hint="eastAsia" w:ascii="宋体" w:hAnsi="宋体" w:eastAsia="宋体" w:cs="宋体"/>
                <w:sz w:val="21"/>
                <w:szCs w:val="21"/>
                <w:highlight w:val="none"/>
              </w:rPr>
              <w:t>施工组织方案</w:t>
            </w:r>
          </w:p>
        </w:tc>
        <w:tc>
          <w:tcPr>
            <w:tcW w:w="736" w:type="dxa"/>
            <w:noWrap w:val="0"/>
            <w:vAlign w:val="center"/>
          </w:tcPr>
          <w:p w14:paraId="6B7BE87A">
            <w:pPr>
              <w:keepNext w:val="0"/>
              <w:keepLines w:val="0"/>
              <w:suppressLineNumbers w:val="0"/>
              <w:spacing w:before="0" w:beforeAutospacing="0" w:after="0" w:afterAutospacing="0" w:line="276" w:lineRule="auto"/>
              <w:ind w:left="0" w:leftChars="0" w:right="0" w:rightChars="0"/>
              <w:jc w:val="center"/>
              <w:rPr>
                <w:rFonts w:hint="eastAsia" w:ascii="宋体" w:hAnsi="宋体"/>
                <w:color w:val="000000"/>
                <w:szCs w:val="21"/>
                <w:highlight w:val="none"/>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p>
        </w:tc>
        <w:tc>
          <w:tcPr>
            <w:tcW w:w="4708" w:type="dxa"/>
            <w:noWrap w:val="0"/>
            <w:vAlign w:val="center"/>
          </w:tcPr>
          <w:p w14:paraId="36029D79">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color w:val="000000"/>
                <w:sz w:val="21"/>
                <w:szCs w:val="21"/>
                <w:highlight w:val="none"/>
                <w:lang w:val="zh-CN"/>
              </w:rPr>
              <w:t>施工的组织方案应</w:t>
            </w:r>
            <w:r>
              <w:rPr>
                <w:rFonts w:hint="eastAsia" w:ascii="宋体" w:hAnsi="宋体" w:eastAsia="宋体" w:cs="宋体"/>
                <w:b w:val="0"/>
                <w:bCs/>
                <w:color w:val="000000"/>
                <w:sz w:val="21"/>
                <w:szCs w:val="21"/>
                <w:highlight w:val="none"/>
                <w:lang w:val="zh-CN"/>
              </w:rPr>
              <w:t>从项目整体阐述，</w:t>
            </w:r>
            <w:r>
              <w:rPr>
                <w:rFonts w:hint="eastAsia" w:ascii="宋体" w:hAnsi="宋体" w:eastAsia="宋体" w:cs="宋体"/>
                <w:color w:val="000000"/>
                <w:sz w:val="21"/>
                <w:szCs w:val="21"/>
                <w:highlight w:val="none"/>
                <w:lang w:val="zh-CN"/>
              </w:rPr>
              <w:t>详细可行有针对性，</w:t>
            </w:r>
            <w:r>
              <w:rPr>
                <w:rFonts w:hint="eastAsia" w:ascii="宋体" w:hAnsi="宋体" w:eastAsia="宋体" w:cs="宋体"/>
                <w:color w:val="000000"/>
                <w:kern w:val="0"/>
                <w:sz w:val="21"/>
                <w:szCs w:val="21"/>
                <w:lang w:val="en-US" w:eastAsia="zh-CN" w:bidi="ar"/>
              </w:rPr>
              <w:t>施工方案进度计划合理，各工序安排得当，</w:t>
            </w:r>
            <w:r>
              <w:rPr>
                <w:rFonts w:hint="eastAsia" w:ascii="宋体" w:hAnsi="宋体" w:eastAsia="宋体" w:cs="宋体"/>
                <w:color w:val="000000"/>
                <w:sz w:val="21"/>
                <w:szCs w:val="21"/>
                <w:highlight w:val="none"/>
                <w:lang w:val="zh-CN"/>
              </w:rPr>
              <w:t>主要从施工计划安排、人员组织、材料工器具配置、质量保证措施等方面阐述，</w:t>
            </w:r>
            <w:r>
              <w:rPr>
                <w:rFonts w:hint="eastAsia" w:ascii="宋体" w:hAnsi="宋体" w:eastAsia="宋体" w:cs="宋体"/>
                <w:color w:val="000000"/>
                <w:kern w:val="0"/>
                <w:sz w:val="21"/>
                <w:szCs w:val="21"/>
                <w:lang w:val="en-US" w:eastAsia="zh-CN" w:bidi="ar"/>
              </w:rPr>
              <w:t>针对设备安装等施工设计应重点考虑。</w:t>
            </w:r>
            <w:r>
              <w:rPr>
                <w:rFonts w:hint="eastAsia" w:ascii="宋体" w:hAnsi="宋体" w:eastAsia="宋体" w:cs="宋体"/>
                <w:sz w:val="21"/>
                <w:szCs w:val="21"/>
                <w:highlight w:val="none"/>
              </w:rPr>
              <w:t>优秀：</w:t>
            </w:r>
            <w:r>
              <w:rPr>
                <w:rFonts w:hint="eastAsia" w:ascii="宋体" w:hAnsi="宋体" w:eastAsia="宋体" w:cs="宋体"/>
                <w:sz w:val="21"/>
                <w:szCs w:val="21"/>
                <w:highlight w:val="none"/>
                <w:lang w:val="zh-CN"/>
              </w:rPr>
              <w:t>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分</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良</w:t>
            </w:r>
            <w:r>
              <w:rPr>
                <w:rFonts w:hint="eastAsia" w:ascii="宋体" w:hAnsi="宋体" w:eastAsia="宋体" w:cs="宋体"/>
                <w:sz w:val="21"/>
                <w:szCs w:val="21"/>
                <w:highlight w:val="none"/>
              </w:rPr>
              <w:t>好</w:t>
            </w:r>
            <w:r>
              <w:rPr>
                <w:rFonts w:hint="eastAsia" w:ascii="宋体" w:hAnsi="宋体" w:eastAsia="宋体" w:cs="宋体"/>
                <w:sz w:val="21"/>
                <w:szCs w:val="21"/>
                <w:highlight w:val="none"/>
                <w:lang w:val="zh-CN"/>
              </w:rPr>
              <w:t>：得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分</w:t>
            </w:r>
            <w:r>
              <w:rPr>
                <w:rFonts w:hint="eastAsia" w:ascii="宋体" w:hAnsi="宋体" w:cs="宋体"/>
                <w:sz w:val="21"/>
                <w:szCs w:val="21"/>
                <w:highlight w:val="none"/>
                <w:lang w:val="zh-CN"/>
              </w:rPr>
              <w:t>；</w:t>
            </w:r>
            <w:r>
              <w:rPr>
                <w:rFonts w:hint="eastAsia" w:ascii="宋体" w:hAnsi="宋体" w:eastAsia="宋体" w:cs="宋体"/>
                <w:sz w:val="21"/>
                <w:szCs w:val="21"/>
                <w:highlight w:val="none"/>
              </w:rPr>
              <w:t>一般</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差</w:t>
            </w:r>
            <w:r>
              <w:rPr>
                <w:rFonts w:hint="eastAsia" w:ascii="宋体" w:hAnsi="宋体" w:eastAsia="宋体" w:cs="宋体"/>
                <w:color w:val="000000"/>
                <w:sz w:val="21"/>
                <w:szCs w:val="21"/>
                <w:highlight w:val="none"/>
                <w:lang w:val="en-US" w:eastAsia="zh-CN"/>
              </w:rPr>
              <w:t>的和未提供的不得分，本</w:t>
            </w:r>
            <w:r>
              <w:rPr>
                <w:rFonts w:hint="eastAsia" w:ascii="宋体" w:hAnsi="宋体" w:cs="宋体"/>
                <w:color w:val="000000"/>
                <w:sz w:val="21"/>
                <w:szCs w:val="21"/>
                <w:highlight w:val="none"/>
                <w:lang w:val="en-US" w:eastAsia="zh-CN"/>
              </w:rPr>
              <w:t>项</w:t>
            </w:r>
            <w:r>
              <w:rPr>
                <w:rFonts w:hint="eastAsia" w:ascii="宋体" w:hAnsi="宋体" w:eastAsia="宋体" w:cs="宋体"/>
                <w:color w:val="000000"/>
                <w:sz w:val="21"/>
                <w:szCs w:val="21"/>
                <w:highlight w:val="none"/>
                <w:lang w:val="en-US" w:eastAsia="zh-CN"/>
              </w:rPr>
              <w:t>满分</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rPr>
              <w:t>。</w:t>
            </w:r>
          </w:p>
        </w:tc>
        <w:tc>
          <w:tcPr>
            <w:tcW w:w="2025" w:type="dxa"/>
            <w:noWrap w:val="0"/>
            <w:vAlign w:val="center"/>
          </w:tcPr>
          <w:p w14:paraId="3F071635">
            <w:pPr>
              <w:keepNext w:val="0"/>
              <w:keepLines w:val="0"/>
              <w:suppressLineNumbers w:val="0"/>
              <w:spacing w:before="0" w:beforeAutospacing="0" w:after="0" w:afterAutospacing="0" w:line="240" w:lineRule="auto"/>
              <w:ind w:left="0" w:leftChars="0" w:right="0" w:rightChars="0"/>
              <w:jc w:val="center"/>
              <w:rPr>
                <w:rFonts w:hint="eastAsia" w:ascii="宋体" w:hAnsi="宋体" w:cs="宋体"/>
                <w:szCs w:val="21"/>
                <w:highlight w:val="none"/>
              </w:rPr>
            </w:pPr>
            <w:r>
              <w:rPr>
                <w:rFonts w:hint="eastAsia" w:ascii="宋体" w:hAnsi="宋体" w:eastAsia="宋体" w:cs="宋体"/>
                <w:sz w:val="21"/>
                <w:szCs w:val="21"/>
                <w:highlight w:val="none"/>
                <w:lang w:val="zh-TW"/>
              </w:rPr>
              <w:t>技术标中须能充分有效反映出本评分项内容</w:t>
            </w:r>
            <w:r>
              <w:rPr>
                <w:rFonts w:hint="eastAsia" w:ascii="宋体" w:hAnsi="宋体" w:cs="宋体"/>
                <w:sz w:val="21"/>
                <w:szCs w:val="21"/>
                <w:highlight w:val="none"/>
                <w:lang w:val="zh-TW" w:eastAsia="zh-CN"/>
              </w:rPr>
              <w:t>。</w:t>
            </w:r>
          </w:p>
        </w:tc>
      </w:tr>
      <w:tr w14:paraId="2239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552B0D37">
            <w:pPr>
              <w:keepNext w:val="0"/>
              <w:keepLines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宋体" w:hAnsi="宋体" w:cs="宋体"/>
                <w:szCs w:val="21"/>
                <w:highlight w:val="none"/>
                <w:lang w:val="en-US" w:eastAsia="zh-CN"/>
              </w:rPr>
              <w:t>3</w:t>
            </w:r>
          </w:p>
        </w:tc>
        <w:tc>
          <w:tcPr>
            <w:tcW w:w="1521" w:type="dxa"/>
            <w:noWrap w:val="0"/>
            <w:vAlign w:val="center"/>
          </w:tcPr>
          <w:p w14:paraId="7C9D0BBD">
            <w:pPr>
              <w:keepNext w:val="0"/>
              <w:keepLines w:val="0"/>
              <w:suppressLineNumbers w:val="0"/>
              <w:spacing w:before="0" w:beforeAutospacing="0" w:after="0" w:afterAutospacing="0"/>
              <w:ind w:left="0" w:leftChars="0" w:right="0" w:rightChars="0"/>
              <w:jc w:val="center"/>
              <w:rPr>
                <w:rFonts w:hint="default" w:cs="宋体"/>
                <w:bCs/>
                <w:szCs w:val="21"/>
                <w:highlight w:val="none"/>
              </w:rPr>
            </w:pPr>
            <w:r>
              <w:rPr>
                <w:rFonts w:hint="eastAsia" w:ascii="宋体" w:hAnsi="宋体" w:eastAsia="宋体" w:cs="宋体"/>
                <w:sz w:val="21"/>
                <w:szCs w:val="21"/>
                <w:highlight w:val="none"/>
              </w:rPr>
              <w:t>安全文明施工组织措施</w:t>
            </w:r>
          </w:p>
        </w:tc>
        <w:tc>
          <w:tcPr>
            <w:tcW w:w="736" w:type="dxa"/>
            <w:noWrap w:val="0"/>
            <w:vAlign w:val="center"/>
          </w:tcPr>
          <w:p w14:paraId="3CF3F50F">
            <w:pPr>
              <w:keepNext w:val="0"/>
              <w:keepLines w:val="0"/>
              <w:suppressLineNumbers w:val="0"/>
              <w:adjustRightInd w:val="0"/>
              <w:snapToGrid w:val="0"/>
              <w:spacing w:before="0" w:beforeAutospacing="0" w:after="0" w:afterAutospacing="0" w:line="276" w:lineRule="auto"/>
              <w:ind w:left="0" w:leftChars="0" w:right="0" w:rightChars="0"/>
              <w:jc w:val="center"/>
              <w:rPr>
                <w:rFonts w:hint="eastAsia" w:ascii="宋体" w:hAnsi="宋体"/>
                <w:color w:val="000000"/>
                <w:szCs w:val="21"/>
                <w:highlight w:val="none"/>
              </w:rPr>
            </w:pP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p>
        </w:tc>
        <w:tc>
          <w:tcPr>
            <w:tcW w:w="4708" w:type="dxa"/>
            <w:noWrap w:val="0"/>
            <w:vAlign w:val="center"/>
          </w:tcPr>
          <w:p w14:paraId="538BF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highlight w:val="none"/>
              </w:rPr>
            </w:pPr>
            <w:r>
              <w:rPr>
                <w:rFonts w:hint="eastAsia" w:ascii="宋体" w:hAnsi="宋体" w:eastAsia="宋体" w:cs="宋体"/>
                <w:sz w:val="21"/>
                <w:szCs w:val="21"/>
                <w:highlight w:val="none"/>
              </w:rPr>
              <w:t>建立健全的安全文明管理体系和措施，详细分析施工过程中的各种安全隐患，能有效的确保安全文明施工，措施描述完善有针对性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优秀：</w:t>
            </w:r>
            <w:r>
              <w:rPr>
                <w:rFonts w:hint="eastAsia" w:ascii="宋体" w:hAnsi="宋体" w:eastAsia="宋体" w:cs="宋体"/>
                <w:sz w:val="21"/>
                <w:szCs w:val="21"/>
                <w:highlight w:val="none"/>
                <w:lang w:val="zh-CN"/>
              </w:rPr>
              <w:t>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val="zh-CN"/>
              </w:rPr>
              <w:t>分</w:t>
            </w: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良</w:t>
            </w:r>
            <w:r>
              <w:rPr>
                <w:rFonts w:hint="eastAsia" w:ascii="宋体" w:hAnsi="宋体" w:eastAsia="宋体" w:cs="宋体"/>
                <w:sz w:val="21"/>
                <w:szCs w:val="21"/>
                <w:highlight w:val="none"/>
              </w:rPr>
              <w:t>好</w:t>
            </w:r>
            <w:r>
              <w:rPr>
                <w:rFonts w:hint="eastAsia" w:ascii="宋体" w:hAnsi="宋体" w:eastAsia="宋体" w:cs="宋体"/>
                <w:sz w:val="21"/>
                <w:szCs w:val="21"/>
                <w:highlight w:val="none"/>
                <w:lang w:val="zh-CN"/>
              </w:rPr>
              <w:t>：得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rPr>
              <w:t>分</w:t>
            </w:r>
            <w:r>
              <w:rPr>
                <w:rFonts w:hint="eastAsia" w:ascii="宋体" w:hAnsi="宋体" w:cs="宋体"/>
                <w:sz w:val="21"/>
                <w:szCs w:val="21"/>
                <w:highlight w:val="none"/>
                <w:lang w:val="zh-CN"/>
              </w:rPr>
              <w:t>；</w:t>
            </w:r>
            <w:r>
              <w:rPr>
                <w:rFonts w:hint="eastAsia" w:ascii="宋体" w:hAnsi="宋体" w:eastAsia="宋体" w:cs="宋体"/>
                <w:sz w:val="21"/>
                <w:szCs w:val="21"/>
                <w:highlight w:val="none"/>
              </w:rPr>
              <w:t>一般</w:t>
            </w: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zh-CN"/>
              </w:rPr>
              <w:t>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差</w:t>
            </w:r>
            <w:r>
              <w:rPr>
                <w:rFonts w:hint="eastAsia" w:ascii="宋体" w:hAnsi="宋体" w:eastAsia="宋体" w:cs="宋体"/>
                <w:color w:val="000000"/>
                <w:sz w:val="21"/>
                <w:szCs w:val="21"/>
                <w:highlight w:val="none"/>
                <w:lang w:val="en-US" w:eastAsia="zh-CN"/>
              </w:rPr>
              <w:t>的和未提供的不得分，本</w:t>
            </w:r>
            <w:r>
              <w:rPr>
                <w:rFonts w:hint="eastAsia" w:ascii="宋体" w:hAnsi="宋体" w:cs="宋体"/>
                <w:color w:val="000000"/>
                <w:sz w:val="21"/>
                <w:szCs w:val="21"/>
                <w:highlight w:val="none"/>
                <w:lang w:val="en-US" w:eastAsia="zh-CN"/>
              </w:rPr>
              <w:t>项</w:t>
            </w:r>
            <w:r>
              <w:rPr>
                <w:rFonts w:hint="eastAsia" w:ascii="宋体" w:hAnsi="宋体" w:eastAsia="宋体" w:cs="宋体"/>
                <w:color w:val="000000"/>
                <w:sz w:val="21"/>
                <w:szCs w:val="21"/>
                <w:highlight w:val="none"/>
                <w:lang w:val="en-US" w:eastAsia="zh-CN"/>
              </w:rPr>
              <w:t>满分</w:t>
            </w:r>
            <w:r>
              <w:rPr>
                <w:rFonts w:hint="eastAsia" w:ascii="宋体" w:hAnsi="宋体" w:cs="宋体"/>
                <w:color w:val="000000"/>
                <w:sz w:val="21"/>
                <w:szCs w:val="21"/>
                <w:highlight w:val="none"/>
                <w:lang w:val="en-US" w:eastAsia="zh-CN"/>
              </w:rPr>
              <w:t>5</w:t>
            </w:r>
            <w:r>
              <w:rPr>
                <w:rFonts w:hint="eastAsia" w:ascii="宋体" w:hAnsi="宋体" w:eastAsia="宋体" w:cs="宋体"/>
                <w:color w:val="000000"/>
                <w:sz w:val="21"/>
                <w:szCs w:val="21"/>
                <w:highlight w:val="none"/>
                <w:lang w:val="en-US" w:eastAsia="zh-CN"/>
              </w:rPr>
              <w:t>分</w:t>
            </w:r>
            <w:r>
              <w:rPr>
                <w:rFonts w:hint="eastAsia" w:ascii="宋体" w:hAnsi="宋体" w:eastAsia="宋体" w:cs="宋体"/>
                <w:color w:val="000000"/>
                <w:sz w:val="21"/>
                <w:szCs w:val="21"/>
                <w:highlight w:val="none"/>
              </w:rPr>
              <w:t>。</w:t>
            </w:r>
          </w:p>
        </w:tc>
        <w:tc>
          <w:tcPr>
            <w:tcW w:w="2025" w:type="dxa"/>
            <w:noWrap w:val="0"/>
            <w:vAlign w:val="center"/>
          </w:tcPr>
          <w:p w14:paraId="71EEF0C1">
            <w:pPr>
              <w:keepNext w:val="0"/>
              <w:keepLines w:val="0"/>
              <w:suppressLineNumbers w:val="0"/>
              <w:spacing w:before="0" w:beforeAutospacing="0" w:after="0" w:afterAutospacing="0" w:line="240" w:lineRule="auto"/>
              <w:ind w:left="0" w:leftChars="0" w:right="0" w:rightChars="0"/>
              <w:jc w:val="center"/>
              <w:rPr>
                <w:rFonts w:hint="eastAsia" w:ascii="宋体" w:hAnsi="宋体" w:cs="宋体"/>
                <w:szCs w:val="21"/>
                <w:highlight w:val="none"/>
              </w:rPr>
            </w:pPr>
            <w:r>
              <w:rPr>
                <w:rFonts w:hint="eastAsia" w:ascii="宋体" w:hAnsi="宋体" w:eastAsia="宋体" w:cs="宋体"/>
                <w:sz w:val="21"/>
                <w:szCs w:val="21"/>
                <w:highlight w:val="none"/>
                <w:lang w:val="zh-TW"/>
              </w:rPr>
              <w:t>技术标中须能充分有效反映出本评分项内容</w:t>
            </w:r>
            <w:r>
              <w:rPr>
                <w:rFonts w:hint="eastAsia" w:ascii="宋体" w:hAnsi="宋体" w:cs="宋体"/>
                <w:sz w:val="21"/>
                <w:szCs w:val="21"/>
                <w:highlight w:val="none"/>
                <w:lang w:val="zh-TW" w:eastAsia="zh-CN"/>
              </w:rPr>
              <w:t>。</w:t>
            </w:r>
          </w:p>
        </w:tc>
      </w:tr>
      <w:tr w14:paraId="44EC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682" w:type="dxa"/>
            <w:noWrap w:val="0"/>
            <w:vAlign w:val="center"/>
          </w:tcPr>
          <w:p w14:paraId="1B878FAC">
            <w:pPr>
              <w:keepNext w:val="0"/>
              <w:keepLines w:val="0"/>
              <w:suppressLineNumbers w:val="0"/>
              <w:spacing w:before="0" w:beforeAutospacing="0" w:after="0" w:afterAutospacing="0"/>
              <w:ind w:left="0" w:leftChars="0" w:right="0" w:rightChars="0"/>
              <w:jc w:val="center"/>
              <w:rPr>
                <w:rFonts w:hint="eastAsia" w:ascii="宋体" w:hAnsi="宋体" w:cs="宋体"/>
                <w:szCs w:val="21"/>
                <w:highlight w:val="none"/>
              </w:rPr>
            </w:pPr>
            <w:r>
              <w:rPr>
                <w:rFonts w:hint="eastAsia" w:ascii="宋体" w:hAnsi="宋体" w:cs="宋体"/>
                <w:szCs w:val="21"/>
                <w:highlight w:val="none"/>
                <w:lang w:val="en-US" w:eastAsia="zh-CN"/>
              </w:rPr>
              <w:t>4</w:t>
            </w:r>
          </w:p>
        </w:tc>
        <w:tc>
          <w:tcPr>
            <w:tcW w:w="1521" w:type="dxa"/>
            <w:noWrap w:val="0"/>
            <w:vAlign w:val="center"/>
          </w:tcPr>
          <w:p w14:paraId="0D94402A">
            <w:pPr>
              <w:keepNext w:val="0"/>
              <w:keepLines w:val="0"/>
              <w:suppressLineNumbers w:val="0"/>
              <w:spacing w:before="0" w:beforeAutospacing="0" w:after="0" w:afterAutospacing="0"/>
              <w:ind w:left="0" w:leftChars="0" w:right="0" w:rightChars="0"/>
              <w:jc w:val="center"/>
              <w:rPr>
                <w:rFonts w:hint="default" w:cs="宋体"/>
                <w:bCs/>
                <w:szCs w:val="21"/>
                <w:highlight w:val="none"/>
              </w:rPr>
            </w:pPr>
            <w:r>
              <w:rPr>
                <w:rFonts w:hint="eastAsia" w:ascii="宋体" w:hAnsi="宋体" w:eastAsia="宋体" w:cs="宋体"/>
                <w:kern w:val="0"/>
                <w:sz w:val="21"/>
                <w:szCs w:val="21"/>
                <w:highlight w:val="none"/>
              </w:rPr>
              <w:t>服务承诺</w:t>
            </w:r>
          </w:p>
        </w:tc>
        <w:tc>
          <w:tcPr>
            <w:tcW w:w="736" w:type="dxa"/>
            <w:noWrap w:val="0"/>
            <w:vAlign w:val="center"/>
          </w:tcPr>
          <w:p w14:paraId="22B151F2">
            <w:pPr>
              <w:keepNext w:val="0"/>
              <w:keepLines w:val="0"/>
              <w:suppressLineNumbers w:val="0"/>
              <w:spacing w:before="0" w:beforeAutospacing="0" w:after="0" w:afterAutospacing="0"/>
              <w:ind w:left="0" w:leftChars="0" w:right="0" w:rightChars="0"/>
              <w:jc w:val="center"/>
              <w:rPr>
                <w:rFonts w:hint="eastAsia" w:ascii="宋体" w:hAnsi="宋体"/>
                <w:color w:val="000000"/>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4708" w:type="dxa"/>
            <w:noWrap w:val="0"/>
            <w:vAlign w:val="center"/>
          </w:tcPr>
          <w:p w14:paraId="1EAFB0AB">
            <w:pPr>
              <w:keepNext w:val="0"/>
              <w:keepLines w:val="0"/>
              <w:widowControl/>
              <w:suppressLineNumbers w:val="0"/>
              <w:spacing w:before="0" w:beforeAutospacing="0" w:after="0" w:afterAutospacing="0"/>
              <w:ind w:left="0" w:right="0"/>
              <w:jc w:val="left"/>
              <w:rPr>
                <w:rFonts w:hint="default"/>
                <w:highlight w:val="none"/>
              </w:rPr>
            </w:pPr>
            <w:r>
              <w:rPr>
                <w:rFonts w:hint="eastAsia" w:ascii="宋体" w:hAnsi="宋体" w:eastAsia="宋体" w:cs="宋体"/>
                <w:kern w:val="0"/>
                <w:sz w:val="21"/>
                <w:szCs w:val="21"/>
                <w:highlight w:val="none"/>
              </w:rPr>
              <w:t>提供服务承诺，承诺包含：（1）高速快捷的支持服务体系；（2）服从招标单位管理、工作安排；</w:t>
            </w:r>
            <w:r>
              <w:rPr>
                <w:rFonts w:hint="eastAsia" w:ascii="宋体" w:hAnsi="宋体" w:eastAsia="宋体" w:cs="宋体"/>
                <w:kern w:val="0"/>
                <w:sz w:val="21"/>
                <w:szCs w:val="21"/>
                <w:highlight w:val="none"/>
                <w:lang w:val="en-US" w:eastAsia="zh-CN"/>
              </w:rPr>
              <w:t>(</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en-US" w:eastAsia="zh-CN"/>
              </w:rPr>
              <w:t>)对工程进入质保期的质保措施、响应时间、联系方式等阐述详细、明确,</w:t>
            </w:r>
            <w:r>
              <w:rPr>
                <w:rFonts w:hint="eastAsia" w:ascii="宋体" w:hAnsi="宋体" w:eastAsia="宋体" w:cs="宋体"/>
                <w:kern w:val="0"/>
                <w:sz w:val="21"/>
                <w:szCs w:val="21"/>
                <w:highlight w:val="none"/>
              </w:rPr>
              <w:t>满足的得</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分，其他的不得分。</w:t>
            </w:r>
          </w:p>
        </w:tc>
        <w:tc>
          <w:tcPr>
            <w:tcW w:w="2025" w:type="dxa"/>
            <w:noWrap w:val="0"/>
            <w:vAlign w:val="center"/>
          </w:tcPr>
          <w:p w14:paraId="1123E75B">
            <w:pPr>
              <w:keepNext w:val="0"/>
              <w:keepLines w:val="0"/>
              <w:suppressLineNumbers w:val="0"/>
              <w:spacing w:before="0" w:beforeAutospacing="0" w:after="0" w:afterAutospacing="0" w:line="240" w:lineRule="auto"/>
              <w:ind w:left="0" w:leftChars="0" w:right="0" w:rightChars="0"/>
              <w:jc w:val="center"/>
              <w:rPr>
                <w:rFonts w:hint="eastAsia" w:ascii="宋体" w:hAnsi="宋体" w:cs="宋体"/>
                <w:szCs w:val="21"/>
                <w:highlight w:val="none"/>
              </w:rPr>
            </w:pPr>
            <w:r>
              <w:rPr>
                <w:rFonts w:hint="eastAsia" w:ascii="宋体" w:hAnsi="宋体" w:eastAsia="宋体" w:cs="宋体"/>
                <w:sz w:val="21"/>
                <w:szCs w:val="21"/>
                <w:highlight w:val="none"/>
                <w:lang w:val="zh-TW"/>
              </w:rPr>
              <w:t>技术标中须能充分有效反映出本评分项内容</w:t>
            </w:r>
            <w:r>
              <w:rPr>
                <w:rFonts w:hint="eastAsia" w:ascii="宋体" w:hAnsi="宋体" w:cs="宋体"/>
                <w:sz w:val="21"/>
                <w:szCs w:val="21"/>
                <w:highlight w:val="none"/>
                <w:lang w:val="zh-TW" w:eastAsia="zh-CN"/>
              </w:rPr>
              <w:t>。</w:t>
            </w:r>
          </w:p>
        </w:tc>
      </w:tr>
    </w:tbl>
    <w:p w14:paraId="10DD2159">
      <w:pPr>
        <w:spacing w:line="440" w:lineRule="exact"/>
        <w:ind w:firstLine="420" w:firstLineChars="200"/>
        <w:jc w:val="left"/>
        <w:rPr>
          <w:rFonts w:hint="eastAsia"/>
          <w:b/>
          <w:color w:val="000000"/>
          <w:szCs w:val="21"/>
          <w:highlight w:val="none"/>
        </w:rPr>
      </w:pPr>
      <w:r>
        <w:rPr>
          <w:rFonts w:hint="eastAsia"/>
          <w:b/>
          <w:color w:val="000000"/>
          <w:szCs w:val="21"/>
          <w:highlight w:val="none"/>
        </w:rPr>
        <w:t>注：各投标人技术标总得分为各评委评分的平均值为最终得分。取两位小数，小数点后第三位四舍五入。</w:t>
      </w:r>
    </w:p>
    <w:p w14:paraId="7C807624">
      <w:pPr>
        <w:spacing w:line="440" w:lineRule="exact"/>
        <w:ind w:firstLine="420" w:firstLineChars="200"/>
        <w:rPr>
          <w:rFonts w:hint="eastAsia" w:ascii="宋体" w:hAnsi="宋体" w:cs="宋体"/>
          <w:b/>
          <w:bCs/>
          <w:szCs w:val="21"/>
          <w:highlight w:val="none"/>
        </w:rPr>
      </w:pPr>
      <w:r>
        <w:rPr>
          <w:rFonts w:hint="eastAsia" w:ascii="宋体" w:hAnsi="宋体" w:cs="宋体"/>
          <w:b/>
          <w:bCs/>
          <w:szCs w:val="21"/>
          <w:highlight w:val="none"/>
        </w:rPr>
        <w:t>4.商务标评审（</w:t>
      </w:r>
      <w:r>
        <w:rPr>
          <w:rFonts w:hint="eastAsia" w:ascii="宋体" w:hAnsi="宋体" w:cs="宋体"/>
          <w:b/>
          <w:bCs/>
          <w:szCs w:val="21"/>
          <w:highlight w:val="none"/>
          <w:lang w:val="en-US" w:eastAsia="zh-CN"/>
        </w:rPr>
        <w:t>60</w:t>
      </w:r>
      <w:r>
        <w:rPr>
          <w:rFonts w:hint="eastAsia" w:ascii="宋体" w:hAnsi="宋体" w:cs="宋体"/>
          <w:b/>
          <w:bCs/>
          <w:szCs w:val="21"/>
          <w:highlight w:val="none"/>
        </w:rPr>
        <w:t>分）</w:t>
      </w:r>
    </w:p>
    <w:tbl>
      <w:tblPr>
        <w:tblStyle w:val="2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1720"/>
        <w:gridCol w:w="5384"/>
      </w:tblGrid>
      <w:tr w14:paraId="2C20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204043F7">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2924" w:type="dxa"/>
            <w:gridSpan w:val="2"/>
            <w:noWrap w:val="0"/>
            <w:vAlign w:val="center"/>
          </w:tcPr>
          <w:p w14:paraId="7681F68A">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5384" w:type="dxa"/>
            <w:noWrap w:val="0"/>
            <w:vAlign w:val="center"/>
          </w:tcPr>
          <w:p w14:paraId="55F37593">
            <w:pPr>
              <w:keepNext w:val="0"/>
              <w:keepLines w:val="0"/>
              <w:suppressLineNumbers w:val="0"/>
              <w:spacing w:before="0" w:beforeAutospacing="0" w:after="0" w:afterAutospacing="0" w:line="320" w:lineRule="atLeast"/>
              <w:ind w:left="0" w:right="0"/>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2E73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483FD25D">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1</w:t>
            </w:r>
          </w:p>
        </w:tc>
        <w:tc>
          <w:tcPr>
            <w:tcW w:w="1204" w:type="dxa"/>
            <w:vMerge w:val="restart"/>
            <w:noWrap w:val="0"/>
            <w:vAlign w:val="center"/>
          </w:tcPr>
          <w:p w14:paraId="77490029">
            <w:pPr>
              <w:keepNext w:val="0"/>
              <w:keepLines w:val="0"/>
              <w:suppressLineNumbers w:val="0"/>
              <w:spacing w:before="0" w:beforeAutospacing="0" w:after="0" w:afterAutospacing="0" w:line="320" w:lineRule="atLeast"/>
              <w:ind w:left="0" w:right="0"/>
              <w:jc w:val="center"/>
              <w:rPr>
                <w:rFonts w:hint="eastAsia" w:ascii="宋体" w:cs="仿宋_GB2312"/>
                <w:color w:val="000000"/>
                <w:szCs w:val="21"/>
                <w:highlight w:val="none"/>
                <w:lang w:val="zh-CN"/>
              </w:rPr>
            </w:pPr>
            <w:r>
              <w:rPr>
                <w:rFonts w:hint="eastAsia" w:ascii="宋体" w:hAnsi="宋体" w:cs="宋体"/>
                <w:color w:val="000000"/>
                <w:szCs w:val="21"/>
                <w:highlight w:val="none"/>
              </w:rPr>
              <w:t>形式评审标准</w:t>
            </w:r>
          </w:p>
        </w:tc>
        <w:tc>
          <w:tcPr>
            <w:tcW w:w="1720" w:type="dxa"/>
            <w:noWrap w:val="0"/>
            <w:vAlign w:val="center"/>
          </w:tcPr>
          <w:p w14:paraId="153847B7">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5384" w:type="dxa"/>
            <w:noWrap w:val="0"/>
            <w:vAlign w:val="center"/>
          </w:tcPr>
          <w:p w14:paraId="67B20026">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5638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5C5E4E66">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4B9956EB">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3D968CD9">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投标文件格式</w:t>
            </w:r>
          </w:p>
        </w:tc>
        <w:tc>
          <w:tcPr>
            <w:tcW w:w="5384" w:type="dxa"/>
            <w:noWrap w:val="0"/>
            <w:vAlign w:val="center"/>
          </w:tcPr>
          <w:p w14:paraId="36E7D539">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符合第七章“投标文件格式”的要求。</w:t>
            </w:r>
          </w:p>
        </w:tc>
      </w:tr>
      <w:tr w14:paraId="0DC7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A13611E">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2D4DD7E8">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123D5328">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商务标签字盖章</w:t>
            </w:r>
          </w:p>
        </w:tc>
        <w:tc>
          <w:tcPr>
            <w:tcW w:w="5384" w:type="dxa"/>
            <w:noWrap w:val="0"/>
            <w:vAlign w:val="center"/>
          </w:tcPr>
          <w:p w14:paraId="6F92A9A8">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rPr>
              <w:t>按投标文件格式要求签章。</w:t>
            </w:r>
          </w:p>
        </w:tc>
      </w:tr>
      <w:tr w14:paraId="10B6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19B86F7E">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2B574AEC">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1005F593">
            <w:pPr>
              <w:keepNext w:val="0"/>
              <w:keepLines w:val="0"/>
              <w:suppressLineNumbers w:val="0"/>
              <w:adjustRightInd w:val="0"/>
              <w:snapToGrid w:val="0"/>
              <w:spacing w:before="0" w:beforeAutospacing="0" w:after="0" w:afterAutospacing="0" w:line="560" w:lineRule="exact"/>
              <w:ind w:left="0" w:right="0"/>
              <w:rPr>
                <w:rFonts w:hint="eastAsia" w:ascii="宋体"/>
                <w:color w:val="000000"/>
                <w:szCs w:val="21"/>
                <w:highlight w:val="none"/>
              </w:rPr>
            </w:pPr>
            <w:r>
              <w:rPr>
                <w:rFonts w:hint="eastAsia" w:ascii="宋体" w:hAnsi="宋体" w:cs="宋体"/>
                <w:color w:val="000000"/>
                <w:szCs w:val="21"/>
                <w:highlight w:val="none"/>
              </w:rPr>
              <w:t>报价唯一</w:t>
            </w:r>
          </w:p>
        </w:tc>
        <w:tc>
          <w:tcPr>
            <w:tcW w:w="5384" w:type="dxa"/>
            <w:noWrap w:val="0"/>
            <w:vAlign w:val="center"/>
          </w:tcPr>
          <w:p w14:paraId="0C9AF306">
            <w:pPr>
              <w:keepNext w:val="0"/>
              <w:keepLines w:val="0"/>
              <w:suppressLineNumbers w:val="0"/>
              <w:adjustRightInd w:val="0"/>
              <w:snapToGrid w:val="0"/>
              <w:spacing w:before="0" w:beforeAutospacing="0" w:after="0" w:afterAutospacing="0" w:line="560" w:lineRule="exact"/>
              <w:ind w:left="0" w:right="0"/>
              <w:jc w:val="left"/>
              <w:rPr>
                <w:rFonts w:hint="eastAsia"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2C91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56E77836">
            <w:pPr>
              <w:keepNext w:val="0"/>
              <w:keepLines w:val="0"/>
              <w:suppressLineNumbers w:val="0"/>
              <w:spacing w:before="0" w:beforeAutospacing="0" w:after="0" w:afterAutospacing="0" w:line="320" w:lineRule="atLeast"/>
              <w:ind w:left="0" w:right="0"/>
              <w:jc w:val="center"/>
              <w:rPr>
                <w:rFonts w:hint="eastAsia" w:ascii="宋体"/>
                <w:color w:val="000000"/>
                <w:szCs w:val="21"/>
                <w:highlight w:val="none"/>
              </w:rPr>
            </w:pPr>
            <w:r>
              <w:rPr>
                <w:rFonts w:hint="eastAsia" w:ascii="宋体"/>
                <w:color w:val="000000"/>
                <w:szCs w:val="21"/>
                <w:highlight w:val="none"/>
              </w:rPr>
              <w:t>2</w:t>
            </w:r>
          </w:p>
        </w:tc>
        <w:tc>
          <w:tcPr>
            <w:tcW w:w="1204" w:type="dxa"/>
            <w:vMerge w:val="restart"/>
            <w:noWrap w:val="0"/>
            <w:vAlign w:val="center"/>
          </w:tcPr>
          <w:p w14:paraId="042D3035">
            <w:pPr>
              <w:keepNext w:val="0"/>
              <w:keepLines w:val="0"/>
              <w:suppressLineNumbers w:val="0"/>
              <w:adjustRightInd w:val="0"/>
              <w:snapToGrid w:val="0"/>
              <w:spacing w:before="0" w:beforeAutospacing="0" w:after="0" w:afterAutospacing="0" w:line="560" w:lineRule="exact"/>
              <w:ind w:left="0" w:right="0"/>
              <w:jc w:val="center"/>
              <w:rPr>
                <w:rFonts w:hint="eastAsia"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1720" w:type="dxa"/>
            <w:noWrap w:val="0"/>
            <w:vAlign w:val="center"/>
          </w:tcPr>
          <w:p w14:paraId="18EBF03D">
            <w:pPr>
              <w:keepNext w:val="0"/>
              <w:keepLines w:val="0"/>
              <w:suppressLineNumbers w:val="0"/>
              <w:adjustRightInd w:val="0"/>
              <w:snapToGrid w:val="0"/>
              <w:spacing w:before="0" w:beforeAutospacing="0" w:after="0" w:afterAutospacing="0" w:line="560" w:lineRule="exact"/>
              <w:ind w:left="0" w:right="0"/>
              <w:jc w:val="left"/>
              <w:rPr>
                <w:rFonts w:hint="eastAsia" w:ascii="宋体" w:cs="宋体"/>
                <w:color w:val="000000"/>
                <w:szCs w:val="21"/>
                <w:highlight w:val="none"/>
              </w:rPr>
            </w:pPr>
            <w:r>
              <w:rPr>
                <w:rFonts w:hint="eastAsia" w:ascii="宋体" w:hAnsi="宋体" w:cs="宋体"/>
                <w:color w:val="000000"/>
                <w:szCs w:val="21"/>
                <w:highlight w:val="none"/>
                <w:lang w:val="en-US" w:eastAsia="zh-CN"/>
              </w:rPr>
              <w:t>服务</w:t>
            </w:r>
            <w:r>
              <w:rPr>
                <w:rFonts w:hint="eastAsia" w:ascii="宋体" w:hAnsi="宋体" w:cs="宋体"/>
                <w:color w:val="000000"/>
                <w:szCs w:val="21"/>
                <w:highlight w:val="none"/>
              </w:rPr>
              <w:t>期</w:t>
            </w:r>
          </w:p>
        </w:tc>
        <w:tc>
          <w:tcPr>
            <w:tcW w:w="5384" w:type="dxa"/>
            <w:noWrap w:val="0"/>
            <w:vAlign w:val="center"/>
          </w:tcPr>
          <w:p w14:paraId="0DBD49BA">
            <w:pPr>
              <w:keepNext w:val="0"/>
              <w:keepLines w:val="0"/>
              <w:suppressLineNumbers w:val="0"/>
              <w:adjustRightInd w:val="0"/>
              <w:snapToGrid w:val="0"/>
              <w:spacing w:before="0" w:beforeAutospacing="0" w:after="0" w:afterAutospacing="0" w:line="560" w:lineRule="exact"/>
              <w:ind w:left="0" w:right="0"/>
              <w:rPr>
                <w:rFonts w:hint="eastAsia" w:ascii="宋体" w:cs="宋体"/>
                <w:color w:val="000000"/>
                <w:szCs w:val="21"/>
                <w:highlight w:val="none"/>
              </w:rPr>
            </w:pPr>
            <w:r>
              <w:rPr>
                <w:rFonts w:hint="eastAsia" w:ascii="宋体" w:hAnsi="宋体" w:cs="宋体"/>
                <w:color w:val="000000"/>
                <w:szCs w:val="21"/>
                <w:highlight w:val="none"/>
              </w:rPr>
              <w:t>符合投标须知前附表规定。</w:t>
            </w:r>
          </w:p>
        </w:tc>
      </w:tr>
      <w:tr w14:paraId="1D77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15B44954">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2F4DDA67">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3A9C5088">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投标有效期</w:t>
            </w:r>
          </w:p>
        </w:tc>
        <w:tc>
          <w:tcPr>
            <w:tcW w:w="5384" w:type="dxa"/>
            <w:noWrap w:val="0"/>
            <w:vAlign w:val="center"/>
          </w:tcPr>
          <w:p w14:paraId="5E8C6CAF">
            <w:pPr>
              <w:keepNext w:val="0"/>
              <w:keepLines w:val="0"/>
              <w:suppressLineNumbers w:val="0"/>
              <w:adjustRightInd w:val="0"/>
              <w:snapToGrid w:val="0"/>
              <w:spacing w:before="0" w:beforeAutospacing="0" w:after="0" w:afterAutospacing="0" w:line="560" w:lineRule="exact"/>
              <w:ind w:left="0" w:right="0"/>
              <w:rPr>
                <w:rFonts w:hint="eastAsia"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361B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4A49CC21">
            <w:pPr>
              <w:keepNext w:val="0"/>
              <w:keepLines w:val="0"/>
              <w:suppressLineNumbers w:val="0"/>
              <w:spacing w:before="0" w:beforeAutospacing="0" w:after="0" w:afterAutospacing="0" w:line="320" w:lineRule="atLeast"/>
              <w:ind w:left="0" w:right="0"/>
              <w:rPr>
                <w:rFonts w:hint="default"/>
                <w:color w:val="000000"/>
                <w:highlight w:val="none"/>
              </w:rPr>
            </w:pPr>
          </w:p>
        </w:tc>
        <w:tc>
          <w:tcPr>
            <w:tcW w:w="1204" w:type="dxa"/>
            <w:vMerge w:val="continue"/>
            <w:noWrap w:val="0"/>
            <w:vAlign w:val="center"/>
          </w:tcPr>
          <w:p w14:paraId="6BB38942">
            <w:pPr>
              <w:keepNext w:val="0"/>
              <w:keepLines w:val="0"/>
              <w:suppressLineNumbers w:val="0"/>
              <w:spacing w:before="0" w:beforeAutospacing="0" w:after="0" w:afterAutospacing="0" w:line="320" w:lineRule="atLeast"/>
              <w:ind w:left="0" w:right="0"/>
              <w:rPr>
                <w:rFonts w:hint="default"/>
                <w:color w:val="000000"/>
                <w:highlight w:val="none"/>
              </w:rPr>
            </w:pPr>
          </w:p>
        </w:tc>
        <w:tc>
          <w:tcPr>
            <w:tcW w:w="1720" w:type="dxa"/>
            <w:noWrap w:val="0"/>
            <w:vAlign w:val="center"/>
          </w:tcPr>
          <w:p w14:paraId="2E9F53A7">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zCs w:val="21"/>
                <w:highlight w:val="none"/>
              </w:rPr>
              <w:t>投标报价评审</w:t>
            </w:r>
          </w:p>
        </w:tc>
        <w:tc>
          <w:tcPr>
            <w:tcW w:w="5384" w:type="dxa"/>
            <w:noWrap w:val="0"/>
            <w:vAlign w:val="center"/>
          </w:tcPr>
          <w:p w14:paraId="69B55B8F">
            <w:pPr>
              <w:keepNext w:val="0"/>
              <w:keepLines w:val="0"/>
              <w:suppressLineNumbers w:val="0"/>
              <w:adjustRightInd w:val="0"/>
              <w:snapToGrid w:val="0"/>
              <w:spacing w:before="0" w:beforeAutospacing="0" w:after="0" w:afterAutospacing="0" w:line="560" w:lineRule="exact"/>
              <w:ind w:left="0" w:right="0"/>
              <w:rPr>
                <w:rFonts w:hint="eastAsia" w:ascii="宋体" w:hAnsi="宋体" w:cs="宋体"/>
                <w:color w:val="000000"/>
                <w:szCs w:val="21"/>
                <w:highlight w:val="none"/>
              </w:rPr>
            </w:pPr>
            <w:r>
              <w:rPr>
                <w:rFonts w:hint="eastAsia" w:ascii="宋体" w:hAnsi="宋体" w:cs="宋体"/>
                <w:color w:val="000000"/>
                <w:spacing w:val="-6"/>
                <w:szCs w:val="21"/>
                <w:highlight w:val="none"/>
              </w:rPr>
              <w:t>不得高于最高投标限价。</w:t>
            </w:r>
          </w:p>
        </w:tc>
      </w:tr>
      <w:tr w14:paraId="2EBE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noWrap w:val="0"/>
            <w:vAlign w:val="center"/>
          </w:tcPr>
          <w:p w14:paraId="1A91E221">
            <w:pPr>
              <w:keepNext w:val="0"/>
              <w:keepLines w:val="0"/>
              <w:suppressLineNumbers w:val="0"/>
              <w:adjustRightInd w:val="0"/>
              <w:snapToGrid w:val="0"/>
              <w:spacing w:before="0" w:beforeAutospacing="0" w:after="0" w:afterAutospacing="0" w:line="560" w:lineRule="exact"/>
              <w:ind w:left="0" w:right="0"/>
              <w:jc w:val="center"/>
              <w:rPr>
                <w:rFonts w:hint="eastAsia" w:ascii="宋体" w:hAnsi="宋体" w:cs="宋体"/>
                <w:color w:val="000000"/>
                <w:spacing w:val="-6"/>
                <w:szCs w:val="21"/>
                <w:highlight w:val="none"/>
              </w:rPr>
            </w:pPr>
            <w:r>
              <w:rPr>
                <w:rFonts w:hint="eastAsia" w:ascii="宋体" w:hAnsi="宋体" w:cs="宋体"/>
                <w:color w:val="000000"/>
                <w:spacing w:val="-6"/>
                <w:szCs w:val="21"/>
                <w:highlight w:val="none"/>
              </w:rPr>
              <w:t>3</w:t>
            </w:r>
          </w:p>
        </w:tc>
        <w:tc>
          <w:tcPr>
            <w:tcW w:w="2924" w:type="dxa"/>
            <w:gridSpan w:val="2"/>
            <w:noWrap w:val="0"/>
            <w:vAlign w:val="center"/>
          </w:tcPr>
          <w:p w14:paraId="474D54A5">
            <w:pPr>
              <w:keepNext w:val="0"/>
              <w:keepLines w:val="0"/>
              <w:suppressLineNumbers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投标报价（</w:t>
            </w:r>
            <w:r>
              <w:rPr>
                <w:rFonts w:hint="eastAsia" w:ascii="宋体" w:hAnsi="宋体" w:eastAsia="宋体" w:cs="宋体"/>
                <w:szCs w:val="21"/>
                <w:highlight w:val="none"/>
                <w:lang w:val="en-US" w:eastAsia="zh-CN"/>
              </w:rPr>
              <w:t>60</w:t>
            </w:r>
            <w:r>
              <w:rPr>
                <w:rFonts w:hint="eastAsia" w:ascii="宋体" w:hAnsi="宋体" w:eastAsia="宋体" w:cs="宋体"/>
                <w:szCs w:val="21"/>
                <w:highlight w:val="none"/>
              </w:rPr>
              <w:t>分）</w:t>
            </w:r>
          </w:p>
        </w:tc>
        <w:tc>
          <w:tcPr>
            <w:tcW w:w="5384" w:type="dxa"/>
            <w:noWrap w:val="0"/>
            <w:vAlign w:val="center"/>
          </w:tcPr>
          <w:p w14:paraId="2CDF8E50">
            <w:pPr>
              <w:keepNext w:val="0"/>
              <w:keepLines w:val="0"/>
              <w:suppressLineNumbers w:val="0"/>
              <w:adjustRightInd w:val="0"/>
              <w:snapToGrid w:val="0"/>
              <w:spacing w:before="0" w:beforeAutospacing="0" w:after="0" w:afterAutospacing="0" w:line="440" w:lineRule="exact"/>
              <w:ind w:left="0" w:right="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1.评标基准价=所有通过商务标详细评审的</w:t>
            </w:r>
            <w:r>
              <w:rPr>
                <w:rFonts w:hint="eastAsia"/>
                <w:highlight w:val="none"/>
              </w:rPr>
              <w:t>有效投标人的最低报价</w:t>
            </w:r>
            <w:r>
              <w:rPr>
                <w:rFonts w:hint="eastAsia" w:ascii="宋体" w:hAnsi="宋体" w:eastAsia="宋体" w:cs="宋体"/>
                <w:szCs w:val="21"/>
                <w:highlight w:val="none"/>
                <w:lang w:val="en-US" w:eastAsia="zh-CN"/>
              </w:rPr>
              <w:t>；其得分为满分；</w:t>
            </w:r>
          </w:p>
          <w:p w14:paraId="675DAE3A">
            <w:pPr>
              <w:keepNext w:val="0"/>
              <w:keepLines w:val="0"/>
              <w:suppressLineNumbers w:val="0"/>
              <w:adjustRightInd w:val="0"/>
              <w:snapToGrid w:val="0"/>
              <w:spacing w:before="0" w:beforeAutospacing="0" w:after="0" w:afterAutospacing="0" w:line="440" w:lineRule="exact"/>
              <w:ind w:left="0" w:right="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2.其它报价得分=评标基准价/投标报价*60分，小数点后保留二位小数，第三位四舍五入；</w:t>
            </w:r>
          </w:p>
          <w:p w14:paraId="14840764">
            <w:pPr>
              <w:keepNext w:val="0"/>
              <w:keepLines w:val="0"/>
              <w:suppressLineNumbers w:val="0"/>
              <w:adjustRightInd w:val="0"/>
              <w:snapToGrid w:val="0"/>
              <w:spacing w:before="0" w:beforeAutospacing="0" w:after="0" w:afterAutospacing="0" w:line="440" w:lineRule="exact"/>
              <w:ind w:left="0" w:right="0"/>
              <w:jc w:val="both"/>
              <w:rPr>
                <w:rFonts w:hint="eastAsia" w:ascii="宋体" w:hAnsi="宋体" w:eastAsia="宋体" w:cs="宋体"/>
                <w:szCs w:val="21"/>
                <w:highlight w:val="none"/>
              </w:rPr>
            </w:pPr>
            <w:r>
              <w:rPr>
                <w:rFonts w:hint="eastAsia" w:ascii="宋体" w:hAnsi="宋体" w:eastAsia="宋体" w:cs="宋体"/>
                <w:szCs w:val="21"/>
                <w:highlight w:val="none"/>
                <w:lang w:val="en-US" w:eastAsia="zh-CN"/>
              </w:rPr>
              <w:t>3.本项分值由评标委员会负责组织计算。</w:t>
            </w:r>
          </w:p>
        </w:tc>
      </w:tr>
    </w:tbl>
    <w:p w14:paraId="780AE0A3">
      <w:pPr>
        <w:spacing w:line="380" w:lineRule="exact"/>
        <w:ind w:firstLine="420" w:firstLineChars="200"/>
        <w:rPr>
          <w:rFonts w:ascii="宋体" w:hAnsi="宋体" w:cs="宋体"/>
          <w:b/>
          <w:szCs w:val="21"/>
          <w:highlight w:val="none"/>
        </w:rPr>
      </w:pPr>
      <w:r>
        <w:rPr>
          <w:rFonts w:hint="eastAsia" w:ascii="宋体" w:hAnsi="宋体" w:cs="宋体"/>
          <w:b/>
          <w:szCs w:val="21"/>
          <w:highlight w:val="none"/>
        </w:rPr>
        <w:t>商务标评审表注：</w:t>
      </w:r>
    </w:p>
    <w:p w14:paraId="307503DE">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（1）只有通过商务标详细评审的有效投标人才能参加评分。</w:t>
      </w:r>
    </w:p>
    <w:p w14:paraId="725094F3">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（2）本表所称投标报价是指按招标文件规定修正后的投标总报价（多算投标报价、多报费用不扣减）。</w:t>
      </w:r>
    </w:p>
    <w:p w14:paraId="11D69E49">
      <w:pPr>
        <w:spacing w:line="440" w:lineRule="exact"/>
        <w:ind w:firstLine="315" w:firstLineChars="150"/>
        <w:jc w:val="left"/>
        <w:rPr>
          <w:rFonts w:hint="eastAsia" w:ascii="宋体" w:hAnsi="宋体" w:cs="宋体"/>
          <w:szCs w:val="21"/>
          <w:highlight w:val="none"/>
        </w:rPr>
      </w:pPr>
      <w:r>
        <w:rPr>
          <w:rFonts w:hint="eastAsia" w:ascii="宋体" w:hAnsi="宋体" w:cs="宋体"/>
          <w:szCs w:val="21"/>
          <w:highlight w:val="none"/>
        </w:rPr>
        <w:t>（3）评标办法中的评标基准价计算出来后，除数字计算错误外，其他情况均不再调整。</w:t>
      </w:r>
    </w:p>
    <w:p w14:paraId="2CFD1B8F">
      <w:pPr>
        <w:spacing w:line="440" w:lineRule="exact"/>
        <w:ind w:firstLine="315" w:firstLineChars="150"/>
        <w:jc w:val="left"/>
        <w:rPr>
          <w:rFonts w:hint="default" w:ascii="宋体"/>
          <w:b/>
          <w:color w:val="000000"/>
          <w:szCs w:val="21"/>
          <w:highlight w:val="none"/>
          <w:lang w:val="en-US" w:eastAsia="zh-CN"/>
        </w:rPr>
      </w:pPr>
      <w:r>
        <w:rPr>
          <w:rFonts w:hint="eastAsia" w:ascii="宋体"/>
          <w:b/>
          <w:color w:val="000000"/>
          <w:szCs w:val="21"/>
          <w:highlight w:val="none"/>
          <w:lang w:val="en-US" w:eastAsia="zh-CN"/>
        </w:rPr>
        <w:t>1. 评标方法</w:t>
      </w:r>
    </w:p>
    <w:p w14:paraId="3C56831D">
      <w:pPr>
        <w:adjustRightInd w:val="0"/>
        <w:snapToGrid w:val="0"/>
        <w:spacing w:line="440" w:lineRule="exact"/>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1.1</w:t>
      </w:r>
      <w:r>
        <w:rPr>
          <w:rFonts w:hint="eastAsia" w:ascii="宋体" w:hAnsi="宋体" w:cs="宋体"/>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14:paraId="48B37EC7">
      <w:pPr>
        <w:spacing w:line="440" w:lineRule="exact"/>
        <w:ind w:firstLine="315" w:firstLineChars="150"/>
        <w:jc w:val="left"/>
        <w:rPr>
          <w:rFonts w:hint="eastAsia" w:ascii="宋体"/>
          <w:b/>
          <w:color w:val="000000"/>
          <w:szCs w:val="21"/>
          <w:highlight w:val="none"/>
          <w:lang w:val="en-US" w:eastAsia="zh-CN"/>
        </w:rPr>
      </w:pPr>
      <w:r>
        <w:rPr>
          <w:rFonts w:hint="eastAsia" w:ascii="宋体"/>
          <w:b/>
          <w:color w:val="000000"/>
          <w:szCs w:val="21"/>
          <w:highlight w:val="none"/>
          <w:lang w:val="en-US" w:eastAsia="zh-CN"/>
        </w:rPr>
        <w:t>2．评标委员会的职责</w:t>
      </w:r>
    </w:p>
    <w:p w14:paraId="613A3F37">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2.1</w:t>
      </w:r>
      <w:r>
        <w:rPr>
          <w:rFonts w:hint="eastAsia" w:ascii="宋体" w:hAnsi="宋体" w:eastAsia="宋体" w:cs="宋体"/>
          <w:color w:val="000000"/>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B2DA7D2">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宋体" w:hAnsi="宋体" w:eastAsia="宋体" w:cs="宋体"/>
          <w:color w:val="000000"/>
          <w:highlight w:val="none"/>
          <w:lang w:val="en-US" w:eastAsia="zh-CN"/>
        </w:rPr>
        <w:t>2.2</w:t>
      </w:r>
      <w:r>
        <w:rPr>
          <w:rFonts w:hint="eastAsia" w:ascii="宋体" w:hAnsi="宋体" w:eastAsia="宋体" w:cs="宋体"/>
          <w:color w:val="000000"/>
          <w:highlight w:val="none"/>
        </w:rPr>
        <w:t>评标委员会应加</w:t>
      </w:r>
      <w:r>
        <w:rPr>
          <w:rFonts w:hint="eastAsia" w:ascii="Times New Roman" w:hAnsi="Times New Roman" w:eastAsia="宋体" w:cs="Times New Roman"/>
          <w:color w:val="000000"/>
          <w:highlight w:val="none"/>
        </w:rPr>
        <w:t>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534DE6AC">
      <w:pPr>
        <w:numPr>
          <w:ilvl w:val="0"/>
          <w:numId w:val="3"/>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r>
        <w:rPr>
          <w:rFonts w:hint="eastAsia" w:ascii="宋体" w:hAnsi="Times New Roman" w:eastAsia="宋体" w:cs="Times New Roman"/>
          <w:b/>
          <w:color w:val="000000"/>
          <w:szCs w:val="21"/>
          <w:highlight w:val="none"/>
          <w:lang w:val="en-US" w:eastAsia="zh-CN"/>
        </w:rPr>
        <w:t>评标程序</w:t>
      </w:r>
    </w:p>
    <w:p w14:paraId="527957BB">
      <w:pPr>
        <w:spacing w:line="440" w:lineRule="exact"/>
        <w:ind w:firstLine="315" w:firstLineChars="150"/>
        <w:jc w:val="left"/>
        <w:rPr>
          <w:rFonts w:hint="eastAsia" w:ascii="宋体" w:hAnsi="宋体"/>
          <w:color w:val="000000"/>
          <w:szCs w:val="21"/>
          <w:highlight w:val="none"/>
        </w:rPr>
      </w:pPr>
      <w:bookmarkStart w:id="58" w:name="_Toc95223402"/>
      <w:r>
        <w:rPr>
          <w:rFonts w:hint="eastAsia" w:ascii="宋体" w:hAnsi="宋体"/>
          <w:color w:val="000000"/>
          <w:szCs w:val="21"/>
          <w:highlight w:val="none"/>
        </w:rPr>
        <w:t>评标先做准备工作，再进行资格、技术标评审，然后进行商务标评审。</w:t>
      </w:r>
    </w:p>
    <w:p w14:paraId="47B24EE5">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1</w:t>
      </w:r>
      <w:r>
        <w:rPr>
          <w:rFonts w:hint="eastAsia" w:ascii="宋体" w:hAnsi="宋体" w:eastAsia="宋体" w:cs="宋体"/>
          <w:color w:val="000000"/>
          <w:highlight w:val="none"/>
        </w:rPr>
        <w:t>评标准备工作</w:t>
      </w:r>
      <w:bookmarkEnd w:id="58"/>
    </w:p>
    <w:p w14:paraId="63D5A203">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评标委员会熟悉评标工作情况：</w:t>
      </w:r>
    </w:p>
    <w:p w14:paraId="2A365351">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（1）阅读由招标人或者其委</w:t>
      </w:r>
      <w:bookmarkStart w:id="59" w:name="_Toc60061499"/>
      <w:bookmarkStart w:id="60" w:name="_Toc15058916"/>
      <w:r>
        <w:rPr>
          <w:rFonts w:hint="eastAsia" w:ascii="宋体" w:hAnsi="宋体" w:eastAsia="宋体" w:cs="宋体"/>
          <w:color w:val="000000"/>
          <w:highlight w:val="none"/>
        </w:rPr>
        <w:t>托的代理机构编</w:t>
      </w:r>
      <w:bookmarkEnd w:id="59"/>
      <w:bookmarkEnd w:id="60"/>
      <w:r>
        <w:rPr>
          <w:rFonts w:hint="eastAsia" w:ascii="宋体" w:hAnsi="宋体" w:eastAsia="宋体" w:cs="宋体"/>
          <w:color w:val="000000"/>
          <w:highlight w:val="none"/>
        </w:rPr>
        <w:t>制的招标项目情况材料。</w:t>
      </w:r>
    </w:p>
    <w:p w14:paraId="569B5136">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（2）阅读、研究招标文件和相关评标资料，获取评标所需要的重要信息和数据，至少应了解和熟悉以下内容：招标项目的范围和性质，招标文件规定的主要技术要求、标准和条款。</w:t>
      </w:r>
    </w:p>
    <w:p w14:paraId="3171DABC">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（3）熟悉招标文件规定的评标标准和评标方法及在评标过程中需要考虑的相关因素。</w:t>
      </w:r>
    </w:p>
    <w:p w14:paraId="644F3A04">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（4）核对评标工作用表。</w:t>
      </w:r>
    </w:p>
    <w:p w14:paraId="2CEA3350">
      <w:pPr>
        <w:spacing w:line="440" w:lineRule="exact"/>
        <w:ind w:firstLine="315" w:firstLineChars="150"/>
        <w:jc w:val="left"/>
        <w:rPr>
          <w:rFonts w:hint="eastAsia" w:ascii="宋体" w:hAnsi="宋体" w:eastAsia="宋体" w:cs="宋体"/>
          <w:color w:val="000000"/>
          <w:highlight w:val="none"/>
        </w:rPr>
      </w:pPr>
      <w:bookmarkStart w:id="61" w:name="_Toc15058917"/>
      <w:bookmarkStart w:id="62" w:name="_Toc60061500"/>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推荐中标候</w:t>
      </w:r>
      <w:bookmarkEnd w:id="61"/>
      <w:bookmarkEnd w:id="62"/>
      <w:r>
        <w:rPr>
          <w:rFonts w:hint="eastAsia" w:ascii="宋体" w:hAnsi="宋体" w:eastAsia="宋体" w:cs="宋体"/>
          <w:color w:val="000000"/>
          <w:highlight w:val="none"/>
        </w:rPr>
        <w:t>选人</w:t>
      </w:r>
    </w:p>
    <w:p w14:paraId="0994DDA8">
      <w:pPr>
        <w:spacing w:line="440" w:lineRule="exact"/>
        <w:ind w:firstLine="315" w:firstLineChars="150"/>
        <w:jc w:val="left"/>
        <w:rPr>
          <w:rFonts w:hint="eastAsia" w:ascii="宋体" w:hAnsi="宋体" w:cs="宋体"/>
          <w:color w:val="000000"/>
          <w:highlight w:val="none"/>
        </w:rPr>
      </w:pPr>
      <w:bookmarkStart w:id="63" w:name="_Toc95223405"/>
      <w:r>
        <w:rPr>
          <w:rFonts w:hint="eastAsia" w:ascii="宋体" w:hAnsi="宋体" w:cs="宋体"/>
          <w:color w:val="000000"/>
          <w:highlight w:val="none"/>
        </w:rPr>
        <w:t>资信评审、技术标评审、商务标评审后，推荐中标候选人，并标明排序。</w:t>
      </w:r>
    </w:p>
    <w:p w14:paraId="7143A2D1">
      <w:pPr>
        <w:numPr>
          <w:ilvl w:val="0"/>
          <w:numId w:val="3"/>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r>
        <w:rPr>
          <w:rFonts w:hint="eastAsia" w:ascii="宋体" w:hAnsi="Times New Roman" w:eastAsia="宋体" w:cs="Times New Roman"/>
          <w:b/>
          <w:color w:val="000000"/>
          <w:szCs w:val="21"/>
          <w:highlight w:val="none"/>
          <w:lang w:val="en-US" w:eastAsia="zh-CN"/>
        </w:rPr>
        <w:t>评审内容</w:t>
      </w:r>
      <w:bookmarkEnd w:id="63"/>
    </w:p>
    <w:p w14:paraId="260B4007">
      <w:pPr>
        <w:spacing w:line="440" w:lineRule="exact"/>
        <w:ind w:firstLine="315" w:firstLineChars="150"/>
        <w:jc w:val="left"/>
        <w:rPr>
          <w:rFonts w:hint="eastAsia" w:ascii="宋体" w:hAnsi="宋体" w:eastAsia="宋体" w:cs="宋体"/>
          <w:color w:val="000000"/>
          <w:szCs w:val="21"/>
          <w:highlight w:val="none"/>
        </w:rPr>
      </w:pPr>
      <w:bookmarkStart w:id="64" w:name="_Toc95223407"/>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1投标文件</w:t>
      </w:r>
      <w:r>
        <w:rPr>
          <w:rFonts w:hint="eastAsia" w:ascii="宋体" w:hAnsi="宋体" w:eastAsia="宋体" w:cs="宋体"/>
          <w:color w:val="000000"/>
          <w:szCs w:val="21"/>
          <w:highlight w:val="none"/>
        </w:rPr>
        <w:t>评审</w:t>
      </w:r>
      <w:bookmarkEnd w:id="64"/>
    </w:p>
    <w:p w14:paraId="5FF7779C">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只有通过</w:t>
      </w:r>
      <w:r>
        <w:rPr>
          <w:rFonts w:hint="eastAsia" w:ascii="宋体" w:hAnsi="宋体" w:eastAsia="宋体" w:cs="宋体"/>
          <w:color w:val="000000"/>
          <w:szCs w:val="21"/>
          <w:highlight w:val="none"/>
          <w:lang w:val="en-US" w:eastAsia="zh-CN"/>
        </w:rPr>
        <w:t>资格审查</w:t>
      </w:r>
      <w:r>
        <w:rPr>
          <w:rFonts w:hint="eastAsia" w:ascii="宋体" w:hAnsi="宋体" w:eastAsia="宋体" w:cs="宋体"/>
          <w:color w:val="000000"/>
          <w:szCs w:val="21"/>
          <w:highlight w:val="none"/>
        </w:rPr>
        <w:t>的投标才能够进入本阶段评审。</w:t>
      </w:r>
    </w:p>
    <w:p w14:paraId="6957BFB6">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.1</w:t>
      </w:r>
      <w:bookmarkStart w:id="65" w:name="_Toc60061504"/>
      <w:bookmarkStart w:id="66" w:name="_Toc15058921"/>
      <w:r>
        <w:rPr>
          <w:rFonts w:hint="eastAsia" w:ascii="宋体" w:hAnsi="宋体" w:eastAsia="宋体" w:cs="宋体"/>
          <w:color w:val="000000"/>
          <w:szCs w:val="21"/>
          <w:highlight w:val="none"/>
        </w:rPr>
        <w:t>形式性评审标准：</w:t>
      </w:r>
      <w:bookmarkEnd w:id="65"/>
      <w:bookmarkEnd w:id="66"/>
      <w:r>
        <w:rPr>
          <w:rFonts w:hint="eastAsia" w:ascii="宋体" w:hAnsi="宋体" w:cs="宋体"/>
          <w:color w:val="000000"/>
          <w:highlight w:val="none"/>
        </w:rPr>
        <w:t>见商务标评审表。</w:t>
      </w:r>
    </w:p>
    <w:p w14:paraId="1B1DC8DE">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.2响应性评审标准：</w:t>
      </w:r>
      <w:r>
        <w:rPr>
          <w:rFonts w:hint="eastAsia" w:ascii="宋体" w:hAnsi="宋体" w:cs="宋体"/>
          <w:color w:val="000000"/>
          <w:highlight w:val="none"/>
        </w:rPr>
        <w:t>见商务标评审表。</w:t>
      </w:r>
    </w:p>
    <w:p w14:paraId="34389D73">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评标委员会依据上述标准对投标文件进行初步评审。有一项不符合评审标准的，作无效投标处理。</w:t>
      </w:r>
    </w:p>
    <w:p w14:paraId="1F6C7561">
      <w:pPr>
        <w:spacing w:line="440" w:lineRule="exact"/>
        <w:ind w:firstLine="315" w:firstLineChars="15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.3详细评审标准：</w:t>
      </w:r>
      <w:r>
        <w:rPr>
          <w:rFonts w:hint="eastAsia" w:ascii="宋体" w:hAnsi="宋体" w:cs="宋体"/>
          <w:color w:val="000000"/>
          <w:highlight w:val="none"/>
        </w:rPr>
        <w:t>见商务标评审表。</w:t>
      </w:r>
    </w:p>
    <w:p w14:paraId="3E7F582F">
      <w:pPr>
        <w:numPr>
          <w:ilvl w:val="0"/>
          <w:numId w:val="3"/>
        </w:numPr>
        <w:spacing w:line="440" w:lineRule="exact"/>
        <w:ind w:firstLine="315" w:firstLineChars="150"/>
        <w:jc w:val="left"/>
        <w:rPr>
          <w:rFonts w:hint="eastAsia" w:ascii="宋体" w:hAnsi="Times New Roman" w:eastAsia="宋体" w:cs="Times New Roman"/>
          <w:b/>
          <w:color w:val="000000"/>
          <w:szCs w:val="21"/>
          <w:highlight w:val="none"/>
          <w:lang w:val="en-US" w:eastAsia="zh-CN"/>
        </w:rPr>
      </w:pPr>
      <w:bookmarkStart w:id="67" w:name="_Hlk61815781"/>
      <w:r>
        <w:rPr>
          <w:rFonts w:hint="eastAsia" w:ascii="宋体" w:hAnsi="Times New Roman" w:eastAsia="宋体" w:cs="Times New Roman"/>
          <w:b/>
          <w:color w:val="000000"/>
          <w:szCs w:val="21"/>
          <w:highlight w:val="none"/>
          <w:lang w:val="en-US" w:eastAsia="zh-CN"/>
        </w:rPr>
        <w:t>无效投标条款</w:t>
      </w:r>
    </w:p>
    <w:p w14:paraId="6F5F5736">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.1投标人存在下列情形的招标人将拒收投标文件：</w:t>
      </w:r>
    </w:p>
    <w:p w14:paraId="465E634E">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14:paraId="1B53F403">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14:paraId="61E1FF6B">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14:paraId="2DBC48EF">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.2其他无效投标情况：</w:t>
      </w:r>
    </w:p>
    <w:p w14:paraId="59985E4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494D9E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（2）调整或修正投标文件的投标报价，调整或修正的价格经投标人书面确认后具有约束力。投标人不接受修正价格的，其投标将被拒绝。</w:t>
      </w:r>
    </w:p>
    <w:p w14:paraId="47D611A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）投标人有串通投标、视为串通投标、弄虚作假、行贿等违法行为。</w:t>
      </w:r>
    </w:p>
    <w:p w14:paraId="37FD0512">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）投标文件没有对招标文件的实质性要求和条件作出响应。</w:t>
      </w:r>
    </w:p>
    <w:p w14:paraId="7766F061">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）未按规定的格式填写导致实质性内容不全以及实质上不响应，或者关键字迹模糊、无法辨认。</w:t>
      </w:r>
    </w:p>
    <w:p w14:paraId="3C45BF47">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）同一投标人提交两个以上不同的投标文件或者投标报价，但招标文件规定提交备选投标的除外。</w:t>
      </w:r>
    </w:p>
    <w:p w14:paraId="4F5F154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）投标文件中存在招标人不能接受的其他实质性条件。</w:t>
      </w:r>
    </w:p>
    <w:p w14:paraId="6E9B9B8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）投标文件中填报的拟任项目经理（建造师）与资格审查通过的项目经理（建造师）前后不一致的。</w:t>
      </w:r>
    </w:p>
    <w:p w14:paraId="7FCDD915">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9</w:t>
      </w:r>
      <w:r>
        <w:rPr>
          <w:rFonts w:hint="eastAsia" w:ascii="宋体" w:hAnsi="宋体" w:eastAsia="宋体" w:cs="宋体"/>
          <w:color w:val="000000"/>
          <w:szCs w:val="21"/>
          <w:highlight w:val="none"/>
        </w:rPr>
        <w:t>）投标人拒不按照要求对投标文件进行澄清、说明、补正的，或评标委员会根据招标文件的规定对招标文件的计算错误进行修正后，投标人不接受修正的投标报价的。</w:t>
      </w:r>
    </w:p>
    <w:p w14:paraId="03BB2CC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val="en-US" w:eastAsia="zh-CN"/>
        </w:rPr>
        <w:t>0</w:t>
      </w:r>
      <w:r>
        <w:rPr>
          <w:rFonts w:hint="eastAsia" w:ascii="宋体" w:hAnsi="宋体" w:eastAsia="宋体" w:cs="宋体"/>
          <w:color w:val="000000"/>
          <w:szCs w:val="21"/>
          <w:highlight w:val="none"/>
        </w:rPr>
        <w:t>）投标人单方面出现其他投标人材料。</w:t>
      </w:r>
    </w:p>
    <w:p w14:paraId="145E5A9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11</w:t>
      </w:r>
      <w:r>
        <w:rPr>
          <w:rFonts w:hint="eastAsia" w:ascii="宋体" w:hAnsi="宋体" w:eastAsia="宋体" w:cs="宋体"/>
          <w:color w:val="000000"/>
          <w:szCs w:val="21"/>
          <w:highlight w:val="none"/>
        </w:rPr>
        <w:t>）法律、法规规定的其他情形。</w:t>
      </w:r>
    </w:p>
    <w:bookmarkEnd w:id="67"/>
    <w:p w14:paraId="784675F0">
      <w:pPr>
        <w:spacing w:line="440" w:lineRule="exact"/>
        <w:ind w:firstLine="420" w:firstLineChars="200"/>
        <w:jc w:val="left"/>
        <w:rPr>
          <w:rFonts w:hint="eastAsia" w:ascii="宋体" w:hAnsi="Times New Roman" w:eastAsia="宋体" w:cs="Times New Roman"/>
          <w:b/>
          <w:color w:val="000000"/>
          <w:szCs w:val="21"/>
          <w:highlight w:val="none"/>
          <w:lang w:val="en-US" w:eastAsia="zh-CN"/>
        </w:rPr>
      </w:pPr>
      <w:bookmarkStart w:id="68" w:name="_Toc95223439"/>
      <w:r>
        <w:rPr>
          <w:rFonts w:hint="eastAsia" w:ascii="宋体" w:hAnsi="Times New Roman" w:eastAsia="宋体" w:cs="Times New Roman"/>
          <w:b/>
          <w:color w:val="000000"/>
          <w:szCs w:val="21"/>
          <w:highlight w:val="none"/>
          <w:lang w:val="en-US" w:eastAsia="zh-CN"/>
        </w:rPr>
        <w:t>6.投标文件的澄清和补正</w:t>
      </w:r>
      <w:bookmarkEnd w:id="68"/>
    </w:p>
    <w:p w14:paraId="23C52B2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AE3712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6.2澄清、说明和补正不得改变投标文件的实质性内容（算术性错误修正的除外）。投标人的书面澄清、说明和补正属于投标文件的组成部分。</w:t>
      </w:r>
    </w:p>
    <w:p w14:paraId="1BC46CFD">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6.3评标委员会对投标人提交的澄清、说明和补正有疑问的，可以要求投标人进一步澄清、说明或补正、直至满足评标委员会的要求。</w:t>
      </w:r>
    </w:p>
    <w:p w14:paraId="414C098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按照投标文件规定进行澄清、补正后的投标报价经投标人的法定代表人或其委托代理人确认后即为该投标人的最终投标报价。投标人一旦中标，此报价即为中标价。</w:t>
      </w:r>
    </w:p>
    <w:p w14:paraId="6D37FB7A">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6.4</w:t>
      </w:r>
      <w:r>
        <w:rPr>
          <w:rFonts w:hint="eastAsia" w:ascii="宋体"/>
          <w:color w:val="000000"/>
          <w:szCs w:val="21"/>
          <w:highlight w:val="none"/>
        </w:rPr>
        <w:t>评委会修正错误的原则：</w:t>
      </w:r>
    </w:p>
    <w:p w14:paraId="684FD526">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7536F1BC">
      <w:pPr>
        <w:spacing w:line="400" w:lineRule="exact"/>
        <w:ind w:firstLine="525" w:firstLineChars="250"/>
        <w:rPr>
          <w:rFonts w:hint="eastAsia" w:ascii="宋体"/>
          <w:color w:val="000000"/>
          <w:szCs w:val="21"/>
          <w:highlight w:val="none"/>
        </w:rPr>
      </w:pP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4</w:t>
      </w:r>
      <w:r>
        <w:rPr>
          <w:rFonts w:hint="eastAsia" w:ascii="宋体"/>
          <w:color w:val="000000"/>
          <w:szCs w:val="21"/>
          <w:highlight w:val="none"/>
        </w:rPr>
        <w:t>.2如果单价与数量的乘积和总价不一致，以单价为准，修正总价及开标一览表；当单价小数点有明显的错位时，评委会将以总价为准，并修正其单价。</w:t>
      </w:r>
    </w:p>
    <w:p w14:paraId="2C7E9869">
      <w:pPr>
        <w:spacing w:line="400" w:lineRule="exact"/>
        <w:ind w:firstLine="403" w:firstLineChars="192"/>
        <w:rPr>
          <w:rFonts w:hint="eastAsia"/>
          <w:highlight w:val="none"/>
        </w:rPr>
      </w:pPr>
      <w:r>
        <w:rPr>
          <w:rFonts w:hint="eastAsia" w:ascii="宋体"/>
          <w:color w:val="000000"/>
          <w:szCs w:val="21"/>
          <w:highlight w:val="none"/>
        </w:rPr>
        <w:t xml:space="preserve"> </w:t>
      </w:r>
      <w:r>
        <w:rPr>
          <w:rFonts w:hint="eastAsia" w:ascii="宋体"/>
          <w:color w:val="000000"/>
          <w:szCs w:val="21"/>
          <w:highlight w:val="none"/>
          <w:lang w:val="en-US" w:eastAsia="zh-CN"/>
        </w:rPr>
        <w:t>6</w:t>
      </w:r>
      <w:r>
        <w:rPr>
          <w:rFonts w:hint="eastAsia" w:ascii="宋体"/>
          <w:color w:val="000000"/>
          <w:szCs w:val="21"/>
          <w:highlight w:val="none"/>
        </w:rPr>
        <w:t>.</w:t>
      </w:r>
      <w:r>
        <w:rPr>
          <w:rFonts w:hint="eastAsia" w:ascii="宋体"/>
          <w:color w:val="000000"/>
          <w:szCs w:val="21"/>
          <w:highlight w:val="none"/>
          <w:lang w:val="en-US" w:eastAsia="zh-CN"/>
        </w:rPr>
        <w:t>5</w:t>
      </w:r>
      <w:r>
        <w:rPr>
          <w:rFonts w:hint="eastAsia" w:ascii="宋体"/>
          <w:color w:val="000000"/>
          <w:szCs w:val="21"/>
          <w:highlight w:val="none"/>
        </w:rPr>
        <w:t>评委会将按上述修正错误的方法调整投标文件中的投标报价，调整后的价格应对投标人具有约束力。无论投标人是接受或是拒绝调整后的价格，都应当由</w:t>
      </w:r>
      <w:r>
        <w:rPr>
          <w:rFonts w:hint="eastAsia" w:ascii="宋体"/>
          <w:color w:val="000000"/>
          <w:szCs w:val="21"/>
          <w:highlight w:val="none"/>
          <w:lang w:eastAsia="zh-CN"/>
        </w:rPr>
        <w:t>投标人在系统中</w:t>
      </w:r>
      <w:r>
        <w:rPr>
          <w:rFonts w:hint="eastAsia" w:ascii="宋体"/>
          <w:color w:val="000000"/>
          <w:szCs w:val="21"/>
          <w:highlight w:val="none"/>
        </w:rPr>
        <w:t>确认。</w:t>
      </w:r>
      <w:r>
        <w:rPr>
          <w:rFonts w:hint="eastAsia" w:ascii="宋体"/>
          <w:b/>
          <w:bCs/>
          <w:color w:val="000000"/>
          <w:szCs w:val="21"/>
          <w:highlight w:val="none"/>
        </w:rPr>
        <w:t>投标人拒绝对投标文件出现的错漏按上述原则进行修正、澄清、说明，评标委员会应当否决其投标。</w:t>
      </w:r>
    </w:p>
    <w:p w14:paraId="450ED2AD">
      <w:pPr>
        <w:spacing w:line="440" w:lineRule="exact"/>
        <w:ind w:firstLine="420" w:firstLineChars="200"/>
        <w:jc w:val="left"/>
        <w:rPr>
          <w:rFonts w:hint="eastAsia" w:ascii="宋体"/>
          <w:b/>
          <w:color w:val="000000"/>
          <w:szCs w:val="21"/>
          <w:highlight w:val="none"/>
        </w:rPr>
      </w:pPr>
      <w:bookmarkStart w:id="69" w:name="_Toc95223441"/>
      <w:r>
        <w:rPr>
          <w:rFonts w:hint="eastAsia" w:ascii="宋体"/>
          <w:b/>
          <w:color w:val="000000"/>
          <w:szCs w:val="21"/>
          <w:highlight w:val="none"/>
          <w:lang w:val="en-US" w:eastAsia="zh-CN"/>
        </w:rPr>
        <w:t>7</w:t>
      </w:r>
      <w:r>
        <w:rPr>
          <w:rFonts w:hint="eastAsia" w:ascii="宋体"/>
          <w:b/>
          <w:color w:val="000000"/>
          <w:szCs w:val="21"/>
          <w:highlight w:val="none"/>
        </w:rPr>
        <w:t>.评分标准</w:t>
      </w:r>
    </w:p>
    <w:p w14:paraId="77B241AB">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.1资信标评分标准：见资信标评审表。</w:t>
      </w:r>
    </w:p>
    <w:p w14:paraId="3196C979">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.2技术标评分标准：见技术标评审表。</w:t>
      </w:r>
    </w:p>
    <w:p w14:paraId="13206EC1">
      <w:pPr>
        <w:snapToGrid w:val="0"/>
        <w:spacing w:line="400" w:lineRule="exact"/>
        <w:ind w:firstLine="420"/>
        <w:rPr>
          <w:rFonts w:hint="eastAsia" w:ascii="宋体" w:hAnsi="Times New Roman" w:eastAsia="宋体" w:cs="Times New Roman"/>
          <w:b/>
          <w:color w:val="000000"/>
          <w:szCs w:val="21"/>
          <w:highlight w:val="none"/>
          <w:lang w:val="en-US" w:eastAsia="zh-CN"/>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.3商务标评分标准：见商务标评审表。</w:t>
      </w:r>
    </w:p>
    <w:p w14:paraId="5EAE64D1">
      <w:pPr>
        <w:spacing w:line="440" w:lineRule="exact"/>
        <w:ind w:firstLine="420" w:firstLineChars="200"/>
        <w:jc w:val="left"/>
        <w:rPr>
          <w:rFonts w:hint="eastAsia" w:ascii="宋体"/>
          <w:b/>
          <w:color w:val="000000"/>
          <w:szCs w:val="21"/>
          <w:highlight w:val="none"/>
          <w:lang w:val="en-US" w:eastAsia="zh-CN"/>
        </w:rPr>
      </w:pPr>
      <w:r>
        <w:rPr>
          <w:rFonts w:hint="eastAsia" w:ascii="宋体"/>
          <w:b/>
          <w:color w:val="000000"/>
          <w:szCs w:val="21"/>
          <w:highlight w:val="none"/>
          <w:lang w:val="en-US" w:eastAsia="zh-CN"/>
        </w:rPr>
        <w:t>8.评审结果</w:t>
      </w:r>
      <w:bookmarkEnd w:id="69"/>
    </w:p>
    <w:p w14:paraId="0B7F154E">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.1除第二章“投标人须知”及其前附表授权直接确定中标人外，评标委员会按照</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顺序推荐中标候选人。</w:t>
      </w:r>
    </w:p>
    <w:p w14:paraId="1C3FFD80">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.2评标委员会完成评标后，应当向招标人提交书面评标报告。评标报告应当如实记载以下内容：</w:t>
      </w:r>
    </w:p>
    <w:p w14:paraId="606CA10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（1）基本情况和数据表。</w:t>
      </w:r>
    </w:p>
    <w:p w14:paraId="36C8C68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（2）评标委员会成员名单。</w:t>
      </w:r>
    </w:p>
    <w:p w14:paraId="2FD1F473">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（3）开标记录。</w:t>
      </w:r>
    </w:p>
    <w:p w14:paraId="6913844C">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（4）符合要求的投标人一览表。</w:t>
      </w:r>
    </w:p>
    <w:p w14:paraId="47B581FB">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（5）否决投标情况说明。</w:t>
      </w:r>
    </w:p>
    <w:p w14:paraId="01E1D0F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（6）评标标准、评标方法或者评标因素。</w:t>
      </w:r>
    </w:p>
    <w:p w14:paraId="3893DA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（7）评标情况一览表。</w:t>
      </w:r>
    </w:p>
    <w:p w14:paraId="44C3C3DF">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（8）经评审的投标人排序。</w:t>
      </w:r>
    </w:p>
    <w:p w14:paraId="6484A29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（9）推荐的中标候选人名单与签订合同前要处理的事宜。</w:t>
      </w:r>
    </w:p>
    <w:p w14:paraId="270F9759">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（10）澄清、说明、补正事项纪要。</w:t>
      </w:r>
    </w:p>
    <w:p w14:paraId="5EA3F9C4">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.3依法必须进行招标的项目，招标人应当确定</w:t>
      </w:r>
      <w:r>
        <w:rPr>
          <w:rFonts w:hint="eastAsia" w:ascii="宋体" w:hAnsi="宋体" w:eastAsia="宋体" w:cs="宋体"/>
          <w:color w:val="000000"/>
          <w:szCs w:val="21"/>
          <w:highlight w:val="none"/>
          <w:lang w:val="en-US" w:eastAsia="zh-CN"/>
        </w:rPr>
        <w:t>经评审</w:t>
      </w:r>
      <w:r>
        <w:rPr>
          <w:rFonts w:hint="eastAsia" w:ascii="宋体" w:hAnsi="宋体" w:eastAsia="宋体" w:cs="宋体"/>
          <w:color w:val="000000"/>
          <w:highlight w:val="none"/>
        </w:rPr>
        <w:t>投标报价最低</w:t>
      </w:r>
      <w:r>
        <w:rPr>
          <w:rFonts w:hint="eastAsia" w:ascii="宋体" w:hAnsi="宋体" w:eastAsia="宋体" w:cs="宋体"/>
          <w:color w:val="000000"/>
          <w:szCs w:val="21"/>
          <w:highlight w:val="none"/>
        </w:rPr>
        <w:t>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45F29E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462B35C2">
      <w:pPr>
        <w:spacing w:line="440" w:lineRule="exact"/>
        <w:ind w:firstLine="420" w:firstLineChars="200"/>
        <w:jc w:val="left"/>
        <w:rPr>
          <w:rFonts w:hint="eastAsia" w:ascii="宋体" w:hAnsi="Times New Roman" w:eastAsia="宋体" w:cs="Times New Roman"/>
          <w:b/>
          <w:color w:val="000000"/>
          <w:szCs w:val="21"/>
          <w:highlight w:val="none"/>
          <w:lang w:val="en-US" w:eastAsia="zh-CN"/>
        </w:rPr>
      </w:pPr>
      <w:bookmarkStart w:id="70" w:name="_Toc95223442"/>
      <w:r>
        <w:rPr>
          <w:rFonts w:hint="eastAsia" w:ascii="宋体" w:hAnsi="Times New Roman" w:eastAsia="宋体" w:cs="Times New Roman"/>
          <w:b/>
          <w:color w:val="000000"/>
          <w:szCs w:val="21"/>
          <w:highlight w:val="none"/>
          <w:lang w:val="en-US" w:eastAsia="zh-CN"/>
        </w:rPr>
        <w:t>9.其他</w:t>
      </w:r>
      <w:bookmarkEnd w:id="70"/>
    </w:p>
    <w:p w14:paraId="015E2DA6">
      <w:pPr>
        <w:keepNext w:val="0"/>
        <w:keepLines w:val="0"/>
        <w:pageBreakBefore w:val="0"/>
        <w:kinsoku/>
        <w:wordWrap/>
        <w:overflowPunct/>
        <w:topLinePunct w:val="0"/>
        <w:autoSpaceDE/>
        <w:autoSpaceDN/>
        <w:bidi w:val="0"/>
        <w:adjustRightInd/>
        <w:snapToGrid w:val="0"/>
        <w:spacing w:line="400" w:lineRule="exact"/>
        <w:ind w:firstLine="42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9.1</w:t>
      </w:r>
      <w:r>
        <w:rPr>
          <w:rFonts w:hint="eastAsia" w:ascii="宋体" w:hAnsi="宋体" w:eastAsia="宋体" w:cs="宋体"/>
          <w:color w:val="000000"/>
          <w:szCs w:val="21"/>
          <w:highlight w:val="none"/>
        </w:rPr>
        <w:t>投标人提供的与投标文件有关的各类证书、证明、文件、资料等的真实性、合法性由投标人负全责。</w:t>
      </w:r>
    </w:p>
    <w:p w14:paraId="6F860D82">
      <w:pPr>
        <w:keepNext w:val="0"/>
        <w:keepLines w:val="0"/>
        <w:pageBreakBefore w:val="0"/>
        <w:widowControl w:val="0"/>
        <w:numPr>
          <w:ilvl w:val="0"/>
          <w:numId w:val="4"/>
        </w:numPr>
        <w:kinsoku/>
        <w:wordWrap/>
        <w:overflowPunct/>
        <w:topLinePunct w:val="0"/>
        <w:autoSpaceDE/>
        <w:autoSpaceDN/>
        <w:bidi w:val="0"/>
        <w:adjustRightInd/>
        <w:snapToGrid w:val="0"/>
        <w:spacing w:before="156" w:beforeLines="50" w:after="156" w:afterLines="50" w:line="520" w:lineRule="exact"/>
        <w:jc w:val="center"/>
        <w:textAlignment w:val="auto"/>
        <w:outlineLvl w:val="0"/>
        <w:rPr>
          <w:rFonts w:hint="eastAsia" w:ascii="宋体" w:cs="宋体"/>
          <w:b/>
          <w:bCs/>
          <w:color w:val="auto"/>
          <w:sz w:val="28"/>
          <w:szCs w:val="28"/>
          <w:highlight w:val="none"/>
          <w:lang w:eastAsia="zh-CN"/>
        </w:rPr>
      </w:pPr>
      <w:r>
        <w:rPr>
          <w:rFonts w:hint="eastAsia" w:ascii="宋体" w:hAnsi="宋体" w:eastAsia="宋体" w:cs="Times New Roman"/>
          <w:b/>
          <w:bCs/>
          <w:color w:val="000000"/>
          <w:kern w:val="0"/>
          <w:sz w:val="28"/>
          <w:szCs w:val="28"/>
          <w:highlight w:val="none"/>
          <w:lang w:val="en-US" w:eastAsia="zh-CN" w:bidi="ar"/>
        </w:rPr>
        <w:br w:type="page"/>
      </w:r>
      <w:r>
        <w:rPr>
          <w:rFonts w:hint="eastAsia" w:ascii="宋体" w:cs="宋体"/>
          <w:b/>
          <w:bCs/>
          <w:color w:val="auto"/>
          <w:sz w:val="28"/>
          <w:szCs w:val="28"/>
          <w:highlight w:val="none"/>
        </w:rPr>
        <w:t xml:space="preserve"> </w:t>
      </w:r>
      <w:r>
        <w:rPr>
          <w:rFonts w:hint="eastAsia" w:ascii="宋体" w:cs="宋体"/>
          <w:b/>
          <w:bCs/>
          <w:color w:val="auto"/>
          <w:sz w:val="28"/>
          <w:szCs w:val="28"/>
          <w:highlight w:val="none"/>
          <w:lang w:eastAsia="zh-CN"/>
        </w:rPr>
        <w:t>采购需求</w:t>
      </w:r>
    </w:p>
    <w:p w14:paraId="775122C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项目概况</w:t>
      </w:r>
    </w:p>
    <w:p w14:paraId="59983B83">
      <w:pPr>
        <w:tabs>
          <w:tab w:val="left" w:pos="420"/>
        </w:tabs>
        <w:adjustRightInd w:val="0"/>
        <w:snapToGrid w:val="0"/>
        <w:spacing w:line="440" w:lineRule="exact"/>
        <w:ind w:firstLine="420" w:firstLineChars="200"/>
        <w:jc w:val="left"/>
        <w:rPr>
          <w:rFonts w:hint="eastAsia" w:ascii="宋体" w:hAnsi="宋体" w:eastAsia="宋体" w:cs="宋体"/>
          <w:szCs w:val="21"/>
          <w:lang w:val="en-US" w:eastAsia="zh-CN"/>
        </w:rPr>
      </w:pPr>
      <w:bookmarkStart w:id="71" w:name="_Toc131471602"/>
      <w:bookmarkStart w:id="72" w:name="_Toc135638565"/>
      <w:bookmarkStart w:id="73" w:name="_Toc171477766"/>
      <w:bookmarkStart w:id="74" w:name="_Toc205352477"/>
      <w:r>
        <w:rPr>
          <w:rFonts w:hint="eastAsia" w:ascii="宋体" w:hAnsi="宋体" w:eastAsia="宋体" w:cs="宋体"/>
          <w:szCs w:val="21"/>
          <w:lang w:val="en-US" w:eastAsia="zh-CN"/>
        </w:rPr>
        <w:t>视频监视系统是保证城市轨道交通行车组织和安全的重要手段，是地铁运营、管理现代化的配套设备，是供运营、管理人员监视列车运行、客流情况、变电所设备室设备运行情况等，提高行车指挥透明度的辅助通信工具。当发生灾情时，视频监视系统可作为防灾指挥抢险的指挥工具。</w:t>
      </w:r>
    </w:p>
    <w:p w14:paraId="3F2D8171">
      <w:pPr>
        <w:tabs>
          <w:tab w:val="left" w:pos="420"/>
        </w:tabs>
        <w:adjustRightInd w:val="0"/>
        <w:snapToGrid w:val="0"/>
        <w:spacing w:line="44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该项目需中标人根据国家和行业相关设计规范和现场勘测情况及招标方技术需求书要求进行勘测设计，并提交本项目设计图纸文件。设计图纸包括：施工管线图、系统图、设备柜（设备箱）布置图等。所有新增设备均需接入既有系统（设备），满足设备兼容性。</w:t>
      </w:r>
    </w:p>
    <w:p w14:paraId="4B2034FC">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二、服务内容</w:t>
      </w:r>
    </w:p>
    <w:bookmarkEnd w:id="71"/>
    <w:bookmarkEnd w:id="72"/>
    <w:bookmarkEnd w:id="73"/>
    <w:bookmarkEnd w:id="74"/>
    <w:p w14:paraId="4911BFE7">
      <w:pPr>
        <w:tabs>
          <w:tab w:val="left" w:pos="420"/>
        </w:tabs>
        <w:adjustRightInd w:val="0"/>
        <w:snapToGrid w:val="0"/>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2.1加装监控的工作范围为：</w:t>
      </w:r>
    </w:p>
    <w:p w14:paraId="779AEBF2">
      <w:pPr>
        <w:tabs>
          <w:tab w:val="left" w:pos="420"/>
        </w:tabs>
        <w:adjustRightInd w:val="0"/>
        <w:snapToGrid w:val="0"/>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滁宁城际铁路（滁州段）全线车站，相官车辆段物资总库</w:t>
      </w:r>
      <w:r>
        <w:rPr>
          <w:rFonts w:hint="eastAsia" w:ascii="宋体" w:hAnsi="宋体" w:eastAsia="宋体" w:cs="宋体"/>
          <w:szCs w:val="21"/>
          <w:lang w:eastAsia="zh-CN"/>
        </w:rPr>
        <w:t>、</w:t>
      </w:r>
      <w:r>
        <w:rPr>
          <w:rFonts w:hint="eastAsia" w:ascii="宋体" w:hAnsi="宋体" w:eastAsia="宋体" w:cs="宋体"/>
          <w:szCs w:val="21"/>
          <w:lang w:val="en-US" w:eastAsia="zh-CN"/>
        </w:rPr>
        <w:t>相官车辆段综合楼负一楼消防泵房</w:t>
      </w:r>
      <w:r>
        <w:rPr>
          <w:rFonts w:hint="eastAsia" w:ascii="宋体" w:hAnsi="宋体" w:eastAsia="宋体" w:cs="宋体"/>
          <w:szCs w:val="21"/>
        </w:rPr>
        <w:t>及门岗。</w:t>
      </w:r>
    </w:p>
    <w:p w14:paraId="074693D1">
      <w:pPr>
        <w:tabs>
          <w:tab w:val="left" w:pos="420"/>
        </w:tabs>
        <w:adjustRightInd w:val="0"/>
        <w:snapToGrid w:val="0"/>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2.2加装监控工作内容如下：</w:t>
      </w:r>
    </w:p>
    <w:p w14:paraId="2A1BB0BB">
      <w:pPr>
        <w:tabs>
          <w:tab w:val="left" w:pos="420"/>
        </w:tabs>
        <w:adjustRightInd w:val="0"/>
        <w:snapToGrid w:val="0"/>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全线10座车站的室外消防栓新增37个摄像机，利用既有摄像机立杆或新增立杆进行安装，并通过既有摄像机线缆接入到视频监控平台中。相官车辆段物资总库室内安装23台枪机和8台火灾探测器，物资总库室外安装7台球机，在物资总库和综合楼2楼安防设备房之间布放一根24芯光缆，将新增摄像机接入到相官车辆段安防平台中，安防平台新增火灾监测功能。相官车辆段两个门岗处新增4台枪机用来监控行人及车辆，需具备人脸识别功能并接入现有安防平台中。在北侧门岗新增一台电脑客户端接入到安防平台中，可实时查看两处门岗的行人及车辆情况。相官车辆段综合楼负一楼消防泵房内新增一台球机，监控消防设备运行状况。所有新增监控均需满足90天存储要求。</w:t>
      </w:r>
    </w:p>
    <w:p w14:paraId="656582E4">
      <w:pPr>
        <w:tabs>
          <w:tab w:val="left" w:pos="420"/>
        </w:tabs>
        <w:adjustRightInd w:val="0"/>
        <w:snapToGrid w:val="0"/>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2.3增加监控的效果：</w:t>
      </w:r>
    </w:p>
    <w:p w14:paraId="5D7527D4">
      <w:pPr>
        <w:tabs>
          <w:tab w:val="left" w:pos="420"/>
        </w:tabs>
        <w:adjustRightInd w:val="0"/>
        <w:snapToGrid w:val="0"/>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1）全线车站消防栓均能监控；</w:t>
      </w:r>
    </w:p>
    <w:p w14:paraId="29E52B7F">
      <w:pPr>
        <w:tabs>
          <w:tab w:val="left" w:pos="420"/>
        </w:tabs>
        <w:adjustRightInd w:val="0"/>
        <w:snapToGrid w:val="0"/>
        <w:spacing w:line="440" w:lineRule="exact"/>
        <w:ind w:firstLine="420" w:firstLineChars="200"/>
        <w:jc w:val="left"/>
        <w:rPr>
          <w:rFonts w:hint="eastAsia" w:ascii="宋体" w:hAnsi="宋体" w:eastAsia="宋体" w:cs="宋体"/>
          <w:szCs w:val="21"/>
        </w:rPr>
      </w:pPr>
      <w:r>
        <w:rPr>
          <w:rFonts w:hint="eastAsia" w:ascii="宋体" w:hAnsi="宋体" w:eastAsia="宋体" w:cs="宋体"/>
          <w:szCs w:val="21"/>
        </w:rPr>
        <w:t>2）相官车辆段门岗监控不存在盲区，且门卫室内能及时查看门岗情况；</w:t>
      </w:r>
    </w:p>
    <w:p w14:paraId="68C3C939">
      <w:pPr>
        <w:tabs>
          <w:tab w:val="left" w:pos="420"/>
        </w:tabs>
        <w:adjustRightInd w:val="0"/>
        <w:snapToGrid w:val="0"/>
        <w:spacing w:line="44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3）相官车辆段综合楼负一楼消防泵房能得到监控；</w:t>
      </w:r>
    </w:p>
    <w:p w14:paraId="55B20794">
      <w:pPr>
        <w:tabs>
          <w:tab w:val="left" w:pos="420"/>
        </w:tabs>
        <w:adjustRightInd w:val="0"/>
        <w:snapToGrid w:val="0"/>
        <w:spacing w:line="440" w:lineRule="exact"/>
        <w:ind w:firstLine="420" w:firstLineChars="200"/>
        <w:jc w:val="left"/>
        <w:rPr>
          <w:rFonts w:hint="eastAsia" w:ascii="宋体" w:hAnsi="宋体" w:eastAsia="宋体" w:cs="宋体"/>
          <w:szCs w:val="21"/>
          <w:lang w:eastAsia="zh-CN"/>
        </w:rPr>
      </w:pPr>
      <w:r>
        <w:rPr>
          <w:rFonts w:hint="eastAsia" w:ascii="宋体" w:hAnsi="宋体" w:eastAsia="宋体" w:cs="宋体"/>
          <w:szCs w:val="21"/>
          <w:lang w:val="en-US" w:eastAsia="zh-CN"/>
        </w:rPr>
        <w:t>4</w:t>
      </w:r>
      <w:r>
        <w:rPr>
          <w:rFonts w:hint="eastAsia" w:ascii="宋体" w:hAnsi="宋体" w:eastAsia="宋体" w:cs="宋体"/>
          <w:szCs w:val="21"/>
        </w:rPr>
        <w:t>）相官车辆段物资总库能进行24小时监控</w:t>
      </w:r>
      <w:r>
        <w:rPr>
          <w:rFonts w:hint="eastAsia" w:ascii="宋体" w:hAnsi="宋体" w:eastAsia="宋体" w:cs="宋体"/>
          <w:szCs w:val="21"/>
          <w:lang w:eastAsia="zh-CN"/>
        </w:rPr>
        <w:t>。</w:t>
      </w:r>
    </w:p>
    <w:p w14:paraId="3C7287E7">
      <w:pPr>
        <w:tabs>
          <w:tab w:val="left" w:pos="420"/>
        </w:tabs>
        <w:adjustRightInd w:val="0"/>
        <w:snapToGrid w:val="0"/>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2.4合同期限</w:t>
      </w:r>
    </w:p>
    <w:p w14:paraId="62D5933B">
      <w:pPr>
        <w:spacing w:line="44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自接到招标人通知起90个日历天内完成全部供货、安装、调试并验收通过。</w:t>
      </w:r>
    </w:p>
    <w:p w14:paraId="04AFC48F">
      <w:pPr>
        <w:spacing w:line="440" w:lineRule="exact"/>
        <w:ind w:firstLine="420" w:firstLineChars="200"/>
        <w:rPr>
          <w:rFonts w:hint="eastAsia" w:ascii="宋体" w:hAnsi="宋体" w:cs="宋体"/>
          <w:b/>
          <w:bCs/>
          <w:szCs w:val="21"/>
        </w:rPr>
      </w:pPr>
      <w:r>
        <w:rPr>
          <w:rFonts w:hint="eastAsia" w:ascii="宋体" w:hAnsi="宋体" w:cs="宋体"/>
          <w:b/>
          <w:bCs/>
          <w:szCs w:val="21"/>
        </w:rPr>
        <w:t>三、标准技术规范</w:t>
      </w:r>
    </w:p>
    <w:p w14:paraId="5F52D54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3.1技术标准</w:t>
      </w:r>
    </w:p>
    <w:p w14:paraId="7188655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本项工程的设计、制造、安装、测试以及使用的材料，均将遵守如下标准：</w:t>
      </w:r>
    </w:p>
    <w:p w14:paraId="4011546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●国际电器与电子工程师协会IEEE有关协议；</w:t>
      </w:r>
    </w:p>
    <w:p w14:paraId="6BE8318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●《地铁设计规范》 （GB50157）</w:t>
      </w:r>
    </w:p>
    <w:p w14:paraId="450BD2D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●《城市轨道交通技术规范》（GB50490）</w:t>
      </w:r>
    </w:p>
    <w:p w14:paraId="186323D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●国际电信联盟ITU－T、国际无线电咨询委员会CCIR的有关建议；</w:t>
      </w:r>
    </w:p>
    <w:p w14:paraId="70BBF58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●欧洲邮政及电信联盟（CEPT）最新文件及其附件；</w:t>
      </w:r>
    </w:p>
    <w:p w14:paraId="55CE617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●电子工业协会（EIA）的有关标准；</w:t>
      </w:r>
    </w:p>
    <w:p w14:paraId="12C6D15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●国际电工学会  IEC；</w:t>
      </w:r>
    </w:p>
    <w:p w14:paraId="45BBBBC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●质量安全体系应符合ISO9001标准；</w:t>
      </w:r>
    </w:p>
    <w:p w14:paraId="09B2E47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●环境管理体系应符合ISO14000标准；</w:t>
      </w:r>
    </w:p>
    <w:p w14:paraId="13FACCB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●RIA标准（Railway Industry Association）；</w:t>
      </w:r>
    </w:p>
    <w:p w14:paraId="2019959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●欧洲电信标准协会ETSI最新文件及其附件。国际标准化组织ISO；</w:t>
      </w:r>
    </w:p>
    <w:p w14:paraId="68B2AA4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●《地下铁道设计规范》（GB50157－2003）；</w:t>
      </w:r>
    </w:p>
    <w:p w14:paraId="475CF86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●《城市快速轨道交通工程项目建设标准》试行本；</w:t>
      </w:r>
    </w:p>
    <w:p w14:paraId="78A0B32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●《地下铁道工程施工及验收规范》（GB50299-1999）；</w:t>
      </w:r>
    </w:p>
    <w:p w14:paraId="19F7882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●《城市轨道交通通信工程质量验收规范》（GB50382-2006）；</w:t>
      </w:r>
    </w:p>
    <w:p w14:paraId="1FF7EA2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●《建筑安装工程质量检验评定统一标准》（GBJ300-88)；</w:t>
      </w:r>
    </w:p>
    <w:p w14:paraId="08091C8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●《职业安全健康管理体系审核规范》（GB/T28001）；</w:t>
      </w:r>
    </w:p>
    <w:p w14:paraId="4483C9B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●《数字数据网工程设计暂行规定》YD 5029-96；</w:t>
      </w:r>
    </w:p>
    <w:p w14:paraId="6BFB89E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●《通信设备安装抗震设计规范》YD 5059-98；</w:t>
      </w:r>
    </w:p>
    <w:p w14:paraId="0AE5B26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●《铁路运输通信设计规范》TB10006-2005；</w:t>
      </w:r>
    </w:p>
    <w:p w14:paraId="678E45F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●《电气装置安装工程施工及验收规范》</w:t>
      </w:r>
    </w:p>
    <w:p w14:paraId="51A51F3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●《铁路工程施工安全技术规程（上、下册）》</w:t>
      </w:r>
    </w:p>
    <w:p w14:paraId="56490BC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●国家最新有关标准；</w:t>
      </w:r>
    </w:p>
    <w:p w14:paraId="213389C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●本要求中特别指定和制定的标准及技术要求</w:t>
      </w:r>
    </w:p>
    <w:p w14:paraId="2789C81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公认的中华人民共和国行业标准（同项规定的，按标准内最高要求执行或按双方商定的标准执行）上述技术标准和规范如有不涉及之处或未能达到国际和国家最新标准时，投标人应使系统符合最新版本的国际和国家标准、规范，并提供所采用的国际和国家标准、规范以及所采用版本的有关技术资料。</w:t>
      </w:r>
    </w:p>
    <w:p w14:paraId="289B4F5D">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75" w:name="_Toc440531487"/>
      <w:r>
        <w:rPr>
          <w:rFonts w:hint="eastAsia" w:ascii="宋体" w:hAnsi="宋体" w:cs="宋体"/>
          <w:kern w:val="0"/>
          <w:szCs w:val="21"/>
        </w:rPr>
        <w:t>3.2 技术要求</w:t>
      </w:r>
      <w:bookmarkEnd w:id="75"/>
    </w:p>
    <w:p w14:paraId="6C34B990">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本项目共计11个新增站点、7</w:t>
      </w:r>
      <w:r>
        <w:rPr>
          <w:rFonts w:hint="eastAsia" w:ascii="宋体" w:hAnsi="宋体" w:cs="宋体"/>
          <w:kern w:val="0"/>
          <w:szCs w:val="21"/>
          <w:lang w:val="en-US" w:eastAsia="zh-CN"/>
        </w:rPr>
        <w:t>2</w:t>
      </w:r>
      <w:r>
        <w:rPr>
          <w:rFonts w:hint="eastAsia" w:ascii="宋体" w:hAnsi="宋体" w:cs="宋体"/>
          <w:kern w:val="0"/>
          <w:szCs w:val="21"/>
        </w:rPr>
        <w:t>台摄像机增补点位；滁宁城际线视频监控系统为</w:t>
      </w:r>
      <w:r>
        <w:rPr>
          <w:rFonts w:hint="eastAsia" w:ascii="宋体" w:hAnsi="宋体" w:cs="宋体"/>
          <w:kern w:val="0"/>
          <w:szCs w:val="21"/>
          <w:lang w:val="en-US" w:eastAsia="zh-CN"/>
        </w:rPr>
        <w:t>海康</w:t>
      </w:r>
      <w:r>
        <w:rPr>
          <w:rFonts w:hint="eastAsia" w:ascii="宋体" w:hAnsi="宋体" w:cs="宋体"/>
          <w:kern w:val="0"/>
          <w:szCs w:val="21"/>
        </w:rPr>
        <w:t>数字化系统，为满足接入需要，</w:t>
      </w:r>
      <w:r>
        <w:rPr>
          <w:rFonts w:hint="eastAsia" w:ascii="宋体" w:hAnsi="宋体" w:cs="宋体"/>
          <w:kern w:val="0"/>
          <w:szCs w:val="21"/>
          <w:lang w:val="en-US" w:eastAsia="zh-CN"/>
        </w:rPr>
        <w:t>需</w:t>
      </w:r>
      <w:r>
        <w:rPr>
          <w:rFonts w:hint="eastAsia" w:ascii="宋体" w:hAnsi="宋体" w:cs="宋体"/>
          <w:kern w:val="0"/>
          <w:szCs w:val="21"/>
        </w:rPr>
        <w:t>采用与既有视频系统</w:t>
      </w:r>
      <w:r>
        <w:rPr>
          <w:rFonts w:hint="eastAsia" w:ascii="宋体" w:hAnsi="宋体" w:cs="宋体"/>
          <w:kern w:val="0"/>
          <w:szCs w:val="21"/>
          <w:lang w:val="en-US" w:eastAsia="zh-CN"/>
        </w:rPr>
        <w:t>兼容</w:t>
      </w:r>
      <w:r>
        <w:rPr>
          <w:rFonts w:hint="eastAsia" w:ascii="宋体" w:hAnsi="宋体" w:cs="宋体"/>
          <w:kern w:val="0"/>
          <w:szCs w:val="21"/>
        </w:rPr>
        <w:t>摄像机。滁宁城际线视频系统机房设备与终端均为光纤连接，安装时需考虑终端处线缆套管保护，支架安装牢固、角度固定。</w:t>
      </w:r>
    </w:p>
    <w:p w14:paraId="5FE06427">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3.3 新增设备要求</w:t>
      </w:r>
    </w:p>
    <w:p w14:paraId="635B0C8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3.3.1 环境要求</w:t>
      </w:r>
    </w:p>
    <w:p w14:paraId="487EAFE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3.3.1.1 本项工程新增设备必须可靠地工作在以下环境条件中：</w:t>
      </w:r>
    </w:p>
    <w:tbl>
      <w:tblPr>
        <w:tblStyle w:val="23"/>
        <w:tblW w:w="7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650"/>
        <w:gridCol w:w="2168"/>
        <w:gridCol w:w="2166"/>
      </w:tblGrid>
      <w:tr w14:paraId="63E4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4" w:type="dxa"/>
            <w:gridSpan w:val="2"/>
            <w:tcBorders>
              <w:top w:val="single" w:color="auto" w:sz="4" w:space="0"/>
              <w:left w:val="single" w:color="auto" w:sz="4" w:space="0"/>
              <w:bottom w:val="single" w:color="auto" w:sz="4" w:space="0"/>
              <w:right w:val="single" w:color="auto" w:sz="4" w:space="0"/>
            </w:tcBorders>
            <w:noWrap w:val="0"/>
            <w:vAlign w:val="top"/>
          </w:tcPr>
          <w:p w14:paraId="75DFF099">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b/>
                <w:bCs/>
                <w:kern w:val="0"/>
                <w:szCs w:val="21"/>
              </w:rPr>
            </w:pPr>
            <w:bookmarkStart w:id="76" w:name="_Toc12283"/>
            <w:r>
              <w:rPr>
                <w:rFonts w:hint="eastAsia" w:ascii="宋体" w:hAnsi="宋体" w:cs="宋体"/>
                <w:b/>
                <w:bCs/>
                <w:kern w:val="0"/>
                <w:szCs w:val="21"/>
              </w:rPr>
              <w:t>项目</w:t>
            </w:r>
            <w:bookmarkEnd w:id="76"/>
          </w:p>
        </w:tc>
        <w:tc>
          <w:tcPr>
            <w:tcW w:w="2168" w:type="dxa"/>
            <w:tcBorders>
              <w:top w:val="single" w:color="auto" w:sz="4" w:space="0"/>
              <w:left w:val="single" w:color="auto" w:sz="4" w:space="0"/>
              <w:bottom w:val="single" w:color="auto" w:sz="4" w:space="0"/>
              <w:right w:val="single" w:color="auto" w:sz="4" w:space="0"/>
            </w:tcBorders>
            <w:noWrap w:val="0"/>
            <w:vAlign w:val="top"/>
          </w:tcPr>
          <w:p w14:paraId="501D2941">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eastAsiaTheme="minorEastAsia"/>
                <w:b/>
                <w:bCs/>
                <w:kern w:val="0"/>
                <w:szCs w:val="21"/>
                <w:lang w:val="en-US" w:eastAsia="zh-CN"/>
              </w:rPr>
            </w:pPr>
            <w:r>
              <w:rPr>
                <w:rFonts w:hint="eastAsia" w:ascii="宋体" w:hAnsi="宋体" w:cs="宋体"/>
                <w:b/>
                <w:bCs/>
                <w:kern w:val="0"/>
                <w:szCs w:val="21"/>
              </w:rPr>
              <w:t>室</w:t>
            </w:r>
            <w:r>
              <w:rPr>
                <w:rFonts w:hint="eastAsia" w:ascii="宋体" w:hAnsi="宋体" w:cs="宋体"/>
                <w:b/>
                <w:bCs/>
                <w:kern w:val="0"/>
                <w:szCs w:val="21"/>
                <w:lang w:val="en-US" w:eastAsia="zh-CN"/>
              </w:rPr>
              <w:t>内</w:t>
            </w:r>
          </w:p>
        </w:tc>
        <w:tc>
          <w:tcPr>
            <w:tcW w:w="2166" w:type="dxa"/>
            <w:tcBorders>
              <w:top w:val="single" w:color="auto" w:sz="4" w:space="0"/>
              <w:left w:val="single" w:color="auto" w:sz="4" w:space="0"/>
              <w:bottom w:val="single" w:color="auto" w:sz="4" w:space="0"/>
              <w:right w:val="single" w:color="auto" w:sz="4" w:space="0"/>
            </w:tcBorders>
            <w:noWrap w:val="0"/>
            <w:vAlign w:val="top"/>
          </w:tcPr>
          <w:p w14:paraId="58E8B4A8">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eastAsiaTheme="minorEastAsia"/>
                <w:b/>
                <w:bCs/>
                <w:kern w:val="0"/>
                <w:szCs w:val="21"/>
                <w:lang w:eastAsia="zh-CN"/>
              </w:rPr>
            </w:pPr>
            <w:r>
              <w:rPr>
                <w:rFonts w:hint="eastAsia" w:ascii="宋体" w:hAnsi="宋体" w:cs="宋体"/>
                <w:b/>
                <w:kern w:val="0"/>
                <w:szCs w:val="21"/>
                <w:lang w:val="en-US" w:eastAsia="zh-CN"/>
              </w:rPr>
              <w:t>室外</w:t>
            </w:r>
          </w:p>
        </w:tc>
      </w:tr>
      <w:tr w14:paraId="3215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4" w:type="dxa"/>
            <w:vMerge w:val="restart"/>
            <w:tcBorders>
              <w:top w:val="nil"/>
              <w:left w:val="single" w:color="auto" w:sz="4" w:space="0"/>
              <w:bottom w:val="single" w:color="auto" w:sz="4" w:space="0"/>
              <w:right w:val="single" w:color="auto" w:sz="4" w:space="0"/>
            </w:tcBorders>
            <w:noWrap w:val="0"/>
            <w:vAlign w:val="center"/>
          </w:tcPr>
          <w:p w14:paraId="3E5649E3">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温</w:t>
            </w:r>
            <w:r>
              <w:rPr>
                <w:rFonts w:hint="eastAsia" w:ascii="宋体" w:hAnsi="宋体" w:cs="宋体"/>
                <w:kern w:val="0"/>
                <w:szCs w:val="21"/>
                <w:lang w:val="en-US" w:eastAsia="zh-CN"/>
              </w:rPr>
              <w:t>温</w:t>
            </w:r>
            <w:r>
              <w:rPr>
                <w:rFonts w:hint="eastAsia" w:ascii="宋体" w:hAnsi="宋体" w:cs="宋体"/>
                <w:kern w:val="0"/>
                <w:szCs w:val="21"/>
              </w:rPr>
              <w:t>度</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C35615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工作期</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4EC7084D">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5℃～+45℃</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77B23E57">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default" w:ascii="宋体" w:hAnsi="宋体" w:cs="宋体"/>
                <w:kern w:val="0"/>
                <w:szCs w:val="21"/>
              </w:rPr>
              <w:t>-</w:t>
            </w:r>
            <w:r>
              <w:rPr>
                <w:rFonts w:hint="eastAsia" w:ascii="宋体" w:hAnsi="宋体" w:cs="宋体"/>
                <w:kern w:val="0"/>
                <w:szCs w:val="21"/>
              </w:rPr>
              <w:t>25℃～+70℃</w:t>
            </w:r>
          </w:p>
        </w:tc>
      </w:tr>
      <w:tr w14:paraId="3850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434" w:type="dxa"/>
            <w:vMerge w:val="continue"/>
            <w:tcBorders>
              <w:top w:val="nil"/>
              <w:left w:val="single" w:color="auto" w:sz="4" w:space="0"/>
              <w:bottom w:val="single" w:color="auto" w:sz="4" w:space="0"/>
              <w:right w:val="single" w:color="auto" w:sz="4" w:space="0"/>
            </w:tcBorders>
            <w:noWrap w:val="0"/>
            <w:vAlign w:val="center"/>
          </w:tcPr>
          <w:p w14:paraId="2752E8C9">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D09A1C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施工期</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38C23250">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0℃～+50℃</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380F737B">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p>
        </w:tc>
      </w:tr>
      <w:tr w14:paraId="4BD4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4" w:type="dxa"/>
            <w:vMerge w:val="continue"/>
            <w:tcBorders>
              <w:top w:val="nil"/>
              <w:left w:val="single" w:color="auto" w:sz="4" w:space="0"/>
              <w:bottom w:val="single" w:color="auto" w:sz="4" w:space="0"/>
              <w:right w:val="single" w:color="auto" w:sz="4" w:space="0"/>
            </w:tcBorders>
            <w:noWrap w:val="0"/>
            <w:vAlign w:val="center"/>
          </w:tcPr>
          <w:p w14:paraId="19CB84E2">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28EF9C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存储</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6AD02C58">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default" w:ascii="宋体" w:hAnsi="宋体" w:cs="宋体"/>
                <w:kern w:val="0"/>
                <w:szCs w:val="21"/>
              </w:rPr>
              <w:t>-</w:t>
            </w:r>
            <w:r>
              <w:rPr>
                <w:rFonts w:hint="eastAsia" w:ascii="宋体" w:hAnsi="宋体" w:cs="宋体"/>
                <w:kern w:val="0"/>
                <w:szCs w:val="21"/>
              </w:rPr>
              <w:t>20℃～+55℃</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66D9B5C3">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default" w:ascii="宋体" w:hAnsi="宋体" w:cs="宋体"/>
                <w:kern w:val="0"/>
                <w:szCs w:val="21"/>
              </w:rPr>
              <w:t>-</w:t>
            </w:r>
            <w:r>
              <w:rPr>
                <w:rFonts w:hint="eastAsia" w:ascii="宋体" w:hAnsi="宋体" w:cs="宋体"/>
                <w:kern w:val="0"/>
                <w:szCs w:val="21"/>
              </w:rPr>
              <w:t>20℃～+70℃</w:t>
            </w:r>
          </w:p>
        </w:tc>
      </w:tr>
      <w:tr w14:paraId="2AA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4" w:type="dxa"/>
            <w:vMerge w:val="restart"/>
            <w:tcBorders>
              <w:top w:val="nil"/>
              <w:left w:val="single" w:color="auto" w:sz="4" w:space="0"/>
              <w:bottom w:val="single" w:color="auto" w:sz="4" w:space="0"/>
              <w:right w:val="single" w:color="auto" w:sz="4" w:space="0"/>
            </w:tcBorders>
            <w:noWrap w:val="0"/>
            <w:vAlign w:val="center"/>
          </w:tcPr>
          <w:p w14:paraId="3431FD8E">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湿</w:t>
            </w:r>
            <w:r>
              <w:rPr>
                <w:rFonts w:hint="eastAsia" w:ascii="宋体" w:hAnsi="宋体" w:cs="宋体"/>
                <w:kern w:val="0"/>
                <w:szCs w:val="21"/>
                <w:lang w:val="en-US" w:eastAsia="zh-CN"/>
              </w:rPr>
              <w:t>湿</w:t>
            </w:r>
            <w:r>
              <w:rPr>
                <w:rFonts w:hint="eastAsia" w:ascii="宋体" w:hAnsi="宋体" w:cs="宋体"/>
                <w:kern w:val="0"/>
                <w:szCs w:val="21"/>
              </w:rPr>
              <w:t>度</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402DD8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工作</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5EC39C9B">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5～90%</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1EDE7EA6">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0～100%</w:t>
            </w:r>
          </w:p>
        </w:tc>
      </w:tr>
      <w:tr w14:paraId="6E0A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34" w:type="dxa"/>
            <w:vMerge w:val="continue"/>
            <w:tcBorders>
              <w:top w:val="nil"/>
              <w:left w:val="single" w:color="auto" w:sz="4" w:space="0"/>
              <w:bottom w:val="single" w:color="auto" w:sz="4" w:space="0"/>
              <w:right w:val="single" w:color="auto" w:sz="4" w:space="0"/>
            </w:tcBorders>
            <w:noWrap w:val="0"/>
            <w:vAlign w:val="center"/>
          </w:tcPr>
          <w:p w14:paraId="04A4EA11">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9CAE54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存储</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73AD9237">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5～100%</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36449152">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0─100%</w:t>
            </w:r>
          </w:p>
        </w:tc>
      </w:tr>
      <w:tr w14:paraId="1A95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4" w:type="dxa"/>
            <w:gridSpan w:val="2"/>
            <w:tcBorders>
              <w:top w:val="single" w:color="auto" w:sz="4" w:space="0"/>
              <w:left w:val="single" w:color="auto" w:sz="4" w:space="0"/>
              <w:bottom w:val="single" w:color="auto" w:sz="4" w:space="0"/>
              <w:right w:val="single" w:color="auto" w:sz="4" w:space="0"/>
            </w:tcBorders>
            <w:noWrap w:val="0"/>
            <w:vAlign w:val="center"/>
          </w:tcPr>
          <w:p w14:paraId="1DF85AAB">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机械冲击</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4CB0363E">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4G</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0647477A">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10G</w:t>
            </w:r>
          </w:p>
        </w:tc>
      </w:tr>
      <w:tr w14:paraId="2E5F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84" w:type="dxa"/>
            <w:gridSpan w:val="2"/>
            <w:vMerge w:val="restart"/>
            <w:tcBorders>
              <w:top w:val="nil"/>
              <w:left w:val="single" w:color="auto" w:sz="4" w:space="0"/>
              <w:bottom w:val="single" w:color="auto" w:sz="4" w:space="0"/>
              <w:right w:val="single" w:color="auto" w:sz="4" w:space="0"/>
            </w:tcBorders>
            <w:noWrap w:val="0"/>
            <w:vAlign w:val="center"/>
          </w:tcPr>
          <w:p w14:paraId="193BF758">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振动</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46DD8CC0">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5-20HZ</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519E9C80">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5-20HZ</w:t>
            </w:r>
          </w:p>
        </w:tc>
      </w:tr>
      <w:tr w14:paraId="01FA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84" w:type="dxa"/>
            <w:gridSpan w:val="2"/>
            <w:vMerge w:val="continue"/>
            <w:tcBorders>
              <w:top w:val="nil"/>
              <w:left w:val="single" w:color="auto" w:sz="4" w:space="0"/>
              <w:bottom w:val="single" w:color="auto" w:sz="4" w:space="0"/>
              <w:right w:val="single" w:color="auto" w:sz="4" w:space="0"/>
            </w:tcBorders>
            <w:noWrap w:val="0"/>
            <w:vAlign w:val="center"/>
          </w:tcPr>
          <w:p w14:paraId="52870EFF">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42720D98">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0.2PP</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082C7AD4">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0.2PP</w:t>
            </w:r>
          </w:p>
        </w:tc>
      </w:tr>
      <w:tr w14:paraId="1C18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84" w:type="dxa"/>
            <w:gridSpan w:val="2"/>
            <w:vMerge w:val="continue"/>
            <w:tcBorders>
              <w:top w:val="nil"/>
              <w:left w:val="single" w:color="auto" w:sz="4" w:space="0"/>
              <w:bottom w:val="single" w:color="auto" w:sz="4" w:space="0"/>
              <w:right w:val="single" w:color="auto" w:sz="4" w:space="0"/>
            </w:tcBorders>
            <w:noWrap w:val="0"/>
            <w:vAlign w:val="center"/>
          </w:tcPr>
          <w:p w14:paraId="10847623">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6E03A255">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12-100HZ</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10415402">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12-100HZ</w:t>
            </w:r>
          </w:p>
        </w:tc>
      </w:tr>
      <w:tr w14:paraId="4872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84" w:type="dxa"/>
            <w:gridSpan w:val="2"/>
            <w:vMerge w:val="continue"/>
            <w:tcBorders>
              <w:top w:val="nil"/>
              <w:left w:val="single" w:color="auto" w:sz="4" w:space="0"/>
              <w:bottom w:val="single" w:color="auto" w:sz="4" w:space="0"/>
              <w:right w:val="single" w:color="auto" w:sz="4" w:space="0"/>
            </w:tcBorders>
            <w:noWrap w:val="0"/>
            <w:vAlign w:val="center"/>
          </w:tcPr>
          <w:p w14:paraId="72E062B0">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24721651">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1.4PP</w:t>
            </w:r>
          </w:p>
        </w:tc>
        <w:tc>
          <w:tcPr>
            <w:tcW w:w="2166" w:type="dxa"/>
            <w:tcBorders>
              <w:top w:val="single" w:color="auto" w:sz="4" w:space="0"/>
              <w:left w:val="single" w:color="auto" w:sz="4" w:space="0"/>
              <w:bottom w:val="single" w:color="auto" w:sz="4" w:space="0"/>
              <w:right w:val="single" w:color="auto" w:sz="4" w:space="0"/>
            </w:tcBorders>
            <w:noWrap w:val="0"/>
            <w:vAlign w:val="center"/>
          </w:tcPr>
          <w:p w14:paraId="75852F66">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rPr>
            </w:pPr>
            <w:r>
              <w:rPr>
                <w:rFonts w:hint="eastAsia" w:ascii="宋体" w:hAnsi="宋体" w:cs="宋体"/>
                <w:kern w:val="0"/>
                <w:szCs w:val="21"/>
              </w:rPr>
              <w:t>4.2PP</w:t>
            </w:r>
          </w:p>
        </w:tc>
      </w:tr>
    </w:tbl>
    <w:p w14:paraId="624C0C9C">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3.3.1.2 本工程涉及</w:t>
      </w:r>
      <w:r>
        <w:rPr>
          <w:rFonts w:hint="eastAsia" w:ascii="宋体" w:hAnsi="宋体" w:cs="宋体"/>
          <w:kern w:val="0"/>
          <w:szCs w:val="21"/>
          <w:highlight w:val="none"/>
        </w:rPr>
        <w:t>的系统是安全、可靠的，并能适应连续24小时不间断地运行。</w:t>
      </w:r>
    </w:p>
    <w:p w14:paraId="5CC52AC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3.3.1.3 本工程的设备是灵活的，即满足</w:t>
      </w:r>
      <w:r>
        <w:rPr>
          <w:rFonts w:hint="eastAsia" w:ascii="宋体" w:hAnsi="宋体" w:cs="宋体"/>
          <w:kern w:val="0"/>
          <w:szCs w:val="21"/>
          <w:highlight w:val="none"/>
          <w:lang w:val="en-US" w:eastAsia="zh-CN"/>
        </w:rPr>
        <w:t>滁宁城</w:t>
      </w:r>
      <w:r>
        <w:rPr>
          <w:rFonts w:hint="eastAsia" w:ascii="宋体" w:hAnsi="宋体" w:cs="宋体"/>
          <w:kern w:val="0"/>
          <w:szCs w:val="21"/>
          <w:highlight w:val="none"/>
        </w:rPr>
        <w:t>铁本项工程需要，又适应其它引入或扩展的需要。</w:t>
      </w:r>
    </w:p>
    <w:p w14:paraId="0DFC62A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3.3.1.4 本工程具有集中维护、故障监视管理的功能。</w:t>
      </w:r>
    </w:p>
    <w:p w14:paraId="36D98D6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3.3.1.5 本工程的设备是便于安装和操作的。</w:t>
      </w:r>
    </w:p>
    <w:p w14:paraId="67935CC2">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3.3.1.6 本工程设备适应地面、高架环境、地下及隧道条件，选用体积小、重量轻、耗能少、防尘、防锈、防震、防潮、防晒的设备和材料，并不侵入设备限界。</w:t>
      </w:r>
    </w:p>
    <w:p w14:paraId="2F937D72">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3.3.1.7 本工程采用的设备充分考虑地下电气铁道的特性，采用抗电气干扰性强的设备和电缆。</w:t>
      </w:r>
    </w:p>
    <w:p w14:paraId="6FA209C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3.3.1.8、在地下环境中，电缆采用阻燃、低烟、无毒、防蚀的产品；在高架桥上明敷的电缆，具有防潮及抗阳光辐射能力，并注意防鼠害和防杂散电流腐蚀。</w:t>
      </w:r>
    </w:p>
    <w:p w14:paraId="628D7F72">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 技术要求</w:t>
      </w:r>
    </w:p>
    <w:p w14:paraId="3F5D5EC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3.3..2.1 可靠性要求</w:t>
      </w:r>
    </w:p>
    <w:p w14:paraId="640256F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3.3.2.1.1 系统是安全、可靠的，并能适应连续24小时不间断地运行。</w:t>
      </w:r>
    </w:p>
    <w:p w14:paraId="30BEF50B">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3.3.2.1.2 本项目的系统设备通过采用冗余和已证明具有高可靠性的元件的技术降低系统故障概率和有关影响正常运行的随机性：</w:t>
      </w:r>
    </w:p>
    <w:p w14:paraId="2DED4B4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3.3.2.2 可维护性要求</w:t>
      </w:r>
    </w:p>
    <w:p w14:paraId="30F237D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3.3.2.2.1 模块化设计，方便维修、替换。</w:t>
      </w:r>
    </w:p>
    <w:p w14:paraId="2BB0165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3.3.2.2.2 本项目的监控部分具有集中维护、故障监视管理的功能。监控部分应具备自诊断和检测功能。</w:t>
      </w:r>
    </w:p>
    <w:p w14:paraId="2020EE3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3.3.2.2.3 故障隔离措施和在线维修措施，以减少停机和修复时间。</w:t>
      </w:r>
    </w:p>
    <w:p w14:paraId="7FD122A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3.3.3 可扩展性要求</w:t>
      </w:r>
    </w:p>
    <w:p w14:paraId="4B2D58A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3.3.3.1 本项目的设备是灵活的，即满足</w:t>
      </w:r>
      <w:r>
        <w:rPr>
          <w:rFonts w:hint="eastAsia" w:ascii="宋体" w:hAnsi="宋体" w:cs="宋体"/>
          <w:kern w:val="0"/>
          <w:szCs w:val="21"/>
          <w:highlight w:val="none"/>
          <w:lang w:val="en-US" w:eastAsia="zh-CN"/>
        </w:rPr>
        <w:t>滁宁城铁</w:t>
      </w:r>
      <w:r>
        <w:rPr>
          <w:rFonts w:hint="eastAsia" w:ascii="宋体" w:hAnsi="宋体" w:cs="宋体"/>
          <w:kern w:val="0"/>
          <w:szCs w:val="21"/>
          <w:highlight w:val="none"/>
        </w:rPr>
        <w:t>本</w:t>
      </w:r>
      <w:r>
        <w:rPr>
          <w:rFonts w:hint="eastAsia" w:ascii="宋体" w:hAnsi="宋体" w:cs="宋体"/>
          <w:kern w:val="0"/>
          <w:szCs w:val="21"/>
        </w:rPr>
        <w:t>项工程需要，又适应其它引入或扩展的需要。</w:t>
      </w:r>
    </w:p>
    <w:p w14:paraId="36EA17F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3.3.3.2 设备具有可扩展性。系统扩展，做到不影响已开通设备的正常运行，并能适应未来系统扩展的需要。</w:t>
      </w:r>
    </w:p>
    <w:p w14:paraId="771D2F8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 制造工艺要求</w:t>
      </w:r>
    </w:p>
    <w:p w14:paraId="7A28227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3.3.3.1 印刷电路板采用波峰焊以上技术。</w:t>
      </w:r>
    </w:p>
    <w:p w14:paraId="702A6BA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3.3.3.2 大电流插件采用镀银或镀金技术。</w:t>
      </w:r>
    </w:p>
    <w:p w14:paraId="28AC2BF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3.3.3.3 每块印刷电路板都具有防护涂层，以防止因潮气/盐气或其他腐蚀环境引起的开裂、生锈、变质。</w:t>
      </w:r>
    </w:p>
    <w:p w14:paraId="53F106E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3.3.3.4 零部件的布置、固定和排列应使检查、拆除和更换时不影响或损坏连线上的其他零部件。</w:t>
      </w:r>
    </w:p>
    <w:p w14:paraId="0964800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3.3.3.5 所有批量生产的设备、零部件、元器件都是标准产品，相同规格的设备、卡、盘、零件是可互换的。</w:t>
      </w:r>
    </w:p>
    <w:p w14:paraId="274D5D0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3.3.3.6 所选设备实现组成模块化、标准化、维护管理自动化。</w:t>
      </w:r>
    </w:p>
    <w:p w14:paraId="56F4FBA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3.3.3.7 设备和仪器的金属构件表面除了加工装配面和电镀表面以外，都进行防锈或喷涂处理。在装配前，对封闭结构的内表面也有必要喷涂或进行防锈处理，处理质量符合SSPC标准。</w:t>
      </w:r>
    </w:p>
    <w:p w14:paraId="1F665D9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3.3.4 电磁兼容要求</w:t>
      </w:r>
    </w:p>
    <w:p w14:paraId="5132162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3.3.4.1 电磁兼容，是指设备或系统在其电磁环境中能正常工作，且不对该环境中任何事物及设施构成不能承受的电磁干扰的能力。</w:t>
      </w:r>
    </w:p>
    <w:p w14:paraId="1C20191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3.3</w:t>
      </w:r>
      <w:r>
        <w:rPr>
          <w:rFonts w:hint="eastAsia" w:ascii="宋体" w:hAnsi="宋体" w:cs="宋体"/>
          <w:kern w:val="0"/>
          <w:szCs w:val="21"/>
          <w:highlight w:val="none"/>
        </w:rPr>
        <w:t xml:space="preserve">.4.2 </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充分认识系统设备的使用环境，系统设备应不受地铁其他系统的电磁干扰，也不对其他系统产生电磁干扰。</w:t>
      </w:r>
    </w:p>
    <w:p w14:paraId="5C560744">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3.3.4.3 </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提供的所有设备满足所有相关国际及国内电磁兼容标准，并提供相关的证明文件或合格测试报告供审核。</w:t>
      </w:r>
    </w:p>
    <w:p w14:paraId="0DA849C4">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3.3.4.4 系统接地考虑避免电线/电缆受到周围的电磁干扰而影响连接的设备。</w:t>
      </w:r>
      <w:r>
        <w:rPr>
          <w:rFonts w:hint="eastAsia" w:ascii="宋体" w:hAnsi="宋体" w:cs="宋体"/>
          <w:kern w:val="0"/>
          <w:szCs w:val="21"/>
          <w:highlight w:val="none"/>
          <w:lang w:eastAsia="zh-CN"/>
        </w:rPr>
        <w:t>中标人</w:t>
      </w:r>
      <w:r>
        <w:rPr>
          <w:rFonts w:hint="eastAsia" w:ascii="宋体" w:hAnsi="宋体" w:cs="宋体"/>
          <w:kern w:val="0"/>
          <w:szCs w:val="21"/>
          <w:highlight w:val="none"/>
        </w:rPr>
        <w:t>同时考虑设备的安全及信号接地方法，以维护系统整体的安全和电磁兼容性。</w:t>
      </w:r>
    </w:p>
    <w:p w14:paraId="586F920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3.3.4.5 所有强弱电缆/电线分开布置。在设计电缆/电线布置时，</w:t>
      </w:r>
      <w:r>
        <w:rPr>
          <w:rFonts w:hint="eastAsia" w:ascii="宋体" w:hAnsi="宋体" w:cs="宋体"/>
          <w:kern w:val="0"/>
          <w:szCs w:val="21"/>
          <w:highlight w:val="none"/>
          <w:lang w:eastAsia="zh-CN"/>
        </w:rPr>
        <w:t>中标人</w:t>
      </w:r>
      <w:r>
        <w:rPr>
          <w:rFonts w:hint="eastAsia" w:ascii="宋体" w:hAnsi="宋体" w:cs="宋体"/>
          <w:kern w:val="0"/>
          <w:szCs w:val="21"/>
          <w:highlight w:val="none"/>
        </w:rPr>
        <w:t>考虑强电对弱电的电磁干扰，制定适当的分隔距离或电磁保护措施。</w:t>
      </w:r>
      <w:r>
        <w:rPr>
          <w:rFonts w:hint="eastAsia" w:ascii="宋体" w:hAnsi="宋体" w:cs="宋体"/>
          <w:kern w:val="0"/>
          <w:szCs w:val="21"/>
          <w:highlight w:val="none"/>
          <w:lang w:eastAsia="zh-CN"/>
        </w:rPr>
        <w:t>中标人</w:t>
      </w:r>
      <w:r>
        <w:rPr>
          <w:rFonts w:hint="eastAsia" w:ascii="宋体" w:hAnsi="宋体" w:cs="宋体"/>
          <w:kern w:val="0"/>
          <w:szCs w:val="21"/>
          <w:highlight w:val="none"/>
        </w:rPr>
        <w:t>考虑附近的电磁环境而选取适当的电缆/电线。</w:t>
      </w:r>
    </w:p>
    <w:p w14:paraId="10D6EA7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3.3.5 设备机柜要求</w:t>
      </w:r>
    </w:p>
    <w:p w14:paraId="36E8042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3.3.5.1 </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提供容纳和保护所供设备所需的所有机柜、机架和其他机箱。钢制机柜、机架、盘和其他支撑结构已经细致清洗和防锈处理，并可适应</w:t>
      </w:r>
      <w:r>
        <w:rPr>
          <w:rFonts w:hint="eastAsia" w:ascii="宋体" w:hAnsi="宋体" w:cs="宋体"/>
          <w:kern w:val="0"/>
          <w:szCs w:val="21"/>
          <w:highlight w:val="none"/>
          <w:lang w:val="en-US" w:eastAsia="zh-CN"/>
        </w:rPr>
        <w:t>滁宁城铁</w:t>
      </w:r>
      <w:r>
        <w:rPr>
          <w:rFonts w:hint="eastAsia" w:ascii="宋体" w:hAnsi="宋体" w:cs="宋体"/>
          <w:kern w:val="0"/>
          <w:szCs w:val="21"/>
          <w:highlight w:val="none"/>
        </w:rPr>
        <w:t>的环境条件。</w:t>
      </w:r>
    </w:p>
    <w:p w14:paraId="7A307BF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3.3.5.2 机柜骨架采用6冷轧型钢制造，保证承重性能。</w:t>
      </w:r>
    </w:p>
    <w:p w14:paraId="37C295D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3.3.5.3 设备的金属表面除了加工装配面和电镀表面外，都进行防锈喷塑处理。机柜采用PU发泡密封材料，对封闭结构的内表面也进行喷涂或防锈处理，机柜的防护等级可达IP55。处理符合SSPC标准。</w:t>
      </w:r>
    </w:p>
    <w:p w14:paraId="6C0E12B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3.3.5.4 所有机柜可随意安置，并可固定于地板上。电缆可从底部进出机柜。</w:t>
      </w:r>
    </w:p>
    <w:p w14:paraId="09BE161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3.3.5.5 所有机柜均有前后门，工艺一致性要好，柜门可互换。柜门提供钥匙或扳手等安全措施，相同功能的锁用一把通用钥匙。</w:t>
      </w:r>
    </w:p>
    <w:p w14:paraId="301C7F8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3.3.5.6 机柜有利于通风散热同时考虑防止虫害、灰尘的侵入。</w:t>
      </w:r>
    </w:p>
    <w:p w14:paraId="5CEE684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3.3.5.7 除墙壁安装的设备外，机柜采用42U冷加工服务器机柜，机柜尺寸2000㎜（高）×600㎜（宽）×800mm（深），并有可互换性的附件便于快速安装。采用冷轧钢板制造，冷轧钢板厚度不小于2mm，静电喷塑，美观耐用不变形，前、后、左、右均可灵活拆卸，机柜内部配线布局合理、整齐；在接线端口处不露出裸露的导体。</w:t>
      </w:r>
    </w:p>
    <w:p w14:paraId="4AE3815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3.3.5.8 机柜采用统一风格的标志、字母、符号。每一机柜的规格需要和既有设备机柜相一致，且正面有描述设备功能的铭牌。</w:t>
      </w:r>
    </w:p>
    <w:p w14:paraId="65EA587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3.3.5.9 为避免机柜内设备发热，柜体具备自然冷却，在机柜温度超过设备正常工作温度时具备强制冷却功能。</w:t>
      </w:r>
    </w:p>
    <w:p w14:paraId="2CA3B67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3.3.5.10 机柜内后方两侧配备足够宽度的镀锌金属桥架，便于捆扎各种线缆。</w:t>
      </w:r>
    </w:p>
    <w:p w14:paraId="0EBA5AA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3.3.5.11 机柜内的输出电源分路器或连接器需认真考虑，不允许多条线缆压接到一个接线端子上，每条线缆均需配备接线端子并预留出充足的扩展接口，做好标识；后端设备均使用PDU方式进行取电，不能采用普通接线板连接AC220V电源，必要时可设置电源分配空气开关；对所有电源的连接需做好防护，但维修人员必须可以清晰的看到电源端子或开关的连接情况。</w:t>
      </w:r>
    </w:p>
    <w:p w14:paraId="5F2D8548">
      <w:pPr>
        <w:tabs>
          <w:tab w:val="left" w:pos="420"/>
        </w:tabs>
        <w:adjustRightInd w:val="0"/>
        <w:snapToGrid w:val="0"/>
        <w:spacing w:line="440" w:lineRule="exact"/>
        <w:ind w:firstLine="420" w:firstLineChars="200"/>
        <w:jc w:val="left"/>
        <w:rPr>
          <w:rFonts w:hint="eastAsia" w:ascii="宋体" w:hAnsi="宋体" w:eastAsia="宋体" w:cs="宋体"/>
          <w:kern w:val="0"/>
          <w:szCs w:val="21"/>
          <w:lang w:eastAsia="zh-CN"/>
        </w:rPr>
      </w:pPr>
      <w:r>
        <w:rPr>
          <w:rFonts w:hint="eastAsia" w:ascii="宋体" w:hAnsi="宋体" w:cs="宋体"/>
          <w:kern w:val="0"/>
          <w:szCs w:val="21"/>
        </w:rPr>
        <w:t>3.3.5.12 机柜要有保护地和工作地等接地保护装置，接入地线排的地线不低于10方，且机柜地阻值不高于0.1欧姆</w:t>
      </w:r>
      <w:r>
        <w:rPr>
          <w:rFonts w:hint="eastAsia" w:ascii="宋体" w:hAnsi="宋体" w:cs="宋体"/>
          <w:kern w:val="0"/>
          <w:szCs w:val="21"/>
          <w:lang w:eastAsia="zh-CN"/>
        </w:rPr>
        <w:t>。</w:t>
      </w:r>
    </w:p>
    <w:p w14:paraId="63DFE06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 设备安装技术要求</w:t>
      </w:r>
    </w:p>
    <w:p w14:paraId="0A98F8B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3.3.6.1 电源设备及接地装置安装</w:t>
      </w:r>
    </w:p>
    <w:p w14:paraId="50EC0AF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3.3.6.1.1 电源设备类型容量和安装位置符合设计规定，设备附件齐全、完整，设备安装平稳、固定牢靠。</w:t>
      </w:r>
    </w:p>
    <w:p w14:paraId="35C490C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3.3.6.1.2 交直流配线应分开布放，不得绑在同一线槽内。</w:t>
      </w:r>
    </w:p>
    <w:p w14:paraId="4C7480D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3.3.6.1.3 接地装置的种类、接地电阻阻值、用材规格、引入方式符合设计规定。</w:t>
      </w:r>
    </w:p>
    <w:p w14:paraId="2FDEE6D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 摄像机的安装</w:t>
      </w:r>
    </w:p>
    <w:p w14:paraId="538AAED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3.3.6.2.1摄像机安装前应按下列要求进行检查：</w:t>
      </w:r>
    </w:p>
    <w:p w14:paraId="5197FC8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3.3.6.2.2 将摄像机逐个通电进行检测和精调，在摄像机处于下沉工作状态后，方可安装；</w:t>
      </w:r>
    </w:p>
    <w:p w14:paraId="07BB0A6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3.3.6.2.3 检查摄像机在防护套内的紧固情况；</w:t>
      </w:r>
    </w:p>
    <w:p w14:paraId="105EA6F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3.3.6.2.4 检查摄像机座与支架的安装尺寸；</w:t>
      </w:r>
    </w:p>
    <w:p w14:paraId="6E8BCD1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3.3.6.2.5 在搬动、架设摄像机过程中，不得打开镜头盖。</w:t>
      </w:r>
    </w:p>
    <w:p w14:paraId="4087AE7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3.3.6.2.6 在高压带电设备附近安装摄像机时，应根据带电设备的要求，确定安全距离。</w:t>
      </w:r>
    </w:p>
    <w:p w14:paraId="19113A1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3.3.6.2.7 摄像机的安装应牢靠、稳固。</w:t>
      </w:r>
    </w:p>
    <w:p w14:paraId="73D34D9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3.3.6.2.8 先对摄像机进行初步安装，经通电试看、细调、检查各项功能、观察监视区域的覆盖范围和图像质量，符合要求后方可固定。</w:t>
      </w:r>
    </w:p>
    <w:p w14:paraId="78F91A0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3.3.6.3 设备模块的安装</w:t>
      </w:r>
    </w:p>
    <w:p w14:paraId="7E5D6F5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3.3.6.3.1 设备模块在机柜内的安装应牢靠、稳固。</w:t>
      </w:r>
    </w:p>
    <w:p w14:paraId="4CD6CAD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3.3.6.3.2 设备模块的安装应使设备本身易于通风散热，同时易于更换、维护。</w:t>
      </w:r>
    </w:p>
    <w:p w14:paraId="60CA9E4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3.3.6.4 线缆的敷设安装</w:t>
      </w:r>
    </w:p>
    <w:p w14:paraId="36BE85A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3.3.6.4.1 各种线缆规格、敷设路径和走线固定方法符合设计规定及安装手册要求，配线用吊架、支架加工、安装符合安装手册规定。</w:t>
      </w:r>
    </w:p>
    <w:p w14:paraId="077E04A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3.3.6.4.2 配线无损伤、扭绞交叉现象。</w:t>
      </w:r>
    </w:p>
    <w:p w14:paraId="602FD3E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3.3.6.4.3 各种线缆从摄像机前端到机柜内设备，遵循既有线缆配线方式，中间不得接续。</w:t>
      </w:r>
    </w:p>
    <w:p w14:paraId="126D6A6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3.3.6.4.4 露天电缆需要穿管防护。</w:t>
      </w:r>
    </w:p>
    <w:p w14:paraId="373B08E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3.3.6.4.5 线缆经过道床或马路时，线管需放入电缆槽道或按规范进入地下（挖电缆沟或修建电缆井）。</w:t>
      </w:r>
    </w:p>
    <w:p w14:paraId="72BA2C0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3.3.7 综合布线技术参数要求</w:t>
      </w:r>
    </w:p>
    <w:p w14:paraId="547B52BE">
      <w:pPr>
        <w:tabs>
          <w:tab w:val="left" w:pos="420"/>
        </w:tabs>
        <w:adjustRightInd w:val="0"/>
        <w:snapToGrid w:val="0"/>
        <w:spacing w:line="440" w:lineRule="exact"/>
        <w:ind w:firstLine="420" w:firstLineChars="200"/>
        <w:jc w:val="left"/>
        <w:rPr>
          <w:rFonts w:hint="eastAsia" w:ascii="宋体" w:hAnsi="宋体" w:cs="宋体"/>
          <w:b/>
          <w:bCs/>
          <w:kern w:val="0"/>
          <w:szCs w:val="21"/>
        </w:rPr>
      </w:pPr>
      <w:r>
        <w:rPr>
          <w:rFonts w:hint="eastAsia" w:ascii="宋体" w:hAnsi="宋体" w:cs="宋体"/>
          <w:bCs/>
          <w:kern w:val="0"/>
          <w:szCs w:val="21"/>
        </w:rPr>
        <w:t>3.3.7.1 综合布线系统应根据综合布线国际及国内标准的要求，为用户提供保证现在及未来应用的高速、防干扰线路平台。</w:t>
      </w:r>
    </w:p>
    <w:p w14:paraId="662449E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3.3.7.2 在整个布线系统中，所有元器件均为模块式连接方式，语音和数据模块通用，以便于使用与管理，且降低维护成本，节约空间与人力资源。</w:t>
      </w:r>
    </w:p>
    <w:p w14:paraId="0BC7D1A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3.3.7.3 满足电磁兼容性各项综合布线标准的要求。</w:t>
      </w:r>
    </w:p>
    <w:p w14:paraId="12328DD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3.3.7.4 线缆均采用屏蔽线缆，提供高标准的安防、环保产品。</w:t>
      </w:r>
    </w:p>
    <w:p w14:paraId="6D00A24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3.3.7.5 综合布线系统的设计充分考虑到系统的长期可靠性。如带线缆管理托盘的配线架，可减小线缆所受机械外力；通过水平管理环进行跳线的管理，降低跳线所受拉力以及保证RJ45头与信息端口的最佳接触状态</w:t>
      </w:r>
      <w:r>
        <w:rPr>
          <w:rFonts w:hint="eastAsia" w:ascii="宋体" w:hAnsi="宋体" w:cs="宋体"/>
          <w:kern w:val="0"/>
          <w:szCs w:val="21"/>
          <w:highlight w:val="none"/>
        </w:rPr>
        <w:t>。</w:t>
      </w:r>
    </w:p>
    <w:p w14:paraId="499634D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3.3.7.6 所有控制电缆均选用阻燃屏蔽型，阻燃性能不低于B类，防白蚁。</w:t>
      </w:r>
    </w:p>
    <w:p w14:paraId="3ACB4D2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3.3.7.7 所有供电、接地线缆采用阻燃型，阻燃性能不低于B类，防白蚁。</w:t>
      </w:r>
    </w:p>
    <w:p w14:paraId="0DE3B588">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rPr>
        <w:t>3.3.7.8 所有电缆电线的生产厂家须通</w:t>
      </w:r>
      <w:r>
        <w:rPr>
          <w:rFonts w:hint="eastAsia" w:ascii="宋体" w:hAnsi="宋体" w:cs="宋体"/>
          <w:kern w:val="0"/>
          <w:szCs w:val="21"/>
          <w:highlight w:val="none"/>
        </w:rPr>
        <w:t>过IS09000认证，</w:t>
      </w:r>
      <w:r>
        <w:rPr>
          <w:rFonts w:hint="eastAsia" w:ascii="宋体" w:hAnsi="宋体" w:cs="宋体"/>
          <w:kern w:val="0"/>
          <w:szCs w:val="21"/>
          <w:highlight w:val="none"/>
          <w:lang w:eastAsia="zh-CN"/>
        </w:rPr>
        <w:t>中标人</w:t>
      </w:r>
      <w:r>
        <w:rPr>
          <w:rFonts w:hint="eastAsia" w:ascii="宋体" w:hAnsi="宋体" w:cs="宋体"/>
          <w:kern w:val="0"/>
          <w:szCs w:val="21"/>
          <w:highlight w:val="none"/>
          <w:lang w:val="en-US" w:eastAsia="zh-CN"/>
        </w:rPr>
        <w:t>供货时</w:t>
      </w:r>
      <w:r>
        <w:rPr>
          <w:rFonts w:hint="eastAsia" w:ascii="宋体" w:hAnsi="宋体" w:cs="宋体"/>
          <w:kern w:val="0"/>
          <w:szCs w:val="21"/>
          <w:highlight w:val="none"/>
        </w:rPr>
        <w:t>须提供国家权威机构的检验报告或型式试验报告。</w:t>
      </w:r>
    </w:p>
    <w:p w14:paraId="32CD57F6">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3.3.7.9 钢管应符合：GB/T3091-93标准，镀锌层厚度大于80μm</w:t>
      </w:r>
      <w:r>
        <w:rPr>
          <w:rFonts w:hint="eastAsia" w:ascii="宋体" w:hAnsi="宋体" w:cs="宋体"/>
          <w:kern w:val="0"/>
          <w:szCs w:val="21"/>
          <w:highlight w:val="none"/>
          <w:lang w:eastAsia="zh-CN"/>
        </w:rPr>
        <w:t>。</w:t>
      </w:r>
    </w:p>
    <w:p w14:paraId="57001FBF">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3.3.7.10 工业以太网超五类双绞线应符合对通讯电缆的技术要求，保证100Mbps速率的正常通讯。</w:t>
      </w:r>
    </w:p>
    <w:p w14:paraId="2ADFCE09">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3.3.7.11 工业以太网超五类双绞线应为阻燃电缆。</w:t>
      </w:r>
    </w:p>
    <w:p w14:paraId="42808780">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3.3.7.12 工业以太网超五类双绞线电缆应带屏蔽层、4对线。</w:t>
      </w:r>
    </w:p>
    <w:p w14:paraId="0967BAEB">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3.3.7.13 工业以太网超五类双绞线的生产厂家</w:t>
      </w:r>
      <w:r>
        <w:rPr>
          <w:rFonts w:hint="eastAsia" w:ascii="宋体" w:hAnsi="宋体" w:cs="宋体"/>
          <w:kern w:val="0"/>
          <w:szCs w:val="21"/>
          <w:highlight w:val="none"/>
          <w:lang w:val="en-US" w:eastAsia="zh-CN"/>
        </w:rPr>
        <w:t>须</w:t>
      </w:r>
      <w:r>
        <w:rPr>
          <w:rFonts w:hint="eastAsia" w:ascii="宋体" w:hAnsi="宋体" w:cs="宋体"/>
          <w:kern w:val="0"/>
          <w:szCs w:val="21"/>
          <w:highlight w:val="none"/>
        </w:rPr>
        <w:t>通过ISO9000系列质量体系认证。</w:t>
      </w:r>
    </w:p>
    <w:p w14:paraId="3E90D87D">
      <w:pPr>
        <w:tabs>
          <w:tab w:val="left" w:pos="420"/>
        </w:tabs>
        <w:adjustRightInd w:val="0"/>
        <w:snapToGrid w:val="0"/>
        <w:spacing w:line="440" w:lineRule="exact"/>
        <w:ind w:firstLine="420" w:firstLineChars="200"/>
        <w:jc w:val="left"/>
        <w:rPr>
          <w:rFonts w:hint="eastAsia" w:ascii="宋体" w:hAnsi="宋体" w:eastAsia="宋体" w:cs="宋体"/>
          <w:kern w:val="0"/>
          <w:szCs w:val="21"/>
          <w:lang w:eastAsia="zh-CN"/>
        </w:rPr>
      </w:pPr>
      <w:r>
        <w:rPr>
          <w:rFonts w:hint="eastAsia" w:ascii="宋体" w:hAnsi="宋体" w:cs="宋体"/>
          <w:kern w:val="0"/>
          <w:szCs w:val="21"/>
          <w:highlight w:val="none"/>
        </w:rPr>
        <w:t>3.3.7.14 新增线缆为暗敷，墙内的暗敷线缆由PVC管进行防护，不得有明线，损坏的墙面由乙</w:t>
      </w:r>
      <w:r>
        <w:rPr>
          <w:rFonts w:hint="eastAsia" w:ascii="宋体" w:hAnsi="宋体" w:cs="宋体"/>
          <w:kern w:val="0"/>
          <w:szCs w:val="21"/>
        </w:rPr>
        <w:t>方负责恢复，要求正面墙无色差；</w:t>
      </w:r>
    </w:p>
    <w:p w14:paraId="28F259DF">
      <w:pPr>
        <w:tabs>
          <w:tab w:val="left" w:pos="420"/>
        </w:tabs>
        <w:adjustRightInd w:val="0"/>
        <w:snapToGrid w:val="0"/>
        <w:spacing w:line="440" w:lineRule="exact"/>
        <w:ind w:firstLine="420" w:firstLineChars="200"/>
        <w:jc w:val="left"/>
        <w:rPr>
          <w:rFonts w:hint="eastAsia" w:ascii="宋体" w:hAnsi="宋体" w:eastAsia="宋体" w:cs="宋体"/>
          <w:kern w:val="0"/>
          <w:szCs w:val="21"/>
          <w:lang w:eastAsia="zh-CN"/>
        </w:rPr>
      </w:pPr>
      <w:r>
        <w:rPr>
          <w:rFonts w:hint="eastAsia" w:ascii="宋体" w:hAnsi="宋体" w:cs="宋体"/>
          <w:kern w:val="0"/>
          <w:szCs w:val="21"/>
        </w:rPr>
        <w:t>3.3.7.15 本次新增面板需在墙面开孔安装，损坏的墙面由乙方负责恢复，要求正面墙无色差；</w:t>
      </w:r>
    </w:p>
    <w:p w14:paraId="29BD5ED2">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rPr>
        <w:t>3.3.7.16 线缆敷设可利用既有的桥架或线槽，无既有桥架和线槽的需用钢管或PVC等管材进行防护；</w:t>
      </w:r>
    </w:p>
    <w:p w14:paraId="0252C9E6">
      <w:pPr>
        <w:tabs>
          <w:tab w:val="left" w:pos="420"/>
        </w:tabs>
        <w:adjustRightInd w:val="0"/>
        <w:snapToGrid w:val="0"/>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3.3.7.17 新增测试排和面板不得低于LSA-PLUS series2或KRONE模块，测试排和面板</w:t>
      </w:r>
      <w:r>
        <w:rPr>
          <w:rFonts w:hint="eastAsia" w:ascii="宋体" w:hAnsi="宋体" w:eastAsia="宋体" w:cs="宋体"/>
          <w:kern w:val="0"/>
          <w:szCs w:val="21"/>
          <w:highlight w:val="none"/>
          <w:lang w:eastAsia="zh-CN"/>
        </w:rPr>
        <w:t>中标人</w:t>
      </w:r>
      <w:r>
        <w:rPr>
          <w:rFonts w:hint="eastAsia" w:ascii="宋体" w:hAnsi="宋体" w:eastAsia="宋体" w:cs="宋体"/>
          <w:kern w:val="0"/>
          <w:szCs w:val="21"/>
          <w:highlight w:val="none"/>
          <w:lang w:val="en-US" w:eastAsia="zh-CN"/>
        </w:rPr>
        <w:t>供货时</w:t>
      </w:r>
      <w:r>
        <w:rPr>
          <w:rFonts w:hint="eastAsia" w:ascii="宋体" w:hAnsi="宋体" w:eastAsia="宋体" w:cs="宋体"/>
          <w:kern w:val="0"/>
          <w:szCs w:val="21"/>
          <w:highlight w:val="none"/>
        </w:rPr>
        <w:t>须提</w:t>
      </w:r>
      <w:r>
        <w:rPr>
          <w:rFonts w:hint="eastAsia" w:ascii="宋体" w:hAnsi="宋体" w:cs="宋体"/>
          <w:kern w:val="0"/>
          <w:szCs w:val="21"/>
          <w:highlight w:val="none"/>
        </w:rPr>
        <w:t>供原厂的证明文件。</w:t>
      </w:r>
    </w:p>
    <w:p w14:paraId="1CE39EC2">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 推荐品牌</w:t>
      </w:r>
    </w:p>
    <w:tbl>
      <w:tblPr>
        <w:tblStyle w:val="2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645"/>
        <w:gridCol w:w="2159"/>
        <w:gridCol w:w="2157"/>
        <w:gridCol w:w="2605"/>
      </w:tblGrid>
      <w:tr w14:paraId="205C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62" w:type="dxa"/>
            <w:tcBorders>
              <w:top w:val="single" w:color="auto" w:sz="4" w:space="0"/>
              <w:left w:val="single" w:color="auto" w:sz="4" w:space="0"/>
              <w:bottom w:val="single" w:color="auto" w:sz="4" w:space="0"/>
              <w:right w:val="single" w:color="auto" w:sz="4" w:space="0"/>
            </w:tcBorders>
            <w:noWrap w:val="0"/>
            <w:vAlign w:val="top"/>
          </w:tcPr>
          <w:p w14:paraId="7EA7E55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b/>
                <w:bCs/>
                <w:kern w:val="0"/>
                <w:szCs w:val="21"/>
                <w:highlight w:val="none"/>
              </w:rPr>
            </w:pPr>
            <w:r>
              <w:rPr>
                <w:rFonts w:hint="eastAsia" w:ascii="宋体" w:hAnsi="宋体" w:cs="宋体"/>
                <w:b/>
                <w:bCs/>
                <w:kern w:val="0"/>
                <w:szCs w:val="21"/>
                <w:highlight w:val="none"/>
              </w:rPr>
              <w:t>项目名称</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61DABF7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40F23CE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highlight w:val="none"/>
              </w:rPr>
            </w:pPr>
            <w:r>
              <w:rPr>
                <w:rFonts w:hint="eastAsia" w:ascii="宋体" w:hAnsi="宋体" w:cs="宋体"/>
                <w:b/>
                <w:bCs/>
                <w:kern w:val="0"/>
                <w:szCs w:val="21"/>
                <w:highlight w:val="none"/>
              </w:rPr>
              <w:t>设备名称</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44BF6B8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highlight w:val="none"/>
              </w:rPr>
            </w:pPr>
            <w:r>
              <w:rPr>
                <w:rFonts w:hint="eastAsia" w:ascii="宋体" w:hAnsi="宋体" w:cs="宋体"/>
                <w:b/>
                <w:bCs/>
                <w:kern w:val="0"/>
                <w:szCs w:val="21"/>
                <w:highlight w:val="none"/>
              </w:rPr>
              <w:t>规格</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2A0722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b/>
                <w:bCs/>
                <w:kern w:val="0"/>
                <w:szCs w:val="21"/>
                <w:highlight w:val="none"/>
                <w:lang w:val="en-US" w:eastAsia="zh-CN"/>
              </w:rPr>
            </w:pPr>
            <w:r>
              <w:rPr>
                <w:rFonts w:hint="eastAsia" w:ascii="宋体" w:hAnsi="宋体" w:cs="宋体"/>
                <w:b/>
                <w:bCs/>
                <w:kern w:val="0"/>
                <w:szCs w:val="21"/>
                <w:highlight w:val="none"/>
                <w:lang w:val="en-US" w:eastAsia="zh-CN"/>
              </w:rPr>
              <w:t>推荐品牌</w:t>
            </w:r>
          </w:p>
        </w:tc>
      </w:tr>
      <w:tr w14:paraId="2859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62" w:type="dxa"/>
            <w:vMerge w:val="restart"/>
            <w:tcBorders>
              <w:top w:val="nil"/>
              <w:left w:val="single" w:color="auto" w:sz="4" w:space="0"/>
              <w:bottom w:val="single" w:color="auto" w:sz="4" w:space="0"/>
              <w:right w:val="single" w:color="auto" w:sz="4" w:space="0"/>
            </w:tcBorders>
            <w:noWrap w:val="0"/>
            <w:vAlign w:val="center"/>
          </w:tcPr>
          <w:p w14:paraId="74AAF55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滁州至南京城际铁路（滁州段）一期、二期全线监控CCTV补盲加装项目</w:t>
            </w:r>
          </w:p>
        </w:tc>
        <w:tc>
          <w:tcPr>
            <w:tcW w:w="645" w:type="dxa"/>
            <w:tcBorders>
              <w:top w:val="single" w:color="auto" w:sz="4" w:space="0"/>
              <w:left w:val="single" w:color="auto" w:sz="4" w:space="0"/>
              <w:bottom w:val="single" w:color="auto" w:sz="4" w:space="0"/>
              <w:right w:val="single" w:color="auto" w:sz="4" w:space="0"/>
            </w:tcBorders>
            <w:noWrap w:val="0"/>
            <w:vAlign w:val="center"/>
          </w:tcPr>
          <w:p w14:paraId="029AAE9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1</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256CED4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高清球机</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0A714201">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详见主要技术说明</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A9F0D3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宇视、大华、海康</w:t>
            </w:r>
          </w:p>
        </w:tc>
      </w:tr>
      <w:tr w14:paraId="747B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62" w:type="dxa"/>
            <w:vMerge w:val="continue"/>
            <w:tcBorders>
              <w:top w:val="nil"/>
              <w:left w:val="single" w:color="auto" w:sz="4" w:space="0"/>
              <w:bottom w:val="single" w:color="auto" w:sz="4" w:space="0"/>
              <w:right w:val="single" w:color="auto" w:sz="4" w:space="0"/>
            </w:tcBorders>
            <w:noWrap w:val="0"/>
            <w:vAlign w:val="center"/>
          </w:tcPr>
          <w:p w14:paraId="5D26E97B">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7364760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2</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4FE80E87">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高清枪机</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1FFF11B1">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详见主要技术说明</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79AABE4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宇视、大华、海康</w:t>
            </w:r>
          </w:p>
        </w:tc>
      </w:tr>
      <w:tr w14:paraId="7F83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62" w:type="dxa"/>
            <w:vMerge w:val="continue"/>
            <w:tcBorders>
              <w:top w:val="nil"/>
              <w:left w:val="single" w:color="auto" w:sz="4" w:space="0"/>
              <w:bottom w:val="single" w:color="auto" w:sz="4" w:space="0"/>
              <w:right w:val="single" w:color="auto" w:sz="4" w:space="0"/>
            </w:tcBorders>
            <w:noWrap w:val="0"/>
            <w:vAlign w:val="center"/>
          </w:tcPr>
          <w:p w14:paraId="03A489B1">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3BCD67A5">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3</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720BD90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火灾探测器</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68D30E0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详见主要技术说明</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3724BF8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宇视、大华、海康</w:t>
            </w:r>
          </w:p>
        </w:tc>
      </w:tr>
      <w:tr w14:paraId="419B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62" w:type="dxa"/>
            <w:vMerge w:val="continue"/>
            <w:tcBorders>
              <w:top w:val="nil"/>
              <w:left w:val="single" w:color="auto" w:sz="4" w:space="0"/>
              <w:bottom w:val="single" w:color="auto" w:sz="4" w:space="0"/>
              <w:right w:val="single" w:color="auto" w:sz="4" w:space="0"/>
            </w:tcBorders>
            <w:noWrap w:val="0"/>
            <w:vAlign w:val="center"/>
          </w:tcPr>
          <w:p w14:paraId="2CACE7EE">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10B3593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4</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77A424A8">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图像型火灾探测器</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77F1E1B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详见主要技术说明</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10DE447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宇视、大华、海康</w:t>
            </w:r>
          </w:p>
        </w:tc>
      </w:tr>
      <w:tr w14:paraId="48DE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62" w:type="dxa"/>
            <w:vMerge w:val="continue"/>
            <w:tcBorders>
              <w:top w:val="nil"/>
              <w:left w:val="single" w:color="auto" w:sz="4" w:space="0"/>
              <w:bottom w:val="single" w:color="auto" w:sz="4" w:space="0"/>
              <w:right w:val="single" w:color="auto" w:sz="4" w:space="0"/>
            </w:tcBorders>
            <w:noWrap w:val="0"/>
            <w:vAlign w:val="center"/>
          </w:tcPr>
          <w:p w14:paraId="216FF811">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26CF217B">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5</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4B91496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一体化SATA硬盘(8000G)</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5C5D2F9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监控级硬盘</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958F13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希捷，西部数据</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东芝</w:t>
            </w:r>
          </w:p>
        </w:tc>
      </w:tr>
      <w:tr w14:paraId="47E9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62" w:type="dxa"/>
            <w:vMerge w:val="continue"/>
            <w:tcBorders>
              <w:top w:val="nil"/>
              <w:left w:val="single" w:color="auto" w:sz="4" w:space="0"/>
              <w:bottom w:val="single" w:color="auto" w:sz="4" w:space="0"/>
              <w:right w:val="single" w:color="auto" w:sz="4" w:space="0"/>
            </w:tcBorders>
            <w:noWrap w:val="0"/>
            <w:vAlign w:val="center"/>
          </w:tcPr>
          <w:p w14:paraId="5C11F811">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kern w:val="0"/>
                <w:szCs w:val="21"/>
                <w:highlight w:val="none"/>
              </w:rPr>
            </w:pPr>
          </w:p>
        </w:tc>
        <w:tc>
          <w:tcPr>
            <w:tcW w:w="645" w:type="dxa"/>
            <w:tcBorders>
              <w:top w:val="single" w:color="auto" w:sz="4" w:space="0"/>
              <w:left w:val="single" w:color="auto" w:sz="4" w:space="0"/>
              <w:bottom w:val="single" w:color="auto" w:sz="4" w:space="0"/>
              <w:right w:val="single" w:color="auto" w:sz="4" w:space="0"/>
            </w:tcBorders>
            <w:noWrap w:val="0"/>
            <w:vAlign w:val="center"/>
          </w:tcPr>
          <w:p w14:paraId="343C1505">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6</w:t>
            </w:r>
          </w:p>
        </w:tc>
        <w:tc>
          <w:tcPr>
            <w:tcW w:w="2159" w:type="dxa"/>
            <w:tcBorders>
              <w:top w:val="single" w:color="auto" w:sz="4" w:space="0"/>
              <w:left w:val="single" w:color="auto" w:sz="4" w:space="0"/>
              <w:bottom w:val="single" w:color="auto" w:sz="4" w:space="0"/>
              <w:right w:val="single" w:color="auto" w:sz="4" w:space="0"/>
            </w:tcBorders>
            <w:noWrap w:val="0"/>
            <w:vAlign w:val="center"/>
          </w:tcPr>
          <w:p w14:paraId="6284D15B">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交换机</w:t>
            </w:r>
          </w:p>
        </w:tc>
        <w:tc>
          <w:tcPr>
            <w:tcW w:w="2157" w:type="dxa"/>
            <w:tcBorders>
              <w:top w:val="single" w:color="auto" w:sz="4" w:space="0"/>
              <w:left w:val="single" w:color="auto" w:sz="4" w:space="0"/>
              <w:bottom w:val="single" w:color="auto" w:sz="4" w:space="0"/>
              <w:right w:val="single" w:color="auto" w:sz="4" w:space="0"/>
            </w:tcBorders>
            <w:noWrap w:val="0"/>
            <w:vAlign w:val="center"/>
          </w:tcPr>
          <w:p w14:paraId="2786D2D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详见主要技术说明</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69436B7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H3C、华为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中兴</w:t>
            </w:r>
          </w:p>
        </w:tc>
      </w:tr>
    </w:tbl>
    <w:p w14:paraId="446CBE31">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34A91D53">
      <w:pPr>
        <w:spacing w:line="440" w:lineRule="exact"/>
        <w:ind w:firstLine="420" w:firstLineChars="200"/>
        <w:rPr>
          <w:rFonts w:hint="eastAsia" w:ascii="宋体" w:hAnsi="宋体" w:cs="宋体"/>
          <w:b/>
          <w:bCs/>
          <w:szCs w:val="21"/>
        </w:rPr>
      </w:pPr>
      <w:r>
        <w:rPr>
          <w:rFonts w:hint="eastAsia" w:ascii="宋体" w:hAnsi="宋体" w:cs="宋体"/>
          <w:b/>
          <w:bCs/>
          <w:szCs w:val="21"/>
        </w:rPr>
        <w:t>四、服务要求与条件</w:t>
      </w:r>
    </w:p>
    <w:p w14:paraId="3AEF2958">
      <w:pPr>
        <w:tabs>
          <w:tab w:val="left" w:pos="420"/>
        </w:tabs>
        <w:adjustRightInd w:val="0"/>
        <w:snapToGrid w:val="0"/>
        <w:spacing w:line="440" w:lineRule="exact"/>
        <w:jc w:val="left"/>
        <w:rPr>
          <w:rFonts w:hint="eastAsia" w:ascii="宋体" w:hAnsi="宋体" w:cs="宋体"/>
          <w:kern w:val="0"/>
          <w:szCs w:val="21"/>
        </w:rPr>
      </w:pPr>
      <w:r>
        <w:rPr>
          <w:rFonts w:ascii="宋体" w:hAnsi="宋体" w:cs="宋体"/>
          <w:kern w:val="0"/>
          <w:szCs w:val="21"/>
        </w:rPr>
        <w:tab/>
      </w:r>
      <w:r>
        <w:rPr>
          <w:rFonts w:hint="eastAsia" w:ascii="宋体" w:hAnsi="宋体" w:cs="宋体"/>
          <w:kern w:val="0"/>
          <w:szCs w:val="21"/>
        </w:rPr>
        <w:t>4.1 项目人员要求</w:t>
      </w:r>
    </w:p>
    <w:p w14:paraId="67F6E01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项目负责人</w:t>
      </w:r>
      <w:r>
        <w:rPr>
          <w:rFonts w:hint="eastAsia" w:ascii="宋体" w:hAnsi="宋体" w:cs="宋体"/>
          <w:kern w:val="0"/>
          <w:szCs w:val="21"/>
          <w:lang w:eastAsia="zh-CN"/>
        </w:rPr>
        <w:t>（</w:t>
      </w:r>
      <w:r>
        <w:rPr>
          <w:rFonts w:hint="eastAsia" w:ascii="宋体" w:hAnsi="宋体" w:cs="宋体"/>
          <w:kern w:val="0"/>
          <w:szCs w:val="21"/>
          <w:lang w:val="en-US" w:eastAsia="zh-CN"/>
        </w:rPr>
        <w:t>仅限</w:t>
      </w:r>
      <w:r>
        <w:rPr>
          <w:rFonts w:hint="eastAsia" w:ascii="宋体" w:hAnsi="宋体" w:cs="宋体"/>
          <w:kern w:val="0"/>
          <w:szCs w:val="21"/>
        </w:rPr>
        <w:t>1名</w:t>
      </w:r>
      <w:r>
        <w:rPr>
          <w:rFonts w:hint="eastAsia" w:ascii="宋体" w:hAnsi="宋体" w:cs="宋体"/>
          <w:kern w:val="0"/>
          <w:szCs w:val="21"/>
          <w:lang w:eastAsia="zh-CN"/>
        </w:rPr>
        <w:t>）</w:t>
      </w:r>
      <w:r>
        <w:rPr>
          <w:rFonts w:hint="eastAsia" w:ascii="宋体" w:hAnsi="宋体" w:cs="宋体"/>
          <w:kern w:val="0"/>
          <w:szCs w:val="21"/>
        </w:rPr>
        <w:t>：大专以上学历，</w:t>
      </w:r>
      <w:r>
        <w:rPr>
          <w:rFonts w:hint="eastAsia" w:ascii="宋体" w:hAnsi="宋体" w:cs="宋体"/>
          <w:kern w:val="0"/>
          <w:szCs w:val="21"/>
          <w:highlight w:val="none"/>
        </w:rPr>
        <w:t>通信信号</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电子</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自动化</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计算机等相关专业中级及以上职称。</w:t>
      </w:r>
    </w:p>
    <w:p w14:paraId="7907E6A8">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技术负责人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仅限</w:t>
      </w:r>
      <w:r>
        <w:rPr>
          <w:rFonts w:hint="eastAsia" w:ascii="宋体" w:hAnsi="宋体" w:cs="宋体"/>
          <w:kern w:val="0"/>
          <w:szCs w:val="21"/>
          <w:highlight w:val="none"/>
        </w:rPr>
        <w:t>1名</w:t>
      </w:r>
      <w:r>
        <w:rPr>
          <w:rFonts w:hint="eastAsia" w:ascii="宋体" w:hAnsi="宋体" w:cs="宋体"/>
          <w:kern w:val="0"/>
          <w:szCs w:val="21"/>
          <w:highlight w:val="none"/>
          <w:lang w:eastAsia="zh-CN"/>
        </w:rPr>
        <w:t>）</w:t>
      </w:r>
      <w:r>
        <w:rPr>
          <w:rFonts w:hint="eastAsia" w:ascii="宋体" w:hAnsi="宋体" w:cs="宋体"/>
          <w:kern w:val="0"/>
          <w:szCs w:val="21"/>
          <w:highlight w:val="none"/>
        </w:rPr>
        <w:t>：大专以上学历，通信信号</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电子</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自动化</w:t>
      </w:r>
      <w:r>
        <w:rPr>
          <w:rFonts w:hint="eastAsia" w:ascii="宋体" w:hAnsi="宋体" w:cs="宋体"/>
          <w:kern w:val="0"/>
          <w:szCs w:val="21"/>
          <w:highlight w:val="none"/>
          <w:lang w:val="en-US" w:eastAsia="zh-CN"/>
        </w:rPr>
        <w:t>或</w:t>
      </w:r>
      <w:r>
        <w:rPr>
          <w:rFonts w:hint="eastAsia" w:ascii="宋体" w:hAnsi="宋体" w:cs="宋体"/>
          <w:kern w:val="0"/>
          <w:szCs w:val="21"/>
          <w:highlight w:val="none"/>
        </w:rPr>
        <w:t>计算机等相关专业中级及以上职称。</w:t>
      </w:r>
    </w:p>
    <w:p w14:paraId="3E8FE64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安全负责人</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仅限</w:t>
      </w:r>
      <w:r>
        <w:rPr>
          <w:rFonts w:hint="eastAsia" w:ascii="宋体" w:hAnsi="宋体" w:cs="宋体"/>
          <w:kern w:val="0"/>
          <w:szCs w:val="21"/>
          <w:highlight w:val="none"/>
        </w:rPr>
        <w:t>1名</w:t>
      </w:r>
      <w:r>
        <w:rPr>
          <w:rFonts w:hint="eastAsia" w:ascii="宋体" w:hAnsi="宋体" w:cs="宋体"/>
          <w:kern w:val="0"/>
          <w:szCs w:val="21"/>
          <w:highlight w:val="none"/>
          <w:lang w:eastAsia="zh-CN"/>
        </w:rPr>
        <w:t>）</w:t>
      </w:r>
      <w:r>
        <w:rPr>
          <w:rFonts w:hint="eastAsia" w:ascii="宋体" w:hAnsi="宋体" w:cs="宋体"/>
          <w:kern w:val="0"/>
          <w:szCs w:val="21"/>
          <w:highlight w:val="none"/>
        </w:rPr>
        <w:t>：大专以上学历，持有安全员C证。</w:t>
      </w:r>
    </w:p>
    <w:p w14:paraId="2F8A274F">
      <w:pPr>
        <w:tabs>
          <w:tab w:val="left" w:pos="420"/>
        </w:tabs>
        <w:adjustRightInd w:val="0"/>
        <w:snapToGrid w:val="0"/>
        <w:spacing w:line="440" w:lineRule="exact"/>
        <w:ind w:firstLine="42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一般作业人员：</w:t>
      </w:r>
      <w:r>
        <w:rPr>
          <w:rFonts w:hint="eastAsia" w:ascii="宋体" w:hAnsi="宋体" w:cs="宋体"/>
          <w:kern w:val="0"/>
          <w:szCs w:val="21"/>
          <w:highlight w:val="none"/>
          <w:lang w:val="en-US" w:eastAsia="zh-CN"/>
        </w:rPr>
        <w:t>不少于2名；</w:t>
      </w:r>
      <w:r>
        <w:rPr>
          <w:rFonts w:hint="eastAsia" w:ascii="宋体" w:hAnsi="宋体" w:cs="宋体"/>
          <w:kern w:val="0"/>
          <w:szCs w:val="21"/>
          <w:highlight w:val="none"/>
        </w:rPr>
        <w:t>全员持有低压电工证</w:t>
      </w:r>
      <w:r>
        <w:rPr>
          <w:rFonts w:hint="eastAsia" w:ascii="宋体" w:hAnsi="宋体" w:cs="宋体"/>
          <w:kern w:val="0"/>
          <w:szCs w:val="21"/>
          <w:highlight w:val="none"/>
          <w:lang w:val="en-US" w:eastAsia="zh-CN"/>
        </w:rPr>
        <w:t>且</w:t>
      </w:r>
      <w:r>
        <w:rPr>
          <w:rFonts w:hint="eastAsia" w:ascii="宋体" w:hAnsi="宋体" w:cs="宋体"/>
          <w:kern w:val="0"/>
          <w:szCs w:val="21"/>
          <w:highlight w:val="none"/>
        </w:rPr>
        <w:t>具备通信工程工作经验</w:t>
      </w:r>
      <w:r>
        <w:rPr>
          <w:rFonts w:hint="eastAsia" w:ascii="宋体" w:hAnsi="宋体" w:cs="宋体"/>
          <w:kern w:val="0"/>
          <w:szCs w:val="21"/>
          <w:highlight w:val="none"/>
          <w:lang w:val="en-US" w:eastAsia="zh-CN"/>
        </w:rPr>
        <w:t>。</w:t>
      </w:r>
    </w:p>
    <w:p w14:paraId="7D07EAE6">
      <w:pPr>
        <w:tabs>
          <w:tab w:val="left" w:pos="420"/>
        </w:tabs>
        <w:adjustRightInd w:val="0"/>
        <w:snapToGrid w:val="0"/>
        <w:spacing w:line="440" w:lineRule="exact"/>
        <w:ind w:firstLine="420" w:firstLineChars="20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特种作业人员：</w:t>
      </w:r>
      <w:r>
        <w:rPr>
          <w:rFonts w:hint="eastAsia" w:ascii="宋体" w:hAnsi="宋体" w:cs="宋体"/>
          <w:kern w:val="0"/>
          <w:szCs w:val="21"/>
          <w:highlight w:val="none"/>
          <w:lang w:val="en-US" w:eastAsia="zh-CN"/>
        </w:rPr>
        <w:t>不少于2名；</w:t>
      </w:r>
      <w:r>
        <w:rPr>
          <w:rFonts w:hint="eastAsia" w:ascii="宋体" w:hAnsi="宋体" w:cs="宋体"/>
          <w:kern w:val="0"/>
          <w:szCs w:val="21"/>
          <w:highlight w:val="none"/>
        </w:rPr>
        <w:t>登高作业人员须持有登高作业证</w:t>
      </w:r>
      <w:r>
        <w:rPr>
          <w:rFonts w:hint="eastAsia" w:ascii="宋体" w:hAnsi="宋体" w:cs="宋体"/>
          <w:kern w:val="0"/>
          <w:szCs w:val="21"/>
          <w:highlight w:val="none"/>
          <w:lang w:eastAsia="zh-CN"/>
        </w:rPr>
        <w:t>。</w:t>
      </w:r>
    </w:p>
    <w:p w14:paraId="17D6CCE0">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w:t>
      </w:r>
      <w:r>
        <w:rPr>
          <w:rFonts w:hint="eastAsia" w:ascii="宋体" w:hAnsi="宋体" w:eastAsia="宋体" w:cs="宋体"/>
          <w:kern w:val="0"/>
          <w:szCs w:val="21"/>
          <w:highlight w:val="none"/>
          <w:lang w:val="en-US" w:eastAsia="zh-CN"/>
        </w:rPr>
        <w:t>除评分细则中要求提供的相关人员证书等证明材料作为评分条件外，投标文件中无须提供其余人员的相关证明材料，合同签订后服务实施前报招标人核查</w:t>
      </w:r>
      <w:r>
        <w:rPr>
          <w:rFonts w:hint="eastAsia" w:ascii="宋体" w:hAnsi="宋体" w:eastAsia="宋体" w:cs="宋体"/>
          <w:kern w:val="0"/>
          <w:szCs w:val="21"/>
          <w:highlight w:val="none"/>
        </w:rPr>
        <w:t>。中标人须按照上述要求配置人员，否则招标人报监督管理部门依法处理。</w:t>
      </w:r>
    </w:p>
    <w:p w14:paraId="43231C68">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4.2中标人施工过程所发生的一切交通（含地铁卡）、通信费用由中标人承担，项目所需的工器具、办公用品、管理用具、劳保用品、安全防护用具、工作服（工作服的式样、标识需征得招标人同意）等均由中标人自行解决。</w:t>
      </w:r>
    </w:p>
    <w:p w14:paraId="58CFDC9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4.3 实施人员要求具备一定的施工作业经验，</w:t>
      </w:r>
      <w:r>
        <w:rPr>
          <w:rFonts w:hint="eastAsia" w:ascii="宋体" w:hAnsi="宋体" w:cs="宋体"/>
          <w:kern w:val="0"/>
          <w:szCs w:val="21"/>
        </w:rPr>
        <w:t>作业前要了解工程项目的内容和性质、服务对象及安装位置，实施人员要熟悉技术、质量要求，强化技术管理及安全保护措施。</w:t>
      </w:r>
    </w:p>
    <w:p w14:paraId="4A5FFF0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4.4必须无条件遵守运营公司所有的制度及相关管理规定。所有作业时间、作业人员资质要求、作业人员进场安全培训要求均按招标人有关规定。</w:t>
      </w:r>
    </w:p>
    <w:p w14:paraId="3DD3A58B">
      <w:pPr>
        <w:spacing w:line="440" w:lineRule="exact"/>
        <w:rPr>
          <w:rFonts w:hint="eastAsia" w:ascii="宋体" w:hAnsi="宋体" w:cs="宋体"/>
          <w:b/>
          <w:bCs/>
          <w:szCs w:val="21"/>
        </w:rPr>
      </w:pPr>
      <w:r>
        <w:rPr>
          <w:rFonts w:hint="eastAsia" w:ascii="宋体" w:hAnsi="宋体" w:cs="宋体"/>
          <w:b/>
          <w:bCs/>
          <w:szCs w:val="21"/>
        </w:rPr>
        <w:t>五、工作内容（工程量）</w:t>
      </w:r>
    </w:p>
    <w:p w14:paraId="003D6693">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 xml:space="preserve">5.1 </w:t>
      </w:r>
      <w:r>
        <w:rPr>
          <w:rFonts w:hint="eastAsia" w:ascii="宋体" w:hAnsi="宋体" w:eastAsia="宋体" w:cs="宋体"/>
          <w:kern w:val="0"/>
          <w:szCs w:val="21"/>
          <w:highlight w:val="none"/>
          <w:lang w:val="en-US" w:eastAsia="zh-CN"/>
        </w:rPr>
        <w:t>一期</w:t>
      </w:r>
      <w:r>
        <w:rPr>
          <w:rFonts w:hint="eastAsia" w:ascii="宋体" w:hAnsi="宋体" w:eastAsia="宋体" w:cs="宋体"/>
          <w:kern w:val="0"/>
          <w:szCs w:val="21"/>
          <w:highlight w:val="none"/>
        </w:rPr>
        <w:t>工作量清单</w:t>
      </w:r>
    </w:p>
    <w:tbl>
      <w:tblPr>
        <w:tblStyle w:val="23"/>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68"/>
        <w:gridCol w:w="1477"/>
        <w:gridCol w:w="668"/>
        <w:gridCol w:w="668"/>
        <w:gridCol w:w="2279"/>
        <w:gridCol w:w="3548"/>
      </w:tblGrid>
      <w:tr w14:paraId="24BB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tblHeade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5906BCA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序号</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891CC0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名称</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D20A59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数量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8B4ADF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单位</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35471BB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技术规格或工程特性</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4F841FF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备注</w:t>
            </w:r>
          </w:p>
        </w:tc>
      </w:tr>
      <w:tr w14:paraId="2AC2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587DFA0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A07B73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高清枪机</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712F18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41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FC1B33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EC15EF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参考5.3.1</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5A43E4D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与原系统兼容，提供升级包</w:t>
            </w:r>
          </w:p>
        </w:tc>
      </w:tr>
      <w:tr w14:paraId="4DB3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6BD9B72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BF0712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高清室外球机</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FC8F46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77EFC0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A20F198">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参考5.3.2</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2270BF4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与原系统兼容，提供升级包</w:t>
            </w:r>
          </w:p>
        </w:tc>
      </w:tr>
      <w:tr w14:paraId="6A64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56837DD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EC949E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高清室内球机</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000C47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CADBF2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2D9378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参考5.3.</w:t>
            </w:r>
            <w:r>
              <w:rPr>
                <w:rFonts w:hint="eastAsia" w:ascii="宋体" w:hAnsi="宋体" w:cs="宋体"/>
                <w:kern w:val="0"/>
                <w:szCs w:val="21"/>
                <w:highlight w:val="none"/>
                <w:lang w:val="en-US" w:eastAsia="zh-CN"/>
              </w:rPr>
              <w:t>9</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1162969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与原系统兼容，提供升级包</w:t>
            </w:r>
          </w:p>
        </w:tc>
      </w:tr>
      <w:tr w14:paraId="03CE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6DB263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4</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3C3789F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火灾探测器</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B8378B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8</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6BF5F9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4ABB274">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参考5.3.3</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55F6EF79">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highlight w:val="none"/>
              </w:rPr>
            </w:pPr>
          </w:p>
        </w:tc>
      </w:tr>
      <w:tr w14:paraId="431F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372BE75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5</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69A9B3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图像型火灾探测器</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51BE37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62B604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55BD5DA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参考5.3.4</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192BD11A">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highlight w:val="none"/>
              </w:rPr>
            </w:pPr>
          </w:p>
        </w:tc>
      </w:tr>
      <w:tr w14:paraId="63E9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15A922F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6</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70D3E7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平台接入</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12ADA2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6FDA34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件</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2EE699D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27F1FE11">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与原系统兼容，服务器软件模块，用于新增火灾探测器及新增摄像机接入现有安防平台</w:t>
            </w:r>
          </w:p>
        </w:tc>
      </w:tr>
      <w:tr w14:paraId="37AE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E74432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7</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4F790C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一体化SATA硬盘</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08B3A6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25</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A8F3D8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79F1754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接口类型：SATA</w:t>
            </w:r>
          </w:p>
          <w:p w14:paraId="27373C0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容量：8TB</w:t>
            </w:r>
          </w:p>
          <w:p w14:paraId="2EA7CF5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加密支持：支持硬件加密</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785C9B7B">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与原系统兼容</w:t>
            </w:r>
          </w:p>
        </w:tc>
      </w:tr>
      <w:tr w14:paraId="0610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82B4D8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8</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6484CFE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摄像机立杆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8927A2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19</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982335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7506B5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527F0E1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4米，含地笼，电源箱、避雷针，防雷、摄像机支架</w:t>
            </w:r>
          </w:p>
        </w:tc>
      </w:tr>
      <w:tr w14:paraId="44D7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31DFD12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9</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3A4260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电源箱</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E2E8EB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23</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E41AF5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FA8C694">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4AD61ED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304不锈钢、含空开、防雷、接线端子</w:t>
            </w:r>
          </w:p>
        </w:tc>
      </w:tr>
      <w:tr w14:paraId="26C4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2B41CC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10</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3D7747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24芯ODF框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D3C398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B58530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42898D4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材料：ABS工程塑料</w:t>
            </w:r>
          </w:p>
          <w:p w14:paraId="73D7E65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接口类型：UPC单模/多模/万兆多模/APC广电专用</w:t>
            </w:r>
          </w:p>
          <w:p w14:paraId="4428488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特性：阻燃、强度高、抗老化</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5128048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含尾纤</w:t>
            </w:r>
          </w:p>
        </w:tc>
      </w:tr>
      <w:tr w14:paraId="03F5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E3DE2E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11</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29728C0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2芯光纤熔接盒</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406380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30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325FCA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个</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728769B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材料：ABS工程塑料</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1D73339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含尾纤</w:t>
            </w:r>
          </w:p>
        </w:tc>
      </w:tr>
      <w:tr w14:paraId="2FE8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3E2E0A8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12</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66706E3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电缆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E68EF3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7000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B16601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90AE84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参考5.3.7</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1E790D1D">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color w:val="auto"/>
                <w:kern w:val="0"/>
                <w:szCs w:val="21"/>
                <w:highlight w:val="none"/>
              </w:rPr>
            </w:pPr>
          </w:p>
        </w:tc>
      </w:tr>
      <w:tr w14:paraId="33EB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6FF273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13</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B94E69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24芯光缆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346637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2200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E3D894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6B3F80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参考5.3.8</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3CA6091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单模</w:t>
            </w:r>
          </w:p>
        </w:tc>
      </w:tr>
      <w:tr w14:paraId="49F2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98AB5D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14</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374045B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2芯光缆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9EADB8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7000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2A7498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4F8F8B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皮线光缆</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0BD7AA9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单模</w:t>
            </w:r>
            <w:r>
              <w:rPr>
                <w:rFonts w:hint="eastAsia" w:ascii="宋体" w:hAnsi="宋体" w:cs="宋体"/>
                <w:color w:val="auto"/>
                <w:kern w:val="0"/>
                <w:szCs w:val="21"/>
                <w:highlight w:val="none"/>
                <w:lang w:val="en-US" w:eastAsia="zh-CN"/>
              </w:rPr>
              <w:t xml:space="preserve"> </w:t>
            </w:r>
          </w:p>
        </w:tc>
      </w:tr>
      <w:tr w14:paraId="7D54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1EB637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15</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89969C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交换机</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CAE8B7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6A839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3D216EA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参考5.3.5</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6E1FE19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用于物资库摄像机组网</w:t>
            </w:r>
          </w:p>
        </w:tc>
      </w:tr>
      <w:tr w14:paraId="6F38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5FA99AB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16</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DE4CBF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电源管理器</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79B90D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85C7A9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510AEF7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2ED5022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用于物资库摄像机供电</w:t>
            </w:r>
          </w:p>
        </w:tc>
      </w:tr>
      <w:tr w14:paraId="15A8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A314F6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17</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38A6E15">
            <w:pPr>
              <w:keepNext w:val="0"/>
              <w:keepLines w:val="0"/>
              <w:widowControl/>
              <w:suppressLineNumbers w:val="0"/>
              <w:snapToGrid w:val="0"/>
              <w:spacing w:before="0" w:beforeAutospacing="0" w:after="0" w:afterAutospacing="0"/>
              <w:ind w:left="0" w:right="0"/>
              <w:jc w:val="center"/>
              <w:rPr>
                <w:rFonts w:hint="eastAsia" w:ascii="宋体" w:hAnsi="宋体" w:cs="宋体"/>
                <w:kern w:val="0"/>
                <w:szCs w:val="21"/>
                <w:highlight w:val="none"/>
              </w:rPr>
            </w:pPr>
            <w:r>
              <w:rPr>
                <w:rFonts w:hint="eastAsia" w:ascii="宋体" w:hAnsi="宋体" w:cs="宋体"/>
                <w:kern w:val="0"/>
                <w:szCs w:val="21"/>
                <w:highlight w:val="none"/>
              </w:rPr>
              <w:t>KBG管</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6C3224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5000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0678B7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4892DD2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Ф50</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6D173E9D">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color w:val="auto"/>
                <w:kern w:val="0"/>
                <w:szCs w:val="21"/>
                <w:highlight w:val="none"/>
              </w:rPr>
            </w:pPr>
          </w:p>
        </w:tc>
      </w:tr>
      <w:tr w14:paraId="40EA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35BDA41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18</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2BFFE85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辅材</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DE5D54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65538A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09AFE4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2FAD22C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含波纹管、接插件、扎带、防护橡胶管等</w:t>
            </w:r>
          </w:p>
        </w:tc>
      </w:tr>
      <w:tr w14:paraId="62DF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36C94A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19</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7C054A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设备调试费</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20B828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3FE4D3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675FC66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0CFE99D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p>
        </w:tc>
      </w:tr>
      <w:tr w14:paraId="0FCC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34B208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20</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080259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摄像机授权</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490F01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6E9FE1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17934C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val="en-US" w:eastAsia="zh-CN"/>
              </w:rPr>
              <w:t>消防栓补盲的</w:t>
            </w:r>
            <w:r>
              <w:rPr>
                <w:rFonts w:hint="eastAsia" w:ascii="宋体" w:hAnsi="宋体" w:cs="宋体"/>
                <w:color w:val="auto"/>
                <w:kern w:val="0"/>
                <w:szCs w:val="21"/>
                <w:highlight w:val="none"/>
              </w:rPr>
              <w:t>37台摄像机接入系统需求</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39F446C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与原系统兼容，用于37台摄像机接入系统</w:t>
            </w:r>
          </w:p>
        </w:tc>
      </w:tr>
      <w:tr w14:paraId="2F0B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2A52910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21</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1FE500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路面、绿化开挖及恢复</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CAA0E2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DBD43E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2905612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0AD3CAB7">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含摄像机立杆底座施工</w:t>
            </w:r>
          </w:p>
        </w:tc>
      </w:tr>
      <w:tr w14:paraId="3FC4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288BDFA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22</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85D6BE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视频监看终端</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36E610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C2E1B1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3CB4BA5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参考5.3.6</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5230B98D">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highlight w:val="none"/>
              </w:rPr>
            </w:pPr>
          </w:p>
        </w:tc>
      </w:tr>
      <w:tr w14:paraId="66E2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01863B1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23</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5080CF8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人脸分析模块</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DDA84D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1D4032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7DE99C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06B19E3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与原系统兼容</w:t>
            </w:r>
          </w:p>
        </w:tc>
      </w:tr>
      <w:tr w14:paraId="348A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8BF3A2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2</w:t>
            </w:r>
            <w:r>
              <w:rPr>
                <w:rFonts w:hint="eastAsia" w:ascii="宋体" w:hAnsi="宋体" w:cs="宋体"/>
                <w:kern w:val="0"/>
                <w:szCs w:val="21"/>
                <w:highlight w:val="none"/>
                <w:lang w:val="en-US" w:eastAsia="zh-CN"/>
              </w:rPr>
              <w:t>4</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968485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摄像机配电箱</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BD708E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B4C630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9A97686">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388E634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防尘、防水，配置24V电源、电源开关、防雷器、1光四电收发器等</w:t>
            </w:r>
          </w:p>
        </w:tc>
      </w:tr>
      <w:tr w14:paraId="6323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2806E5F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2</w:t>
            </w:r>
            <w:r>
              <w:rPr>
                <w:rFonts w:hint="eastAsia" w:ascii="宋体" w:hAnsi="宋体" w:cs="宋体"/>
                <w:kern w:val="0"/>
                <w:szCs w:val="21"/>
                <w:highlight w:val="none"/>
                <w:lang w:val="en-US" w:eastAsia="zh-CN"/>
              </w:rPr>
              <w:t>5</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213C29B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摄像机支架</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441145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6</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400395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 xml:space="preserve">套 </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2AB263A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71057E9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p>
        </w:tc>
      </w:tr>
      <w:tr w14:paraId="6BB7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3F956DB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2</w:t>
            </w:r>
            <w:r>
              <w:rPr>
                <w:rFonts w:hint="eastAsia" w:ascii="宋体" w:hAnsi="宋体" w:cs="宋体"/>
                <w:kern w:val="0"/>
                <w:szCs w:val="21"/>
                <w:highlight w:val="none"/>
                <w:lang w:val="en-US" w:eastAsia="zh-CN"/>
              </w:rPr>
              <w:t>6</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3D9203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钢管</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CFE68C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18</w:t>
            </w:r>
            <w:r>
              <w:rPr>
                <w:rFonts w:hint="eastAsia" w:ascii="宋体" w:hAnsi="宋体" w:cs="宋体"/>
                <w:kern w:val="0"/>
                <w:szCs w:val="21"/>
                <w:highlight w:val="none"/>
              </w:rPr>
              <w:t>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0EEC80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49B5D3A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Ф50</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6768861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用于穿墙</w:t>
            </w:r>
          </w:p>
        </w:tc>
      </w:tr>
    </w:tbl>
    <w:p w14:paraId="1DDA55F1">
      <w:pPr>
        <w:tabs>
          <w:tab w:val="left" w:pos="420"/>
        </w:tabs>
        <w:adjustRightInd w:val="0"/>
        <w:snapToGrid w:val="0"/>
        <w:spacing w:line="440" w:lineRule="exact"/>
        <w:ind w:firstLine="420" w:firstLineChars="200"/>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rPr>
        <w:t>5.</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 xml:space="preserve"> </w:t>
      </w:r>
      <w:r>
        <w:rPr>
          <w:rFonts w:hint="eastAsia" w:ascii="宋体" w:hAnsi="宋体" w:eastAsia="宋体" w:cs="宋体"/>
          <w:kern w:val="0"/>
          <w:szCs w:val="21"/>
          <w:highlight w:val="none"/>
          <w:lang w:val="en-US" w:eastAsia="zh-CN"/>
        </w:rPr>
        <w:t>二期</w:t>
      </w:r>
      <w:r>
        <w:rPr>
          <w:rFonts w:hint="eastAsia" w:ascii="宋体" w:hAnsi="宋体" w:eastAsia="宋体" w:cs="宋体"/>
          <w:kern w:val="0"/>
          <w:szCs w:val="21"/>
          <w:highlight w:val="none"/>
        </w:rPr>
        <w:t>工作量清单</w:t>
      </w:r>
    </w:p>
    <w:tbl>
      <w:tblPr>
        <w:tblStyle w:val="23"/>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68"/>
        <w:gridCol w:w="1477"/>
        <w:gridCol w:w="668"/>
        <w:gridCol w:w="668"/>
        <w:gridCol w:w="2279"/>
        <w:gridCol w:w="3548"/>
      </w:tblGrid>
      <w:tr w14:paraId="7083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tblHeader/>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61452F2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序号</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C5EAE0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名称</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D784E9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数量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7AFBE4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单位</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6BAC93B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技术规格或工程特性</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7370CD6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b/>
                <w:kern w:val="0"/>
                <w:szCs w:val="21"/>
                <w:highlight w:val="none"/>
                <w:lang w:eastAsia="zh-CN"/>
              </w:rPr>
            </w:pPr>
            <w:r>
              <w:rPr>
                <w:rFonts w:hint="eastAsia" w:ascii="宋体" w:hAnsi="宋体" w:cs="宋体"/>
                <w:b/>
                <w:kern w:val="0"/>
                <w:szCs w:val="21"/>
                <w:highlight w:val="none"/>
                <w:lang w:eastAsia="zh-CN"/>
              </w:rPr>
              <w:t>备注</w:t>
            </w:r>
          </w:p>
        </w:tc>
      </w:tr>
      <w:tr w14:paraId="3C02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0CFF5A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258439A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高清枪机</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D0757F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23</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99BE56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台</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1CAEF04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参考5.3.1</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697F53A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与原系统兼容，提供升级包</w:t>
            </w:r>
          </w:p>
        </w:tc>
      </w:tr>
      <w:tr w14:paraId="06CC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A69C1D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06E4A3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摄像机配电箱</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78070C5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highlight w:val="none"/>
                <w:lang w:val="en-US"/>
              </w:rPr>
            </w:pPr>
            <w:r>
              <w:rPr>
                <w:rFonts w:hint="eastAsia" w:ascii="宋体" w:hAnsi="宋体" w:cs="宋体"/>
                <w:kern w:val="0"/>
                <w:szCs w:val="21"/>
                <w:highlight w:val="none"/>
                <w:lang w:val="en-US" w:eastAsia="zh-CN"/>
              </w:rPr>
              <w:t>23</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923E79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62F5ADD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7DB0E5C4">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kern w:val="0"/>
                <w:szCs w:val="21"/>
                <w:highlight w:val="none"/>
              </w:rPr>
              <w:t>防尘、防水，配置24V电源、电源开关、防雷器、1光四电收发器等</w:t>
            </w:r>
          </w:p>
        </w:tc>
      </w:tr>
      <w:tr w14:paraId="31868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1CCDB53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3</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CB36BF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rPr>
              <w:t>摄像机支架</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F0C3C2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11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65EEEFF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 xml:space="preserve">套 </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410B7345">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23AC2964">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p>
        </w:tc>
      </w:tr>
      <w:tr w14:paraId="3FF8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1431A88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4</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92F934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摄像机立杆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2F308E8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Cs w:val="21"/>
                <w:highlight w:val="none"/>
                <w:lang w:val="en-US" w:eastAsia="zh-CN"/>
              </w:rPr>
              <w:t>12</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4BB89F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套</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72DCD2E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421C276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4米，含地笼，电源箱、避雷针，防雷、摄像机支架</w:t>
            </w:r>
          </w:p>
        </w:tc>
      </w:tr>
      <w:tr w14:paraId="4335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2742F9D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5</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49A5212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电缆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C56523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1700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762159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color w:val="auto"/>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2404D31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kern w:val="0"/>
                <w:szCs w:val="21"/>
                <w:highlight w:val="none"/>
              </w:rPr>
            </w:pPr>
            <w:r>
              <w:rPr>
                <w:rFonts w:hint="eastAsia" w:ascii="宋体" w:hAnsi="宋体" w:cs="宋体"/>
                <w:color w:val="auto"/>
                <w:kern w:val="0"/>
                <w:szCs w:val="21"/>
                <w:highlight w:val="none"/>
              </w:rPr>
              <w:t>参考5.3.7</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717589AA">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kern w:val="0"/>
                <w:szCs w:val="21"/>
                <w:highlight w:val="none"/>
              </w:rPr>
            </w:pPr>
          </w:p>
        </w:tc>
      </w:tr>
      <w:tr w14:paraId="2A0D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5FA8852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6</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5AD75A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2芯光缆</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16CD95D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highlight w:val="none"/>
                <w:lang w:val="en-US"/>
              </w:rPr>
            </w:pPr>
            <w:r>
              <w:rPr>
                <w:rFonts w:hint="eastAsia" w:ascii="宋体" w:hAnsi="宋体" w:cs="宋体"/>
                <w:kern w:val="0"/>
                <w:szCs w:val="21"/>
                <w:highlight w:val="none"/>
                <w:lang w:val="en-US" w:eastAsia="zh-CN"/>
              </w:rPr>
              <w:t>1700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05D14D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5E61BE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皮线光缆</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6D3E9AC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单模</w:t>
            </w:r>
            <w:r>
              <w:rPr>
                <w:rFonts w:hint="eastAsia" w:ascii="宋体" w:hAnsi="宋体" w:cs="宋体"/>
                <w:color w:val="auto"/>
                <w:kern w:val="0"/>
                <w:szCs w:val="21"/>
                <w:highlight w:val="none"/>
                <w:lang w:val="en-US" w:eastAsia="zh-CN"/>
              </w:rPr>
              <w:t xml:space="preserve"> </w:t>
            </w:r>
          </w:p>
        </w:tc>
      </w:tr>
      <w:tr w14:paraId="2761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6FF6FCB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7</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135BAD3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设备调试费</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C93FFC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A0842F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4363FA58">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6A5F1E9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p>
        </w:tc>
      </w:tr>
      <w:tr w14:paraId="1732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4E9A977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8</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C7B258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摄像机授权</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44663C1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46405E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5078223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满足</w:t>
            </w:r>
            <w:r>
              <w:rPr>
                <w:rFonts w:hint="eastAsia" w:ascii="宋体" w:hAnsi="宋体" w:cs="宋体"/>
                <w:color w:val="auto"/>
                <w:kern w:val="0"/>
                <w:szCs w:val="21"/>
                <w:highlight w:val="none"/>
                <w:lang w:val="en-US" w:eastAsia="zh-CN"/>
              </w:rPr>
              <w:t>消防栓补盲的</w:t>
            </w:r>
            <w:r>
              <w:rPr>
                <w:rFonts w:hint="eastAsia" w:ascii="宋体" w:hAnsi="宋体" w:cs="宋体"/>
                <w:color w:val="auto"/>
                <w:kern w:val="0"/>
                <w:szCs w:val="21"/>
                <w:highlight w:val="none"/>
              </w:rPr>
              <w:t>37台摄像机接入系统需求</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1AED28B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kern w:val="0"/>
                <w:szCs w:val="21"/>
                <w:highlight w:val="none"/>
              </w:rPr>
              <w:t>与原系统兼容，用于37台摄像机接入系统</w:t>
            </w:r>
          </w:p>
        </w:tc>
      </w:tr>
      <w:tr w14:paraId="203C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1204036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9</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6C15B73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路面、绿化开挖及恢复</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A92F0A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0AC8818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kern w:val="0"/>
                <w:szCs w:val="21"/>
                <w:highlight w:val="none"/>
              </w:rPr>
              <w:t>项</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3C07AC8">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718F4A7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kern w:val="0"/>
                <w:szCs w:val="21"/>
                <w:highlight w:val="none"/>
                <w:lang w:val="en-US" w:eastAsia="zh-CN"/>
              </w:rPr>
              <w:t>含摄像机立杆底座施工</w:t>
            </w:r>
          </w:p>
        </w:tc>
      </w:tr>
      <w:tr w14:paraId="0AD3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8" w:type="dxa"/>
            <w:tcBorders>
              <w:top w:val="single" w:color="auto" w:sz="4" w:space="0"/>
              <w:left w:val="single" w:color="auto" w:sz="4" w:space="0"/>
              <w:bottom w:val="single" w:color="auto" w:sz="4" w:space="0"/>
              <w:right w:val="single" w:color="auto" w:sz="4" w:space="0"/>
            </w:tcBorders>
            <w:noWrap w:val="0"/>
            <w:vAlign w:val="center"/>
          </w:tcPr>
          <w:p w14:paraId="72EAF20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10</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7560707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rPr>
              <w:t>钢管</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47CE6C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highlight w:val="none"/>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00</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537D8D9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kern w:val="0"/>
                <w:szCs w:val="21"/>
                <w:highlight w:val="none"/>
              </w:rPr>
              <w:t>米</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5BA102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kern w:val="0"/>
                <w:szCs w:val="21"/>
                <w:highlight w:val="none"/>
              </w:rPr>
              <w:t>Ф50</w:t>
            </w:r>
          </w:p>
        </w:tc>
        <w:tc>
          <w:tcPr>
            <w:tcW w:w="3548" w:type="dxa"/>
            <w:tcBorders>
              <w:top w:val="single" w:color="auto" w:sz="4" w:space="0"/>
              <w:left w:val="single" w:color="auto" w:sz="4" w:space="0"/>
              <w:bottom w:val="single" w:color="auto" w:sz="4" w:space="0"/>
              <w:right w:val="single" w:color="auto" w:sz="4" w:space="0"/>
            </w:tcBorders>
            <w:noWrap w:val="0"/>
            <w:vAlign w:val="center"/>
          </w:tcPr>
          <w:p w14:paraId="5EB0383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color w:val="auto"/>
                <w:kern w:val="0"/>
                <w:szCs w:val="21"/>
                <w:highlight w:val="none"/>
              </w:rPr>
            </w:pPr>
            <w:r>
              <w:rPr>
                <w:rFonts w:hint="eastAsia" w:ascii="宋体" w:hAnsi="宋体" w:cs="宋体"/>
                <w:kern w:val="0"/>
                <w:szCs w:val="21"/>
                <w:highlight w:val="none"/>
              </w:rPr>
              <w:t>用于穿墙</w:t>
            </w:r>
          </w:p>
        </w:tc>
      </w:tr>
    </w:tbl>
    <w:p w14:paraId="7BD86508">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eastAsia="宋体" w:cs="宋体"/>
          <w:kern w:val="0"/>
          <w:szCs w:val="21"/>
          <w:highlight w:val="none"/>
        </w:rPr>
        <w:t>5.</w:t>
      </w: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 xml:space="preserve"> 摄像机安装点位清单</w:t>
      </w:r>
    </w:p>
    <w:tbl>
      <w:tblPr>
        <w:tblStyle w:val="23"/>
        <w:tblW w:w="9739" w:type="dxa"/>
        <w:tblInd w:w="15" w:type="dxa"/>
        <w:tblLayout w:type="fixed"/>
        <w:tblCellMar>
          <w:top w:w="15" w:type="dxa"/>
          <w:left w:w="15" w:type="dxa"/>
          <w:bottom w:w="15" w:type="dxa"/>
          <w:right w:w="15" w:type="dxa"/>
        </w:tblCellMar>
      </w:tblPr>
      <w:tblGrid>
        <w:gridCol w:w="838"/>
        <w:gridCol w:w="790"/>
        <w:gridCol w:w="2471"/>
        <w:gridCol w:w="936"/>
        <w:gridCol w:w="2424"/>
        <w:gridCol w:w="2280"/>
      </w:tblGrid>
      <w:tr w14:paraId="06E3545B">
        <w:tblPrEx>
          <w:tblCellMar>
            <w:top w:w="15" w:type="dxa"/>
            <w:left w:w="15" w:type="dxa"/>
            <w:bottom w:w="15" w:type="dxa"/>
            <w:right w:w="15" w:type="dxa"/>
          </w:tblCellMar>
        </w:tblPrEx>
        <w:trPr>
          <w:trHeight w:val="228" w:hRule="atLeast"/>
        </w:trPr>
        <w:tc>
          <w:tcPr>
            <w:tcW w:w="83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A54B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rPr>
            </w:pPr>
            <w:r>
              <w:rPr>
                <w:rFonts w:hint="eastAsia" w:ascii="宋体" w:hAnsi="宋体" w:cs="宋体"/>
                <w:b/>
                <w:bCs/>
                <w:kern w:val="0"/>
                <w:szCs w:val="21"/>
              </w:rPr>
              <w:t>序号</w:t>
            </w:r>
          </w:p>
        </w:tc>
        <w:tc>
          <w:tcPr>
            <w:tcW w:w="790" w:type="dxa"/>
            <w:vMerge w:val="restart"/>
            <w:tcBorders>
              <w:top w:val="single" w:color="000000" w:sz="4" w:space="0"/>
              <w:left w:val="nil"/>
              <w:bottom w:val="single" w:color="000000" w:sz="4" w:space="0"/>
              <w:right w:val="single" w:color="auto" w:sz="4" w:space="0"/>
            </w:tcBorders>
            <w:shd w:val="clear" w:color="auto" w:fill="FFFFFF"/>
            <w:noWrap w:val="0"/>
            <w:vAlign w:val="center"/>
          </w:tcPr>
          <w:p w14:paraId="0AE0301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rPr>
            </w:pPr>
            <w:r>
              <w:rPr>
                <w:rFonts w:hint="eastAsia" w:ascii="宋体" w:hAnsi="宋体" w:cs="宋体"/>
                <w:b/>
                <w:bCs/>
                <w:kern w:val="0"/>
                <w:szCs w:val="21"/>
              </w:rPr>
              <w:t>车站</w:t>
            </w:r>
          </w:p>
        </w:tc>
        <w:tc>
          <w:tcPr>
            <w:tcW w:w="5831"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9EFBC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rPr>
            </w:pPr>
            <w:r>
              <w:rPr>
                <w:rFonts w:hint="eastAsia" w:ascii="宋体" w:hAnsi="宋体" w:cs="宋体"/>
                <w:b/>
                <w:bCs/>
                <w:kern w:val="0"/>
                <w:szCs w:val="21"/>
              </w:rPr>
              <w:t>增补需求</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96977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rPr>
            </w:pPr>
            <w:r>
              <w:rPr>
                <w:rFonts w:hint="eastAsia" w:ascii="宋体" w:hAnsi="宋体" w:cs="宋体"/>
                <w:b/>
                <w:bCs/>
                <w:kern w:val="0"/>
                <w:szCs w:val="21"/>
              </w:rPr>
              <w:t>备注</w:t>
            </w:r>
          </w:p>
        </w:tc>
      </w:tr>
      <w:tr w14:paraId="18822A74">
        <w:tblPrEx>
          <w:tblCellMar>
            <w:top w:w="15" w:type="dxa"/>
            <w:left w:w="15" w:type="dxa"/>
            <w:bottom w:w="15" w:type="dxa"/>
            <w:right w:w="15" w:type="dxa"/>
          </w:tblCellMar>
        </w:tblPrEx>
        <w:trPr>
          <w:trHeight w:val="228" w:hRule="atLeast"/>
        </w:trPr>
        <w:tc>
          <w:tcPr>
            <w:tcW w:w="838"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1C667A5">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b/>
                <w:bCs/>
                <w:kern w:val="0"/>
                <w:szCs w:val="21"/>
              </w:rPr>
            </w:pPr>
          </w:p>
        </w:tc>
        <w:tc>
          <w:tcPr>
            <w:tcW w:w="790" w:type="dxa"/>
            <w:vMerge w:val="continue"/>
            <w:tcBorders>
              <w:top w:val="single" w:color="000000" w:sz="4" w:space="0"/>
              <w:left w:val="nil"/>
              <w:bottom w:val="single" w:color="auto" w:sz="4" w:space="0"/>
              <w:right w:val="single" w:color="auto" w:sz="4" w:space="0"/>
            </w:tcBorders>
            <w:shd w:val="clear" w:color="auto" w:fill="auto"/>
            <w:noWrap w:val="0"/>
            <w:vAlign w:val="center"/>
          </w:tcPr>
          <w:p w14:paraId="3C65BADD">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b/>
                <w:bCs/>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111CB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rPr>
            </w:pPr>
            <w:r>
              <w:rPr>
                <w:rFonts w:hint="eastAsia" w:ascii="宋体" w:hAnsi="宋体" w:cs="宋体"/>
                <w:b/>
                <w:bCs/>
                <w:kern w:val="0"/>
                <w:szCs w:val="21"/>
              </w:rPr>
              <w:t>位置</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3A98D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
                <w:bCs/>
                <w:kern w:val="0"/>
                <w:szCs w:val="21"/>
              </w:rPr>
            </w:pPr>
            <w:r>
              <w:rPr>
                <w:rFonts w:hint="eastAsia" w:ascii="宋体" w:hAnsi="宋体" w:cs="宋体"/>
                <w:b/>
                <w:bCs/>
                <w:kern w:val="0"/>
                <w:szCs w:val="21"/>
              </w:rPr>
              <w:t>数量</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B95637">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
                <w:bCs/>
                <w:kern w:val="0"/>
                <w:szCs w:val="21"/>
              </w:rPr>
            </w:pPr>
            <w:r>
              <w:rPr>
                <w:rFonts w:hint="eastAsia" w:ascii="宋体" w:hAnsi="宋体" w:cs="宋体"/>
                <w:b/>
                <w:bCs/>
                <w:kern w:val="0"/>
                <w:szCs w:val="21"/>
              </w:rPr>
              <w:t>类型（枪机/球机/半球机）</w:t>
            </w:r>
          </w:p>
        </w:tc>
        <w:tc>
          <w:tcPr>
            <w:tcW w:w="2280" w:type="dxa"/>
            <w:vMerge w:val="continue"/>
            <w:tcBorders>
              <w:top w:val="single" w:color="auto" w:sz="4" w:space="0"/>
              <w:left w:val="single" w:color="auto" w:sz="4" w:space="0"/>
              <w:bottom w:val="single" w:color="auto" w:sz="4" w:space="0"/>
              <w:right w:val="single" w:color="auto" w:sz="4" w:space="0"/>
            </w:tcBorders>
            <w:noWrap w:val="0"/>
            <w:vAlign w:val="center"/>
          </w:tcPr>
          <w:p w14:paraId="44292A59">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default" w:ascii="宋体" w:hAnsi="宋体" w:cs="宋体"/>
                <w:b/>
                <w:bCs/>
                <w:kern w:val="0"/>
                <w:szCs w:val="21"/>
              </w:rPr>
            </w:pPr>
          </w:p>
        </w:tc>
      </w:tr>
      <w:tr w14:paraId="099B4DEB">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02AE0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79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EAEA8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汊河站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768A3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2号口垂梯旁</w:t>
            </w:r>
          </w:p>
        </w:tc>
        <w:tc>
          <w:tcPr>
            <w:tcW w:w="936"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14:paraId="3552EB2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nil"/>
              <w:bottom w:val="single" w:color="000000" w:sz="4" w:space="0"/>
              <w:right w:val="single" w:color="000000" w:sz="4" w:space="0"/>
            </w:tcBorders>
            <w:shd w:val="clear" w:color="auto" w:fill="FFFFFF"/>
            <w:noWrap w:val="0"/>
            <w:vAlign w:val="center"/>
          </w:tcPr>
          <w:p w14:paraId="4B8D903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auto" w:sz="4" w:space="0"/>
              <w:left w:val="nil"/>
              <w:bottom w:val="single" w:color="000000" w:sz="4" w:space="0"/>
              <w:right w:val="single" w:color="auto" w:sz="4" w:space="0"/>
            </w:tcBorders>
            <w:shd w:val="clear" w:color="auto" w:fill="FFFFFF"/>
            <w:noWrap w:val="0"/>
            <w:vAlign w:val="center"/>
          </w:tcPr>
          <w:p w14:paraId="09A9EB4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3A01DE3D">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96268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3C5EC9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14019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2号口右前方</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ACFC49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00C8E3D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2041AB7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5E4E4EDD">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C63BB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B80939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E7F62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1号口右侧</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EB4910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6AB9A1D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4F2EDB4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4472978A">
        <w:tblPrEx>
          <w:tblCellMar>
            <w:top w:w="15" w:type="dxa"/>
            <w:left w:w="15" w:type="dxa"/>
            <w:bottom w:w="15" w:type="dxa"/>
            <w:right w:w="15" w:type="dxa"/>
          </w:tblCellMar>
        </w:tblPrEx>
        <w:trPr>
          <w:trHeight w:val="228" w:hRule="atLeast"/>
        </w:trPr>
        <w:tc>
          <w:tcPr>
            <w:tcW w:w="838"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14:paraId="3EB0DD3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4</w:t>
            </w:r>
          </w:p>
        </w:tc>
        <w:tc>
          <w:tcPr>
            <w:tcW w:w="79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7389FB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汊河新城站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B6E87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二区后面花坛</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5FE140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759E266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618312C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40723123">
        <w:tblPrEx>
          <w:tblCellMar>
            <w:top w:w="15" w:type="dxa"/>
            <w:left w:w="15" w:type="dxa"/>
            <w:bottom w:w="15" w:type="dxa"/>
            <w:right w:w="15" w:type="dxa"/>
          </w:tblCellMar>
        </w:tblPrEx>
        <w:trPr>
          <w:trHeight w:val="228" w:hRule="atLeast"/>
        </w:trPr>
        <w:tc>
          <w:tcPr>
            <w:tcW w:w="838"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14:paraId="699EED2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5</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6FDF58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2E282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二区消防泵房斜对面</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D816A1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03D0785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33E9DE8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55E71CA7">
        <w:tblPrEx>
          <w:tblCellMar>
            <w:top w:w="15" w:type="dxa"/>
            <w:left w:w="15" w:type="dxa"/>
            <w:bottom w:w="15" w:type="dxa"/>
            <w:right w:w="15" w:type="dxa"/>
          </w:tblCellMar>
        </w:tblPrEx>
        <w:trPr>
          <w:trHeight w:val="228" w:hRule="atLeast"/>
        </w:trPr>
        <w:tc>
          <w:tcPr>
            <w:tcW w:w="838"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14:paraId="1AF267D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6</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2021B6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70519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1号出入口非机动车停放处</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3ED2B1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15BA6D8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3E65B77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2C45F40C">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598A4B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7</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5AAC58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48339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三区后面花坛</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F51B46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17C32EA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453E399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62518699">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247590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8</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D76E7C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760AB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2号出入口垂梯正前方</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DED119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16E08F0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228DC7F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5937003C">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74C193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9</w:t>
            </w:r>
          </w:p>
        </w:tc>
        <w:tc>
          <w:tcPr>
            <w:tcW w:w="79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9762DC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十二里半站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3A26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2号口正前方</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685BC2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7E09ED8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65A6B06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3B3ECE1C">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E7C1C0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10</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36AF27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3146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三区配电间后面</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EF0299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77BD6B6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71D95CC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13B71EEB">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D3464A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11</w:t>
            </w:r>
          </w:p>
        </w:tc>
        <w:tc>
          <w:tcPr>
            <w:tcW w:w="790" w:type="dxa"/>
            <w:vMerge w:val="restart"/>
            <w:tcBorders>
              <w:top w:val="single" w:color="auto" w:sz="4" w:space="0"/>
              <w:left w:val="single" w:color="auto" w:sz="4" w:space="0"/>
              <w:right w:val="single" w:color="auto" w:sz="4" w:space="0"/>
            </w:tcBorders>
            <w:shd w:val="clear" w:color="auto" w:fill="auto"/>
            <w:noWrap w:val="0"/>
            <w:vAlign w:val="center"/>
          </w:tcPr>
          <w:p w14:paraId="54408D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林楼站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FC5B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1A口西南边花坛内</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38F740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2B257C9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316F472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4FF3B130">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0B9DB9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12</w:t>
            </w:r>
          </w:p>
        </w:tc>
        <w:tc>
          <w:tcPr>
            <w:tcW w:w="790" w:type="dxa"/>
            <w:vMerge w:val="continue"/>
            <w:tcBorders>
              <w:left w:val="single" w:color="auto" w:sz="4" w:space="0"/>
              <w:bottom w:val="single" w:color="auto" w:sz="4" w:space="0"/>
              <w:right w:val="single" w:color="auto" w:sz="4" w:space="0"/>
            </w:tcBorders>
            <w:shd w:val="clear" w:color="auto" w:fill="auto"/>
            <w:noWrap w:val="0"/>
            <w:vAlign w:val="center"/>
          </w:tcPr>
          <w:p w14:paraId="663D0F7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314FC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三区后面花坛内</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539E2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489F468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2FB2480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53C38B8C">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B8B2A8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13</w:t>
            </w:r>
          </w:p>
        </w:tc>
        <w:tc>
          <w:tcPr>
            <w:tcW w:w="790" w:type="dxa"/>
            <w:vMerge w:val="restart"/>
            <w:tcBorders>
              <w:top w:val="single" w:color="auto" w:sz="4" w:space="0"/>
              <w:left w:val="single" w:color="auto" w:sz="4" w:space="0"/>
              <w:right w:val="single" w:color="auto" w:sz="4" w:space="0"/>
            </w:tcBorders>
            <w:shd w:val="clear" w:color="auto" w:fill="auto"/>
            <w:noWrap w:val="0"/>
            <w:vAlign w:val="center"/>
          </w:tcPr>
          <w:p w14:paraId="2CB40BE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大王郢站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419DA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2号口相反一侧花坛</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742864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6306E04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2FFF2C5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273295AE">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9BD703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14</w:t>
            </w:r>
          </w:p>
        </w:tc>
        <w:tc>
          <w:tcPr>
            <w:tcW w:w="790" w:type="dxa"/>
            <w:vMerge w:val="continue"/>
            <w:tcBorders>
              <w:left w:val="single" w:color="auto" w:sz="4" w:space="0"/>
              <w:bottom w:val="single" w:color="auto" w:sz="4" w:space="0"/>
              <w:right w:val="single" w:color="auto" w:sz="4" w:space="0"/>
            </w:tcBorders>
            <w:shd w:val="clear" w:color="auto" w:fill="auto"/>
            <w:noWrap w:val="0"/>
            <w:vAlign w:val="center"/>
          </w:tcPr>
          <w:p w14:paraId="7DA7871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C40B8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1B口前方花坛里</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2F955EA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4323B9C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7211073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590D6DE8">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050886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15</w:t>
            </w:r>
          </w:p>
        </w:tc>
        <w:tc>
          <w:tcPr>
            <w:tcW w:w="790" w:type="dxa"/>
            <w:vMerge w:val="restart"/>
            <w:tcBorders>
              <w:top w:val="single" w:color="auto" w:sz="4" w:space="0"/>
              <w:left w:val="single" w:color="auto" w:sz="4" w:space="0"/>
              <w:right w:val="single" w:color="auto" w:sz="4" w:space="0"/>
            </w:tcBorders>
            <w:shd w:val="clear" w:color="auto" w:fill="auto"/>
            <w:noWrap w:val="0"/>
            <w:vAlign w:val="center"/>
          </w:tcPr>
          <w:p w14:paraId="06BF6FB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苏滁商务中心站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E474A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2B出入口</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181E68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1504927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64E8911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77490489">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482BD7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16</w:t>
            </w:r>
          </w:p>
        </w:tc>
        <w:tc>
          <w:tcPr>
            <w:tcW w:w="790" w:type="dxa"/>
            <w:vMerge w:val="continue"/>
            <w:tcBorders>
              <w:left w:val="single" w:color="auto" w:sz="4" w:space="0"/>
              <w:right w:val="single" w:color="auto" w:sz="4" w:space="0"/>
            </w:tcBorders>
            <w:shd w:val="clear" w:color="auto" w:fill="auto"/>
            <w:noWrap w:val="0"/>
            <w:vAlign w:val="center"/>
          </w:tcPr>
          <w:p w14:paraId="782732C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A9319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2A出入口</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6618C7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42ACB65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48F5036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389504CF">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D0C815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17</w:t>
            </w:r>
          </w:p>
        </w:tc>
        <w:tc>
          <w:tcPr>
            <w:tcW w:w="790" w:type="dxa"/>
            <w:vMerge w:val="continue"/>
            <w:tcBorders>
              <w:left w:val="single" w:color="auto" w:sz="4" w:space="0"/>
              <w:bottom w:val="single" w:color="auto" w:sz="4" w:space="0"/>
              <w:right w:val="single" w:color="auto" w:sz="4" w:space="0"/>
            </w:tcBorders>
            <w:shd w:val="clear" w:color="auto" w:fill="auto"/>
            <w:noWrap w:val="0"/>
            <w:vAlign w:val="center"/>
          </w:tcPr>
          <w:p w14:paraId="3939B47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317E1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消防泵房门口</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52DE3D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726AD78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59A90C7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7021CE0A">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09678E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18</w:t>
            </w:r>
          </w:p>
        </w:tc>
        <w:tc>
          <w:tcPr>
            <w:tcW w:w="790" w:type="dxa"/>
            <w:vMerge w:val="restart"/>
            <w:tcBorders>
              <w:top w:val="single" w:color="auto" w:sz="4" w:space="0"/>
              <w:left w:val="single" w:color="auto" w:sz="4" w:space="0"/>
              <w:right w:val="single" w:color="auto" w:sz="4" w:space="0"/>
            </w:tcBorders>
            <w:shd w:val="clear" w:color="auto" w:fill="auto"/>
            <w:noWrap w:val="0"/>
            <w:vAlign w:val="center"/>
          </w:tcPr>
          <w:p w14:paraId="74B4DFF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政务中心站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A3CDE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一号口东</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118852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001920B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6060575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35660A44">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2EDC076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19</w:t>
            </w:r>
          </w:p>
        </w:tc>
        <w:tc>
          <w:tcPr>
            <w:tcW w:w="790" w:type="dxa"/>
            <w:vMerge w:val="continue"/>
            <w:tcBorders>
              <w:left w:val="single" w:color="auto" w:sz="4" w:space="0"/>
              <w:right w:val="single" w:color="auto" w:sz="4" w:space="0"/>
            </w:tcBorders>
            <w:shd w:val="clear" w:color="auto" w:fill="auto"/>
            <w:noWrap w:val="0"/>
            <w:vAlign w:val="center"/>
          </w:tcPr>
          <w:p w14:paraId="61B8C6C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B5C0D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一号口西</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78966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448A896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48DC272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7648CA63">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602961E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20</w:t>
            </w:r>
          </w:p>
        </w:tc>
        <w:tc>
          <w:tcPr>
            <w:tcW w:w="790" w:type="dxa"/>
            <w:vMerge w:val="continue"/>
            <w:tcBorders>
              <w:left w:val="single" w:color="auto" w:sz="4" w:space="0"/>
              <w:right w:val="single" w:color="auto" w:sz="4" w:space="0"/>
            </w:tcBorders>
            <w:shd w:val="clear" w:color="auto" w:fill="auto"/>
            <w:noWrap w:val="0"/>
            <w:vAlign w:val="center"/>
          </w:tcPr>
          <w:p w14:paraId="019411C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8F91A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二号口东</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1235CD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2EA7B51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703E277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553D5CEA">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0FD9367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21</w:t>
            </w:r>
          </w:p>
        </w:tc>
        <w:tc>
          <w:tcPr>
            <w:tcW w:w="790" w:type="dxa"/>
            <w:vMerge w:val="continue"/>
            <w:tcBorders>
              <w:left w:val="single" w:color="auto" w:sz="4" w:space="0"/>
              <w:right w:val="single" w:color="auto" w:sz="4" w:space="0"/>
            </w:tcBorders>
            <w:shd w:val="clear" w:color="auto" w:fill="auto"/>
            <w:noWrap w:val="0"/>
            <w:vAlign w:val="center"/>
          </w:tcPr>
          <w:p w14:paraId="4DCA1AF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C8ADE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二号口西</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0446575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2FF6A00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2EAA6FF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4FB9FE61">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79C71A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22</w:t>
            </w:r>
          </w:p>
        </w:tc>
        <w:tc>
          <w:tcPr>
            <w:tcW w:w="790" w:type="dxa"/>
            <w:vMerge w:val="continue"/>
            <w:tcBorders>
              <w:left w:val="single" w:color="auto" w:sz="4" w:space="0"/>
              <w:right w:val="single" w:color="auto" w:sz="4" w:space="0"/>
            </w:tcBorders>
            <w:shd w:val="clear" w:color="auto" w:fill="auto"/>
            <w:noWrap w:val="0"/>
            <w:vAlign w:val="center"/>
          </w:tcPr>
          <w:p w14:paraId="6298FC6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1D4C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三号口东</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5272E5A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2BBF181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0027985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408EC5CA">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4C5D07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23</w:t>
            </w:r>
          </w:p>
        </w:tc>
        <w:tc>
          <w:tcPr>
            <w:tcW w:w="790" w:type="dxa"/>
            <w:vMerge w:val="continue"/>
            <w:tcBorders>
              <w:left w:val="single" w:color="auto" w:sz="4" w:space="0"/>
              <w:right w:val="single" w:color="auto" w:sz="4" w:space="0"/>
            </w:tcBorders>
            <w:shd w:val="clear" w:color="auto" w:fill="auto"/>
            <w:noWrap w:val="0"/>
            <w:vAlign w:val="center"/>
          </w:tcPr>
          <w:p w14:paraId="0E396F4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41F76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三号口西</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70BB743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282939D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3EE7AC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41D52FA6">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4E67FE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24</w:t>
            </w:r>
          </w:p>
        </w:tc>
        <w:tc>
          <w:tcPr>
            <w:tcW w:w="790" w:type="dxa"/>
            <w:vMerge w:val="continue"/>
            <w:tcBorders>
              <w:left w:val="single" w:color="auto" w:sz="4" w:space="0"/>
              <w:right w:val="single" w:color="auto" w:sz="4" w:space="0"/>
            </w:tcBorders>
            <w:shd w:val="clear" w:color="auto" w:fill="auto"/>
            <w:noWrap w:val="0"/>
            <w:vAlign w:val="center"/>
          </w:tcPr>
          <w:p w14:paraId="04CC71F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0671D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四号口东</w:t>
            </w:r>
          </w:p>
        </w:tc>
        <w:tc>
          <w:tcPr>
            <w:tcW w:w="936"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B10519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096296C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1DD05AA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76295228">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14:paraId="631ED20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25</w:t>
            </w:r>
          </w:p>
        </w:tc>
        <w:tc>
          <w:tcPr>
            <w:tcW w:w="790" w:type="dxa"/>
            <w:vMerge w:val="continue"/>
            <w:tcBorders>
              <w:left w:val="single" w:color="auto" w:sz="4" w:space="0"/>
              <w:bottom w:val="single" w:color="auto" w:sz="4" w:space="0"/>
              <w:right w:val="single" w:color="auto" w:sz="4" w:space="0"/>
            </w:tcBorders>
            <w:shd w:val="clear" w:color="auto" w:fill="auto"/>
            <w:noWrap w:val="0"/>
            <w:vAlign w:val="center"/>
          </w:tcPr>
          <w:p w14:paraId="31C1ED9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CC27B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四号口北</w:t>
            </w:r>
          </w:p>
        </w:tc>
        <w:tc>
          <w:tcPr>
            <w:tcW w:w="936"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53F79E7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auto" w:sz="4" w:space="0"/>
              <w:right w:val="single" w:color="000000" w:sz="4" w:space="0"/>
            </w:tcBorders>
            <w:shd w:val="clear" w:color="auto" w:fill="FFFFFF"/>
            <w:noWrap w:val="0"/>
            <w:vAlign w:val="center"/>
          </w:tcPr>
          <w:p w14:paraId="43A1457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04009CB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15FEE8B4">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385CC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26</w:t>
            </w:r>
          </w:p>
        </w:tc>
        <w:tc>
          <w:tcPr>
            <w:tcW w:w="79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2D5211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琅琊山站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1686C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2号出入口东</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F78C3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C1DB4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36AAA16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0BB56F7E">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61A4D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27</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8A5EBB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124C1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4号出入口后侧</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DC749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90FC6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7F430BC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520844BD">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2B3E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28</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FAD054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72D3C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4号出入口西侧</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38FC5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62C5D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6D489FE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4D5F1105">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6B65F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29</w:t>
            </w:r>
          </w:p>
        </w:tc>
        <w:tc>
          <w:tcPr>
            <w:tcW w:w="79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78CC370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花博园站</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85B3F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1号口西南侧</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30DF4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D8FB0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5291BE2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0AA3A24B">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2D0D3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30</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002CF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1F099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eastAsiaTheme="minorEastAsia"/>
                <w:kern w:val="0"/>
                <w:szCs w:val="21"/>
                <w:highlight w:val="none"/>
                <w:lang w:val="en-US" w:eastAsia="zh-CN"/>
              </w:rPr>
            </w:pPr>
            <w:r>
              <w:rPr>
                <w:rFonts w:hint="eastAsia" w:ascii="宋体" w:hAnsi="宋体" w:cs="宋体"/>
                <w:kern w:val="0"/>
                <w:szCs w:val="21"/>
                <w:highlight w:val="none"/>
              </w:rPr>
              <w:t>设备区南面消防疏散通道</w:t>
            </w:r>
            <w:r>
              <w:rPr>
                <w:rFonts w:hint="eastAsia" w:ascii="宋体" w:hAnsi="宋体" w:cs="宋体"/>
                <w:kern w:val="0"/>
                <w:szCs w:val="21"/>
                <w:highlight w:val="none"/>
                <w:lang w:val="en-US" w:eastAsia="zh-CN"/>
              </w:rPr>
              <w:t>门口</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12FEB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E6983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3ECA2B4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541C53B8">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B972C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31</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3E6AFE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65623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消防泵房门口</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B1D32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D7643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7672B3E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66EB97D0">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D5BFE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32</w:t>
            </w:r>
          </w:p>
        </w:tc>
        <w:tc>
          <w:tcPr>
            <w:tcW w:w="79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6CD6E2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2A083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1号口高炮灯旁边</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C3DCA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25213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14:paraId="1564695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66AD0FC4">
        <w:tblPrEx>
          <w:tblCellMar>
            <w:top w:w="15" w:type="dxa"/>
            <w:left w:w="15" w:type="dxa"/>
            <w:bottom w:w="15" w:type="dxa"/>
            <w:right w:w="15" w:type="dxa"/>
          </w:tblCellMar>
        </w:tblPrEx>
        <w:trPr>
          <w:trHeight w:val="228" w:hRule="atLeast"/>
        </w:trPr>
        <w:tc>
          <w:tcPr>
            <w:tcW w:w="838"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14:paraId="25032B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33</w:t>
            </w:r>
          </w:p>
        </w:tc>
        <w:tc>
          <w:tcPr>
            <w:tcW w:w="790" w:type="dxa"/>
            <w:vMerge w:val="restart"/>
            <w:tcBorders>
              <w:top w:val="single" w:color="auto" w:sz="4" w:space="0"/>
              <w:left w:val="single" w:color="auto" w:sz="4" w:space="0"/>
              <w:right w:val="single" w:color="auto" w:sz="4" w:space="0"/>
            </w:tcBorders>
            <w:shd w:val="clear" w:color="auto" w:fill="auto"/>
            <w:noWrap w:val="0"/>
            <w:vAlign w:val="center"/>
          </w:tcPr>
          <w:p w14:paraId="5CA13B9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滁州高铁站</w:t>
            </w:r>
          </w:p>
        </w:tc>
        <w:tc>
          <w:tcPr>
            <w:tcW w:w="2471"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14:paraId="25AE0A2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1号口垂梯水泵控制箱旁</w:t>
            </w:r>
          </w:p>
        </w:tc>
        <w:tc>
          <w:tcPr>
            <w:tcW w:w="936" w:type="dxa"/>
            <w:tcBorders>
              <w:top w:val="single" w:color="auto" w:sz="4" w:space="0"/>
              <w:left w:val="nil"/>
              <w:bottom w:val="single" w:color="000000" w:sz="4" w:space="0"/>
              <w:right w:val="single" w:color="000000" w:sz="4" w:space="0"/>
            </w:tcBorders>
            <w:shd w:val="clear" w:color="auto" w:fill="FFFFFF"/>
            <w:noWrap w:val="0"/>
            <w:vAlign w:val="center"/>
          </w:tcPr>
          <w:p w14:paraId="19D41D3D">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auto" w:sz="4" w:space="0"/>
              <w:left w:val="nil"/>
              <w:bottom w:val="single" w:color="000000" w:sz="4" w:space="0"/>
              <w:right w:val="single" w:color="000000" w:sz="4" w:space="0"/>
            </w:tcBorders>
            <w:shd w:val="clear" w:color="auto" w:fill="FFFFFF"/>
            <w:noWrap w:val="0"/>
            <w:vAlign w:val="center"/>
          </w:tcPr>
          <w:p w14:paraId="7059B1C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180C5DB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74ADAB2C">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00F889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34</w:t>
            </w:r>
          </w:p>
        </w:tc>
        <w:tc>
          <w:tcPr>
            <w:tcW w:w="790" w:type="dxa"/>
            <w:vMerge w:val="continue"/>
            <w:tcBorders>
              <w:left w:val="single" w:color="auto" w:sz="4" w:space="0"/>
              <w:right w:val="single" w:color="auto" w:sz="4" w:space="0"/>
            </w:tcBorders>
            <w:shd w:val="clear" w:color="auto" w:fill="auto"/>
            <w:noWrap w:val="0"/>
            <w:vAlign w:val="center"/>
          </w:tcPr>
          <w:p w14:paraId="1B54B26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37C292E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1号口西侧扶梯旁</w:t>
            </w:r>
          </w:p>
        </w:tc>
        <w:tc>
          <w:tcPr>
            <w:tcW w:w="936" w:type="dxa"/>
            <w:tcBorders>
              <w:top w:val="single" w:color="000000" w:sz="4" w:space="0"/>
              <w:left w:val="nil"/>
              <w:bottom w:val="single" w:color="000000" w:sz="4" w:space="0"/>
              <w:right w:val="single" w:color="000000" w:sz="4" w:space="0"/>
            </w:tcBorders>
            <w:shd w:val="clear" w:color="auto" w:fill="FFFFFF"/>
            <w:noWrap w:val="0"/>
            <w:vAlign w:val="center"/>
          </w:tcPr>
          <w:p w14:paraId="467E774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05C0E95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1579EA7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18ED6397">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F3A3F9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35</w:t>
            </w:r>
          </w:p>
        </w:tc>
        <w:tc>
          <w:tcPr>
            <w:tcW w:w="790" w:type="dxa"/>
            <w:vMerge w:val="continue"/>
            <w:tcBorders>
              <w:left w:val="single" w:color="auto" w:sz="4" w:space="0"/>
              <w:right w:val="single" w:color="auto" w:sz="4" w:space="0"/>
            </w:tcBorders>
            <w:shd w:val="clear" w:color="auto" w:fill="auto"/>
            <w:noWrap w:val="0"/>
            <w:vAlign w:val="center"/>
          </w:tcPr>
          <w:p w14:paraId="61A1B7F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1026129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2号口垂梯后侧</w:t>
            </w:r>
          </w:p>
        </w:tc>
        <w:tc>
          <w:tcPr>
            <w:tcW w:w="936" w:type="dxa"/>
            <w:tcBorders>
              <w:top w:val="single" w:color="000000" w:sz="4" w:space="0"/>
              <w:left w:val="nil"/>
              <w:bottom w:val="single" w:color="000000" w:sz="4" w:space="0"/>
              <w:right w:val="single" w:color="000000" w:sz="4" w:space="0"/>
            </w:tcBorders>
            <w:shd w:val="clear" w:color="auto" w:fill="FFFFFF"/>
            <w:noWrap w:val="0"/>
            <w:vAlign w:val="center"/>
          </w:tcPr>
          <w:p w14:paraId="1876BA6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3098819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1D09B1C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13BE285E">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3DD2F7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36</w:t>
            </w:r>
          </w:p>
        </w:tc>
        <w:tc>
          <w:tcPr>
            <w:tcW w:w="790" w:type="dxa"/>
            <w:vMerge w:val="continue"/>
            <w:tcBorders>
              <w:left w:val="single" w:color="auto" w:sz="4" w:space="0"/>
              <w:right w:val="single" w:color="auto" w:sz="4" w:space="0"/>
            </w:tcBorders>
            <w:shd w:val="clear" w:color="auto" w:fill="auto"/>
            <w:noWrap w:val="0"/>
            <w:vAlign w:val="center"/>
          </w:tcPr>
          <w:p w14:paraId="6AC82BE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14:paraId="4C1D55A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2号口垂梯北侧</w:t>
            </w:r>
          </w:p>
        </w:tc>
        <w:tc>
          <w:tcPr>
            <w:tcW w:w="936" w:type="dxa"/>
            <w:tcBorders>
              <w:top w:val="single" w:color="000000" w:sz="4" w:space="0"/>
              <w:left w:val="nil"/>
              <w:bottom w:val="single" w:color="000000" w:sz="4" w:space="0"/>
              <w:right w:val="single" w:color="000000" w:sz="4" w:space="0"/>
            </w:tcBorders>
            <w:shd w:val="clear" w:color="auto" w:fill="FFFFFF"/>
            <w:noWrap w:val="0"/>
            <w:vAlign w:val="center"/>
          </w:tcPr>
          <w:p w14:paraId="5A877DC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000000" w:sz="4" w:space="0"/>
              <w:right w:val="single" w:color="000000" w:sz="4" w:space="0"/>
            </w:tcBorders>
            <w:shd w:val="clear" w:color="auto" w:fill="FFFFFF"/>
            <w:noWrap w:val="0"/>
            <w:vAlign w:val="center"/>
          </w:tcPr>
          <w:p w14:paraId="4EC92FA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000000" w:sz="4" w:space="0"/>
              <w:right w:val="single" w:color="auto" w:sz="4" w:space="0"/>
            </w:tcBorders>
            <w:shd w:val="clear" w:color="auto" w:fill="FFFFFF"/>
            <w:noWrap w:val="0"/>
            <w:vAlign w:val="center"/>
          </w:tcPr>
          <w:p w14:paraId="350E7A9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消防栓补盲，立杆安装</w:t>
            </w:r>
          </w:p>
        </w:tc>
      </w:tr>
      <w:tr w14:paraId="17B1327A">
        <w:tblPrEx>
          <w:tblCellMar>
            <w:top w:w="15" w:type="dxa"/>
            <w:left w:w="15" w:type="dxa"/>
            <w:bottom w:w="15" w:type="dxa"/>
            <w:right w:w="15" w:type="dxa"/>
          </w:tblCellMar>
        </w:tblPrEx>
        <w:trPr>
          <w:trHeight w:val="228" w:hRule="atLeast"/>
        </w:trPr>
        <w:tc>
          <w:tcPr>
            <w:tcW w:w="838"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14:paraId="40C6146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37</w:t>
            </w:r>
          </w:p>
        </w:tc>
        <w:tc>
          <w:tcPr>
            <w:tcW w:w="790" w:type="dxa"/>
            <w:vMerge w:val="continue"/>
            <w:tcBorders>
              <w:left w:val="single" w:color="auto" w:sz="4" w:space="0"/>
              <w:bottom w:val="single" w:color="auto" w:sz="4" w:space="0"/>
              <w:right w:val="single" w:color="auto" w:sz="4" w:space="0"/>
            </w:tcBorders>
            <w:shd w:val="clear" w:color="auto" w:fill="auto"/>
            <w:noWrap w:val="0"/>
            <w:vAlign w:val="center"/>
          </w:tcPr>
          <w:p w14:paraId="31BDF6E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14:paraId="344171D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东侧扶梯旁</w:t>
            </w:r>
          </w:p>
        </w:tc>
        <w:tc>
          <w:tcPr>
            <w:tcW w:w="936" w:type="dxa"/>
            <w:tcBorders>
              <w:top w:val="single" w:color="000000" w:sz="4" w:space="0"/>
              <w:left w:val="nil"/>
              <w:bottom w:val="single" w:color="auto" w:sz="4" w:space="0"/>
              <w:right w:val="single" w:color="000000" w:sz="4" w:space="0"/>
            </w:tcBorders>
            <w:shd w:val="clear" w:color="auto" w:fill="FFFFFF"/>
            <w:noWrap w:val="0"/>
            <w:vAlign w:val="center"/>
          </w:tcPr>
          <w:p w14:paraId="7EBC0B0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1</w:t>
            </w:r>
          </w:p>
        </w:tc>
        <w:tc>
          <w:tcPr>
            <w:tcW w:w="2424" w:type="dxa"/>
            <w:tcBorders>
              <w:top w:val="single" w:color="000000" w:sz="4" w:space="0"/>
              <w:left w:val="nil"/>
              <w:bottom w:val="single" w:color="auto" w:sz="4" w:space="0"/>
              <w:right w:val="single" w:color="000000" w:sz="4" w:space="0"/>
            </w:tcBorders>
            <w:shd w:val="clear" w:color="auto" w:fill="FFFFFF"/>
            <w:noWrap w:val="0"/>
            <w:vAlign w:val="center"/>
          </w:tcPr>
          <w:p w14:paraId="7AF74ADB">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000000" w:sz="4" w:space="0"/>
              <w:left w:val="nil"/>
              <w:bottom w:val="single" w:color="auto" w:sz="4" w:space="0"/>
              <w:right w:val="single" w:color="auto" w:sz="4" w:space="0"/>
            </w:tcBorders>
            <w:shd w:val="clear" w:color="auto" w:fill="FFFFFF"/>
            <w:noWrap w:val="0"/>
            <w:vAlign w:val="center"/>
          </w:tcPr>
          <w:p w14:paraId="2D41A87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消防栓补盲，支架安装</w:t>
            </w:r>
          </w:p>
        </w:tc>
      </w:tr>
      <w:tr w14:paraId="16910CAF">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410DF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38</w:t>
            </w:r>
          </w:p>
        </w:tc>
        <w:tc>
          <w:tcPr>
            <w:tcW w:w="790" w:type="dxa"/>
            <w:vMerge w:val="restart"/>
            <w:tcBorders>
              <w:top w:val="single" w:color="auto" w:sz="4" w:space="0"/>
              <w:left w:val="single" w:color="auto" w:sz="4" w:space="0"/>
              <w:right w:val="single" w:color="auto" w:sz="4" w:space="0"/>
            </w:tcBorders>
            <w:shd w:val="clear" w:color="auto" w:fill="auto"/>
            <w:noWrap w:val="0"/>
            <w:vAlign w:val="center"/>
          </w:tcPr>
          <w:p w14:paraId="43E8AA2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r>
              <w:rPr>
                <w:rFonts w:hint="eastAsia" w:ascii="宋体" w:hAnsi="宋体" w:cs="宋体"/>
                <w:kern w:val="0"/>
                <w:szCs w:val="21"/>
              </w:rPr>
              <w:t>相官车辆段</w:t>
            </w: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0BB74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lang w:val="en-US" w:eastAsia="zh-CN"/>
              </w:rPr>
              <w:t>南北</w:t>
            </w:r>
            <w:r>
              <w:rPr>
                <w:rFonts w:hint="eastAsia" w:ascii="宋体" w:hAnsi="宋体" w:cs="宋体"/>
                <w:kern w:val="0"/>
                <w:szCs w:val="21"/>
              </w:rPr>
              <w:t>两侧门岗</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015B5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4</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2B47B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EE1CA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立杆安装</w:t>
            </w:r>
          </w:p>
        </w:tc>
      </w:tr>
      <w:tr w14:paraId="3444CAE0">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36A53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39</w:t>
            </w:r>
          </w:p>
        </w:tc>
        <w:tc>
          <w:tcPr>
            <w:tcW w:w="790" w:type="dxa"/>
            <w:vMerge w:val="continue"/>
            <w:tcBorders>
              <w:left w:val="single" w:color="auto" w:sz="4" w:space="0"/>
              <w:right w:val="single" w:color="auto" w:sz="4" w:space="0"/>
            </w:tcBorders>
            <w:shd w:val="clear" w:color="auto" w:fill="auto"/>
            <w:noWrap w:val="0"/>
            <w:vAlign w:val="center"/>
          </w:tcPr>
          <w:p w14:paraId="403B8E2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8F710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物资大库周界</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0F54F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7</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FC48D2">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球机</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B0AC8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立杆安装</w:t>
            </w:r>
          </w:p>
        </w:tc>
      </w:tr>
      <w:tr w14:paraId="603EB780">
        <w:tblPrEx>
          <w:tblCellMar>
            <w:top w:w="15" w:type="dxa"/>
            <w:left w:w="15" w:type="dxa"/>
            <w:bottom w:w="15" w:type="dxa"/>
            <w:right w:w="15" w:type="dxa"/>
          </w:tblCellMar>
        </w:tblPrEx>
        <w:trPr>
          <w:trHeight w:val="228"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4008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40</w:t>
            </w:r>
          </w:p>
        </w:tc>
        <w:tc>
          <w:tcPr>
            <w:tcW w:w="790" w:type="dxa"/>
            <w:vMerge w:val="continue"/>
            <w:tcBorders>
              <w:left w:val="single" w:color="auto" w:sz="4" w:space="0"/>
              <w:right w:val="single" w:color="auto" w:sz="4" w:space="0"/>
            </w:tcBorders>
            <w:shd w:val="clear" w:color="auto" w:fill="auto"/>
            <w:noWrap w:val="0"/>
            <w:vAlign w:val="center"/>
          </w:tcPr>
          <w:p w14:paraId="4E57FF3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19BA2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物资大库</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6BFAE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23</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DD69B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枪机</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C5B79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kern w:val="0"/>
                <w:szCs w:val="21"/>
              </w:rPr>
            </w:pPr>
            <w:r>
              <w:rPr>
                <w:rFonts w:hint="eastAsia" w:ascii="宋体" w:hAnsi="宋体" w:cs="宋体"/>
                <w:kern w:val="0"/>
                <w:szCs w:val="21"/>
              </w:rPr>
              <w:t>支架安装</w:t>
            </w:r>
          </w:p>
        </w:tc>
      </w:tr>
      <w:tr w14:paraId="1D69166D">
        <w:tblPrEx>
          <w:tblCellMar>
            <w:top w:w="15" w:type="dxa"/>
            <w:left w:w="15" w:type="dxa"/>
            <w:bottom w:w="15" w:type="dxa"/>
            <w:right w:w="15" w:type="dxa"/>
          </w:tblCellMar>
        </w:tblPrEx>
        <w:trPr>
          <w:trHeight w:val="457" w:hRule="atLeast"/>
        </w:trPr>
        <w:tc>
          <w:tcPr>
            <w:tcW w:w="8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C60A4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lang w:val="en-US" w:eastAsia="zh-CN"/>
              </w:rPr>
            </w:pPr>
            <w:r>
              <w:rPr>
                <w:rFonts w:hint="eastAsia" w:ascii="宋体" w:hAnsi="宋体" w:cs="宋体"/>
                <w:kern w:val="0"/>
                <w:szCs w:val="21"/>
                <w:lang w:val="en-US" w:eastAsia="zh-CN"/>
              </w:rPr>
              <w:t>41</w:t>
            </w:r>
          </w:p>
        </w:tc>
        <w:tc>
          <w:tcPr>
            <w:tcW w:w="790" w:type="dxa"/>
            <w:vMerge w:val="continue"/>
            <w:tcBorders>
              <w:left w:val="single" w:color="auto" w:sz="4" w:space="0"/>
              <w:bottom w:val="single" w:color="auto" w:sz="4" w:space="0"/>
              <w:right w:val="single" w:color="auto" w:sz="4" w:space="0"/>
            </w:tcBorders>
            <w:shd w:val="clear" w:color="auto" w:fill="auto"/>
            <w:noWrap w:val="0"/>
            <w:vAlign w:val="center"/>
          </w:tcPr>
          <w:p w14:paraId="5BEEFB2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cs="宋体"/>
                <w:kern w:val="0"/>
                <w:szCs w:val="21"/>
              </w:rPr>
            </w:pPr>
          </w:p>
        </w:tc>
        <w:tc>
          <w:tcPr>
            <w:tcW w:w="247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1574C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综合楼消防泵房</w:t>
            </w:r>
          </w:p>
        </w:tc>
        <w:tc>
          <w:tcPr>
            <w:tcW w:w="93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23247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24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2475C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球机</w:t>
            </w:r>
          </w:p>
        </w:tc>
        <w:tc>
          <w:tcPr>
            <w:tcW w:w="228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178B76">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支架安装</w:t>
            </w:r>
          </w:p>
        </w:tc>
      </w:tr>
    </w:tbl>
    <w:p w14:paraId="1C2123B3">
      <w:pPr>
        <w:tabs>
          <w:tab w:val="left" w:pos="420"/>
        </w:tabs>
        <w:adjustRightInd w:val="0"/>
        <w:snapToGrid w:val="0"/>
        <w:spacing w:line="440" w:lineRule="exact"/>
        <w:jc w:val="left"/>
        <w:rPr>
          <w:rFonts w:ascii="宋体" w:hAnsi="宋体" w:cs="宋体"/>
          <w:b/>
          <w:kern w:val="0"/>
          <w:szCs w:val="21"/>
        </w:rPr>
      </w:pPr>
      <w:r>
        <w:rPr>
          <w:rFonts w:ascii="宋体" w:hAnsi="宋体" w:cs="宋体"/>
          <w:b/>
          <w:kern w:val="0"/>
          <w:szCs w:val="21"/>
        </w:rPr>
        <w:tab/>
      </w:r>
      <w:r>
        <w:rPr>
          <w:rFonts w:hint="eastAsia" w:ascii="宋体" w:hAnsi="宋体" w:cs="宋体"/>
          <w:b/>
          <w:kern w:val="0"/>
          <w:szCs w:val="21"/>
        </w:rPr>
        <w:t>注：以上工作量清单表为需求参考工作量，投标人投标前应组织现场勘查，实际情况以现场勘查为准。如投标人未进行现场勘查，招标人则认为，投标人已完成掌握了解现场设备实际情况。</w:t>
      </w:r>
    </w:p>
    <w:p w14:paraId="212165D1">
      <w:pPr>
        <w:tabs>
          <w:tab w:val="left" w:pos="420"/>
        </w:tabs>
        <w:adjustRightInd w:val="0"/>
        <w:snapToGrid w:val="0"/>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lang w:val="en-US" w:eastAsia="zh-CN"/>
        </w:rPr>
        <w:t>中</w:t>
      </w:r>
      <w:r>
        <w:rPr>
          <w:rFonts w:hint="eastAsia" w:ascii="宋体" w:hAnsi="宋体" w:cs="宋体"/>
          <w:kern w:val="0"/>
          <w:szCs w:val="21"/>
          <w:highlight w:val="none"/>
        </w:rPr>
        <w:t>标人应根据本项目实际需求提供设备明细清单。</w:t>
      </w:r>
    </w:p>
    <w:p w14:paraId="6E33F6D5">
      <w:pPr>
        <w:tabs>
          <w:tab w:val="left" w:pos="420"/>
        </w:tabs>
        <w:adjustRightInd w:val="0"/>
        <w:snapToGrid w:val="0"/>
        <w:spacing w:line="440" w:lineRule="exact"/>
        <w:jc w:val="left"/>
        <w:rPr>
          <w:rFonts w:ascii="宋体" w:hAnsi="宋体" w:cs="宋体"/>
          <w:kern w:val="0"/>
          <w:szCs w:val="21"/>
        </w:rPr>
      </w:pPr>
      <w:r>
        <w:rPr>
          <w:rFonts w:ascii="宋体" w:hAnsi="宋体" w:cs="宋体"/>
          <w:kern w:val="0"/>
          <w:szCs w:val="21"/>
        </w:rPr>
        <w:tab/>
      </w: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 xml:space="preserve"> 设备技术规格</w:t>
      </w:r>
    </w:p>
    <w:p w14:paraId="131CE2C3">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.1 高清枪机</w:t>
      </w:r>
    </w:p>
    <w:p w14:paraId="55CD7A5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（1）最大图像尺寸：1920 × 1080</w:t>
      </w:r>
    </w:p>
    <w:p w14:paraId="2A1469D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（2）视频压缩标准：H.265/H.264/MJPEG</w:t>
      </w:r>
    </w:p>
    <w:p w14:paraId="1838249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（3）最低照度彩色：0.0002lx，黑白:0.0001lx，灰度等级不小于11级。</w:t>
      </w:r>
    </w:p>
    <w:p w14:paraId="17434E7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（4）镜头焦距不小于2.7mm~13.5mm。</w:t>
      </w:r>
    </w:p>
    <w:p w14:paraId="44CF4F5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（5）补光灯类型：无红暴</w:t>
      </w:r>
    </w:p>
    <w:p w14:paraId="75FEE95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（6）电流及功耗：DC：12 V，1.63 A，最大功耗：19.56 W</w:t>
      </w:r>
    </w:p>
    <w:p w14:paraId="031CEA3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（7）AC：24 V，1.53 A，最大功耗：18.36 W</w:t>
      </w:r>
    </w:p>
    <w:p w14:paraId="55656C3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（8）供电方式：DC：12 V ± 20%，支持防反接保护</w:t>
      </w:r>
    </w:p>
    <w:p w14:paraId="0E59F27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（9）AC：24 V ± 20%</w:t>
      </w:r>
    </w:p>
    <w:p w14:paraId="16AD2F3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（10）电源接口类型：3芯电源接口</w:t>
      </w:r>
    </w:p>
    <w:p w14:paraId="4F1B399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（11）线缆长度：35 cm</w:t>
      </w:r>
    </w:p>
    <w:p w14:paraId="289CB06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（12）防护：IP67</w:t>
      </w:r>
    </w:p>
    <w:p w14:paraId="636C25F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（13）接口类型：FC接口</w:t>
      </w:r>
    </w:p>
    <w:p w14:paraId="49E5FF8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（14）光纤类型：单模单纤</w:t>
      </w:r>
    </w:p>
    <w:p w14:paraId="737DE3B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（15）传输波长：TX：1310 nm，RX：1550 nm</w:t>
      </w:r>
    </w:p>
    <w:p w14:paraId="73590E4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（16）传输距离：20 km</w:t>
      </w:r>
    </w:p>
    <w:p w14:paraId="016AA04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（17）传输速率：155 Mbit/s</w:t>
      </w:r>
    </w:p>
    <w:p w14:paraId="399139CC">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.2 高清球机</w:t>
      </w:r>
    </w:p>
    <w:p w14:paraId="01A1E20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（1）镜头采用1/2.8＂CMOS传感器，高清成像</w:t>
      </w:r>
    </w:p>
    <w:p w14:paraId="46BD991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（2）最低照度：彩色：0.005 Lux @（F1.6，AGC ON）；黑白：0.001 Lux @（F1.6，AGC ON）；0 Lux with IR</w:t>
      </w:r>
    </w:p>
    <w:p w14:paraId="53273A4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（3）焦距：4.8-120mm，25倍光学变倍</w:t>
      </w:r>
    </w:p>
    <w:p w14:paraId="1CA9772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（4）视场角：57.6-2.5度(广角-望远)</w:t>
      </w:r>
    </w:p>
    <w:p w14:paraId="7A40429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（5）补光灯类型：无红暴</w:t>
      </w:r>
    </w:p>
    <w:p w14:paraId="645123A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（6）补光灯距离：红外照射距离：最远可达180 m</w:t>
      </w:r>
    </w:p>
    <w:p w14:paraId="3CA1A9D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（7）防补光过曝：支持</w:t>
      </w:r>
    </w:p>
    <w:p w14:paraId="35CC2D5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（8）水平范围：360°</w:t>
      </w:r>
    </w:p>
    <w:p w14:paraId="386482C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（9）垂直范围：-15°-90°(自动翻转)</w:t>
      </w:r>
    </w:p>
    <w:p w14:paraId="5097DFD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（10）光纤接口：采用FC接口，内置光纤模块（100 M网络数据、波长TX1310/RX1550 nm、单纤单模、20 km传输距离）</w:t>
      </w:r>
    </w:p>
    <w:p w14:paraId="72944DF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设备具有AI-ISP图像质量提升功能，在低照度环境下，可自动调节预览场景视频画面中人脸、人体、车辆等目标及预览场景视频画面的区域曝光、亮度、色彩饱和度、对比度、锐度等（以公安部检验报告为准）</w:t>
      </w:r>
    </w:p>
    <w:p w14:paraId="289C584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（12）网络接口：RJ45网口;自适应10M/100M网络数据</w:t>
      </w:r>
    </w:p>
    <w:p w14:paraId="763D4BA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（13）SD卡扩展：内置MicroSD/MicroSDHC/MicroSDXC 插槽，最大支持512 GB</w:t>
      </w:r>
    </w:p>
    <w:p w14:paraId="3CC3059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（14）报警：2路报警输入，1路报警输出</w:t>
      </w:r>
    </w:p>
    <w:p w14:paraId="27C0C34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（15）音频：1路音频输入，音频峰值：2-2.4V[p-p]，输入阻抗：1 kΩ±10%</w:t>
      </w:r>
    </w:p>
    <w:p w14:paraId="0A5638D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（16）1路音频输出，线性电平，阻抗：600 Ω</w:t>
      </w:r>
    </w:p>
    <w:p w14:paraId="5A6DD1B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（17）RS-485：采用半双工模式，支持自适应HIKVISION，PELCO-P和PELCO-D（可添加）协议</w:t>
      </w:r>
    </w:p>
    <w:p w14:paraId="6640B17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（18）电源：供电方式：DC：36 V，1.67 A</w:t>
      </w:r>
    </w:p>
    <w:p w14:paraId="798E5289">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（19）防护：IP66；符合GB/T 17626.5 认证标准</w:t>
      </w:r>
    </w:p>
    <w:p w14:paraId="151F9D94">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.3 火灾探测器</w:t>
      </w:r>
    </w:p>
    <w:p w14:paraId="6D5B147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（1）智能摄像机，可通过高清可见光和高灵敏度热成像双光谱架构，结合AI深度学习算法和实时融合处理技术，实现火点、烟雾、温度等多维度火灾特征分析并及时报警，且可以提供视频复核，实现精准火灾探测</w:t>
      </w:r>
    </w:p>
    <w:p w14:paraId="2653AB12">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（2）采用非接触式探测方案，响应速度快、识别率高、误报率低，几乎不受扰流、烟障等影响，安全可靠</w:t>
      </w:r>
      <w:r>
        <w:rPr>
          <w:rFonts w:hint="eastAsia" w:ascii="宋体" w:hAnsi="宋体" w:cs="宋体"/>
          <w:kern w:val="0"/>
          <w:szCs w:val="21"/>
          <w:highlight w:val="none"/>
        </w:rPr>
        <w:t>，使用便捷</w:t>
      </w:r>
    </w:p>
    <w:p w14:paraId="4B9F6A65">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（3）产品具有应急管理部消防产品合格评定中心出具的CCCF证书（</w:t>
      </w:r>
      <w:r>
        <w:rPr>
          <w:rFonts w:hint="eastAsia" w:ascii="宋体" w:hAnsi="宋体" w:cs="宋体"/>
          <w:kern w:val="0"/>
          <w:szCs w:val="21"/>
          <w:highlight w:val="none"/>
          <w:lang w:val="en-US" w:eastAsia="zh-CN"/>
        </w:rPr>
        <w:t>供货时</w:t>
      </w:r>
      <w:r>
        <w:rPr>
          <w:rFonts w:hint="eastAsia" w:ascii="宋体" w:hAnsi="宋体" w:cs="宋体"/>
          <w:kern w:val="0"/>
          <w:szCs w:val="21"/>
          <w:highlight w:val="none"/>
        </w:rPr>
        <w:t>提供证书复印件并加盖制造商公章证明）</w:t>
      </w:r>
    </w:p>
    <w:p w14:paraId="29F1579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（4）火灾报警信号传输功能：发生火灾时，探测器可将报警信息通过输入模块传输到火灾报警主机中，并通过报警主机显示该报警信息。（</w:t>
      </w:r>
      <w:r>
        <w:rPr>
          <w:rFonts w:hint="eastAsia" w:ascii="宋体" w:hAnsi="宋体" w:cs="宋体"/>
          <w:kern w:val="0"/>
          <w:szCs w:val="21"/>
          <w:highlight w:val="none"/>
          <w:lang w:val="en-US" w:eastAsia="zh-CN"/>
        </w:rPr>
        <w:t>供货时</w:t>
      </w:r>
      <w:r>
        <w:rPr>
          <w:rFonts w:hint="eastAsia" w:ascii="宋体" w:hAnsi="宋体" w:cs="宋体"/>
          <w:kern w:val="0"/>
          <w:szCs w:val="21"/>
          <w:highlight w:val="none"/>
        </w:rPr>
        <w:t>提供检验报告复印件并加盖制造商公章证明）</w:t>
      </w:r>
    </w:p>
    <w:p w14:paraId="57CA70E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（5）500W可见光高分辨率；热成像最大有效分辨率256x192</w:t>
      </w:r>
    </w:p>
    <w:p w14:paraId="726999F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（6）支持火焰检测，最远可覆盖80米（燃烧物：正庚烷，0.33x0.33m火盘）</w:t>
      </w:r>
    </w:p>
    <w:p w14:paraId="2F6B96B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（7）支持多级火焰检测灵敏度调节，响应时间短至2S</w:t>
      </w:r>
    </w:p>
    <w:p w14:paraId="33C1C37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（8）支持温度异常（高温，升温等）检测</w:t>
      </w:r>
    </w:p>
    <w:p w14:paraId="1C49E75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（9）支持低码率、低延时、ROI感兴趣区域增强编码、SVC自适应编码技术</w:t>
      </w:r>
    </w:p>
    <w:p w14:paraId="12E3E87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（10）1个内置麦克风，1个内置扬声器，支持双向语音对讲</w:t>
      </w:r>
    </w:p>
    <w:p w14:paraId="01C1763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（11）支持背光补偿，自动电子快门功能，适应不同监测环境</w:t>
      </w:r>
    </w:p>
    <w:p w14:paraId="331F2A9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（12）支持3D数字降噪，支持120 dB超宽动态</w:t>
      </w:r>
    </w:p>
    <w:p w14:paraId="2E195F6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（13）支持接入图像型火灾探测器控制主机，支持联动火灾报警主机</w:t>
      </w:r>
    </w:p>
    <w:p w14:paraId="37BCF55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（14）支持状态指示灯（正常、故障、火警），内置扬声器高分贝报警，且支持远程消音</w:t>
      </w:r>
    </w:p>
    <w:p w14:paraId="1082B74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（15）支持PoE供电</w:t>
      </w:r>
    </w:p>
    <w:p w14:paraId="066F8AD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（16）支持IP66等级防水防尘。</w:t>
      </w:r>
    </w:p>
    <w:p w14:paraId="484D479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（17）支持2路报警输入/输出，1路音频输入/输出，1路RS-485</w:t>
      </w:r>
    </w:p>
    <w:p w14:paraId="2C3BCE8F">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.4 图像型火灾探测器</w:t>
      </w:r>
    </w:p>
    <w:p w14:paraId="277DBDD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（1）内置图像型火灾探测器视频显示软件，页面友好、功能易用、系统稳定</w:t>
      </w:r>
    </w:p>
    <w:p w14:paraId="0BE0E86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（2）最多支持128路图像型火灾探测器设备接入</w:t>
      </w:r>
    </w:p>
    <w:p w14:paraId="0E46BA0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（3）安装方式：带桌面立式支架</w:t>
      </w:r>
    </w:p>
    <w:p w14:paraId="7034357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（4）液晶分辨率： 1366 × 768</w:t>
      </w:r>
    </w:p>
    <w:p w14:paraId="2927584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（5）音频输入接口： 1路MIC IN</w:t>
      </w:r>
    </w:p>
    <w:p w14:paraId="03EAB03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（6）音频输出接口： 1路LINE OUT</w:t>
      </w:r>
    </w:p>
    <w:p w14:paraId="46D3E4A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（7）网络接口： 2个10M/100M/1000M自适应以太网接口，支持双网隔离</w:t>
      </w:r>
    </w:p>
    <w:p w14:paraId="3B5D7E3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（8）内存： 大于等于4 GB</w:t>
      </w:r>
    </w:p>
    <w:p w14:paraId="0F87294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（9）指示灯： 7个：传输（红色）、火警（红色）、启动（红色）、反馈（红色）、故障（黄色）、屏蔽（黄色）、运行（绿色）</w:t>
      </w:r>
    </w:p>
    <w:p w14:paraId="1E111E8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（10）输出： 1路RS-232，4路RS-485，4路USB3.0</w:t>
      </w:r>
    </w:p>
    <w:p w14:paraId="2C8DFD8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（11）额定电压： AC 220 V，50 Hz</w:t>
      </w:r>
    </w:p>
    <w:p w14:paraId="65263795">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（12）额定功率： ≤ 30 W</w:t>
      </w:r>
    </w:p>
    <w:p w14:paraId="478137E1">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 xml:space="preserve">.5 </w:t>
      </w:r>
      <w:r>
        <w:rPr>
          <w:rFonts w:hint="eastAsia" w:ascii="宋体" w:hAnsi="宋体" w:cs="宋体"/>
          <w:color w:val="auto"/>
          <w:kern w:val="0"/>
          <w:szCs w:val="21"/>
        </w:rPr>
        <w:t>交换机</w:t>
      </w:r>
    </w:p>
    <w:p w14:paraId="3918CF66">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（1）业务端口：提供48个10/10M/1000MBaseTx以太网接口， 4个千兆以太网光接口，物资库30个摄像机及8台火灾探测器接入以太网光接口（单模，光模块满配，光模块要求交换机原厂提供），所有接口可同时使用，非端口复用的形式；</w:t>
      </w:r>
    </w:p>
    <w:p w14:paraId="2E2D0910">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（2）机箱物理槽数3；</w:t>
      </w:r>
    </w:p>
    <w:p w14:paraId="03524FE5">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（3）交换容量48Tbps；</w:t>
      </w:r>
    </w:p>
    <w:p w14:paraId="648D317B">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（4）三层包转发率16500Mpps；</w:t>
      </w:r>
    </w:p>
    <w:p w14:paraId="296FBD34">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（5）MAC地址55k；</w:t>
      </w:r>
    </w:p>
    <w:p w14:paraId="251B5044">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（6）支持FLASH存储；</w:t>
      </w:r>
    </w:p>
    <w:p w14:paraId="094EFDE7">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（7）电源模块1+1冗余配置；</w:t>
      </w:r>
    </w:p>
    <w:p w14:paraId="2D14C49A">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（8）支持基于端口的网络接入控制；</w:t>
      </w:r>
    </w:p>
    <w:p w14:paraId="6C821BBD">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（9）具有端口隔离功能；</w:t>
      </w:r>
    </w:p>
    <w:p w14:paraId="5E8FA05E">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（10）支持基于硬件的组播，支持端口组播、广播和单播风暴抑制功能，并且各种抑制功能必须可单独使用，支持PIM，IGMP等组播协议，组播条目大于1万；</w:t>
      </w:r>
    </w:p>
    <w:p w14:paraId="243BF4FD">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（11）所有模块支持IPV4，IPV6转发，路由表：IPV4≥50k，IPV6≥30k；</w:t>
      </w:r>
    </w:p>
    <w:p w14:paraId="0A2A7155">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（12）支持BGPv4，OSPF，IS-IS，RIPv2；</w:t>
      </w:r>
    </w:p>
    <w:p w14:paraId="79D15DFF">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（13）支持不间断业务在线软件升级；</w:t>
      </w:r>
    </w:p>
    <w:p w14:paraId="31665C54">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（14）所有端口均可设置输入输出双向ACL，以便于灵活实现数据包过滤，输入输出ACL表项各≥16k；</w:t>
      </w:r>
    </w:p>
    <w:p w14:paraId="4272599B">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（15）实配的所有端口支持以太网端口捆绑技术（IEEE 802.3ad），支持跨机箱链路捆绑（端口不在同一机箱也可捆绑为一组实现负载均衡）；</w:t>
      </w:r>
    </w:p>
    <w:p w14:paraId="7779CA5C">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（16）所有板卡支持热插拔；</w:t>
      </w:r>
    </w:p>
    <w:p w14:paraId="63AF54D9">
      <w:pPr>
        <w:tabs>
          <w:tab w:val="left" w:pos="420"/>
        </w:tabs>
        <w:adjustRightInd w:val="0"/>
        <w:snapToGrid w:val="0"/>
        <w:spacing w:line="44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（17）支持基于硬件反向路径检测；</w:t>
      </w:r>
    </w:p>
    <w:p w14:paraId="57FCDFB5">
      <w:pPr>
        <w:tabs>
          <w:tab w:val="left" w:pos="420"/>
        </w:tabs>
        <w:adjustRightInd w:val="0"/>
        <w:snapToGrid w:val="0"/>
        <w:spacing w:line="440" w:lineRule="exact"/>
        <w:ind w:firstLine="420" w:firstLineChars="200"/>
        <w:jc w:val="left"/>
        <w:rPr>
          <w:rFonts w:ascii="宋体" w:hAnsi="宋体" w:cs="宋体"/>
          <w:color w:val="EE0000"/>
          <w:kern w:val="0"/>
          <w:szCs w:val="21"/>
        </w:rPr>
      </w:pPr>
      <w:r>
        <w:rPr>
          <w:rFonts w:hint="eastAsia" w:ascii="宋体" w:hAnsi="宋体" w:cs="宋体"/>
          <w:color w:val="auto"/>
          <w:kern w:val="0"/>
          <w:szCs w:val="21"/>
        </w:rPr>
        <w:t>（18）支持对端口、VLAN的流量镜像功能。</w:t>
      </w:r>
    </w:p>
    <w:p w14:paraId="38E7096C">
      <w:pPr>
        <w:tabs>
          <w:tab w:val="left" w:pos="420"/>
        </w:tabs>
        <w:adjustRightInd w:val="0"/>
        <w:snapToGrid w:val="0"/>
        <w:spacing w:line="440" w:lineRule="exact"/>
        <w:jc w:val="left"/>
        <w:rPr>
          <w:rFonts w:hint="eastAsia" w:ascii="宋体" w:hAnsi="宋体" w:cs="宋体"/>
          <w:kern w:val="0"/>
          <w:szCs w:val="21"/>
        </w:rPr>
      </w:pPr>
      <w:r>
        <w:rPr>
          <w:rFonts w:ascii="宋体" w:hAnsi="宋体" w:cs="宋体"/>
          <w:kern w:val="0"/>
          <w:szCs w:val="21"/>
        </w:rPr>
        <w:tab/>
      </w: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.6 视频监看终端</w:t>
      </w:r>
    </w:p>
    <w:p w14:paraId="3D97B255">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（1）单显卡视频处理能力应满足≥</w:t>
      </w:r>
      <w:r>
        <w:rPr>
          <w:rFonts w:ascii="宋体" w:hAnsi="宋体" w:cs="宋体"/>
          <w:kern w:val="0"/>
          <w:szCs w:val="21"/>
        </w:rPr>
        <w:t>9</w:t>
      </w:r>
      <w:r>
        <w:rPr>
          <w:rFonts w:hint="eastAsia" w:ascii="宋体" w:hAnsi="宋体" w:cs="宋体"/>
          <w:kern w:val="0"/>
          <w:szCs w:val="21"/>
        </w:rPr>
        <w:t>路画面的流畅解码输出，适应长时间（</w:t>
      </w:r>
      <w:r>
        <w:rPr>
          <w:rFonts w:ascii="宋体" w:hAnsi="宋体" w:cs="宋体"/>
          <w:kern w:val="0"/>
          <w:szCs w:val="21"/>
        </w:rPr>
        <w:t>7×24h</w:t>
      </w:r>
      <w:r>
        <w:rPr>
          <w:rFonts w:hint="eastAsia" w:ascii="宋体" w:hAnsi="宋体" w:cs="宋体"/>
          <w:kern w:val="0"/>
          <w:szCs w:val="21"/>
        </w:rPr>
        <w:t>）满负荷工作。</w:t>
      </w:r>
    </w:p>
    <w:p w14:paraId="6A29AE01">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（2）其配置不得低于以下指标：</w:t>
      </w:r>
    </w:p>
    <w:p w14:paraId="1A65779E">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CPU</w:t>
      </w:r>
      <w:r>
        <w:rPr>
          <w:rFonts w:hint="eastAsia" w:ascii="宋体" w:hAnsi="宋体" w:cs="宋体"/>
          <w:kern w:val="0"/>
          <w:szCs w:val="21"/>
        </w:rPr>
        <w:t>：四核处理器，不低于</w:t>
      </w:r>
      <w:r>
        <w:rPr>
          <w:rFonts w:ascii="宋体" w:hAnsi="宋体" w:cs="宋体"/>
          <w:kern w:val="0"/>
          <w:szCs w:val="21"/>
        </w:rPr>
        <w:t>3.00GHz</w:t>
      </w:r>
      <w:r>
        <w:rPr>
          <w:rFonts w:hint="eastAsia" w:ascii="宋体" w:hAnsi="宋体" w:cs="宋体"/>
          <w:kern w:val="0"/>
          <w:szCs w:val="21"/>
        </w:rPr>
        <w:t>；</w:t>
      </w:r>
      <w:r>
        <w:rPr>
          <w:rFonts w:ascii="宋体" w:hAnsi="宋体" w:cs="宋体"/>
          <w:kern w:val="0"/>
          <w:szCs w:val="21"/>
        </w:rPr>
        <w:t xml:space="preserve"> </w:t>
      </w:r>
    </w:p>
    <w:p w14:paraId="44998A02">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（4）显卡：独立显卡，分辨率不低于</w:t>
      </w:r>
      <w:r>
        <w:rPr>
          <w:rFonts w:ascii="宋体" w:hAnsi="宋体" w:cs="宋体"/>
          <w:kern w:val="0"/>
          <w:szCs w:val="21"/>
        </w:rPr>
        <w:t>1920X1080</w:t>
      </w:r>
      <w:r>
        <w:rPr>
          <w:rFonts w:hint="eastAsia" w:ascii="宋体" w:hAnsi="宋体" w:cs="宋体"/>
          <w:kern w:val="0"/>
          <w:szCs w:val="21"/>
        </w:rPr>
        <w:t>，物理显存不低于</w:t>
      </w:r>
      <w:r>
        <w:rPr>
          <w:rFonts w:ascii="宋体" w:hAnsi="宋体" w:cs="宋体"/>
          <w:kern w:val="0"/>
          <w:szCs w:val="21"/>
        </w:rPr>
        <w:t>4G</w:t>
      </w:r>
      <w:r>
        <w:rPr>
          <w:rFonts w:hint="eastAsia" w:ascii="宋体" w:hAnsi="宋体" w:cs="宋体"/>
          <w:kern w:val="0"/>
          <w:szCs w:val="21"/>
        </w:rPr>
        <w:t>；</w:t>
      </w:r>
    </w:p>
    <w:p w14:paraId="298795FA">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（5）两个</w:t>
      </w:r>
      <w:r>
        <w:rPr>
          <w:rFonts w:ascii="宋体" w:hAnsi="宋体" w:cs="宋体"/>
          <w:kern w:val="0"/>
          <w:szCs w:val="21"/>
        </w:rPr>
        <w:t>HDMI</w:t>
      </w:r>
      <w:r>
        <w:rPr>
          <w:rFonts w:hint="eastAsia" w:ascii="宋体" w:hAnsi="宋体" w:cs="宋体"/>
          <w:kern w:val="0"/>
          <w:szCs w:val="21"/>
        </w:rPr>
        <w:t>高清视频输出接口；</w:t>
      </w:r>
    </w:p>
    <w:p w14:paraId="0553171A">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（6）内存：不低于</w:t>
      </w:r>
      <w:r>
        <w:rPr>
          <w:rFonts w:ascii="宋体" w:hAnsi="宋体" w:cs="宋体"/>
          <w:kern w:val="0"/>
          <w:szCs w:val="21"/>
        </w:rPr>
        <w:t>16G DDR4</w:t>
      </w:r>
      <w:r>
        <w:rPr>
          <w:rFonts w:hint="eastAsia" w:ascii="宋体" w:hAnsi="宋体" w:cs="宋体"/>
          <w:kern w:val="0"/>
          <w:szCs w:val="21"/>
        </w:rPr>
        <w:t>；</w:t>
      </w:r>
    </w:p>
    <w:p w14:paraId="4FD59D70">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（7）硬盘：</w:t>
      </w:r>
      <w:r>
        <w:rPr>
          <w:rFonts w:ascii="宋体" w:hAnsi="宋体" w:cs="宋体"/>
          <w:kern w:val="0"/>
          <w:szCs w:val="21"/>
        </w:rPr>
        <w:t>1TB</w:t>
      </w:r>
      <w:r>
        <w:rPr>
          <w:rFonts w:hint="eastAsia" w:ascii="宋体" w:hAnsi="宋体" w:cs="宋体"/>
          <w:kern w:val="0"/>
          <w:szCs w:val="21"/>
        </w:rPr>
        <w:t>以上；</w:t>
      </w:r>
    </w:p>
    <w:p w14:paraId="1781B3F3">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（8）网卡：</w:t>
      </w:r>
      <w:r>
        <w:rPr>
          <w:rFonts w:ascii="宋体" w:hAnsi="宋体" w:cs="宋体"/>
          <w:kern w:val="0"/>
          <w:szCs w:val="21"/>
        </w:rPr>
        <w:t>10/100M</w:t>
      </w:r>
      <w:r>
        <w:rPr>
          <w:rFonts w:hint="eastAsia" w:ascii="宋体" w:hAnsi="宋体" w:cs="宋体"/>
          <w:kern w:val="0"/>
          <w:szCs w:val="21"/>
        </w:rPr>
        <w:t>自适应以太网卡</w:t>
      </w:r>
    </w:p>
    <w:p w14:paraId="6BE9781F">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（9）操作系统：预装</w:t>
      </w:r>
      <w:r>
        <w:rPr>
          <w:rFonts w:ascii="宋体" w:hAnsi="宋体" w:cs="宋体"/>
          <w:kern w:val="0"/>
          <w:szCs w:val="21"/>
        </w:rPr>
        <w:t>Windows</w:t>
      </w:r>
      <w:r>
        <w:rPr>
          <w:rFonts w:hint="eastAsia" w:ascii="宋体" w:hAnsi="宋体" w:cs="宋体"/>
          <w:kern w:val="0"/>
          <w:szCs w:val="21"/>
        </w:rPr>
        <w:t>正版主流操作系统。</w:t>
      </w:r>
    </w:p>
    <w:p w14:paraId="462DE338">
      <w:pPr>
        <w:tabs>
          <w:tab w:val="left" w:pos="420"/>
        </w:tabs>
        <w:adjustRightInd w:val="0"/>
        <w:snapToGrid w:val="0"/>
        <w:spacing w:line="440" w:lineRule="exact"/>
        <w:ind w:firstLine="420" w:firstLineChars="200"/>
        <w:jc w:val="left"/>
        <w:rPr>
          <w:rFonts w:ascii="宋体" w:hAnsi="宋体" w:cs="宋体"/>
          <w:bCs/>
          <w:kern w:val="0"/>
          <w:szCs w:val="21"/>
        </w:rPr>
      </w:pPr>
      <w:r>
        <w:rPr>
          <w:rFonts w:hint="eastAsia" w:ascii="宋体" w:hAnsi="宋体" w:cs="宋体"/>
          <w:bCs/>
          <w:kern w:val="0"/>
          <w:szCs w:val="21"/>
        </w:rPr>
        <w:t>5.</w:t>
      </w:r>
      <w:r>
        <w:rPr>
          <w:rFonts w:hint="eastAsia" w:ascii="宋体" w:hAnsi="宋体" w:cs="宋体"/>
          <w:bCs/>
          <w:kern w:val="0"/>
          <w:szCs w:val="21"/>
          <w:lang w:val="en-US" w:eastAsia="zh-CN"/>
        </w:rPr>
        <w:t>4</w:t>
      </w:r>
      <w:r>
        <w:rPr>
          <w:rFonts w:hint="eastAsia" w:ascii="宋体" w:hAnsi="宋体" w:cs="宋体"/>
          <w:bCs/>
          <w:kern w:val="0"/>
          <w:szCs w:val="21"/>
        </w:rPr>
        <w:t>.7 电源线缆</w:t>
      </w:r>
    </w:p>
    <w:p w14:paraId="4526193B">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（1）产品规格：WDZ-RVV3*1.5</w:t>
      </w:r>
    </w:p>
    <w:p w14:paraId="5B0CE94F">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（2）执行标准：JB8734.4-1998</w:t>
      </w:r>
    </w:p>
    <w:p w14:paraId="6BF5007F">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（3）额定电压：300V</w:t>
      </w:r>
    </w:p>
    <w:p w14:paraId="37AFDB06">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（4）额定温度：长期允许工作温度应不超过70摄氏度。</w:t>
      </w:r>
    </w:p>
    <w:p w14:paraId="7F2C2171">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（5）导体：多股裸铜丝（或镀锡铜）绞合</w:t>
      </w:r>
    </w:p>
    <w:p w14:paraId="6B2BDB54">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（6）绝缘：PVC/C型聚氯乙烯</w:t>
      </w:r>
    </w:p>
    <w:p w14:paraId="36C7C81B">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（7）护套：PVC/ST4型聚氯乙烯</w:t>
      </w:r>
    </w:p>
    <w:p w14:paraId="126ED4DD">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（8）护套挤包方式：挤管式（松套）或挤压式（紧套）</w:t>
      </w:r>
    </w:p>
    <w:p w14:paraId="143A0178">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（9）使用标准厚度、易剥、裁断容易</w:t>
      </w:r>
    </w:p>
    <w:p w14:paraId="109DF623">
      <w:pPr>
        <w:tabs>
          <w:tab w:val="left" w:pos="420"/>
        </w:tabs>
        <w:adjustRightInd w:val="0"/>
        <w:snapToGrid w:val="0"/>
        <w:spacing w:line="440" w:lineRule="exact"/>
        <w:ind w:firstLine="420" w:firstLineChars="200"/>
        <w:jc w:val="left"/>
        <w:rPr>
          <w:rFonts w:hint="eastAsia" w:ascii="宋体" w:hAnsi="宋体" w:eastAsia="宋体" w:cs="宋体"/>
          <w:kern w:val="0"/>
          <w:szCs w:val="21"/>
          <w:lang w:val="en-US" w:eastAsia="zh-CN"/>
        </w:rPr>
      </w:pPr>
      <w:r>
        <w:rPr>
          <w:rFonts w:hint="eastAsia" w:ascii="宋体" w:hAnsi="宋体" w:cs="宋体"/>
          <w:bCs/>
          <w:kern w:val="0"/>
          <w:szCs w:val="21"/>
        </w:rPr>
        <w:t>（10）</w:t>
      </w:r>
      <w:r>
        <w:rPr>
          <w:rFonts w:hint="eastAsia" w:ascii="宋体" w:hAnsi="宋体" w:cs="宋体"/>
          <w:bCs/>
          <w:kern w:val="0"/>
          <w:szCs w:val="21"/>
          <w:lang w:eastAsia="zh-CN"/>
        </w:rPr>
        <w:t>具有</w:t>
      </w:r>
      <w:r>
        <w:rPr>
          <w:rFonts w:hint="eastAsia" w:ascii="宋体" w:hAnsi="宋体" w:cs="宋体"/>
          <w:bCs/>
          <w:kern w:val="0"/>
          <w:szCs w:val="21"/>
        </w:rPr>
        <w:t>抗酸碱、耐油性、防潮、防霉等特</w:t>
      </w:r>
      <w:r>
        <w:rPr>
          <w:rFonts w:hint="eastAsia" w:ascii="宋体" w:hAnsi="宋体" w:cs="宋体"/>
          <w:bCs/>
          <w:kern w:val="0"/>
          <w:szCs w:val="21"/>
          <w:lang w:val="en-US" w:eastAsia="zh-CN"/>
        </w:rPr>
        <w:t>性</w:t>
      </w:r>
    </w:p>
    <w:p w14:paraId="798B4465">
      <w:pPr>
        <w:tabs>
          <w:tab w:val="left" w:pos="420"/>
        </w:tabs>
        <w:adjustRightInd w:val="0"/>
        <w:snapToGrid w:val="0"/>
        <w:spacing w:line="440" w:lineRule="exact"/>
        <w:ind w:firstLine="420" w:firstLineChars="200"/>
        <w:jc w:val="left"/>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val="en-US" w:eastAsia="zh-CN"/>
        </w:rPr>
        <w:t>4</w:t>
      </w:r>
      <w:r>
        <w:rPr>
          <w:rFonts w:hint="eastAsia" w:ascii="宋体" w:hAnsi="宋体" w:cs="宋体"/>
          <w:kern w:val="0"/>
          <w:szCs w:val="21"/>
        </w:rPr>
        <w:t>.8 光缆</w:t>
      </w:r>
    </w:p>
    <w:p w14:paraId="18DB949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（1）产品标准：室外单模光缆</w:t>
      </w:r>
    </w:p>
    <w:p w14:paraId="162FA9CC">
      <w:pPr>
        <w:tabs>
          <w:tab w:val="left" w:pos="420"/>
        </w:tabs>
        <w:adjustRightInd w:val="0"/>
        <w:snapToGrid w:val="0"/>
        <w:spacing w:line="440" w:lineRule="exact"/>
        <w:ind w:firstLine="420" w:firstLineChars="200"/>
        <w:jc w:val="left"/>
        <w:rPr>
          <w:rFonts w:hint="eastAsia" w:ascii="宋体" w:hAnsi="宋体" w:cs="宋体"/>
          <w:bCs/>
          <w:kern w:val="0"/>
          <w:szCs w:val="21"/>
        </w:rPr>
      </w:pPr>
      <w:r>
        <w:rPr>
          <w:rFonts w:hint="eastAsia" w:ascii="宋体" w:hAnsi="宋体" w:cs="宋体"/>
          <w:bCs/>
          <w:kern w:val="0"/>
          <w:szCs w:val="21"/>
        </w:rPr>
        <w:t>（2）产品规格：</w:t>
      </w:r>
      <w:r>
        <w:rPr>
          <w:rFonts w:hint="eastAsia" w:ascii="宋体" w:hAnsi="宋体" w:cs="宋体"/>
          <w:kern w:val="0"/>
          <w:szCs w:val="21"/>
        </w:rPr>
        <w:t>GYTA-24B1 24芯</w:t>
      </w:r>
    </w:p>
    <w:p w14:paraId="4C5222A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（3）使用条件使用温度：-40℃～+65℃</w:t>
      </w:r>
    </w:p>
    <w:p w14:paraId="444C6E5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（4）相对湿度：40℃时达98%</w:t>
      </w:r>
    </w:p>
    <w:p w14:paraId="577565EB">
      <w:pPr>
        <w:tabs>
          <w:tab w:val="left" w:pos="420"/>
        </w:tabs>
        <w:adjustRightInd w:val="0"/>
        <w:snapToGrid w:val="0"/>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rPr>
        <w:t>5.</w:t>
      </w:r>
      <w:r>
        <w:rPr>
          <w:rFonts w:hint="eastAsia" w:ascii="宋体" w:hAnsi="宋体" w:cs="宋体"/>
          <w:kern w:val="0"/>
          <w:szCs w:val="21"/>
          <w:lang w:val="en-US" w:eastAsia="zh-CN"/>
        </w:rPr>
        <w:t>4.9 高清室内球机</w:t>
      </w:r>
    </w:p>
    <w:p w14:paraId="0EAA161D">
      <w:pPr>
        <w:tabs>
          <w:tab w:val="left" w:pos="420"/>
        </w:tabs>
        <w:adjustRightInd w:val="0"/>
        <w:snapToGrid w:val="0"/>
        <w:spacing w:line="440" w:lineRule="exact"/>
        <w:ind w:firstLine="420" w:firstLineChars="200"/>
        <w:jc w:val="left"/>
        <w:rPr>
          <w:rFonts w:hint="default" w:ascii="宋体" w:hAnsi="宋体" w:cs="宋体"/>
          <w:kern w:val="0"/>
          <w:szCs w:val="21"/>
          <w:lang w:val="en-US" w:eastAsia="zh-CN"/>
        </w:rPr>
      </w:pPr>
      <w:r>
        <w:rPr>
          <w:rFonts w:hint="eastAsia" w:ascii="宋体" w:hAnsi="宋体" w:cs="宋体"/>
          <w:kern w:val="0"/>
          <w:szCs w:val="21"/>
          <w:lang w:val="en-US" w:eastAsia="zh-CN"/>
        </w:rPr>
        <w:t>（1）内置25倍变焦光学镜头，镜头采用1/2.8＂CMOS传感器，高清成像</w:t>
      </w:r>
    </w:p>
    <w:p w14:paraId="0F00087F">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2</w:t>
      </w:r>
      <w:r>
        <w:rPr>
          <w:rFonts w:hint="eastAsia" w:ascii="宋体" w:hAnsi="宋体" w:cs="宋体"/>
          <w:kern w:val="0"/>
          <w:szCs w:val="21"/>
          <w:lang w:eastAsia="zh-CN"/>
        </w:rPr>
        <w:t>）支持多目标抓拍、Smart事件等功能，更好地助力平安城市安全管理</w:t>
      </w:r>
    </w:p>
    <w:p w14:paraId="128161B4">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3</w:t>
      </w:r>
      <w:r>
        <w:rPr>
          <w:rFonts w:hint="eastAsia" w:ascii="宋体" w:hAnsi="宋体" w:cs="宋体"/>
          <w:kern w:val="0"/>
          <w:szCs w:val="21"/>
          <w:lang w:eastAsia="zh-CN"/>
        </w:rPr>
        <w:t>）适用于铁路沿线、铁路咽喉区等无红暴场景</w:t>
      </w:r>
    </w:p>
    <w:p w14:paraId="71734BBE">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4</w:t>
      </w:r>
      <w:r>
        <w:rPr>
          <w:rFonts w:hint="eastAsia" w:ascii="宋体" w:hAnsi="宋体" w:cs="宋体"/>
          <w:kern w:val="0"/>
          <w:szCs w:val="21"/>
          <w:lang w:eastAsia="zh-CN"/>
        </w:rPr>
        <w:t>）支持三种智能资源切换： Smart事件(默认)、全抓拍、道路监控</w:t>
      </w:r>
    </w:p>
    <w:p w14:paraId="253D975A">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5</w:t>
      </w:r>
      <w:r>
        <w:rPr>
          <w:rFonts w:hint="eastAsia" w:ascii="宋体" w:hAnsi="宋体" w:cs="宋体"/>
          <w:kern w:val="0"/>
          <w:szCs w:val="21"/>
          <w:lang w:eastAsia="zh-CN"/>
        </w:rPr>
        <w:t>）全抓拍：支持人、非机动车、车辆混行检测，可同时对人、非机动车、车辆进行抓拍并可对车牌识别提取</w:t>
      </w:r>
    </w:p>
    <w:p w14:paraId="5BE880F4">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6</w:t>
      </w:r>
      <w:r>
        <w:rPr>
          <w:rFonts w:hint="eastAsia" w:ascii="宋体" w:hAnsi="宋体" w:cs="宋体"/>
          <w:kern w:val="0"/>
          <w:szCs w:val="21"/>
          <w:lang w:eastAsia="zh-CN"/>
        </w:rPr>
        <w:t>）Smart事件：越界侦测,区域入侵侦测,进入/离开区域侦测等智能侦测功能，支持基于事件触发联动球机进行跟踪</w:t>
      </w:r>
    </w:p>
    <w:p w14:paraId="741555DC">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7</w:t>
      </w:r>
      <w:r>
        <w:rPr>
          <w:rFonts w:hint="eastAsia" w:ascii="宋体" w:hAnsi="宋体" w:cs="宋体"/>
          <w:kern w:val="0"/>
          <w:szCs w:val="21"/>
          <w:lang w:eastAsia="zh-CN"/>
        </w:rPr>
        <w:t>）道路监控：支持车辆检测（支持车牌识别，车型/车身颜色/车牌颜色识别）和混行检测</w:t>
      </w:r>
    </w:p>
    <w:p w14:paraId="18693118">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8</w:t>
      </w:r>
      <w:r>
        <w:rPr>
          <w:rFonts w:hint="eastAsia" w:ascii="宋体" w:hAnsi="宋体" w:cs="宋体"/>
          <w:kern w:val="0"/>
          <w:szCs w:val="21"/>
          <w:lang w:eastAsia="zh-CN"/>
        </w:rPr>
        <w:t>）AI-ISP：采用去噪卷积神经网络将深度结构、学习算法用于图像去噪，最终使画面成像更清晰，噪点更小图像更干净</w:t>
      </w:r>
    </w:p>
    <w:p w14:paraId="2B76275D">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9</w:t>
      </w:r>
      <w:r>
        <w:rPr>
          <w:rFonts w:hint="eastAsia" w:ascii="宋体" w:hAnsi="宋体" w:cs="宋体"/>
          <w:kern w:val="0"/>
          <w:szCs w:val="21"/>
          <w:lang w:eastAsia="zh-CN"/>
        </w:rPr>
        <w:t>）支持25倍光学变倍，16倍数字变倍</w:t>
      </w:r>
    </w:p>
    <w:p w14:paraId="0574FF5D">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10</w:t>
      </w:r>
      <w:r>
        <w:rPr>
          <w:rFonts w:hint="eastAsia" w:ascii="宋体" w:hAnsi="宋体" w:cs="宋体"/>
          <w:kern w:val="0"/>
          <w:szCs w:val="21"/>
          <w:lang w:eastAsia="zh-CN"/>
        </w:rPr>
        <w:t>）支持最大1920x1080@30fps高清画面输出</w:t>
      </w:r>
    </w:p>
    <w:p w14:paraId="44750F9E">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11</w:t>
      </w:r>
      <w:r>
        <w:rPr>
          <w:rFonts w:hint="eastAsia" w:ascii="宋体" w:hAnsi="宋体" w:cs="宋体"/>
          <w:kern w:val="0"/>
          <w:szCs w:val="21"/>
          <w:lang w:eastAsia="zh-CN"/>
        </w:rPr>
        <w:t>）支持GB35114A级安全加密</w:t>
      </w:r>
    </w:p>
    <w:p w14:paraId="041549E8">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12</w:t>
      </w:r>
      <w:r>
        <w:rPr>
          <w:rFonts w:hint="eastAsia" w:ascii="宋体" w:hAnsi="宋体" w:cs="宋体"/>
          <w:kern w:val="0"/>
          <w:szCs w:val="21"/>
          <w:lang w:eastAsia="zh-CN"/>
        </w:rPr>
        <w:t>）采用无红暴补光，补光距离180m</w:t>
      </w:r>
    </w:p>
    <w:p w14:paraId="52C649ED">
      <w:pPr>
        <w:tabs>
          <w:tab w:val="left" w:pos="420"/>
        </w:tabs>
        <w:adjustRightInd w:val="0"/>
        <w:snapToGrid w:val="0"/>
        <w:spacing w:line="440" w:lineRule="exact"/>
        <w:ind w:firstLine="420" w:firstLineChars="200"/>
        <w:jc w:val="left"/>
        <w:rPr>
          <w:rFonts w:hint="eastAsia" w:ascii="宋体" w:hAnsi="宋体" w:cs="宋体"/>
          <w:kern w:val="0"/>
          <w:szCs w:val="21"/>
          <w:lang w:eastAsia="zh-CN"/>
        </w:rPr>
      </w:pPr>
      <w:r>
        <w:rPr>
          <w:rFonts w:hint="eastAsia" w:ascii="宋体" w:hAnsi="宋体" w:cs="宋体"/>
          <w:kern w:val="0"/>
          <w:szCs w:val="21"/>
          <w:lang w:eastAsia="zh-CN"/>
        </w:rPr>
        <w:t>（</w:t>
      </w:r>
      <w:r>
        <w:rPr>
          <w:rFonts w:hint="eastAsia" w:ascii="宋体" w:hAnsi="宋体" w:cs="宋体"/>
          <w:kern w:val="0"/>
          <w:szCs w:val="21"/>
          <w:lang w:val="en-US" w:eastAsia="zh-CN"/>
        </w:rPr>
        <w:t>13</w:t>
      </w:r>
      <w:r>
        <w:rPr>
          <w:rFonts w:hint="eastAsia" w:ascii="宋体" w:hAnsi="宋体" w:cs="宋体"/>
          <w:kern w:val="0"/>
          <w:szCs w:val="21"/>
          <w:lang w:eastAsia="zh-CN"/>
        </w:rPr>
        <w:t>）支持FC光纤接口</w:t>
      </w:r>
    </w:p>
    <w:p w14:paraId="178A1A84">
      <w:pPr>
        <w:spacing w:line="440" w:lineRule="exact"/>
        <w:rPr>
          <w:rFonts w:hint="eastAsia" w:ascii="宋体" w:hAnsi="宋体" w:cs="宋体"/>
          <w:b/>
          <w:bCs/>
          <w:szCs w:val="21"/>
        </w:rPr>
      </w:pPr>
      <w:bookmarkStart w:id="77" w:name="_Toc203206424"/>
      <w:bookmarkStart w:id="78" w:name="_Toc31131"/>
      <w:bookmarkStart w:id="79" w:name="_Toc414004292"/>
      <w:bookmarkStart w:id="80" w:name="_Toc270685503"/>
      <w:bookmarkStart w:id="81" w:name="_Toc270688006"/>
      <w:bookmarkStart w:id="82" w:name="_Toc270689669"/>
      <w:bookmarkStart w:id="83" w:name="_Toc199246698"/>
      <w:bookmarkStart w:id="84" w:name="_Toc203205323"/>
      <w:bookmarkStart w:id="85" w:name="_Toc270684931"/>
      <w:bookmarkStart w:id="86" w:name="_Toc204592777"/>
      <w:bookmarkStart w:id="87" w:name="_Toc145927498"/>
      <w:r>
        <w:rPr>
          <w:rFonts w:hint="eastAsia" w:ascii="宋体" w:hAnsi="宋体" w:cs="宋体"/>
          <w:b/>
          <w:bCs/>
          <w:szCs w:val="21"/>
          <w:lang w:val="en-US" w:eastAsia="zh-CN"/>
        </w:rPr>
        <w:t>六、</w:t>
      </w:r>
      <w:r>
        <w:rPr>
          <w:rFonts w:hint="eastAsia" w:ascii="宋体" w:hAnsi="宋体" w:cs="宋体"/>
          <w:b/>
          <w:bCs/>
          <w:szCs w:val="21"/>
        </w:rPr>
        <w:t>文件</w:t>
      </w:r>
      <w:bookmarkEnd w:id="77"/>
      <w:bookmarkEnd w:id="78"/>
      <w:bookmarkEnd w:id="79"/>
      <w:bookmarkEnd w:id="80"/>
      <w:bookmarkEnd w:id="81"/>
      <w:bookmarkEnd w:id="82"/>
      <w:bookmarkEnd w:id="83"/>
      <w:bookmarkEnd w:id="84"/>
      <w:bookmarkEnd w:id="85"/>
      <w:bookmarkEnd w:id="86"/>
    </w:p>
    <w:p w14:paraId="7C8F7820">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88" w:name="_Toc161942217"/>
      <w:bookmarkStart w:id="89" w:name="_Toc23408"/>
      <w:bookmarkStart w:id="90" w:name="_Toc270689670"/>
      <w:bookmarkStart w:id="91" w:name="_Toc165541667"/>
      <w:bookmarkStart w:id="92" w:name="_Toc270688007"/>
      <w:bookmarkStart w:id="93" w:name="_Toc414004293"/>
      <w:r>
        <w:rPr>
          <w:rFonts w:hint="eastAsia" w:ascii="宋体" w:hAnsi="宋体" w:cs="宋体"/>
          <w:kern w:val="0"/>
          <w:szCs w:val="21"/>
        </w:rPr>
        <w:t>6.1 图纸要求</w:t>
      </w:r>
      <w:bookmarkEnd w:id="88"/>
      <w:bookmarkEnd w:id="89"/>
      <w:bookmarkEnd w:id="90"/>
      <w:bookmarkEnd w:id="91"/>
      <w:bookmarkEnd w:id="92"/>
      <w:bookmarkEnd w:id="93"/>
    </w:p>
    <w:p w14:paraId="7542A4B8">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6.1.1 提供专门为</w:t>
      </w:r>
      <w:r>
        <w:rPr>
          <w:rFonts w:hint="eastAsia" w:ascii="宋体" w:hAnsi="宋体" w:cs="宋体"/>
          <w:kern w:val="0"/>
          <w:szCs w:val="21"/>
          <w:highlight w:val="none"/>
        </w:rPr>
        <w:t>本项工程设计、生产的产品、设备</w:t>
      </w:r>
      <w:r>
        <w:rPr>
          <w:rFonts w:hint="eastAsia" w:ascii="宋体" w:hAnsi="宋体" w:cs="宋体"/>
          <w:kern w:val="0"/>
          <w:szCs w:val="21"/>
          <w:highlight w:val="none"/>
          <w:lang w:eastAsia="zh-CN"/>
        </w:rPr>
        <w:t>必需的</w:t>
      </w:r>
      <w:r>
        <w:rPr>
          <w:rFonts w:hint="eastAsia" w:ascii="宋体" w:hAnsi="宋体" w:cs="宋体"/>
          <w:kern w:val="0"/>
          <w:szCs w:val="21"/>
          <w:highlight w:val="none"/>
        </w:rPr>
        <w:t>全部图纸；</w:t>
      </w:r>
    </w:p>
    <w:p w14:paraId="2961513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6.1.2 对于从市场上采购的产品，必须提供产品说明书和合格证，说明书应能满足</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的维修和采购的要求；</w:t>
      </w:r>
    </w:p>
    <w:p w14:paraId="6D3CD0D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6.1.3 图纸应符合国家标准。</w:t>
      </w:r>
    </w:p>
    <w:p w14:paraId="09BE8EC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6.1.4 </w:t>
      </w:r>
      <w:r>
        <w:rPr>
          <w:rFonts w:hint="eastAsia" w:ascii="宋体" w:hAnsi="宋体" w:cs="宋体"/>
          <w:kern w:val="0"/>
          <w:szCs w:val="21"/>
          <w:highlight w:val="none"/>
          <w:lang w:eastAsia="zh-CN"/>
        </w:rPr>
        <w:t>中标人</w:t>
      </w:r>
      <w:r>
        <w:rPr>
          <w:rFonts w:hint="eastAsia" w:ascii="宋体" w:hAnsi="宋体" w:cs="宋体"/>
          <w:kern w:val="0"/>
          <w:szCs w:val="21"/>
          <w:highlight w:val="none"/>
        </w:rPr>
        <w:t>正式提交的图纸和设计文件应有相应的证明，以表明所提供的资料已经过</w:t>
      </w:r>
      <w:r>
        <w:rPr>
          <w:rFonts w:hint="eastAsia" w:ascii="宋体" w:hAnsi="宋体" w:cs="宋体"/>
          <w:kern w:val="0"/>
          <w:szCs w:val="21"/>
          <w:highlight w:val="none"/>
          <w:lang w:eastAsia="zh-CN"/>
        </w:rPr>
        <w:t>中标人</w:t>
      </w:r>
      <w:r>
        <w:rPr>
          <w:rFonts w:hint="eastAsia" w:ascii="宋体" w:hAnsi="宋体" w:cs="宋体"/>
          <w:kern w:val="0"/>
          <w:szCs w:val="21"/>
          <w:highlight w:val="none"/>
        </w:rPr>
        <w:t>审核并对本工程的使用是正确的。仅供参考的图纸必须明确注明，不需确认。</w:t>
      </w:r>
    </w:p>
    <w:p w14:paraId="3282E04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6.1.5 </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或系统集成商对</w:t>
      </w:r>
      <w:r>
        <w:rPr>
          <w:rFonts w:hint="eastAsia" w:ascii="宋体" w:hAnsi="宋体" w:cs="宋体"/>
          <w:kern w:val="0"/>
          <w:szCs w:val="21"/>
          <w:highlight w:val="none"/>
          <w:lang w:eastAsia="zh-CN"/>
        </w:rPr>
        <w:t>中标人</w:t>
      </w:r>
      <w:r>
        <w:rPr>
          <w:rFonts w:hint="eastAsia" w:ascii="宋体" w:hAnsi="宋体" w:cs="宋体"/>
          <w:kern w:val="0"/>
          <w:szCs w:val="21"/>
          <w:highlight w:val="none"/>
        </w:rPr>
        <w:t>图纸的确认并不能减少或解除</w:t>
      </w:r>
      <w:r>
        <w:rPr>
          <w:rFonts w:hint="eastAsia" w:ascii="宋体" w:hAnsi="宋体" w:cs="宋体"/>
          <w:kern w:val="0"/>
          <w:szCs w:val="21"/>
          <w:highlight w:val="none"/>
          <w:lang w:eastAsia="zh-CN"/>
        </w:rPr>
        <w:t>中标人</w:t>
      </w:r>
      <w:r>
        <w:rPr>
          <w:rFonts w:hint="eastAsia" w:ascii="宋体" w:hAnsi="宋体" w:cs="宋体"/>
          <w:kern w:val="0"/>
          <w:szCs w:val="21"/>
          <w:highlight w:val="none"/>
        </w:rPr>
        <w:t>对于该图正确性所负的任何一部分责任。</w:t>
      </w:r>
    </w:p>
    <w:p w14:paraId="672B3D5C">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6.1.6 系统集成商和</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只能将</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提供的图纸用于本工程的操作和维护。</w:t>
      </w:r>
    </w:p>
    <w:p w14:paraId="22D326D4">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94" w:name="_Toc161942218"/>
      <w:bookmarkStart w:id="95" w:name="_Toc165541668"/>
      <w:bookmarkStart w:id="96" w:name="_Toc270689671"/>
      <w:bookmarkStart w:id="97" w:name="_Toc17251"/>
      <w:bookmarkStart w:id="98" w:name="_Toc414004294"/>
      <w:bookmarkStart w:id="99" w:name="_Toc270688008"/>
      <w:r>
        <w:rPr>
          <w:rFonts w:hint="eastAsia" w:ascii="宋体" w:hAnsi="宋体" w:cs="宋体"/>
          <w:kern w:val="0"/>
          <w:szCs w:val="21"/>
        </w:rPr>
        <w:t>6.2  手册要求</w:t>
      </w:r>
      <w:bookmarkEnd w:id="94"/>
      <w:bookmarkEnd w:id="95"/>
      <w:bookmarkEnd w:id="96"/>
      <w:bookmarkEnd w:id="97"/>
      <w:bookmarkEnd w:id="98"/>
      <w:bookmarkEnd w:id="99"/>
    </w:p>
    <w:p w14:paraId="3FCF919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6.2.1 安装手册：安装手册应由所需之全部图纸和文件组成，应定义：</w:t>
      </w:r>
    </w:p>
    <w:p w14:paraId="6129276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●电源、数据、控制和通信接口的配线规程；</w:t>
      </w:r>
    </w:p>
    <w:p w14:paraId="2CE0894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●为设备就位所需之地板、导轨、支架的安装、钻孔和上螺丝的方法；</w:t>
      </w:r>
    </w:p>
    <w:p w14:paraId="523D93B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●安全警告或注意事项；</w:t>
      </w:r>
    </w:p>
    <w:p w14:paraId="323533E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●接地及其连接规程；</w:t>
      </w:r>
    </w:p>
    <w:p w14:paraId="568C3A6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●通风说明；</w:t>
      </w:r>
    </w:p>
    <w:p w14:paraId="3DC5A0E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●测试和校准方法；</w:t>
      </w:r>
    </w:p>
    <w:p w14:paraId="24D2B3D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●气候防护、灰尘防护和其他的环境防护；</w:t>
      </w:r>
    </w:p>
    <w:p w14:paraId="39FE5C0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●正确安装设备所需要的其他规程；</w:t>
      </w:r>
    </w:p>
    <w:p w14:paraId="5CD918F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●安装所需工具的功能及建议数量。</w:t>
      </w:r>
    </w:p>
    <w:p w14:paraId="63F991F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6.2.2 操作手册：操作手册应为运营维护人员在系统操作和检查提供指导。</w:t>
      </w:r>
    </w:p>
    <w:p w14:paraId="0EE2CB8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●系统概述；</w:t>
      </w:r>
    </w:p>
    <w:p w14:paraId="70D53B5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●主要功能说明；</w:t>
      </w:r>
    </w:p>
    <w:p w14:paraId="5401008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●操作指南；</w:t>
      </w:r>
    </w:p>
    <w:p w14:paraId="5896065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●故障状态；</w:t>
      </w:r>
    </w:p>
    <w:p w14:paraId="7B17F17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●供货商提交的说明资料要对所规定的每一种设备及其如何操作予以阐述；</w:t>
      </w:r>
    </w:p>
    <w:p w14:paraId="54E2908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6.2.3 维修手册：</w:t>
      </w:r>
    </w:p>
    <w:p w14:paraId="0A37B53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●维修手册应为系统维修人员的维护提供指导。</w:t>
      </w:r>
    </w:p>
    <w:p w14:paraId="3FBEE2F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●手册应对各系统各级检修的内容、要求、方法、程序、设备、工具、材料等方面做出详细的说明；对主要的故障部件的更换、调整和测试做出详细的说明。</w:t>
      </w:r>
    </w:p>
    <w:p w14:paraId="6A7DCB4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●维修手册应用中文编制；</w:t>
      </w:r>
    </w:p>
    <w:p w14:paraId="05A43771">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100" w:name="_Toc165541669"/>
      <w:bookmarkStart w:id="101" w:name="_Toc161942219"/>
      <w:r>
        <w:rPr>
          <w:rFonts w:hint="eastAsia" w:ascii="宋体" w:hAnsi="宋体" w:cs="宋体"/>
          <w:kern w:val="0"/>
          <w:szCs w:val="21"/>
        </w:rPr>
        <w:t>6.2.4技术文件要求</w:t>
      </w:r>
      <w:bookmarkEnd w:id="100"/>
      <w:bookmarkEnd w:id="101"/>
    </w:p>
    <w:p w14:paraId="09C12FB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6.2.4.1</w:t>
      </w:r>
      <w:r>
        <w:rPr>
          <w:rFonts w:hint="eastAsia" w:ascii="宋体" w:hAnsi="宋体" w:cs="宋体"/>
          <w:kern w:val="0"/>
          <w:szCs w:val="21"/>
          <w:highlight w:val="none"/>
        </w:rPr>
        <w:t xml:space="preserve"> </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提供的技术文件应包括但不限于：</w:t>
      </w:r>
    </w:p>
    <w:p w14:paraId="084197D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●本项工程的最终技术文件；</w:t>
      </w:r>
    </w:p>
    <w:p w14:paraId="01833628">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●非国标但经双方确认的标准。</w:t>
      </w:r>
    </w:p>
    <w:p w14:paraId="478A9EE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6.2.4.2 最终技术文件</w:t>
      </w:r>
    </w:p>
    <w:p w14:paraId="30D0ADC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最终技术文件应包括所供系统的最终技术参数，它应能清晰规定所有实现子系统要求的硬件和软件，并取得系统集成商和</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的确认。</w:t>
      </w:r>
    </w:p>
    <w:p w14:paraId="522E8C6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最终技术文件包括但不限于下列内容：</w:t>
      </w:r>
    </w:p>
    <w:p w14:paraId="42E5189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●系统总说明；</w:t>
      </w:r>
    </w:p>
    <w:p w14:paraId="4963807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●系统构成；</w:t>
      </w:r>
    </w:p>
    <w:p w14:paraId="4556202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●功能详细描述；</w:t>
      </w:r>
    </w:p>
    <w:p w14:paraId="23F9DD2B">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●技术参数；</w:t>
      </w:r>
    </w:p>
    <w:p w14:paraId="53DEA20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●设备布置；</w:t>
      </w:r>
    </w:p>
    <w:p w14:paraId="2555C1D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6.2.4.3 试验报告</w:t>
      </w:r>
    </w:p>
    <w:p w14:paraId="192FBEE5">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eastAsia="zh-CN"/>
        </w:rPr>
        <w:t>中标人</w:t>
      </w:r>
      <w:r>
        <w:rPr>
          <w:rFonts w:hint="eastAsia" w:ascii="宋体" w:hAnsi="宋体" w:cs="宋体"/>
          <w:kern w:val="0"/>
          <w:szCs w:val="21"/>
          <w:highlight w:val="none"/>
        </w:rPr>
        <w:t>在工程完成后提交试验报告，试验报告应包括所有测试记录。</w:t>
      </w:r>
    </w:p>
    <w:p w14:paraId="0E43C5E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该报告应提供以正确的顺序列出所需要的全部检验和测试内容。所有试验结果均应记录在测试报告中，由</w:t>
      </w:r>
      <w:r>
        <w:rPr>
          <w:rFonts w:hint="eastAsia" w:ascii="宋体" w:hAnsi="宋体" w:cs="宋体"/>
          <w:kern w:val="0"/>
          <w:szCs w:val="21"/>
          <w:highlight w:val="none"/>
          <w:lang w:eastAsia="zh-CN"/>
        </w:rPr>
        <w:t>中标人</w:t>
      </w:r>
      <w:r>
        <w:rPr>
          <w:rFonts w:hint="eastAsia" w:ascii="宋体" w:hAnsi="宋体" w:cs="宋体"/>
          <w:kern w:val="0"/>
          <w:szCs w:val="21"/>
          <w:highlight w:val="none"/>
        </w:rPr>
        <w:t>签字后，提交</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进行确认。</w:t>
      </w:r>
    </w:p>
    <w:p w14:paraId="474EEF0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02" w:name="_Toc165541670"/>
      <w:bookmarkStart w:id="103" w:name="_Toc161942220"/>
      <w:r>
        <w:rPr>
          <w:rFonts w:hint="eastAsia" w:ascii="宋体" w:hAnsi="宋体" w:cs="宋体"/>
          <w:kern w:val="0"/>
          <w:szCs w:val="21"/>
          <w:highlight w:val="none"/>
        </w:rPr>
        <w:t>6.2.5 技术文件清单</w:t>
      </w:r>
      <w:bookmarkEnd w:id="102"/>
      <w:bookmarkEnd w:id="103"/>
    </w:p>
    <w:tbl>
      <w:tblPr>
        <w:tblStyle w:val="23"/>
        <w:tblW w:w="85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0"/>
        <w:gridCol w:w="1776"/>
        <w:gridCol w:w="6082"/>
      </w:tblGrid>
      <w:tr w14:paraId="082FC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670" w:type="dxa"/>
            <w:noWrap w:val="0"/>
            <w:vAlign w:val="center"/>
          </w:tcPr>
          <w:p w14:paraId="5667D6D3">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highlight w:val="none"/>
              </w:rPr>
            </w:pPr>
            <w:r>
              <w:rPr>
                <w:rFonts w:hint="eastAsia" w:ascii="宋体" w:hAnsi="宋体" w:cs="宋体"/>
                <w:bCs/>
                <w:kern w:val="0"/>
                <w:szCs w:val="21"/>
                <w:highlight w:val="none"/>
              </w:rPr>
              <w:t>序号</w:t>
            </w:r>
          </w:p>
        </w:tc>
        <w:tc>
          <w:tcPr>
            <w:tcW w:w="1776" w:type="dxa"/>
            <w:noWrap w:val="0"/>
            <w:vAlign w:val="center"/>
          </w:tcPr>
          <w:p w14:paraId="0FD6EEC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highlight w:val="none"/>
              </w:rPr>
            </w:pPr>
            <w:r>
              <w:rPr>
                <w:rFonts w:hint="eastAsia" w:ascii="宋体" w:hAnsi="宋体" w:cs="宋体"/>
                <w:bCs/>
                <w:kern w:val="0"/>
                <w:szCs w:val="21"/>
                <w:highlight w:val="none"/>
              </w:rPr>
              <w:t>工程阶段</w:t>
            </w:r>
          </w:p>
        </w:tc>
        <w:tc>
          <w:tcPr>
            <w:tcW w:w="6082" w:type="dxa"/>
            <w:noWrap w:val="0"/>
            <w:vAlign w:val="center"/>
          </w:tcPr>
          <w:p w14:paraId="4F66D61C">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highlight w:val="none"/>
              </w:rPr>
            </w:pPr>
            <w:r>
              <w:rPr>
                <w:rFonts w:hint="eastAsia" w:ascii="宋体" w:hAnsi="宋体" w:cs="宋体"/>
                <w:bCs/>
                <w:kern w:val="0"/>
                <w:szCs w:val="21"/>
                <w:highlight w:val="none"/>
                <w:lang w:eastAsia="zh-CN"/>
              </w:rPr>
              <w:t>中标人</w:t>
            </w:r>
            <w:r>
              <w:rPr>
                <w:rFonts w:hint="eastAsia" w:ascii="宋体" w:hAnsi="宋体" w:cs="宋体"/>
                <w:bCs/>
                <w:kern w:val="0"/>
                <w:szCs w:val="21"/>
                <w:highlight w:val="none"/>
              </w:rPr>
              <w:t>提交的技术文件</w:t>
            </w:r>
          </w:p>
          <w:p w14:paraId="672A4C4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highlight w:val="none"/>
              </w:rPr>
            </w:pPr>
            <w:r>
              <w:rPr>
                <w:rFonts w:hint="eastAsia" w:ascii="宋体" w:hAnsi="宋体" w:cs="宋体"/>
                <w:bCs/>
                <w:kern w:val="0"/>
                <w:szCs w:val="21"/>
                <w:highlight w:val="none"/>
              </w:rPr>
              <w:t>（包括图纸、资料、手册、说明等）</w:t>
            </w:r>
          </w:p>
        </w:tc>
      </w:tr>
      <w:tr w14:paraId="3064E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4A4695F4">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1</w:t>
            </w:r>
          </w:p>
        </w:tc>
        <w:tc>
          <w:tcPr>
            <w:tcW w:w="1776" w:type="dxa"/>
            <w:noWrap w:val="0"/>
            <w:vAlign w:val="center"/>
          </w:tcPr>
          <w:p w14:paraId="34320CB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需求调研阶段</w:t>
            </w:r>
          </w:p>
        </w:tc>
        <w:tc>
          <w:tcPr>
            <w:tcW w:w="6082" w:type="dxa"/>
            <w:noWrap w:val="0"/>
            <w:vAlign w:val="center"/>
          </w:tcPr>
          <w:p w14:paraId="4EFAC377">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1、现场调研报告</w:t>
            </w:r>
          </w:p>
        </w:tc>
      </w:tr>
      <w:tr w14:paraId="05A28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24CE9C21">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2</w:t>
            </w:r>
          </w:p>
        </w:tc>
        <w:tc>
          <w:tcPr>
            <w:tcW w:w="1776" w:type="dxa"/>
            <w:noWrap w:val="0"/>
            <w:vAlign w:val="center"/>
          </w:tcPr>
          <w:p w14:paraId="7CC6E99A">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系统设计阶段</w:t>
            </w:r>
          </w:p>
        </w:tc>
        <w:tc>
          <w:tcPr>
            <w:tcW w:w="6082" w:type="dxa"/>
            <w:noWrap w:val="0"/>
            <w:vAlign w:val="center"/>
          </w:tcPr>
          <w:p w14:paraId="7ECF8A24">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1、系统设计方案及图纸（含安装配置说明）</w:t>
            </w:r>
          </w:p>
          <w:p w14:paraId="35AE4CD5">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2、设备清单</w:t>
            </w:r>
          </w:p>
          <w:p w14:paraId="0B500531">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3、施工组织方案（包含进度控制计划）</w:t>
            </w:r>
          </w:p>
          <w:p w14:paraId="3F1411CD">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4、风险分析报告及应对措施</w:t>
            </w:r>
          </w:p>
          <w:p w14:paraId="2347DBB7">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5、系统测试方案</w:t>
            </w:r>
          </w:p>
        </w:tc>
      </w:tr>
      <w:tr w14:paraId="3966B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5151EFE8">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3</w:t>
            </w:r>
          </w:p>
        </w:tc>
        <w:tc>
          <w:tcPr>
            <w:tcW w:w="1776" w:type="dxa"/>
            <w:noWrap w:val="0"/>
            <w:vAlign w:val="center"/>
          </w:tcPr>
          <w:p w14:paraId="434C5DFE">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包装、运输阶段</w:t>
            </w:r>
          </w:p>
        </w:tc>
        <w:tc>
          <w:tcPr>
            <w:tcW w:w="6082" w:type="dxa"/>
            <w:noWrap w:val="0"/>
            <w:vAlign w:val="center"/>
          </w:tcPr>
          <w:p w14:paraId="3B73E28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1、装箱清单</w:t>
            </w:r>
          </w:p>
          <w:p w14:paraId="792F5C75">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2、设备质量证明书</w:t>
            </w:r>
          </w:p>
          <w:p w14:paraId="12C43C5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3、设备技术文件（说明书）</w:t>
            </w:r>
          </w:p>
        </w:tc>
      </w:tr>
      <w:tr w14:paraId="20DF9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36C73CF9">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4</w:t>
            </w:r>
          </w:p>
        </w:tc>
        <w:tc>
          <w:tcPr>
            <w:tcW w:w="1776" w:type="dxa"/>
            <w:noWrap w:val="0"/>
            <w:vAlign w:val="center"/>
          </w:tcPr>
          <w:p w14:paraId="2C28EE37">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设备安装</w:t>
            </w:r>
          </w:p>
        </w:tc>
        <w:tc>
          <w:tcPr>
            <w:tcW w:w="6082" w:type="dxa"/>
            <w:noWrap w:val="0"/>
            <w:vAlign w:val="center"/>
          </w:tcPr>
          <w:p w14:paraId="33AE85E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1、开箱检验计划</w:t>
            </w:r>
          </w:p>
          <w:p w14:paraId="5BB0B299">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2、设备开箱清点清单</w:t>
            </w:r>
          </w:p>
          <w:p w14:paraId="2320ECB0">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3、开箱检验报告</w:t>
            </w:r>
          </w:p>
          <w:p w14:paraId="2459E734">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4、设备安装记录报告</w:t>
            </w:r>
          </w:p>
        </w:tc>
      </w:tr>
      <w:tr w14:paraId="770D3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1FA5E020">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5</w:t>
            </w:r>
          </w:p>
        </w:tc>
        <w:tc>
          <w:tcPr>
            <w:tcW w:w="1776" w:type="dxa"/>
            <w:noWrap w:val="0"/>
            <w:vAlign w:val="center"/>
          </w:tcPr>
          <w:p w14:paraId="23FC5C1D">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bCs/>
                <w:kern w:val="0"/>
                <w:szCs w:val="21"/>
              </w:rPr>
            </w:pPr>
            <w:r>
              <w:rPr>
                <w:rFonts w:hint="eastAsia" w:ascii="宋体" w:hAnsi="宋体" w:cs="宋体"/>
                <w:bCs/>
                <w:kern w:val="0"/>
                <w:szCs w:val="21"/>
              </w:rPr>
              <w:t>安装验收</w:t>
            </w:r>
          </w:p>
        </w:tc>
        <w:tc>
          <w:tcPr>
            <w:tcW w:w="6082" w:type="dxa"/>
            <w:noWrap w:val="0"/>
            <w:vAlign w:val="center"/>
          </w:tcPr>
          <w:p w14:paraId="6EF63578">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1、安装验收计划</w:t>
            </w:r>
          </w:p>
          <w:p w14:paraId="672944DC">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2、安装验收文件</w:t>
            </w:r>
          </w:p>
          <w:p w14:paraId="6899549F">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3、系统操作手册</w:t>
            </w:r>
          </w:p>
          <w:p w14:paraId="296B2BDA">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4、系统维护手册</w:t>
            </w:r>
          </w:p>
          <w:p w14:paraId="7AB4C3E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5、系统说明书</w:t>
            </w:r>
          </w:p>
          <w:p w14:paraId="62F649D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6、系统安装手册</w:t>
            </w:r>
          </w:p>
        </w:tc>
      </w:tr>
      <w:tr w14:paraId="01B6C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0475C005">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6</w:t>
            </w:r>
          </w:p>
        </w:tc>
        <w:tc>
          <w:tcPr>
            <w:tcW w:w="1776" w:type="dxa"/>
            <w:noWrap w:val="0"/>
            <w:vAlign w:val="center"/>
          </w:tcPr>
          <w:p w14:paraId="5C1899BC">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bCs/>
                <w:kern w:val="0"/>
                <w:szCs w:val="21"/>
              </w:rPr>
            </w:pPr>
            <w:r>
              <w:rPr>
                <w:rFonts w:hint="eastAsia" w:ascii="宋体" w:hAnsi="宋体" w:cs="宋体"/>
                <w:bCs/>
                <w:kern w:val="0"/>
                <w:szCs w:val="21"/>
              </w:rPr>
              <w:t>系统测试</w:t>
            </w:r>
          </w:p>
        </w:tc>
        <w:tc>
          <w:tcPr>
            <w:tcW w:w="6082" w:type="dxa"/>
            <w:noWrap w:val="0"/>
            <w:vAlign w:val="center"/>
          </w:tcPr>
          <w:p w14:paraId="5EE6792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1、系统测试计划</w:t>
            </w:r>
          </w:p>
          <w:p w14:paraId="7BF05C73">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2、系统测试报告</w:t>
            </w:r>
          </w:p>
          <w:p w14:paraId="2F8BDB6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3、故障处理报告</w:t>
            </w:r>
          </w:p>
        </w:tc>
      </w:tr>
      <w:tr w14:paraId="196FB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6A91FBFF">
            <w:pPr>
              <w:keepNext w:val="0"/>
              <w:keepLines w:val="0"/>
              <w:suppressLineNumbers w:val="0"/>
              <w:tabs>
                <w:tab w:val="left" w:pos="420"/>
              </w:tabs>
              <w:adjustRightInd w:val="0"/>
              <w:snapToGrid w:val="0"/>
              <w:spacing w:before="0" w:beforeAutospacing="0" w:after="0" w:afterAutospacing="0" w:line="440" w:lineRule="exact"/>
              <w:ind w:left="0" w:right="0"/>
              <w:jc w:val="center"/>
              <w:rPr>
                <w:rFonts w:hint="eastAsia" w:ascii="宋体" w:hAnsi="宋体" w:cs="宋体"/>
                <w:bCs/>
                <w:kern w:val="0"/>
                <w:szCs w:val="21"/>
              </w:rPr>
            </w:pPr>
            <w:r>
              <w:rPr>
                <w:rFonts w:hint="eastAsia" w:ascii="宋体" w:hAnsi="宋体" w:cs="宋体"/>
                <w:bCs/>
                <w:kern w:val="0"/>
                <w:szCs w:val="21"/>
              </w:rPr>
              <w:t>7</w:t>
            </w:r>
          </w:p>
        </w:tc>
        <w:tc>
          <w:tcPr>
            <w:tcW w:w="1776" w:type="dxa"/>
            <w:noWrap w:val="0"/>
            <w:vAlign w:val="center"/>
          </w:tcPr>
          <w:p w14:paraId="18DD072F">
            <w:pPr>
              <w:keepNext w:val="0"/>
              <w:keepLines w:val="0"/>
              <w:suppressLineNumbers w:val="0"/>
              <w:tabs>
                <w:tab w:val="left" w:pos="420"/>
              </w:tabs>
              <w:adjustRightInd w:val="0"/>
              <w:snapToGrid w:val="0"/>
              <w:spacing w:before="0" w:beforeAutospacing="0" w:after="0" w:afterAutospacing="0" w:line="440" w:lineRule="exact"/>
              <w:ind w:left="0" w:right="0" w:firstLine="420" w:firstLineChars="200"/>
              <w:jc w:val="left"/>
              <w:rPr>
                <w:rFonts w:hint="eastAsia" w:ascii="宋体" w:hAnsi="宋体" w:cs="宋体"/>
                <w:bCs/>
                <w:kern w:val="0"/>
                <w:szCs w:val="21"/>
              </w:rPr>
            </w:pPr>
            <w:r>
              <w:rPr>
                <w:rFonts w:hint="eastAsia" w:ascii="宋体" w:hAnsi="宋体" w:cs="宋体"/>
                <w:bCs/>
                <w:kern w:val="0"/>
                <w:szCs w:val="21"/>
              </w:rPr>
              <w:t>终验阶段</w:t>
            </w:r>
          </w:p>
        </w:tc>
        <w:tc>
          <w:tcPr>
            <w:tcW w:w="6082" w:type="dxa"/>
            <w:noWrap w:val="0"/>
            <w:vAlign w:val="center"/>
          </w:tcPr>
          <w:p w14:paraId="253F62F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1、系统终验报告</w:t>
            </w:r>
          </w:p>
          <w:p w14:paraId="7BC8B44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2、最终技术文件</w:t>
            </w:r>
          </w:p>
          <w:p w14:paraId="1FB1F182">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3、项目竣工文档(纸质文件6套、电子文件二套)</w:t>
            </w:r>
          </w:p>
          <w:p w14:paraId="6A6311EE">
            <w:pPr>
              <w:keepNext w:val="0"/>
              <w:keepLines w:val="0"/>
              <w:suppressLineNumbers w:val="0"/>
              <w:tabs>
                <w:tab w:val="left" w:pos="420"/>
              </w:tabs>
              <w:adjustRightInd w:val="0"/>
              <w:snapToGrid w:val="0"/>
              <w:spacing w:before="0" w:beforeAutospacing="0" w:after="0" w:afterAutospacing="0" w:line="440" w:lineRule="exact"/>
              <w:ind w:left="0" w:right="0"/>
              <w:jc w:val="left"/>
              <w:rPr>
                <w:rFonts w:hint="eastAsia" w:ascii="宋体" w:hAnsi="宋体" w:cs="宋体"/>
                <w:bCs/>
                <w:kern w:val="0"/>
                <w:szCs w:val="21"/>
              </w:rPr>
            </w:pPr>
            <w:r>
              <w:rPr>
                <w:rFonts w:hint="eastAsia" w:ascii="宋体" w:hAnsi="宋体" w:cs="宋体"/>
                <w:bCs/>
                <w:kern w:val="0"/>
                <w:szCs w:val="21"/>
              </w:rPr>
              <w:t>4、培训文档</w:t>
            </w:r>
          </w:p>
        </w:tc>
      </w:tr>
      <w:bookmarkEnd w:id="87"/>
    </w:tbl>
    <w:p w14:paraId="6F87BDF4">
      <w:pPr>
        <w:spacing w:line="440" w:lineRule="exact"/>
        <w:rPr>
          <w:rFonts w:hint="eastAsia" w:ascii="宋体" w:hAnsi="宋体" w:eastAsia="宋体" w:cs="宋体"/>
          <w:b/>
          <w:bCs/>
          <w:szCs w:val="21"/>
        </w:rPr>
      </w:pPr>
      <w:bookmarkStart w:id="104" w:name="_Toc270685504"/>
      <w:bookmarkStart w:id="105" w:name="_Toc204592778"/>
      <w:bookmarkStart w:id="106" w:name="_Toc136230048"/>
      <w:bookmarkStart w:id="107" w:name="_Toc119140875"/>
      <w:bookmarkStart w:id="108" w:name="_Toc414004295"/>
      <w:bookmarkStart w:id="109" w:name="_Toc509033984"/>
      <w:bookmarkStart w:id="110" w:name="_Toc270688009"/>
      <w:bookmarkStart w:id="111" w:name="_Toc130888805"/>
      <w:bookmarkStart w:id="112" w:name="_Toc119945109"/>
      <w:bookmarkStart w:id="113" w:name="_Toc270689672"/>
      <w:bookmarkStart w:id="114" w:name="_Toc203206425"/>
      <w:bookmarkStart w:id="115" w:name="_Toc119945225"/>
      <w:bookmarkStart w:id="116" w:name="_Toc270684932"/>
      <w:bookmarkStart w:id="117" w:name="_Toc20393"/>
      <w:bookmarkStart w:id="118" w:name="_Toc203205324"/>
      <w:r>
        <w:rPr>
          <w:rFonts w:hint="eastAsia" w:ascii="宋体" w:hAnsi="宋体" w:eastAsia="宋体" w:cs="宋体"/>
          <w:b/>
          <w:bCs/>
          <w:szCs w:val="21"/>
          <w:lang w:val="en-US" w:eastAsia="zh-CN"/>
        </w:rPr>
        <w:t>七</w:t>
      </w:r>
      <w:r>
        <w:rPr>
          <w:rFonts w:hint="eastAsia" w:ascii="宋体" w:hAnsi="宋体" w:eastAsia="宋体" w:cs="宋体"/>
          <w:b/>
          <w:bCs/>
          <w:szCs w:val="21"/>
        </w:rPr>
        <w:t>、培训</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22F2B68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本项目培训为现场培训（免费，人数不限），要求如下：</w:t>
      </w:r>
    </w:p>
    <w:p w14:paraId="161C11A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7.1 </w:t>
      </w:r>
      <w:r>
        <w:rPr>
          <w:rFonts w:hint="eastAsia" w:ascii="宋体" w:hAnsi="宋体" w:cs="宋体"/>
          <w:kern w:val="0"/>
          <w:szCs w:val="21"/>
          <w:highlight w:val="none"/>
          <w:lang w:eastAsia="zh-CN"/>
        </w:rPr>
        <w:t>中标人</w:t>
      </w:r>
      <w:r>
        <w:rPr>
          <w:rFonts w:hint="eastAsia" w:ascii="宋体" w:hAnsi="宋体" w:cs="宋体"/>
          <w:kern w:val="0"/>
          <w:szCs w:val="21"/>
          <w:highlight w:val="none"/>
        </w:rPr>
        <w:t>派出经验丰富的技术人员对买方的维修、操作人员进行现场培训。</w:t>
      </w:r>
    </w:p>
    <w:p w14:paraId="2F2814B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7.2 现场培训在本项目终验之后进行，该培训在控制中心进行，培训的内容包括正常操作程序和如何处理紧急情况。</w:t>
      </w:r>
    </w:p>
    <w:p w14:paraId="0574E3B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7.3 现场培训包括安装、调试、维护等项内容，使维护人员掌握操作维护</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提供的设备、专用仪表的能力。</w:t>
      </w:r>
    </w:p>
    <w:p w14:paraId="0D770F1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7.4 </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提供培训人员所需的设备、工具、仪器仪表等。</w:t>
      </w:r>
    </w:p>
    <w:p w14:paraId="7704865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19" w:name="_Toc270684933"/>
      <w:bookmarkStart w:id="120" w:name="_Toc48443677"/>
      <w:bookmarkStart w:id="121" w:name="_Toc22825"/>
      <w:bookmarkStart w:id="122" w:name="_Toc198967522"/>
      <w:bookmarkStart w:id="123" w:name="_Toc203206432"/>
      <w:bookmarkStart w:id="124" w:name="_Toc198968314"/>
      <w:bookmarkStart w:id="125" w:name="_Toc204592783"/>
      <w:bookmarkStart w:id="126" w:name="_Toc414004296"/>
      <w:bookmarkStart w:id="127" w:name="_Toc270689673"/>
      <w:bookmarkStart w:id="128" w:name="_Toc270688010"/>
      <w:bookmarkStart w:id="129" w:name="_Toc49593672"/>
      <w:bookmarkStart w:id="130" w:name="_Toc270685505"/>
      <w:bookmarkStart w:id="131" w:name="_Toc199246701"/>
      <w:bookmarkStart w:id="132" w:name="_Toc48382253"/>
      <w:r>
        <w:rPr>
          <w:rFonts w:hint="eastAsia" w:ascii="宋体" w:hAnsi="宋体" w:cs="宋体"/>
          <w:kern w:val="0"/>
          <w:szCs w:val="21"/>
          <w:highlight w:val="none"/>
        </w:rPr>
        <w:t xml:space="preserve">7.5 </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提供培训的相关资料及文本。</w:t>
      </w:r>
    </w:p>
    <w:p w14:paraId="74085C2B">
      <w:pPr>
        <w:tabs>
          <w:tab w:val="left" w:pos="420"/>
        </w:tabs>
        <w:adjustRightInd w:val="0"/>
        <w:snapToGrid w:val="0"/>
        <w:spacing w:line="440" w:lineRule="exact"/>
        <w:jc w:val="left"/>
        <w:rPr>
          <w:rFonts w:hint="eastAsia" w:ascii="宋体" w:hAnsi="宋体" w:cs="宋体"/>
          <w:b/>
          <w:kern w:val="0"/>
          <w:szCs w:val="21"/>
        </w:rPr>
      </w:pPr>
      <w:r>
        <w:rPr>
          <w:rFonts w:hint="eastAsia" w:ascii="宋体" w:hAnsi="宋体" w:cs="宋体"/>
          <w:b/>
          <w:kern w:val="0"/>
          <w:szCs w:val="21"/>
          <w:lang w:val="en-US" w:eastAsia="zh-CN"/>
        </w:rPr>
        <w:t>八</w:t>
      </w:r>
      <w:r>
        <w:rPr>
          <w:rFonts w:hint="eastAsia" w:ascii="宋体" w:hAnsi="宋体" w:cs="宋体"/>
          <w:b/>
          <w:kern w:val="0"/>
          <w:szCs w:val="21"/>
        </w:rPr>
        <w:t>、试验、检验、验收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Start w:id="133" w:name="_Toc508891162"/>
      <w:bookmarkStart w:id="134" w:name="_Toc502480351"/>
      <w:bookmarkStart w:id="135" w:name="_Toc48443679"/>
      <w:bookmarkStart w:id="136" w:name="_Toc508685005"/>
      <w:bookmarkStart w:id="137" w:name="_Toc39297924"/>
      <w:bookmarkStart w:id="138" w:name="_Toc198968315"/>
      <w:bookmarkStart w:id="139" w:name="_Toc508685078"/>
      <w:bookmarkStart w:id="140" w:name="_Toc508089936"/>
      <w:bookmarkStart w:id="141" w:name="_Toc508704371"/>
      <w:bookmarkStart w:id="142" w:name="_Toc48382255"/>
      <w:bookmarkStart w:id="143" w:name="_Toc49593674"/>
    </w:p>
    <w:p w14:paraId="12752DFA">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144" w:name="_Toc270684934"/>
      <w:bookmarkStart w:id="145" w:name="_Toc203206433"/>
      <w:bookmarkStart w:id="146" w:name="_Toc414004297"/>
      <w:bookmarkStart w:id="147" w:name="_Toc204592784"/>
      <w:bookmarkStart w:id="148" w:name="_Toc270685506"/>
      <w:bookmarkStart w:id="149" w:name="_Toc270688011"/>
      <w:bookmarkStart w:id="150" w:name="_Toc270689674"/>
      <w:bookmarkStart w:id="151" w:name="_Toc417"/>
      <w:bookmarkStart w:id="152" w:name="_Toc199246702"/>
      <w:r>
        <w:rPr>
          <w:rFonts w:hint="eastAsia" w:ascii="宋体" w:hAnsi="宋体" w:cs="宋体"/>
          <w:kern w:val="0"/>
          <w:szCs w:val="21"/>
        </w:rPr>
        <w:t>8.1 到货检查</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18514A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53" w:name="_Toc203206434"/>
      <w:r>
        <w:rPr>
          <w:rFonts w:hint="eastAsia" w:ascii="宋体" w:hAnsi="宋体" w:cs="宋体"/>
          <w:kern w:val="0"/>
          <w:szCs w:val="21"/>
          <w:highlight w:val="none"/>
        </w:rPr>
        <w:t>合同项下的设备、材料和技术文件运抵规定的交货地点后，</w:t>
      </w:r>
      <w:r>
        <w:rPr>
          <w:rFonts w:hint="eastAsia" w:ascii="宋体" w:hAnsi="宋体" w:cs="宋体"/>
          <w:kern w:val="0"/>
          <w:szCs w:val="21"/>
          <w:highlight w:val="none"/>
          <w:lang w:val="en-US" w:eastAsia="zh-CN"/>
        </w:rPr>
        <w:t>招标人、中标人</w:t>
      </w:r>
      <w:r>
        <w:rPr>
          <w:rFonts w:hint="eastAsia" w:ascii="宋体" w:hAnsi="宋体" w:cs="宋体"/>
          <w:kern w:val="0"/>
          <w:szCs w:val="21"/>
          <w:highlight w:val="none"/>
        </w:rPr>
        <w:t>双方人员共同对其进行检查，并</w:t>
      </w:r>
      <w:r>
        <w:rPr>
          <w:rFonts w:hint="eastAsia" w:ascii="宋体" w:hAnsi="宋体" w:cs="宋体"/>
          <w:kern w:val="0"/>
          <w:szCs w:val="21"/>
          <w:highlight w:val="none"/>
          <w:lang w:eastAsia="zh-CN"/>
        </w:rPr>
        <w:t>认真做好</w:t>
      </w:r>
      <w:r>
        <w:rPr>
          <w:rFonts w:hint="eastAsia" w:ascii="宋体" w:hAnsi="宋体" w:cs="宋体"/>
          <w:kern w:val="0"/>
          <w:szCs w:val="21"/>
          <w:highlight w:val="none"/>
        </w:rPr>
        <w:t>交接记录，各方签字。</w:t>
      </w:r>
      <w:bookmarkEnd w:id="153"/>
    </w:p>
    <w:p w14:paraId="071FBED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54" w:name="_Toc203206435"/>
      <w:r>
        <w:rPr>
          <w:rFonts w:hint="eastAsia" w:ascii="宋体" w:hAnsi="宋体" w:cs="宋体"/>
          <w:kern w:val="0"/>
          <w:szCs w:val="21"/>
          <w:highlight w:val="none"/>
        </w:rPr>
        <w:t>检查的内容主要有：满足合同对包装的要求；外观良好，运输途中未受损；</w:t>
      </w:r>
      <w:bookmarkEnd w:id="154"/>
    </w:p>
    <w:p w14:paraId="134F23C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55" w:name="_Toc203206436"/>
      <w:r>
        <w:rPr>
          <w:rFonts w:hint="eastAsia" w:ascii="宋体" w:hAnsi="宋体" w:cs="宋体"/>
          <w:kern w:val="0"/>
          <w:szCs w:val="21"/>
          <w:highlight w:val="none"/>
        </w:rPr>
        <w:t>编号、数量和名称与合同要求的货物清单核实无误。</w:t>
      </w:r>
      <w:bookmarkEnd w:id="155"/>
    </w:p>
    <w:p w14:paraId="2593653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56" w:name="_Toc48443680"/>
      <w:bookmarkStart w:id="157" w:name="_Toc199246703"/>
      <w:bookmarkStart w:id="158" w:name="_Toc198968316"/>
      <w:bookmarkStart w:id="159" w:name="_Toc39297925"/>
      <w:bookmarkStart w:id="160" w:name="_Toc270688012"/>
      <w:bookmarkStart w:id="161" w:name="_Toc270689675"/>
      <w:bookmarkStart w:id="162" w:name="_Toc2437"/>
      <w:bookmarkStart w:id="163" w:name="_Toc502480352"/>
      <w:bookmarkStart w:id="164" w:name="_Toc270685507"/>
      <w:bookmarkStart w:id="165" w:name="_Toc204592785"/>
      <w:bookmarkStart w:id="166" w:name="_Toc48382256"/>
      <w:bookmarkStart w:id="167" w:name="_Toc414004298"/>
      <w:bookmarkStart w:id="168" w:name="_Toc203206437"/>
      <w:bookmarkStart w:id="169" w:name="_Toc508685079"/>
      <w:bookmarkStart w:id="170" w:name="_Toc508089937"/>
      <w:bookmarkStart w:id="171" w:name="_Toc508891163"/>
      <w:bookmarkStart w:id="172" w:name="_Toc508685006"/>
      <w:bookmarkStart w:id="173" w:name="_Toc49593675"/>
      <w:bookmarkStart w:id="174" w:name="_Toc508704372"/>
      <w:bookmarkStart w:id="175" w:name="_Toc270684935"/>
      <w:r>
        <w:rPr>
          <w:rFonts w:hint="eastAsia" w:ascii="宋体" w:hAnsi="宋体" w:cs="宋体"/>
          <w:kern w:val="0"/>
          <w:szCs w:val="21"/>
          <w:highlight w:val="none"/>
        </w:rPr>
        <w:t>8.2 开箱检验</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8AB856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76" w:name="_Toc203206438"/>
      <w:r>
        <w:rPr>
          <w:rFonts w:hint="eastAsia" w:ascii="宋体" w:hAnsi="宋体" w:cs="宋体"/>
          <w:kern w:val="0"/>
          <w:szCs w:val="21"/>
          <w:highlight w:val="none"/>
        </w:rPr>
        <w:t>在设备运到现场规定时间内，</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与</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到现场进行开箱检查若发现有诸如数量、型号、和外观与合同不符以及存在的质量问题，均由</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负责。开箱检查结果，不免除供应商对产品功能方面的任何责任。</w:t>
      </w:r>
      <w:bookmarkEnd w:id="176"/>
    </w:p>
    <w:p w14:paraId="6FF5531C">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77" w:name="_Toc204592786"/>
      <w:bookmarkStart w:id="178" w:name="_Toc508685007"/>
      <w:bookmarkStart w:id="179" w:name="_Toc203206439"/>
      <w:bookmarkStart w:id="180" w:name="_Toc270689676"/>
      <w:bookmarkStart w:id="181" w:name="_Toc199246704"/>
      <w:bookmarkStart w:id="182" w:name="_Toc48382257"/>
      <w:bookmarkStart w:id="183" w:name="_Toc414004299"/>
      <w:bookmarkStart w:id="184" w:name="_Toc270684936"/>
      <w:bookmarkStart w:id="185" w:name="_Toc39297926"/>
      <w:bookmarkStart w:id="186" w:name="_Toc270685508"/>
      <w:bookmarkStart w:id="187" w:name="_Toc15713"/>
      <w:bookmarkStart w:id="188" w:name="_Toc502480353"/>
      <w:bookmarkStart w:id="189" w:name="_Toc48443681"/>
      <w:bookmarkStart w:id="190" w:name="_Toc508089938"/>
      <w:bookmarkStart w:id="191" w:name="_Toc49593676"/>
      <w:bookmarkStart w:id="192" w:name="_Toc508685080"/>
      <w:bookmarkStart w:id="193" w:name="_Toc508704373"/>
      <w:bookmarkStart w:id="194" w:name="_Toc508891164"/>
      <w:bookmarkStart w:id="195" w:name="_Toc270688013"/>
      <w:bookmarkStart w:id="196" w:name="_Toc198968317"/>
      <w:r>
        <w:rPr>
          <w:rFonts w:hint="eastAsia" w:ascii="宋体" w:hAnsi="宋体" w:cs="宋体"/>
          <w:kern w:val="0"/>
          <w:szCs w:val="21"/>
          <w:highlight w:val="none"/>
        </w:rPr>
        <w:t>8.3 竣工验收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FB4AEC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197" w:name="_Toc48456544"/>
      <w:bookmarkStart w:id="198" w:name="_Toc42398431"/>
      <w:r>
        <w:rPr>
          <w:rFonts w:hint="eastAsia" w:ascii="宋体" w:hAnsi="宋体" w:cs="宋体"/>
          <w:kern w:val="0"/>
          <w:szCs w:val="21"/>
          <w:highlight w:val="none"/>
        </w:rPr>
        <w:t xml:space="preserve">8.3.1 </w:t>
      </w:r>
      <w:r>
        <w:rPr>
          <w:rFonts w:hint="eastAsia" w:ascii="宋体" w:hAnsi="宋体" w:cs="宋体"/>
          <w:kern w:val="0"/>
          <w:szCs w:val="21"/>
          <w:highlight w:val="none"/>
          <w:lang w:eastAsia="zh-CN"/>
        </w:rPr>
        <w:t>中标人</w:t>
      </w:r>
      <w:r>
        <w:rPr>
          <w:rFonts w:hint="eastAsia" w:ascii="宋体" w:hAnsi="宋体" w:cs="宋体"/>
          <w:kern w:val="0"/>
          <w:szCs w:val="21"/>
          <w:highlight w:val="none"/>
        </w:rPr>
        <w:t>应提前根据工程进度要求，制定设备安装、验收计划，提交</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审核，由</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审批、确认。</w:t>
      </w:r>
    </w:p>
    <w:p w14:paraId="7C08F35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8.3.2 安装完成后，</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按照</w:t>
      </w:r>
      <w:r>
        <w:rPr>
          <w:rFonts w:hint="eastAsia" w:ascii="宋体" w:hAnsi="宋体" w:cs="宋体"/>
          <w:kern w:val="0"/>
          <w:szCs w:val="21"/>
          <w:highlight w:val="none"/>
          <w:lang w:eastAsia="zh-CN"/>
        </w:rPr>
        <w:t>中标人</w:t>
      </w:r>
      <w:r>
        <w:rPr>
          <w:rFonts w:hint="eastAsia" w:ascii="宋体" w:hAnsi="宋体" w:cs="宋体"/>
          <w:kern w:val="0"/>
          <w:szCs w:val="21"/>
          <w:highlight w:val="none"/>
        </w:rPr>
        <w:t>制定安装验收计划和行</w:t>
      </w:r>
      <w:r>
        <w:rPr>
          <w:rFonts w:hint="eastAsia" w:ascii="宋体" w:hAnsi="宋体" w:cs="宋体"/>
          <w:kern w:val="0"/>
          <w:szCs w:val="21"/>
        </w:rPr>
        <w:t>业相关安装验收标准进行竣工验收。</w:t>
      </w:r>
    </w:p>
    <w:p w14:paraId="36E0B7E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竣工验收应包括但不限于以下内容：</w:t>
      </w:r>
    </w:p>
    <w:p w14:paraId="4D773EB8">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（1）所有设备、电缆布线和配电安全、可靠。</w:t>
      </w:r>
    </w:p>
    <w:p w14:paraId="57DEEAB3">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2</w:t>
      </w:r>
      <w:r>
        <w:rPr>
          <w:rFonts w:hint="eastAsia" w:ascii="宋体" w:hAnsi="宋体" w:eastAsia="宋体" w:cs="宋体"/>
          <w:kern w:val="0"/>
          <w:szCs w:val="21"/>
        </w:rPr>
        <w:t>）所有电源要加保险或其它保护，使得在故障情况下能安全自动断开。</w:t>
      </w:r>
    </w:p>
    <w:p w14:paraId="4798AA18">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3</w:t>
      </w:r>
      <w:r>
        <w:rPr>
          <w:rFonts w:hint="eastAsia" w:ascii="宋体" w:hAnsi="宋体" w:eastAsia="宋体" w:cs="宋体"/>
          <w:kern w:val="0"/>
          <w:szCs w:val="21"/>
        </w:rPr>
        <w:t>）所有保护盖要合适。提示和标签要正确，并安装在适当的位置。</w:t>
      </w:r>
    </w:p>
    <w:p w14:paraId="1727A07D">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4</w:t>
      </w:r>
      <w:r>
        <w:rPr>
          <w:rFonts w:hint="eastAsia" w:ascii="宋体" w:hAnsi="宋体" w:eastAsia="宋体" w:cs="宋体"/>
          <w:kern w:val="0"/>
          <w:szCs w:val="21"/>
        </w:rPr>
        <w:t>）电缆和设备的绝缘电阻要大于IEC规定要求。</w:t>
      </w:r>
    </w:p>
    <w:p w14:paraId="7C203A3C">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5</w:t>
      </w:r>
      <w:r>
        <w:rPr>
          <w:rFonts w:hint="eastAsia" w:ascii="宋体" w:hAnsi="宋体" w:eastAsia="宋体" w:cs="宋体"/>
          <w:kern w:val="0"/>
          <w:szCs w:val="21"/>
        </w:rPr>
        <w:t>）所有用于故障指示和报警的电子回路应工作正常。</w:t>
      </w:r>
    </w:p>
    <w:p w14:paraId="3D0EB5EC">
      <w:pPr>
        <w:tabs>
          <w:tab w:val="left" w:pos="420"/>
        </w:tabs>
        <w:adjustRightInd w:val="0"/>
        <w:snapToGrid w:val="0"/>
        <w:spacing w:line="440" w:lineRule="exact"/>
        <w:ind w:firstLine="420" w:firstLineChars="200"/>
        <w:jc w:val="left"/>
        <w:rPr>
          <w:rFonts w:hint="eastAsia" w:ascii="宋体" w:hAnsi="宋体" w:eastAsia="宋体" w:cs="宋体"/>
          <w:kern w:val="0"/>
          <w:szCs w:val="21"/>
          <w:lang w:val="en-US"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6</w:t>
      </w:r>
      <w:r>
        <w:rPr>
          <w:rFonts w:hint="eastAsia" w:ascii="宋体" w:hAnsi="宋体" w:eastAsia="宋体" w:cs="宋体"/>
          <w:kern w:val="0"/>
          <w:szCs w:val="21"/>
        </w:rPr>
        <w:t>）设备外观检查：（现场检查，据图核对）</w:t>
      </w:r>
      <w:r>
        <w:rPr>
          <w:rFonts w:hint="eastAsia" w:ascii="宋体" w:hAnsi="宋体" w:eastAsia="宋体" w:cs="宋体"/>
          <w:kern w:val="0"/>
          <w:szCs w:val="21"/>
          <w:lang w:eastAsia="zh-CN"/>
        </w:rPr>
        <w:t>。</w:t>
      </w:r>
    </w:p>
    <w:p w14:paraId="164BB90F">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7</w:t>
      </w:r>
      <w:r>
        <w:rPr>
          <w:rFonts w:hint="eastAsia" w:ascii="宋体" w:hAnsi="宋体" w:eastAsia="宋体" w:cs="宋体"/>
          <w:kern w:val="0"/>
          <w:szCs w:val="21"/>
        </w:rPr>
        <w:t>）机房内设备整齐，连接可靠，标志、标识齐全清晰，绝缘接地符合要求，</w:t>
      </w:r>
    </w:p>
    <w:p w14:paraId="3B76A010">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（8）在检查过程中，如发现</w:t>
      </w:r>
      <w:r>
        <w:rPr>
          <w:rFonts w:hint="eastAsia" w:ascii="宋体" w:hAnsi="宋体" w:eastAsia="宋体" w:cs="宋体"/>
          <w:kern w:val="0"/>
          <w:szCs w:val="21"/>
          <w:lang w:eastAsia="zh-CN"/>
        </w:rPr>
        <w:t>中标人</w:t>
      </w:r>
      <w:r>
        <w:rPr>
          <w:rFonts w:hint="eastAsia" w:ascii="宋体" w:hAnsi="宋体" w:eastAsia="宋体" w:cs="宋体"/>
          <w:kern w:val="0"/>
          <w:szCs w:val="21"/>
        </w:rPr>
        <w:t>未能满足施工图和甲方需求表的功能要求，</w:t>
      </w:r>
      <w:r>
        <w:rPr>
          <w:rFonts w:hint="eastAsia" w:ascii="宋体" w:hAnsi="宋体" w:eastAsia="宋体" w:cs="宋体"/>
          <w:kern w:val="0"/>
          <w:szCs w:val="21"/>
          <w:lang w:eastAsia="zh-CN"/>
        </w:rPr>
        <w:t>中标人</w:t>
      </w:r>
      <w:r>
        <w:rPr>
          <w:rFonts w:hint="eastAsia" w:ascii="宋体" w:hAnsi="宋体" w:eastAsia="宋体" w:cs="宋体"/>
          <w:kern w:val="0"/>
          <w:szCs w:val="21"/>
        </w:rPr>
        <w:t>应无条件的按照要求进行整改，直至达到规定的要求。</w:t>
      </w:r>
    </w:p>
    <w:p w14:paraId="161570BE">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8.3.3 对未通过验收的安装项目，</w:t>
      </w:r>
      <w:r>
        <w:rPr>
          <w:rFonts w:hint="eastAsia" w:ascii="宋体" w:hAnsi="宋体" w:eastAsia="宋体" w:cs="宋体"/>
          <w:kern w:val="0"/>
          <w:szCs w:val="21"/>
          <w:lang w:val="en-US" w:eastAsia="zh-CN"/>
        </w:rPr>
        <w:t>招标人</w:t>
      </w:r>
      <w:r>
        <w:rPr>
          <w:rFonts w:hint="eastAsia" w:ascii="宋体" w:hAnsi="宋体" w:eastAsia="宋体" w:cs="宋体"/>
          <w:kern w:val="0"/>
          <w:szCs w:val="21"/>
        </w:rPr>
        <w:t>向</w:t>
      </w:r>
      <w:r>
        <w:rPr>
          <w:rFonts w:hint="eastAsia" w:ascii="宋体" w:hAnsi="宋体" w:eastAsia="宋体" w:cs="宋体"/>
          <w:kern w:val="0"/>
          <w:szCs w:val="21"/>
          <w:lang w:eastAsia="zh-CN"/>
        </w:rPr>
        <w:t>中标人</w:t>
      </w:r>
      <w:r>
        <w:rPr>
          <w:rFonts w:hint="eastAsia" w:ascii="宋体" w:hAnsi="宋体" w:eastAsia="宋体" w:cs="宋体"/>
          <w:kern w:val="0"/>
          <w:szCs w:val="21"/>
        </w:rPr>
        <w:t>发出修改、替换通知，限期修改、替换，由此而发生的费用由</w:t>
      </w:r>
      <w:r>
        <w:rPr>
          <w:rFonts w:hint="eastAsia" w:ascii="宋体" w:hAnsi="宋体" w:eastAsia="宋体" w:cs="宋体"/>
          <w:kern w:val="0"/>
          <w:szCs w:val="21"/>
          <w:lang w:eastAsia="zh-CN"/>
        </w:rPr>
        <w:t>中标人</w:t>
      </w:r>
      <w:r>
        <w:rPr>
          <w:rFonts w:hint="eastAsia" w:ascii="宋体" w:hAnsi="宋体" w:eastAsia="宋体" w:cs="宋体"/>
          <w:kern w:val="0"/>
          <w:szCs w:val="21"/>
        </w:rPr>
        <w:t>承担。</w:t>
      </w:r>
    </w:p>
    <w:p w14:paraId="5B65D0BD">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8.3.4 竣工验收设备功能需满足</w:t>
      </w:r>
      <w:r>
        <w:rPr>
          <w:rFonts w:hint="eastAsia" w:ascii="宋体" w:hAnsi="宋体" w:eastAsia="宋体" w:cs="宋体"/>
          <w:kern w:val="0"/>
          <w:szCs w:val="21"/>
          <w:lang w:val="en-US" w:eastAsia="zh-CN"/>
        </w:rPr>
        <w:t>招标人</w:t>
      </w:r>
      <w:r>
        <w:rPr>
          <w:rFonts w:hint="eastAsia" w:ascii="宋体" w:hAnsi="宋体" w:eastAsia="宋体" w:cs="宋体"/>
          <w:kern w:val="0"/>
          <w:szCs w:val="21"/>
        </w:rPr>
        <w:t>要求的所有功能，如果系统功能不满足合同规定的技术要求，</w:t>
      </w:r>
      <w:r>
        <w:rPr>
          <w:rFonts w:hint="eastAsia" w:ascii="宋体" w:hAnsi="宋体" w:eastAsia="宋体" w:cs="宋体"/>
          <w:kern w:val="0"/>
          <w:szCs w:val="21"/>
          <w:lang w:val="en-US" w:eastAsia="zh-CN"/>
        </w:rPr>
        <w:t>中标人</w:t>
      </w:r>
      <w:r>
        <w:rPr>
          <w:rFonts w:hint="eastAsia" w:ascii="宋体" w:hAnsi="宋体" w:eastAsia="宋体" w:cs="宋体"/>
          <w:kern w:val="0"/>
          <w:szCs w:val="21"/>
        </w:rPr>
        <w:t>必须在规定的时间内进行解决，由此引起的一切费用由</w:t>
      </w:r>
      <w:r>
        <w:rPr>
          <w:rFonts w:hint="eastAsia" w:ascii="宋体" w:hAnsi="宋体" w:eastAsia="宋体" w:cs="宋体"/>
          <w:kern w:val="0"/>
          <w:szCs w:val="21"/>
          <w:lang w:val="en-US" w:eastAsia="zh-CN"/>
        </w:rPr>
        <w:t>中标人</w:t>
      </w:r>
      <w:r>
        <w:rPr>
          <w:rFonts w:hint="eastAsia" w:ascii="宋体" w:hAnsi="宋体" w:eastAsia="宋体" w:cs="宋体"/>
          <w:kern w:val="0"/>
          <w:szCs w:val="21"/>
        </w:rPr>
        <w:t>负责。</w:t>
      </w:r>
    </w:p>
    <w:p w14:paraId="22E779CC">
      <w:pPr>
        <w:tabs>
          <w:tab w:val="left" w:pos="420"/>
        </w:tabs>
        <w:adjustRightInd w:val="0"/>
        <w:snapToGrid w:val="0"/>
        <w:spacing w:line="440" w:lineRule="exact"/>
        <w:ind w:firstLine="420" w:firstLineChars="200"/>
        <w:jc w:val="left"/>
        <w:rPr>
          <w:rFonts w:hint="eastAsia" w:ascii="宋体" w:hAnsi="宋体" w:eastAsia="宋体" w:cs="宋体"/>
          <w:kern w:val="0"/>
          <w:szCs w:val="21"/>
        </w:rPr>
      </w:pPr>
      <w:bookmarkStart w:id="199" w:name="_Toc204592787"/>
      <w:bookmarkStart w:id="200" w:name="_Toc48462671"/>
      <w:bookmarkStart w:id="201" w:name="_Toc49593685"/>
      <w:bookmarkStart w:id="202" w:name="_Toc199246705"/>
      <w:bookmarkStart w:id="203" w:name="_Toc270684937"/>
      <w:bookmarkStart w:id="204" w:name="_Toc270688014"/>
      <w:bookmarkStart w:id="205" w:name="_Toc270689677"/>
      <w:bookmarkStart w:id="206" w:name="_Toc414004300"/>
      <w:bookmarkStart w:id="207" w:name="_Toc203206440"/>
      <w:bookmarkStart w:id="208" w:name="_Toc198968318"/>
      <w:bookmarkStart w:id="209" w:name="_Toc270685509"/>
      <w:bookmarkStart w:id="210" w:name="_Toc4322"/>
      <w:r>
        <w:rPr>
          <w:rFonts w:hint="eastAsia" w:ascii="宋体" w:hAnsi="宋体" w:eastAsia="宋体" w:cs="宋体"/>
          <w:kern w:val="0"/>
          <w:szCs w:val="21"/>
        </w:rPr>
        <w:t>8.4 最终验收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2A42950E">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质量保证期结束后四十五(45)天内，</w:t>
      </w:r>
      <w:r>
        <w:rPr>
          <w:rFonts w:hint="eastAsia" w:ascii="宋体" w:hAnsi="宋体" w:eastAsia="宋体" w:cs="宋体"/>
          <w:kern w:val="0"/>
          <w:szCs w:val="21"/>
          <w:lang w:val="en-US" w:eastAsia="zh-CN"/>
        </w:rPr>
        <w:t>招标人</w:t>
      </w:r>
      <w:r>
        <w:rPr>
          <w:rFonts w:hint="eastAsia" w:ascii="宋体" w:hAnsi="宋体" w:eastAsia="宋体" w:cs="宋体"/>
          <w:kern w:val="0"/>
          <w:szCs w:val="21"/>
        </w:rPr>
        <w:t>确认设备运行可靠，功能齐全、各项指标及技术参数全部合格，对本工程项目无异议，即可开具最终验收证书。</w:t>
      </w:r>
    </w:p>
    <w:p w14:paraId="059BD1C8">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若</w:t>
      </w:r>
      <w:r>
        <w:rPr>
          <w:rFonts w:hint="eastAsia" w:ascii="宋体" w:hAnsi="宋体" w:eastAsia="宋体" w:cs="宋体"/>
          <w:kern w:val="0"/>
          <w:szCs w:val="21"/>
          <w:lang w:val="en-US" w:eastAsia="zh-CN"/>
        </w:rPr>
        <w:t>招标人</w:t>
      </w:r>
      <w:r>
        <w:rPr>
          <w:rFonts w:hint="eastAsia" w:ascii="宋体" w:hAnsi="宋体" w:eastAsia="宋体" w:cs="宋体"/>
          <w:kern w:val="0"/>
          <w:szCs w:val="21"/>
        </w:rPr>
        <w:t>认为设备中出现的疏漏和错误不影响最终验收证书的签署，</w:t>
      </w:r>
      <w:r>
        <w:rPr>
          <w:rFonts w:hint="eastAsia" w:ascii="宋体" w:hAnsi="宋体" w:eastAsia="宋体" w:cs="宋体"/>
          <w:kern w:val="0"/>
          <w:szCs w:val="21"/>
          <w:lang w:val="en-US" w:eastAsia="zh-CN"/>
        </w:rPr>
        <w:t>招标人</w:t>
      </w:r>
      <w:r>
        <w:rPr>
          <w:rFonts w:hint="eastAsia" w:ascii="宋体" w:hAnsi="宋体" w:eastAsia="宋体" w:cs="宋体"/>
          <w:kern w:val="0"/>
          <w:szCs w:val="21"/>
        </w:rPr>
        <w:t>应签署最终验收证书并注明存在的疏漏和错误。</w:t>
      </w:r>
      <w:r>
        <w:rPr>
          <w:rFonts w:hint="eastAsia" w:ascii="宋体" w:hAnsi="宋体" w:eastAsia="宋体" w:cs="宋体"/>
          <w:kern w:val="0"/>
          <w:szCs w:val="21"/>
          <w:lang w:val="en-US" w:eastAsia="zh-CN"/>
        </w:rPr>
        <w:t>中标人</w:t>
      </w:r>
      <w:r>
        <w:rPr>
          <w:rFonts w:hint="eastAsia" w:ascii="宋体" w:hAnsi="宋体" w:eastAsia="宋体" w:cs="宋体"/>
          <w:kern w:val="0"/>
          <w:szCs w:val="21"/>
        </w:rPr>
        <w:t>应采取措施对存在的疏漏和错误(包括潜在的)进行修正，直至使</w:t>
      </w:r>
      <w:r>
        <w:rPr>
          <w:rFonts w:hint="eastAsia" w:ascii="宋体" w:hAnsi="宋体" w:eastAsia="宋体" w:cs="宋体"/>
          <w:kern w:val="0"/>
          <w:szCs w:val="21"/>
          <w:lang w:val="en-US" w:eastAsia="zh-CN"/>
        </w:rPr>
        <w:t>招标人</w:t>
      </w:r>
      <w:r>
        <w:rPr>
          <w:rFonts w:hint="eastAsia" w:ascii="宋体" w:hAnsi="宋体" w:eastAsia="宋体" w:cs="宋体"/>
          <w:kern w:val="0"/>
          <w:szCs w:val="21"/>
        </w:rPr>
        <w:t>满意为止。</w:t>
      </w:r>
    </w:p>
    <w:p w14:paraId="54B6116F">
      <w:pPr>
        <w:tabs>
          <w:tab w:val="left" w:pos="420"/>
        </w:tabs>
        <w:adjustRightInd w:val="0"/>
        <w:snapToGrid w:val="0"/>
        <w:spacing w:line="44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在质量保证期内，</w:t>
      </w:r>
      <w:r>
        <w:rPr>
          <w:rFonts w:hint="eastAsia" w:ascii="宋体" w:hAnsi="宋体" w:eastAsia="宋体" w:cs="宋体"/>
          <w:kern w:val="0"/>
          <w:szCs w:val="21"/>
          <w:lang w:val="en-US" w:eastAsia="zh-CN"/>
        </w:rPr>
        <w:t>中标人</w:t>
      </w:r>
      <w:r>
        <w:rPr>
          <w:rFonts w:hint="eastAsia" w:ascii="宋体" w:hAnsi="宋体" w:eastAsia="宋体" w:cs="宋体"/>
          <w:kern w:val="0"/>
          <w:szCs w:val="21"/>
        </w:rPr>
        <w:t>所供设备和产品出现任何质量问题，</w:t>
      </w:r>
      <w:r>
        <w:rPr>
          <w:rFonts w:hint="eastAsia" w:ascii="宋体" w:hAnsi="宋体" w:eastAsia="宋体" w:cs="宋体"/>
          <w:kern w:val="0"/>
          <w:szCs w:val="21"/>
          <w:lang w:val="en-US" w:eastAsia="zh-CN"/>
        </w:rPr>
        <w:t>中标人</w:t>
      </w:r>
      <w:r>
        <w:rPr>
          <w:rFonts w:hint="eastAsia" w:ascii="宋体" w:hAnsi="宋体" w:eastAsia="宋体" w:cs="宋体"/>
          <w:kern w:val="0"/>
          <w:szCs w:val="21"/>
        </w:rPr>
        <w:t>将负责对故障设备或模块元件予以免费维修或更换。</w:t>
      </w:r>
      <w:bookmarkStart w:id="211" w:name="调试"/>
      <w:bookmarkEnd w:id="211"/>
      <w:bookmarkStart w:id="212" w:name="买方的责任"/>
      <w:bookmarkEnd w:id="212"/>
      <w:bookmarkStart w:id="213" w:name="卖方"/>
      <w:bookmarkEnd w:id="213"/>
      <w:bookmarkStart w:id="214" w:name="安装责任"/>
      <w:bookmarkEnd w:id="214"/>
      <w:bookmarkStart w:id="215" w:name="买方责任"/>
      <w:bookmarkEnd w:id="215"/>
      <w:bookmarkStart w:id="216" w:name="卖方2"/>
      <w:bookmarkEnd w:id="216"/>
    </w:p>
    <w:p w14:paraId="207E2AA6">
      <w:pPr>
        <w:tabs>
          <w:tab w:val="left" w:pos="420"/>
        </w:tabs>
        <w:adjustRightInd w:val="0"/>
        <w:snapToGrid w:val="0"/>
        <w:spacing w:line="440" w:lineRule="exact"/>
        <w:jc w:val="left"/>
        <w:rPr>
          <w:rFonts w:hint="eastAsia" w:ascii="宋体" w:hAnsi="宋体" w:cs="宋体"/>
          <w:b/>
          <w:kern w:val="0"/>
          <w:szCs w:val="21"/>
        </w:rPr>
      </w:pPr>
      <w:bookmarkStart w:id="217" w:name="_Toc141329160"/>
      <w:bookmarkStart w:id="218" w:name="_Toc270689678"/>
      <w:bookmarkStart w:id="219" w:name="_Toc270685510"/>
      <w:bookmarkStart w:id="220" w:name="_Toc145928068"/>
      <w:bookmarkStart w:id="221" w:name="_Toc5134"/>
      <w:bookmarkStart w:id="222" w:name="_Toc204592788"/>
      <w:bookmarkStart w:id="223" w:name="_Toc199246710"/>
      <w:bookmarkStart w:id="224" w:name="_Toc270688015"/>
      <w:bookmarkStart w:id="225" w:name="_Toc270684938"/>
      <w:bookmarkStart w:id="226" w:name="_Toc145927649"/>
      <w:bookmarkStart w:id="227" w:name="_Toc203206441"/>
      <w:bookmarkStart w:id="228" w:name="_Toc145927554"/>
      <w:bookmarkStart w:id="229" w:name="_Toc414004301"/>
      <w:r>
        <w:rPr>
          <w:rFonts w:hint="eastAsia" w:ascii="宋体" w:hAnsi="宋体" w:cs="宋体"/>
          <w:b/>
          <w:kern w:val="0"/>
          <w:szCs w:val="21"/>
          <w:lang w:val="en-US" w:eastAsia="zh-CN"/>
        </w:rPr>
        <w:t>九、</w:t>
      </w:r>
      <w:r>
        <w:rPr>
          <w:rFonts w:hint="eastAsia" w:ascii="宋体" w:hAnsi="宋体" w:cs="宋体"/>
          <w:b/>
          <w:kern w:val="0"/>
          <w:szCs w:val="21"/>
        </w:rPr>
        <w:t>质保期及</w:t>
      </w:r>
      <w:r>
        <w:rPr>
          <w:rFonts w:hint="eastAsia" w:ascii="宋体" w:hAnsi="宋体" w:cs="宋体"/>
          <w:b/>
          <w:kern w:val="0"/>
          <w:szCs w:val="21"/>
          <w:lang w:eastAsia="zh-CN"/>
        </w:rPr>
        <w:t>后续服务</w:t>
      </w:r>
      <w:bookmarkEnd w:id="217"/>
      <w:bookmarkEnd w:id="218"/>
      <w:bookmarkEnd w:id="219"/>
      <w:bookmarkEnd w:id="220"/>
      <w:bookmarkEnd w:id="221"/>
      <w:bookmarkEnd w:id="222"/>
      <w:bookmarkEnd w:id="223"/>
      <w:bookmarkEnd w:id="224"/>
      <w:bookmarkEnd w:id="225"/>
      <w:bookmarkEnd w:id="226"/>
      <w:bookmarkEnd w:id="227"/>
      <w:bookmarkEnd w:id="228"/>
      <w:bookmarkEnd w:id="229"/>
    </w:p>
    <w:p w14:paraId="401B3695">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230" w:name="_Toc119379241"/>
      <w:bookmarkStart w:id="231" w:name="_Toc203206442"/>
      <w:bookmarkStart w:id="232" w:name="_Toc119207184"/>
      <w:bookmarkStart w:id="233" w:name="_Toc270684939"/>
      <w:bookmarkStart w:id="234" w:name="_Toc199246711"/>
      <w:bookmarkStart w:id="235" w:name="_Toc136685266"/>
      <w:bookmarkStart w:id="236" w:name="_Toc130888812"/>
      <w:bookmarkStart w:id="237" w:name="_Toc270688016"/>
      <w:bookmarkStart w:id="238" w:name="_Toc270685511"/>
      <w:bookmarkStart w:id="239" w:name="_Toc28847"/>
      <w:bookmarkStart w:id="240" w:name="_Toc145927555"/>
      <w:bookmarkStart w:id="241" w:name="_Toc204592789"/>
      <w:bookmarkStart w:id="242" w:name="_Toc270689679"/>
      <w:bookmarkStart w:id="243" w:name="_Toc119207257"/>
      <w:bookmarkStart w:id="244" w:name="_Toc145927650"/>
      <w:bookmarkStart w:id="245" w:name="_Toc414004302"/>
      <w:bookmarkStart w:id="246" w:name="_Toc145928069"/>
      <w:bookmarkStart w:id="247" w:name="_Toc119945233"/>
      <w:bookmarkStart w:id="248" w:name="_Toc119140924"/>
      <w:r>
        <w:rPr>
          <w:rFonts w:hint="eastAsia" w:ascii="宋体" w:hAnsi="宋体" w:cs="宋体"/>
          <w:kern w:val="0"/>
          <w:szCs w:val="21"/>
        </w:rPr>
        <w:t>9.1 质保期的服务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Start w:id="249" w:name="_Toc132788449"/>
      <w:bookmarkStart w:id="250" w:name="_Toc132788261"/>
    </w:p>
    <w:p w14:paraId="47848AC5">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251" w:name="_Toc145927556"/>
      <w:bookmarkStart w:id="252" w:name="_Toc145927651"/>
      <w:r>
        <w:rPr>
          <w:rFonts w:hint="eastAsia" w:ascii="宋体" w:hAnsi="宋体" w:cs="宋体"/>
          <w:kern w:val="0"/>
          <w:szCs w:val="21"/>
        </w:rPr>
        <w:t>9.1.1 质量保证期（以下简称“质保期”）从设备安装调试完毕并通过竣工验收之日开始计算。本项目质保期最少为两年。</w:t>
      </w:r>
    </w:p>
    <w:p w14:paraId="19E33775">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9.1.2 在质保</w:t>
      </w:r>
      <w:r>
        <w:rPr>
          <w:rFonts w:hint="eastAsia" w:ascii="宋体" w:hAnsi="宋体" w:cs="宋体"/>
          <w:kern w:val="0"/>
          <w:szCs w:val="21"/>
          <w:highlight w:val="none"/>
        </w:rPr>
        <w:t>期内，</w:t>
      </w:r>
      <w:r>
        <w:rPr>
          <w:rFonts w:hint="eastAsia" w:ascii="宋体" w:hAnsi="宋体" w:cs="宋体"/>
          <w:kern w:val="0"/>
          <w:szCs w:val="21"/>
          <w:highlight w:val="none"/>
          <w:lang w:eastAsia="zh-CN"/>
        </w:rPr>
        <w:t>中标人</w:t>
      </w:r>
      <w:r>
        <w:rPr>
          <w:rFonts w:hint="eastAsia" w:ascii="宋体" w:hAnsi="宋体" w:cs="宋体"/>
          <w:kern w:val="0"/>
          <w:szCs w:val="21"/>
          <w:highlight w:val="none"/>
        </w:rPr>
        <w:t>将做到以下几点：</w:t>
      </w:r>
    </w:p>
    <w:p w14:paraId="3A76693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9.1.2.1 继续对所提供的系统和设备负责。</w:t>
      </w:r>
    </w:p>
    <w:p w14:paraId="56B5AFA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9.1.2.2 继续</w:t>
      </w:r>
      <w:r>
        <w:rPr>
          <w:rFonts w:hint="eastAsia" w:ascii="宋体" w:hAnsi="宋体" w:cs="宋体"/>
          <w:kern w:val="0"/>
          <w:szCs w:val="21"/>
          <w:highlight w:val="none"/>
          <w:lang w:eastAsia="zh-CN"/>
        </w:rPr>
        <w:t>记录</w:t>
      </w:r>
      <w:r>
        <w:rPr>
          <w:rFonts w:hint="eastAsia" w:ascii="宋体" w:hAnsi="宋体" w:cs="宋体"/>
          <w:kern w:val="0"/>
          <w:szCs w:val="21"/>
          <w:highlight w:val="none"/>
        </w:rPr>
        <w:t>各子系统和设备运行的所有故障。</w:t>
      </w:r>
    </w:p>
    <w:p w14:paraId="4B6BE44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9.1.2.3 对由</w:t>
      </w:r>
      <w:r>
        <w:rPr>
          <w:rFonts w:hint="eastAsia" w:ascii="宋体" w:hAnsi="宋体" w:cs="宋体"/>
          <w:kern w:val="0"/>
          <w:szCs w:val="21"/>
          <w:highlight w:val="none"/>
          <w:lang w:eastAsia="zh-CN"/>
        </w:rPr>
        <w:t>中标人</w:t>
      </w:r>
      <w:r>
        <w:rPr>
          <w:rFonts w:hint="eastAsia" w:ascii="宋体" w:hAnsi="宋体" w:cs="宋体"/>
          <w:kern w:val="0"/>
          <w:szCs w:val="21"/>
          <w:highlight w:val="none"/>
        </w:rPr>
        <w:t>原因引起或造成系统（或设备）故障或板卡等部件损坏，</w:t>
      </w:r>
      <w:r>
        <w:rPr>
          <w:rFonts w:hint="eastAsia" w:ascii="宋体" w:hAnsi="宋体" w:cs="宋体"/>
          <w:kern w:val="0"/>
          <w:szCs w:val="21"/>
          <w:highlight w:val="none"/>
          <w:lang w:eastAsia="zh-CN"/>
        </w:rPr>
        <w:t>中标人</w:t>
      </w:r>
      <w:r>
        <w:rPr>
          <w:rFonts w:hint="eastAsia" w:ascii="宋体" w:hAnsi="宋体" w:cs="宋体"/>
          <w:kern w:val="0"/>
          <w:szCs w:val="21"/>
          <w:highlight w:val="none"/>
        </w:rPr>
        <w:t>将免费修理或更换。修理的时间为：进口设备三个月，国产设备</w:t>
      </w:r>
      <w:r>
        <w:rPr>
          <w:rFonts w:hint="eastAsia" w:ascii="宋体" w:hAnsi="宋体" w:cs="宋体"/>
          <w:kern w:val="0"/>
          <w:szCs w:val="21"/>
          <w:highlight w:val="none"/>
          <w:lang w:eastAsia="zh-CN"/>
        </w:rPr>
        <w:t>两个</w:t>
      </w:r>
      <w:r>
        <w:rPr>
          <w:rFonts w:hint="eastAsia" w:ascii="宋体" w:hAnsi="宋体" w:cs="宋体"/>
          <w:kern w:val="0"/>
          <w:szCs w:val="21"/>
          <w:highlight w:val="none"/>
        </w:rPr>
        <w:t>月。如在规定时</w:t>
      </w:r>
      <w:r>
        <w:rPr>
          <w:rFonts w:hint="eastAsia" w:ascii="宋体" w:hAnsi="宋体" w:cs="宋体"/>
          <w:kern w:val="0"/>
          <w:szCs w:val="21"/>
          <w:highlight w:val="none"/>
          <w:lang w:eastAsia="zh-CN"/>
        </w:rPr>
        <w:t>间内</w:t>
      </w:r>
      <w:r>
        <w:rPr>
          <w:rFonts w:hint="eastAsia" w:ascii="宋体" w:hAnsi="宋体" w:cs="宋体"/>
          <w:kern w:val="0"/>
          <w:szCs w:val="21"/>
          <w:highlight w:val="none"/>
        </w:rPr>
        <w:t>未能完成，且无任何原因，</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lang w:eastAsia="zh-CN"/>
        </w:rPr>
        <w:t>将</w:t>
      </w:r>
      <w:r>
        <w:rPr>
          <w:rFonts w:hint="eastAsia" w:ascii="宋体" w:hAnsi="宋体" w:cs="宋体"/>
          <w:kern w:val="0"/>
          <w:szCs w:val="21"/>
          <w:highlight w:val="none"/>
        </w:rPr>
        <w:t>视情节根据合同相关条款对其进行经济处罚。</w:t>
      </w:r>
    </w:p>
    <w:p w14:paraId="48ABB71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9.1.3.4 对维修（或更换）后的设备，</w:t>
      </w:r>
      <w:r>
        <w:rPr>
          <w:rFonts w:hint="eastAsia" w:ascii="宋体" w:hAnsi="宋体" w:cs="宋体"/>
          <w:kern w:val="0"/>
          <w:szCs w:val="21"/>
          <w:highlight w:val="none"/>
          <w:lang w:eastAsia="zh-CN"/>
        </w:rPr>
        <w:t>中标人</w:t>
      </w:r>
      <w:r>
        <w:rPr>
          <w:rFonts w:hint="eastAsia" w:ascii="宋体" w:hAnsi="宋体" w:cs="宋体"/>
          <w:kern w:val="0"/>
          <w:szCs w:val="21"/>
          <w:highlight w:val="none"/>
        </w:rPr>
        <w:t>同时提供设备维修（或更换）书面报告。书面报告的内容包括但不限于以下内容：</w:t>
      </w:r>
    </w:p>
    <w:p w14:paraId="532D6DF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（1）故障报告人（</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w:t>
      </w:r>
    </w:p>
    <w:p w14:paraId="249B4C2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（2）故障受理人（</w:t>
      </w:r>
      <w:r>
        <w:rPr>
          <w:rFonts w:hint="eastAsia" w:ascii="宋体" w:hAnsi="宋体" w:cs="宋体"/>
          <w:kern w:val="0"/>
          <w:szCs w:val="21"/>
          <w:highlight w:val="none"/>
          <w:lang w:eastAsia="zh-CN"/>
        </w:rPr>
        <w:t>中标人</w:t>
      </w:r>
      <w:r>
        <w:rPr>
          <w:rFonts w:hint="eastAsia" w:ascii="宋体" w:hAnsi="宋体" w:cs="宋体"/>
          <w:kern w:val="0"/>
          <w:szCs w:val="21"/>
          <w:highlight w:val="none"/>
        </w:rPr>
        <w:t>）；</w:t>
      </w:r>
    </w:p>
    <w:p w14:paraId="67BFFFC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（3）故障发生时间；</w:t>
      </w:r>
    </w:p>
    <w:p w14:paraId="63CFBD8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（4）故障现象；</w:t>
      </w:r>
    </w:p>
    <w:p w14:paraId="2441C8C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（5）故障产生的原因；</w:t>
      </w:r>
    </w:p>
    <w:p w14:paraId="2F17D59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（6）处理、解决办法；</w:t>
      </w:r>
    </w:p>
    <w:p w14:paraId="5073BA4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（7）故障修复时间；</w:t>
      </w:r>
    </w:p>
    <w:p w14:paraId="25FF5FD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（8）处理人签名。</w:t>
      </w:r>
    </w:p>
    <w:p w14:paraId="591A65B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9.1.3.5 对所提供的设备实行“三包”。既包修、包换、包退。</w:t>
      </w:r>
    </w:p>
    <w:p w14:paraId="497F18F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9.1.3.6 对所提供的设备免费提供日常维护服务、排除故障及抢修服务、软件升级服务。</w:t>
      </w:r>
    </w:p>
    <w:p w14:paraId="5B0C4CA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9.1.3.7 如果发生故障的设备或材料需要更换</w:t>
      </w:r>
      <w:r>
        <w:rPr>
          <w:rFonts w:hint="eastAsia" w:ascii="宋体" w:hAnsi="宋体" w:cs="宋体"/>
          <w:kern w:val="0"/>
          <w:szCs w:val="21"/>
          <w:highlight w:val="none"/>
        </w:rPr>
        <w:t>或修理，在修理期间可使用</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的备件，但</w:t>
      </w:r>
      <w:r>
        <w:rPr>
          <w:rFonts w:hint="eastAsia" w:ascii="宋体" w:hAnsi="宋体" w:cs="宋体"/>
          <w:kern w:val="0"/>
          <w:szCs w:val="21"/>
          <w:highlight w:val="none"/>
          <w:lang w:eastAsia="zh-CN"/>
        </w:rPr>
        <w:t>中标人</w:t>
      </w:r>
      <w:r>
        <w:rPr>
          <w:rFonts w:hint="eastAsia" w:ascii="宋体" w:hAnsi="宋体" w:cs="宋体"/>
          <w:kern w:val="0"/>
          <w:szCs w:val="21"/>
          <w:highlight w:val="none"/>
        </w:rPr>
        <w:t>必须购买全新的替换件提供给</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w:t>
      </w:r>
    </w:p>
    <w:p w14:paraId="0FA9CD8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9.1.3.8 如果</w:t>
      </w:r>
      <w:r>
        <w:rPr>
          <w:rFonts w:hint="eastAsia" w:ascii="宋体" w:hAnsi="宋体" w:cs="宋体"/>
          <w:kern w:val="0"/>
          <w:szCs w:val="21"/>
          <w:highlight w:val="none"/>
          <w:lang w:eastAsia="zh-CN"/>
        </w:rPr>
        <w:t>中标人</w:t>
      </w:r>
      <w:r>
        <w:rPr>
          <w:rFonts w:hint="eastAsia" w:ascii="宋体" w:hAnsi="宋体" w:cs="宋体"/>
          <w:kern w:val="0"/>
          <w:szCs w:val="21"/>
          <w:highlight w:val="none"/>
        </w:rPr>
        <w:t>提供的设备出现的故障在质保期内未能解决，</w:t>
      </w:r>
      <w:r>
        <w:rPr>
          <w:rFonts w:hint="eastAsia" w:ascii="宋体" w:hAnsi="宋体" w:cs="宋体"/>
          <w:kern w:val="0"/>
          <w:szCs w:val="21"/>
          <w:highlight w:val="none"/>
          <w:lang w:eastAsia="zh-CN"/>
        </w:rPr>
        <w:t>中标人</w:t>
      </w:r>
      <w:r>
        <w:rPr>
          <w:rFonts w:hint="eastAsia" w:ascii="宋体" w:hAnsi="宋体" w:cs="宋体"/>
          <w:kern w:val="0"/>
          <w:szCs w:val="21"/>
          <w:highlight w:val="none"/>
        </w:rPr>
        <w:t>将不受质保期制约无条件负责直至故障解决。</w:t>
      </w:r>
      <w:bookmarkEnd w:id="249"/>
      <w:bookmarkEnd w:id="250"/>
      <w:bookmarkEnd w:id="251"/>
      <w:bookmarkEnd w:id="252"/>
      <w:bookmarkStart w:id="253" w:name="_Toc132788451"/>
      <w:bookmarkStart w:id="254" w:name="_Toc132431585"/>
      <w:bookmarkStart w:id="255" w:name="_Toc132788263"/>
    </w:p>
    <w:p w14:paraId="22E90248">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256" w:name="_Toc145927655"/>
      <w:bookmarkStart w:id="257" w:name="_Toc145927560"/>
      <w:r>
        <w:rPr>
          <w:rFonts w:hint="eastAsia" w:ascii="宋体" w:hAnsi="宋体" w:cs="宋体"/>
          <w:kern w:val="0"/>
          <w:szCs w:val="21"/>
          <w:highlight w:val="none"/>
        </w:rPr>
        <w:t>9.1.3.9 重新计算质保期：对于未能通过最终验收的设备，</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应提供一台新的设备，并重新开始质保期，所产生的费用由</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承担。</w:t>
      </w:r>
      <w:bookmarkEnd w:id="253"/>
      <w:bookmarkEnd w:id="254"/>
      <w:bookmarkEnd w:id="255"/>
      <w:bookmarkEnd w:id="256"/>
      <w:bookmarkEnd w:id="257"/>
    </w:p>
    <w:p w14:paraId="65E05BD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258" w:name="_Toc203206443"/>
      <w:bookmarkStart w:id="259" w:name="_Toc132788264"/>
      <w:bookmarkStart w:id="260" w:name="_Toc270688017"/>
      <w:bookmarkStart w:id="261" w:name="_Toc270684940"/>
      <w:bookmarkStart w:id="262" w:name="_Toc270689680"/>
      <w:bookmarkStart w:id="263" w:name="_Toc145928070"/>
      <w:bookmarkStart w:id="264" w:name="_Toc270685512"/>
      <w:bookmarkStart w:id="265" w:name="_Toc145927656"/>
      <w:bookmarkStart w:id="266" w:name="_Toc136685267"/>
      <w:bookmarkStart w:id="267" w:name="_Toc145927561"/>
      <w:bookmarkStart w:id="268" w:name="_Toc199246712"/>
      <w:bookmarkStart w:id="269" w:name="_Toc204592790"/>
      <w:bookmarkStart w:id="270" w:name="_Toc132788452"/>
      <w:bookmarkStart w:id="271" w:name="_Toc19146"/>
      <w:bookmarkStart w:id="272" w:name="_Toc414004303"/>
      <w:r>
        <w:rPr>
          <w:rFonts w:hint="eastAsia" w:ascii="宋体" w:hAnsi="宋体" w:cs="宋体"/>
          <w:kern w:val="0"/>
          <w:szCs w:val="21"/>
          <w:highlight w:val="none"/>
        </w:rPr>
        <w:t>9.2 质保期责任</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335435C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273" w:name="_Toc132788265"/>
      <w:bookmarkStart w:id="274" w:name="_Toc132788453"/>
      <w:r>
        <w:rPr>
          <w:rFonts w:hint="eastAsia" w:ascii="宋体" w:hAnsi="宋体" w:cs="宋体"/>
          <w:kern w:val="0"/>
          <w:szCs w:val="21"/>
          <w:highlight w:val="none"/>
        </w:rPr>
        <w:t>9.2.1 在质保期内，由</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完成任何扫尾工作或履行质保期服务义务所致，或由发生在最终验收日期之前任何</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的风险所致的原因引起的任何损失或损害投保所需的全部保险费均由</w:t>
      </w:r>
      <w:r>
        <w:rPr>
          <w:rFonts w:hint="eastAsia" w:ascii="宋体" w:hAnsi="宋体" w:cs="宋体"/>
          <w:kern w:val="0"/>
          <w:szCs w:val="21"/>
          <w:highlight w:val="none"/>
          <w:lang w:val="en-US" w:eastAsia="zh-CN"/>
        </w:rPr>
        <w:t>中标人</w:t>
      </w:r>
      <w:r>
        <w:rPr>
          <w:rFonts w:hint="eastAsia" w:ascii="宋体" w:hAnsi="宋体" w:cs="宋体"/>
          <w:kern w:val="0"/>
          <w:szCs w:val="21"/>
          <w:highlight w:val="none"/>
        </w:rPr>
        <w:t>支付。</w:t>
      </w:r>
      <w:bookmarkEnd w:id="273"/>
      <w:bookmarkEnd w:id="274"/>
    </w:p>
    <w:p w14:paraId="443EFE5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9.2.2 在质保期内，供应商应在</w:t>
      </w:r>
      <w:r>
        <w:rPr>
          <w:rFonts w:hint="eastAsia" w:ascii="宋体" w:hAnsi="宋体" w:cs="宋体"/>
          <w:kern w:val="0"/>
          <w:szCs w:val="21"/>
          <w:highlight w:val="none"/>
          <w:lang w:val="en-US" w:eastAsia="zh-CN"/>
        </w:rPr>
        <w:t>滁州</w:t>
      </w:r>
      <w:r>
        <w:rPr>
          <w:rFonts w:hint="eastAsia" w:ascii="宋体" w:hAnsi="宋体" w:cs="宋体"/>
          <w:kern w:val="0"/>
          <w:szCs w:val="21"/>
          <w:highlight w:val="none"/>
        </w:rPr>
        <w:t>设置专职售后服务人员，对与设备有关的各类问题要及时回复。</w:t>
      </w:r>
    </w:p>
    <w:p w14:paraId="50C56F3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9.2.3 在质保期内，供应商应每年</w:t>
      </w:r>
      <w:r>
        <w:rPr>
          <w:rFonts w:hint="eastAsia" w:ascii="宋体" w:hAnsi="宋体" w:cs="宋体"/>
          <w:kern w:val="0"/>
          <w:szCs w:val="21"/>
          <w:highlight w:val="none"/>
          <w:lang w:eastAsia="zh-CN"/>
        </w:rPr>
        <w:t>安排</w:t>
      </w:r>
      <w:r>
        <w:rPr>
          <w:rFonts w:hint="eastAsia" w:ascii="宋体" w:hAnsi="宋体" w:cs="宋体"/>
          <w:kern w:val="0"/>
          <w:szCs w:val="21"/>
          <w:highlight w:val="none"/>
        </w:rPr>
        <w:t>一次以上设备的巡检与维护，并现场指导通信技术人员对设备进行养护与维修。</w:t>
      </w:r>
    </w:p>
    <w:p w14:paraId="27178EE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275" w:name="_Toc145927657"/>
      <w:bookmarkStart w:id="276" w:name="_Toc270684941"/>
      <w:bookmarkStart w:id="277" w:name="_Toc199246713"/>
      <w:bookmarkStart w:id="278" w:name="_Toc270689681"/>
      <w:bookmarkStart w:id="279" w:name="_Toc414004304"/>
      <w:bookmarkStart w:id="280" w:name="_Toc136685268"/>
      <w:bookmarkStart w:id="281" w:name="_Toc130888814"/>
      <w:bookmarkStart w:id="282" w:name="_Toc203206444"/>
      <w:bookmarkStart w:id="283" w:name="_Toc145927562"/>
      <w:bookmarkStart w:id="284" w:name="_Toc204592791"/>
      <w:bookmarkStart w:id="285" w:name="_Toc270688018"/>
      <w:bookmarkStart w:id="286" w:name="_Toc17711"/>
      <w:bookmarkStart w:id="287" w:name="_Toc145928071"/>
      <w:bookmarkStart w:id="288" w:name="_Toc270685513"/>
      <w:r>
        <w:rPr>
          <w:rFonts w:hint="eastAsia" w:ascii="宋体" w:hAnsi="宋体" w:cs="宋体"/>
          <w:kern w:val="0"/>
          <w:szCs w:val="21"/>
          <w:highlight w:val="none"/>
        </w:rPr>
        <w:t>9.3 质保期后服务</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02950BB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9.3.1 质保期过后，供应商提供相关的维修服务，并明确维修服务的流程和方法；在收到</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维</w:t>
      </w:r>
      <w:r>
        <w:rPr>
          <w:rFonts w:hint="eastAsia" w:ascii="宋体" w:hAnsi="宋体" w:cs="宋体"/>
          <w:kern w:val="0"/>
          <w:szCs w:val="21"/>
        </w:rPr>
        <w:t>修服务请求后，供应商必须在24小时内做出响应，5个工作日内赶到滁州。</w:t>
      </w:r>
    </w:p>
    <w:p w14:paraId="7F07AFF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9.3.2 供应商应经常性地进行多种方式的巡检（例如电话），随时了解设备运行情况；定期安排专职技术人员对设备进行现场巡检，并根据需要对设备的主要技术指标进行测试，保证设备的固有性能，同时提供设备检查测试报告，签字确认。</w:t>
      </w:r>
    </w:p>
    <w:p w14:paraId="1E872EB1">
      <w:pPr>
        <w:tabs>
          <w:tab w:val="left" w:pos="420"/>
        </w:tabs>
        <w:adjustRightInd w:val="0"/>
        <w:snapToGrid w:val="0"/>
        <w:spacing w:line="440" w:lineRule="exact"/>
        <w:jc w:val="left"/>
        <w:rPr>
          <w:rFonts w:hint="eastAsia" w:ascii="宋体" w:hAnsi="宋体" w:cs="宋体"/>
          <w:b/>
          <w:kern w:val="0"/>
          <w:szCs w:val="21"/>
        </w:rPr>
      </w:pPr>
      <w:r>
        <w:rPr>
          <w:rFonts w:hint="eastAsia" w:ascii="宋体" w:hAnsi="宋体" w:cs="宋体"/>
          <w:b/>
          <w:kern w:val="0"/>
          <w:szCs w:val="21"/>
          <w:lang w:val="en-US" w:eastAsia="zh-CN"/>
        </w:rPr>
        <w:t>十、</w:t>
      </w:r>
      <w:r>
        <w:rPr>
          <w:rFonts w:hint="eastAsia" w:ascii="宋体" w:hAnsi="宋体" w:cs="宋体"/>
          <w:b/>
          <w:kern w:val="0"/>
          <w:szCs w:val="21"/>
        </w:rPr>
        <w:t>施工作业要求</w:t>
      </w:r>
    </w:p>
    <w:p w14:paraId="2E895AFB">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289" w:name="_Toc29139"/>
      <w:r>
        <w:rPr>
          <w:rFonts w:hint="eastAsia" w:ascii="宋体" w:hAnsi="宋体" w:cs="宋体"/>
          <w:kern w:val="0"/>
          <w:szCs w:val="21"/>
        </w:rPr>
        <w:t>1</w:t>
      </w:r>
      <w:bookmarkStart w:id="290" w:name="_Toc203206421"/>
      <w:bookmarkStart w:id="291" w:name="_Toc203205320"/>
      <w:bookmarkStart w:id="292" w:name="_Toc270685502"/>
      <w:bookmarkStart w:id="293" w:name="_Toc270684930"/>
      <w:bookmarkStart w:id="294" w:name="_Toc204592772"/>
      <w:bookmarkStart w:id="295" w:name="_Toc415489329"/>
      <w:bookmarkStart w:id="296" w:name="_Toc270689664"/>
      <w:bookmarkStart w:id="297" w:name="_Toc199246694"/>
      <w:bookmarkStart w:id="298" w:name="_Toc270688001"/>
      <w:r>
        <w:rPr>
          <w:rFonts w:hint="eastAsia" w:ascii="宋体" w:hAnsi="宋体" w:cs="宋体"/>
          <w:kern w:val="0"/>
          <w:szCs w:val="21"/>
        </w:rPr>
        <w:t>0.1 施工工艺要求</w:t>
      </w:r>
      <w:bookmarkEnd w:id="289"/>
      <w:bookmarkEnd w:id="290"/>
      <w:bookmarkEnd w:id="291"/>
      <w:bookmarkEnd w:id="292"/>
      <w:bookmarkEnd w:id="293"/>
      <w:bookmarkEnd w:id="294"/>
      <w:bookmarkEnd w:id="295"/>
      <w:bookmarkEnd w:id="296"/>
      <w:bookmarkEnd w:id="297"/>
      <w:bookmarkEnd w:id="298"/>
    </w:p>
    <w:p w14:paraId="71DC8ECC">
      <w:pPr>
        <w:tabs>
          <w:tab w:val="left" w:pos="420"/>
        </w:tabs>
        <w:adjustRightInd w:val="0"/>
        <w:snapToGrid w:val="0"/>
        <w:spacing w:line="440" w:lineRule="exact"/>
        <w:ind w:firstLine="420" w:firstLineChars="200"/>
        <w:jc w:val="left"/>
        <w:rPr>
          <w:rFonts w:hint="eastAsia" w:ascii="宋体" w:hAnsi="宋体" w:cs="宋体"/>
          <w:kern w:val="0"/>
          <w:szCs w:val="21"/>
        </w:rPr>
      </w:pPr>
      <w:bookmarkStart w:id="299" w:name="_Toc270689665"/>
      <w:bookmarkStart w:id="300" w:name="_Toc415489330"/>
      <w:bookmarkStart w:id="301" w:name="_Toc13984"/>
      <w:bookmarkStart w:id="302" w:name="_Toc270688002"/>
      <w:r>
        <w:rPr>
          <w:rFonts w:hint="eastAsia" w:ascii="宋体" w:hAnsi="宋体" w:cs="宋体"/>
          <w:kern w:val="0"/>
          <w:szCs w:val="21"/>
        </w:rPr>
        <w:t>10.1.1 施工场地与条件</w:t>
      </w:r>
      <w:bookmarkEnd w:id="299"/>
      <w:bookmarkEnd w:id="300"/>
      <w:bookmarkEnd w:id="301"/>
      <w:bookmarkEnd w:id="302"/>
    </w:p>
    <w:p w14:paraId="1418053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eastAsia="zh-CN"/>
        </w:rPr>
        <w:t>中标人</w:t>
      </w:r>
      <w:r>
        <w:rPr>
          <w:rFonts w:hint="eastAsia" w:ascii="宋体" w:hAnsi="宋体" w:cs="宋体"/>
          <w:kern w:val="0"/>
          <w:szCs w:val="21"/>
          <w:highlight w:val="none"/>
        </w:rPr>
        <w:t>全面负责施工范围内的现场施工管理，对施工场地内的用水、用电、施工现场的安全与卫生、场地内的施工协调负有全面的管理责任。</w:t>
      </w:r>
    </w:p>
    <w:p w14:paraId="738A9715">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303" w:name="_Toc28027"/>
      <w:bookmarkStart w:id="304" w:name="_Toc270688003"/>
      <w:bookmarkStart w:id="305" w:name="_Toc415489331"/>
      <w:bookmarkStart w:id="306" w:name="_Toc270689666"/>
      <w:r>
        <w:rPr>
          <w:rFonts w:hint="eastAsia" w:ascii="宋体" w:hAnsi="宋体" w:cs="宋体"/>
          <w:kern w:val="0"/>
          <w:szCs w:val="21"/>
          <w:highlight w:val="none"/>
        </w:rPr>
        <w:t>10.1.2 施工准备</w:t>
      </w:r>
      <w:bookmarkEnd w:id="303"/>
      <w:bookmarkEnd w:id="304"/>
      <w:bookmarkEnd w:id="305"/>
      <w:bookmarkEnd w:id="306"/>
    </w:p>
    <w:p w14:paraId="095BF4C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10.1.2.1 </w:t>
      </w:r>
      <w:r>
        <w:rPr>
          <w:rFonts w:hint="eastAsia" w:ascii="宋体" w:hAnsi="宋体" w:cs="宋体"/>
          <w:kern w:val="0"/>
          <w:szCs w:val="21"/>
          <w:highlight w:val="none"/>
          <w:lang w:eastAsia="zh-CN"/>
        </w:rPr>
        <w:t>中标人</w:t>
      </w:r>
      <w:r>
        <w:rPr>
          <w:rFonts w:hint="eastAsia" w:ascii="宋体" w:hAnsi="宋体" w:cs="宋体"/>
          <w:kern w:val="0"/>
          <w:szCs w:val="21"/>
          <w:highlight w:val="none"/>
        </w:rPr>
        <w:t>充分考虑本工程的特点，包括工期要求和施工时的相互干扰等，提出切实可行的施工方法和施工组织方案。</w:t>
      </w:r>
    </w:p>
    <w:p w14:paraId="4186C3B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10.1.2.2 认真</w:t>
      </w:r>
      <w:r>
        <w:rPr>
          <w:rFonts w:hint="eastAsia" w:ascii="宋体" w:hAnsi="宋体" w:cs="宋体"/>
          <w:kern w:val="0"/>
          <w:szCs w:val="21"/>
          <w:highlight w:val="none"/>
          <w:lang w:eastAsia="zh-CN"/>
        </w:rPr>
        <w:t>做好</w:t>
      </w:r>
      <w:r>
        <w:rPr>
          <w:rFonts w:hint="eastAsia" w:ascii="宋体" w:hAnsi="宋体" w:cs="宋体"/>
          <w:kern w:val="0"/>
          <w:szCs w:val="21"/>
          <w:highlight w:val="none"/>
        </w:rPr>
        <w:t>施工图交底工作。</w:t>
      </w:r>
      <w:r>
        <w:rPr>
          <w:rFonts w:hint="eastAsia" w:ascii="宋体" w:hAnsi="宋体" w:cs="宋体"/>
          <w:kern w:val="0"/>
          <w:szCs w:val="21"/>
          <w:highlight w:val="none"/>
          <w:lang w:eastAsia="zh-CN"/>
        </w:rPr>
        <w:t>中标人</w:t>
      </w:r>
      <w:r>
        <w:rPr>
          <w:rFonts w:hint="eastAsia" w:ascii="宋体" w:hAnsi="宋体" w:cs="宋体"/>
          <w:kern w:val="0"/>
          <w:szCs w:val="21"/>
          <w:highlight w:val="none"/>
        </w:rPr>
        <w:t>根据甲方要求做好施工图设计，负责施工图的细化工作。</w:t>
      </w:r>
    </w:p>
    <w:p w14:paraId="5878494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10.1.2.3 </w:t>
      </w:r>
      <w:r>
        <w:rPr>
          <w:rFonts w:hint="eastAsia" w:ascii="宋体" w:hAnsi="宋体" w:cs="宋体"/>
          <w:kern w:val="0"/>
          <w:szCs w:val="21"/>
          <w:highlight w:val="none"/>
          <w:lang w:eastAsia="zh-CN"/>
        </w:rPr>
        <w:t>中标人</w:t>
      </w:r>
      <w:r>
        <w:rPr>
          <w:rFonts w:hint="eastAsia" w:ascii="宋体" w:hAnsi="宋体" w:cs="宋体"/>
          <w:kern w:val="0"/>
          <w:szCs w:val="21"/>
          <w:highlight w:val="none"/>
        </w:rPr>
        <w:t>在开工前派出技术人员，根据</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的要求进行现场勘测。</w:t>
      </w:r>
    </w:p>
    <w:p w14:paraId="257DA75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10.1.2.4 编制施工组织方案，并与其他设备与建筑装修工作相协调。</w:t>
      </w:r>
    </w:p>
    <w:p w14:paraId="5D8A538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10.1.2.5 由</w:t>
      </w:r>
      <w:r>
        <w:rPr>
          <w:rFonts w:hint="eastAsia" w:ascii="宋体" w:hAnsi="宋体" w:cs="宋体"/>
          <w:kern w:val="0"/>
          <w:szCs w:val="21"/>
          <w:highlight w:val="none"/>
          <w:lang w:eastAsia="zh-CN"/>
        </w:rPr>
        <w:t>中标人</w:t>
      </w:r>
      <w:r>
        <w:rPr>
          <w:rFonts w:hint="eastAsia" w:ascii="宋体" w:hAnsi="宋体" w:cs="宋体"/>
          <w:kern w:val="0"/>
          <w:szCs w:val="21"/>
          <w:highlight w:val="none"/>
        </w:rPr>
        <w:t>负责所有货物的仓储，工程完毕后向</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进行交接。</w:t>
      </w:r>
    </w:p>
    <w:p w14:paraId="1E349AA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307" w:name="_Toc270688004"/>
      <w:bookmarkStart w:id="308" w:name="_Toc18647"/>
      <w:bookmarkStart w:id="309" w:name="_Toc270689667"/>
      <w:bookmarkStart w:id="310" w:name="_Toc415489332"/>
      <w:r>
        <w:rPr>
          <w:rFonts w:hint="eastAsia" w:ascii="宋体" w:hAnsi="宋体" w:cs="宋体"/>
          <w:kern w:val="0"/>
          <w:szCs w:val="21"/>
          <w:highlight w:val="none"/>
        </w:rPr>
        <w:t>10.1.3 开工准备</w:t>
      </w:r>
      <w:bookmarkEnd w:id="307"/>
      <w:bookmarkEnd w:id="308"/>
      <w:bookmarkEnd w:id="309"/>
      <w:bookmarkEnd w:id="310"/>
      <w:bookmarkStart w:id="311" w:name="T1306"/>
      <w:bookmarkEnd w:id="311"/>
    </w:p>
    <w:p w14:paraId="08CDC92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为保证工程顺利实施，正式开工前必须具备下列条件：</w:t>
      </w:r>
    </w:p>
    <w:p w14:paraId="0EC6B73C">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10.1.3.1 </w:t>
      </w:r>
      <w:r>
        <w:rPr>
          <w:rFonts w:hint="eastAsia" w:ascii="宋体" w:hAnsi="宋体" w:cs="宋体"/>
          <w:kern w:val="0"/>
          <w:szCs w:val="21"/>
          <w:highlight w:val="none"/>
          <w:lang w:eastAsia="zh-CN"/>
        </w:rPr>
        <w:t>中标人</w:t>
      </w:r>
      <w:r>
        <w:rPr>
          <w:rFonts w:hint="eastAsia" w:ascii="宋体" w:hAnsi="宋体" w:cs="宋体"/>
          <w:kern w:val="0"/>
          <w:szCs w:val="21"/>
          <w:highlight w:val="none"/>
        </w:rPr>
        <w:t>在开工前应组织施工调查，并根据合同做好施工组织工作，提出施工组织计划以及质量保证措施。</w:t>
      </w:r>
    </w:p>
    <w:p w14:paraId="717912F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10.1.3.2 安装验收规范书</w:t>
      </w:r>
    </w:p>
    <w:p w14:paraId="7C86C2C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lang w:eastAsia="zh-CN"/>
        </w:rPr>
        <w:t>中标人</w:t>
      </w:r>
      <w:r>
        <w:rPr>
          <w:rFonts w:hint="eastAsia" w:ascii="宋体" w:hAnsi="宋体" w:cs="宋体"/>
          <w:kern w:val="0"/>
          <w:szCs w:val="21"/>
          <w:highlight w:val="none"/>
        </w:rPr>
        <w:t>在工程进行安装前2周向买方提供安装工程规范（包括验收工程、标准、方法以及对不合格工程的修理和替换的规定等），经</w:t>
      </w:r>
      <w:r>
        <w:rPr>
          <w:rFonts w:hint="eastAsia" w:ascii="宋体" w:hAnsi="宋体" w:cs="宋体"/>
          <w:kern w:val="0"/>
          <w:szCs w:val="21"/>
          <w:highlight w:val="none"/>
          <w:lang w:val="en-US" w:eastAsia="zh-CN"/>
        </w:rPr>
        <w:t>招标人</w:t>
      </w:r>
      <w:r>
        <w:rPr>
          <w:rFonts w:hint="eastAsia" w:ascii="宋体" w:hAnsi="宋体" w:cs="宋体"/>
          <w:kern w:val="0"/>
          <w:szCs w:val="21"/>
          <w:highlight w:val="none"/>
        </w:rPr>
        <w:t>批准后，安装验收规范书正式生效。</w:t>
      </w:r>
    </w:p>
    <w:p w14:paraId="4BF35E6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10.1.3.3 用于安装的设计文件及施工图应满足施工需要，</w:t>
      </w:r>
      <w:r>
        <w:rPr>
          <w:rFonts w:hint="eastAsia" w:ascii="宋体" w:hAnsi="宋体" w:cs="宋体"/>
          <w:kern w:val="0"/>
          <w:szCs w:val="21"/>
          <w:highlight w:val="none"/>
          <w:lang w:eastAsia="zh-CN"/>
        </w:rPr>
        <w:t>中标人</w:t>
      </w:r>
      <w:r>
        <w:rPr>
          <w:rFonts w:hint="eastAsia" w:ascii="宋体" w:hAnsi="宋体" w:cs="宋体"/>
          <w:kern w:val="0"/>
          <w:szCs w:val="21"/>
          <w:highlight w:val="none"/>
        </w:rPr>
        <w:t>应核实甲方的需求能否满足，工程能否顺利实施，发现问题应及时通知买方。施工人员应熟悉施工图纸及有关资料，包括工程特点、施工方案、工艺要求、施工质量标准等。</w:t>
      </w:r>
    </w:p>
    <w:p w14:paraId="1EE318F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10.1.3.4 设备、器材供货、货源、规格数量与施工图相吻合，施工机具、仪表（器），劳动力已安排落实，可满足连续施工和阶段施工要求。</w:t>
      </w:r>
    </w:p>
    <w:p w14:paraId="3331CDF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10.1.3.5 乙供的材料型号、规格必须符合设计要求，并有产品合格证书，未经鉴定批准的产品或不合格产品不得在本工程使用，所有乙供材料的试验和检验应执行合同的有关规定。</w:t>
      </w:r>
    </w:p>
    <w:p w14:paraId="68FB768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bookmarkStart w:id="312" w:name="_Toc270688005"/>
      <w:bookmarkStart w:id="313" w:name="_Toc18405"/>
      <w:bookmarkStart w:id="314" w:name="_Toc415489333"/>
      <w:bookmarkStart w:id="315" w:name="_Toc270689668"/>
      <w:r>
        <w:rPr>
          <w:rFonts w:hint="eastAsia" w:ascii="宋体" w:hAnsi="宋体" w:cs="宋体"/>
          <w:kern w:val="0"/>
          <w:szCs w:val="21"/>
          <w:highlight w:val="none"/>
        </w:rPr>
        <w:t>10.2 施工技术要求</w:t>
      </w:r>
      <w:bookmarkEnd w:id="312"/>
      <w:bookmarkEnd w:id="313"/>
      <w:bookmarkEnd w:id="314"/>
      <w:bookmarkEnd w:id="315"/>
    </w:p>
    <w:p w14:paraId="66B3E57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 xml:space="preserve">10.2.1 </w:t>
      </w:r>
      <w:r>
        <w:rPr>
          <w:rFonts w:hint="eastAsia" w:ascii="宋体" w:hAnsi="宋体" w:cs="宋体"/>
          <w:kern w:val="0"/>
          <w:szCs w:val="21"/>
          <w:highlight w:val="none"/>
          <w:lang w:eastAsia="zh-CN"/>
        </w:rPr>
        <w:t>中标人</w:t>
      </w:r>
      <w:r>
        <w:rPr>
          <w:rFonts w:hint="eastAsia" w:ascii="宋体" w:hAnsi="宋体" w:cs="宋体"/>
          <w:kern w:val="0"/>
          <w:szCs w:val="21"/>
          <w:highlight w:val="none"/>
        </w:rPr>
        <w:t>施工中采用和推广经批准的新技术、新材料、新工艺，应制定不低于现行国家或部及行业规范水平的质量标准和工艺要求，并经买方代表批准。</w:t>
      </w:r>
      <w:r>
        <w:rPr>
          <w:rFonts w:hint="eastAsia" w:ascii="宋体" w:hAnsi="宋体" w:cs="宋体"/>
          <w:kern w:val="0"/>
          <w:szCs w:val="21"/>
          <w:highlight w:val="none"/>
          <w:lang w:eastAsia="zh-CN"/>
        </w:rPr>
        <w:t>中标人</w:t>
      </w:r>
      <w:r>
        <w:rPr>
          <w:rFonts w:hint="eastAsia" w:ascii="宋体" w:hAnsi="宋体" w:cs="宋体"/>
          <w:kern w:val="0"/>
          <w:szCs w:val="21"/>
          <w:highlight w:val="none"/>
        </w:rPr>
        <w:t>在工程中所用设</w:t>
      </w:r>
      <w:r>
        <w:rPr>
          <w:rFonts w:hint="eastAsia" w:ascii="宋体" w:hAnsi="宋体" w:cs="宋体"/>
          <w:kern w:val="0"/>
          <w:szCs w:val="21"/>
        </w:rPr>
        <w:t>备、材料及其安装必须符合设计要求及国家现行标准。</w:t>
      </w:r>
    </w:p>
    <w:p w14:paraId="13F93B8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10.2.2 在工程施工过程中，如果工程的位置、标高尺寸或准线出现错误，</w:t>
      </w:r>
      <w:r>
        <w:rPr>
          <w:rFonts w:hint="eastAsia" w:ascii="宋体" w:hAnsi="宋体" w:cs="宋体"/>
          <w:kern w:val="0"/>
          <w:szCs w:val="21"/>
          <w:highlight w:val="none"/>
          <w:lang w:eastAsia="zh-CN"/>
        </w:rPr>
        <w:t>中标人</w:t>
      </w:r>
      <w:r>
        <w:rPr>
          <w:rFonts w:hint="eastAsia" w:ascii="宋体" w:hAnsi="宋体" w:cs="宋体"/>
          <w:kern w:val="0"/>
          <w:szCs w:val="21"/>
          <w:highlight w:val="none"/>
        </w:rPr>
        <w:t>应</w:t>
      </w:r>
      <w:r>
        <w:rPr>
          <w:rFonts w:hint="eastAsia" w:ascii="宋体" w:hAnsi="宋体" w:cs="宋体"/>
          <w:kern w:val="0"/>
          <w:szCs w:val="21"/>
        </w:rPr>
        <w:t>修正上述错误并负担修正错误的一切费用。</w:t>
      </w:r>
    </w:p>
    <w:p w14:paraId="35A0427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10.2.3 乙供材料的型号、规格、货源、数量符合设计及合同规定。内部设备接 (插)件 (盘)完整，符合施工图设计。</w:t>
      </w:r>
    </w:p>
    <w:p w14:paraId="30D61EF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10.2.4 机架 (柜)的安装</w:t>
      </w:r>
    </w:p>
    <w:p w14:paraId="2801010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10.2.4.1 设备安装位置符合设计要求。机架 (柜)安装与地面垂直、平稳。吊装后机架 (柜)倾斜偏差应小于机架 (柜)身高千分之一。</w:t>
      </w:r>
    </w:p>
    <w:p w14:paraId="049E810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10.2.4.2 机架、机柜固定符合设计规定。固定螺丝、垫片和弹簧圈应按要求紧固，不得漏装。</w:t>
      </w:r>
    </w:p>
    <w:p w14:paraId="37FD735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10.2.4.3 机架 (柜)内设备、部件安装应在机架 (柜)定位并加固安装，安装牢固、端正，符合安装手册要求。</w:t>
      </w:r>
    </w:p>
    <w:p w14:paraId="2284012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 室内配线</w:t>
      </w:r>
    </w:p>
    <w:p w14:paraId="6D128FC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10.2.5.1 配线的规格型号及敷设方式符合设计规定。</w:t>
      </w:r>
    </w:p>
    <w:p w14:paraId="7C59632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10.2.5.2 配线用线、缆应完整，无破损、发霉、受潮现象，芯线应无错线、断线、混线。配线（缆）不扭曲，不褶皱，封头良好，施工前应进行对号、环阻、绝缘测试，测试结果必须满足衰减要求并记录。</w:t>
      </w:r>
    </w:p>
    <w:p w14:paraId="3EF4CB6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10.2.5.3配线正确，无错、漏现象。</w:t>
      </w:r>
    </w:p>
    <w:p w14:paraId="7588D1F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10.2.5.4 配线电缆在室内走线架上敷设及编扎执行“TB10205-99”中的有关规定（也可参考安装手册），应按机架、机列顺序平直排列正确，互相靠拢，不得起伏不平，纽绞和交叉，绑扎线扣应正确一致。</w:t>
      </w:r>
    </w:p>
    <w:p w14:paraId="3C4D396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10.2.5.5 室内电缆走线架的安装、制作应符合有关规定，走线架安装位置与设计规定位置偏差不大于50mm，相邻走线架水平偏差不大于3mm。</w:t>
      </w:r>
    </w:p>
    <w:p w14:paraId="55D6C8A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10.2.5.6 配线焊接牢固，扭结正确、密实。</w:t>
      </w:r>
    </w:p>
    <w:p w14:paraId="761E637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10.2.5.7 接地装置的种类、接地电阻阻值、用材规格、引入方式符合设计规定。</w:t>
      </w:r>
    </w:p>
    <w:p w14:paraId="317E451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10.2.5.8 所有线路必须走线槽或由钢管/护套管进行防护；</w:t>
      </w:r>
    </w:p>
    <w:p w14:paraId="2727ECD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  通信线路的敷设</w:t>
      </w:r>
    </w:p>
    <w:p w14:paraId="3430EC9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本工程中通信线路包括同轴电缆、电源电缆、控制电缆及站（段）市话电缆敷设等部分。其中明敷的电缆，应具有抗太阳辐射能力。直埋敷设时应该使用PE子管，做好线缆防护；经过路面敷设时，需使用镀锌钢管对线缆做防护；对于长距离的线缆敷设时，应该在起始端、经过的主要路面两端、穿过的建筑物两端，明确线缆标识。</w:t>
      </w:r>
    </w:p>
    <w:p w14:paraId="36E6C1F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10.2.6.1 电缆规格、型号、电气特性必须符合设计要求。</w:t>
      </w:r>
    </w:p>
    <w:p w14:paraId="6EA79AB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10.2.6.2 敷设电缆时电缆</w:t>
      </w:r>
      <w:r>
        <w:rPr>
          <w:rFonts w:hint="eastAsia" w:ascii="宋体" w:hAnsi="宋体" w:cs="宋体"/>
          <w:kern w:val="0"/>
          <w:szCs w:val="21"/>
          <w:lang w:eastAsia="zh-CN"/>
        </w:rPr>
        <w:t>弯曲</w:t>
      </w:r>
      <w:r>
        <w:rPr>
          <w:rFonts w:hint="eastAsia" w:ascii="宋体" w:hAnsi="宋体" w:cs="宋体"/>
          <w:kern w:val="0"/>
          <w:szCs w:val="21"/>
        </w:rPr>
        <w:t>半径应大于电缆直径的15倍，电缆余长为1.5米。</w:t>
      </w:r>
    </w:p>
    <w:p w14:paraId="618196C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10.2.6.3 两线对地绝缘电阻不小于2MΩ。</w:t>
      </w:r>
    </w:p>
    <w:p w14:paraId="71C0911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10.2.6.4 电缆穿管道</w:t>
      </w:r>
      <w:r>
        <w:rPr>
          <w:rFonts w:hint="eastAsia" w:ascii="宋体" w:hAnsi="宋体" w:cs="宋体"/>
          <w:kern w:val="0"/>
          <w:szCs w:val="21"/>
          <w:lang w:eastAsia="zh-CN"/>
        </w:rPr>
        <w:t>直接</w:t>
      </w:r>
      <w:r>
        <w:rPr>
          <w:rFonts w:hint="eastAsia" w:ascii="宋体" w:hAnsi="宋体" w:cs="宋体"/>
          <w:kern w:val="0"/>
          <w:szCs w:val="21"/>
        </w:rPr>
        <w:t>涂抹黄油或滑石粉，以免损伤电缆。</w:t>
      </w:r>
    </w:p>
    <w:p w14:paraId="568862F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10.2.6.5 视频电缆长度应逐盘核对，适当选配电缆。</w:t>
      </w:r>
    </w:p>
    <w:p w14:paraId="66BF50B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10.2.6.6 从摄像机引出的电缆</w:t>
      </w:r>
      <w:r>
        <w:rPr>
          <w:rFonts w:hint="eastAsia" w:ascii="宋体" w:hAnsi="宋体" w:cs="宋体"/>
          <w:kern w:val="0"/>
          <w:szCs w:val="21"/>
          <w:lang w:eastAsia="zh-CN"/>
        </w:rPr>
        <w:t>预留</w:t>
      </w:r>
      <w:r>
        <w:rPr>
          <w:rFonts w:hint="eastAsia" w:ascii="宋体" w:hAnsi="宋体" w:cs="宋体"/>
          <w:kern w:val="0"/>
          <w:szCs w:val="21"/>
        </w:rPr>
        <w:t>1m的余量。视频电缆、控制电缆、电源电缆均应固定。</w:t>
      </w:r>
    </w:p>
    <w:p w14:paraId="20B5D20E">
      <w:pPr>
        <w:spacing w:line="440" w:lineRule="exact"/>
        <w:ind w:firstLine="420" w:firstLineChars="200"/>
        <w:rPr>
          <w:rFonts w:hint="eastAsia" w:ascii="宋体" w:hAnsi="宋体" w:cs="宋体"/>
          <w:b/>
          <w:bCs/>
          <w:szCs w:val="21"/>
        </w:rPr>
      </w:pPr>
      <w:bookmarkStart w:id="316" w:name="_Toc172623577"/>
      <w:bookmarkStart w:id="317" w:name="_Toc208481056"/>
      <w:bookmarkStart w:id="318" w:name="_Toc440551886"/>
      <w:bookmarkStart w:id="319" w:name="_Toc488238909"/>
      <w:bookmarkStart w:id="320" w:name="_Toc294082656"/>
      <w:r>
        <w:rPr>
          <w:rFonts w:hint="eastAsia" w:ascii="宋体" w:hAnsi="宋体" w:cs="宋体"/>
          <w:b/>
          <w:bCs/>
          <w:szCs w:val="21"/>
        </w:rPr>
        <w:t>十一</w:t>
      </w:r>
      <w:r>
        <w:rPr>
          <w:rFonts w:hint="eastAsia" w:ascii="宋体" w:hAnsi="宋体" w:cs="宋体"/>
          <w:b/>
          <w:bCs/>
          <w:szCs w:val="21"/>
          <w:lang w:eastAsia="zh-CN"/>
        </w:rPr>
        <w:t>、</w:t>
      </w:r>
      <w:r>
        <w:rPr>
          <w:rFonts w:hint="eastAsia" w:ascii="宋体" w:hAnsi="宋体" w:cs="宋体"/>
          <w:b/>
          <w:bCs/>
          <w:szCs w:val="21"/>
        </w:rPr>
        <w:t>作业要求</w:t>
      </w:r>
    </w:p>
    <w:p w14:paraId="72F1D2F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11.1 中标人进场前需向招标人缴纳履约保证金及签订安全协议，要通过招标人的安全培训并且合格。</w:t>
      </w:r>
    </w:p>
    <w:p w14:paraId="76ADA0A4">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11.2 中标人自行将每日施工所需材料运至现场，并做好未完品保护。</w:t>
      </w:r>
    </w:p>
    <w:p w14:paraId="49B76C79">
      <w:pPr>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11.3 中标人每日作业完成后须经双方检查确认合格后方可撤离现场。</w:t>
      </w:r>
    </w:p>
    <w:p w14:paraId="0C49EDB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11.4 中标人应严格遵守</w:t>
      </w:r>
      <w:r>
        <w:rPr>
          <w:rFonts w:ascii="宋体" w:hAnsi="宋体" w:cs="宋体"/>
          <w:kern w:val="0"/>
          <w:szCs w:val="21"/>
          <w:highlight w:val="none"/>
        </w:rPr>
        <w:t>滁宁城铁</w:t>
      </w:r>
      <w:r>
        <w:rPr>
          <w:rFonts w:hint="eastAsia" w:ascii="宋体" w:hAnsi="宋体" w:cs="宋体"/>
          <w:kern w:val="0"/>
          <w:szCs w:val="21"/>
          <w:highlight w:val="none"/>
        </w:rPr>
        <w:t>的安全施工制度要求，做好现场的作业安全防护，文明施工，保证施工现场工完料清。</w:t>
      </w:r>
    </w:p>
    <w:p w14:paraId="34DE058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11.5 现场作业人员防护用品必须齐备（反光背心、安全帽、劳保手套、劳保鞋等），否则不予操作，操作时须规范佩戴防护用品。</w:t>
      </w:r>
    </w:p>
    <w:p w14:paraId="425D34E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11.6 施工完成后必须清理现场，做到“三清”，并配合招标人检查完毕后方可撤离现场。</w:t>
      </w:r>
    </w:p>
    <w:p w14:paraId="66AF602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11.7 密切加强与运营部门的协调工作，并按管理规定对人员、物件及时清场，施工场所要做到工完料尽。</w:t>
      </w:r>
    </w:p>
    <w:p w14:paraId="2B0F9BB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11.8 实施人员工作前不许饮酒，进入施工现场不准嬉笑打闹。 实施期间应做好相应的安全保护措施。</w:t>
      </w:r>
    </w:p>
    <w:p w14:paraId="40DA178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11.9 实施前须由项目负责人向操作人员进行技术交底和安全交底，并做好记录（签字确认），未经交底者不得进入现场作业。</w:t>
      </w:r>
    </w:p>
    <w:p w14:paraId="2C326C0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11.10 对既有设施、设备的操作</w:t>
      </w:r>
      <w:r>
        <w:rPr>
          <w:rFonts w:hint="eastAsia" w:ascii="宋体" w:hAnsi="宋体" w:cs="宋体"/>
          <w:kern w:val="0"/>
          <w:szCs w:val="21"/>
          <w:highlight w:val="none"/>
        </w:rPr>
        <w:t>，中标人需</w:t>
      </w:r>
      <w:r>
        <w:rPr>
          <w:rFonts w:hint="eastAsia" w:ascii="宋体" w:hAnsi="宋体" w:cs="宋体"/>
          <w:kern w:val="0"/>
          <w:szCs w:val="21"/>
        </w:rPr>
        <w:t>在招标人监督下，由相关专业配合完成。</w:t>
      </w:r>
    </w:p>
    <w:bookmarkEnd w:id="316"/>
    <w:bookmarkEnd w:id="317"/>
    <w:bookmarkEnd w:id="318"/>
    <w:bookmarkEnd w:id="319"/>
    <w:bookmarkEnd w:id="320"/>
    <w:p w14:paraId="09A7334A">
      <w:pPr>
        <w:spacing w:line="440" w:lineRule="exact"/>
        <w:ind w:firstLine="420" w:firstLineChars="200"/>
        <w:rPr>
          <w:rFonts w:hint="eastAsia" w:ascii="宋体" w:hAnsi="宋体" w:cs="宋体"/>
          <w:b/>
          <w:bCs/>
          <w:szCs w:val="21"/>
        </w:rPr>
      </w:pPr>
      <w:bookmarkStart w:id="321" w:name="_Toc294082657"/>
      <w:bookmarkStart w:id="322" w:name="_Toc172623578"/>
      <w:bookmarkStart w:id="323" w:name="_Toc440551887"/>
      <w:bookmarkStart w:id="324" w:name="_Toc208481057"/>
      <w:bookmarkStart w:id="325" w:name="_Toc488238910"/>
      <w:r>
        <w:rPr>
          <w:rFonts w:hint="eastAsia" w:ascii="宋体" w:hAnsi="宋体" w:cs="宋体"/>
          <w:b/>
          <w:bCs/>
          <w:szCs w:val="21"/>
        </w:rPr>
        <w:t>十二</w:t>
      </w:r>
      <w:r>
        <w:rPr>
          <w:rFonts w:hint="eastAsia" w:ascii="宋体" w:hAnsi="宋体" w:cs="宋体"/>
          <w:b/>
          <w:bCs/>
          <w:szCs w:val="21"/>
          <w:lang w:eastAsia="zh-CN"/>
        </w:rPr>
        <w:t>、</w:t>
      </w:r>
      <w:r>
        <w:rPr>
          <w:rFonts w:hint="eastAsia" w:ascii="宋体" w:hAnsi="宋体" w:cs="宋体"/>
          <w:b/>
          <w:bCs/>
          <w:szCs w:val="21"/>
        </w:rPr>
        <w:t>保证措施</w:t>
      </w:r>
      <w:bookmarkEnd w:id="321"/>
      <w:bookmarkEnd w:id="322"/>
      <w:bookmarkEnd w:id="323"/>
      <w:bookmarkEnd w:id="324"/>
      <w:bookmarkEnd w:id="325"/>
    </w:p>
    <w:p w14:paraId="48A0FBD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12.1严格遵守和执行国家、地方、行业的相关法律、法规、规范、规程、标准及招标人的各项管理制度及规定。</w:t>
      </w:r>
    </w:p>
    <w:p w14:paraId="1FCA73F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12.2遵守合同协议，组织足够力量的技术人员、技术工人，完成合同约定。</w:t>
      </w:r>
    </w:p>
    <w:p w14:paraId="5A7B1D3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12.3对组织机构定岗、定员。队伍人员素质、专业技术结构满足各项要求，并保证人员稳定。</w:t>
      </w:r>
    </w:p>
    <w:p w14:paraId="0196EAF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12.4严格按照招标人管理模式，及招标人审定的工作计划和方案组织实施。</w:t>
      </w:r>
    </w:p>
    <w:p w14:paraId="28CB85B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12.5按照合同协议认真执行，及时完成初验、问题反馈以及最终验收。</w:t>
      </w:r>
    </w:p>
    <w:p w14:paraId="2A5A5A6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12.6同招标人密切配合，有权利也有义务为招标人生产及设备维护提出合理化建议，形成“相溶、相敬、互通、互助”的局面。</w:t>
      </w:r>
    </w:p>
    <w:p w14:paraId="75B516CA">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12.7强化对工期的检查、监督。</w:t>
      </w:r>
    </w:p>
    <w:p w14:paraId="11DEB63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12.8严格控制质量。认真做好每一项工作任务，做到工作不留尾项，不留隐患，不出现返工，降低总体成本，提高经济效益。</w:t>
      </w:r>
    </w:p>
    <w:p w14:paraId="1F25AE0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12.9加强安全管理力度，杜绝各类事故的发生。</w:t>
      </w:r>
    </w:p>
    <w:p w14:paraId="22CCD2CC">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12.10团队人员的病假、事假、调休轮休、探亲等各种假期，中标人必须在定编不缺员的情况下合理安排，并经招标人批准。</w:t>
      </w:r>
    </w:p>
    <w:p w14:paraId="4B41C98B">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12.11项目负责人及主要技术骨干休息，离开岗位，必须向招标人办理请假手续。岗位缺员，招标人有权另行临时聘员或工作外协，所发生的费用由中标人承担。</w:t>
      </w:r>
    </w:p>
    <w:p w14:paraId="642F15AA">
      <w:pPr>
        <w:spacing w:line="440" w:lineRule="exact"/>
        <w:ind w:firstLine="420" w:firstLineChars="200"/>
        <w:rPr>
          <w:rFonts w:hint="eastAsia" w:ascii="宋体" w:hAnsi="宋体" w:cs="宋体"/>
          <w:b/>
          <w:bCs/>
          <w:szCs w:val="21"/>
          <w:highlight w:val="none"/>
        </w:rPr>
      </w:pPr>
      <w:bookmarkStart w:id="326" w:name="_Toc294082658"/>
      <w:bookmarkStart w:id="327" w:name="_Toc488238911"/>
      <w:bookmarkStart w:id="328" w:name="_Toc208481058"/>
      <w:bookmarkStart w:id="329" w:name="_Toc172623579"/>
      <w:bookmarkStart w:id="330" w:name="_Toc440551888"/>
      <w:r>
        <w:rPr>
          <w:rFonts w:hint="eastAsia" w:ascii="宋体" w:hAnsi="宋体" w:cs="宋体"/>
          <w:b/>
          <w:bCs/>
          <w:szCs w:val="21"/>
          <w:highlight w:val="none"/>
        </w:rPr>
        <w:t>十</w:t>
      </w:r>
      <w:r>
        <w:rPr>
          <w:rFonts w:hint="eastAsia" w:ascii="宋体" w:hAnsi="宋体" w:cs="宋体"/>
          <w:b/>
          <w:bCs/>
          <w:szCs w:val="21"/>
          <w:highlight w:val="none"/>
          <w:lang w:val="en-US" w:eastAsia="zh-CN"/>
        </w:rPr>
        <w:t>三、</w:t>
      </w:r>
      <w:r>
        <w:rPr>
          <w:rFonts w:hint="eastAsia" w:ascii="宋体" w:hAnsi="宋体" w:cs="宋体"/>
          <w:b/>
          <w:bCs/>
          <w:szCs w:val="21"/>
          <w:highlight w:val="none"/>
        </w:rPr>
        <w:t>质量管理</w:t>
      </w:r>
      <w:bookmarkEnd w:id="326"/>
      <w:bookmarkEnd w:id="327"/>
      <w:bookmarkEnd w:id="328"/>
      <w:bookmarkEnd w:id="329"/>
      <w:bookmarkEnd w:id="330"/>
    </w:p>
    <w:p w14:paraId="1997FA2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.1中标人必须有明确的项目质量方针、质量目标并按此进行质量管理。</w:t>
      </w:r>
    </w:p>
    <w:p w14:paraId="78ECE79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.2中标人必须认真贯彻执</w:t>
      </w:r>
      <w:r>
        <w:rPr>
          <w:rFonts w:hint="eastAsia" w:ascii="宋体" w:hAnsi="宋体" w:cs="宋体"/>
          <w:kern w:val="0"/>
          <w:szCs w:val="21"/>
        </w:rPr>
        <w:t>行GB/T19001-ISO9001质量保证标准。以完整的质量管理体系对待每一项检测工作，从准备到交工的各个环节都要做到精心组织，科学管理，对检测质量严格要求。</w:t>
      </w:r>
    </w:p>
    <w:p w14:paraId="126F8B9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.3质量保证</w:t>
      </w:r>
    </w:p>
    <w:p w14:paraId="43DE321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.3.1认真贯彻执行国家、地方、行业及招标人有关部门对设备质量的有关规范、规定和《质量管理和质量保证》体系等有关规定。</w:t>
      </w:r>
    </w:p>
    <w:p w14:paraId="5841049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.3.2坚持把“质量第一，用户至上”作为质量控制的基本原则。</w:t>
      </w:r>
    </w:p>
    <w:p w14:paraId="6516A95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.3.3针对质量目标编制质量检验与管理体制实施细则，编制工作关键项目的施工（检修）作业技术措施或作业指导书，并严格执行，做好预防措施、控制质量通病。</w:t>
      </w:r>
    </w:p>
    <w:p w14:paraId="21DEC45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.3.4选派作业水平较高且有丰富经验的专业人员上岗，并组织学习滁宁城铁设备特性和技术标准以及要求，努力提高人员的业务素质，避免人为失误。以人的工作质量保工序质量、促工程质量，确保作业质量。</w:t>
      </w:r>
    </w:p>
    <w:p w14:paraId="669A33D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.3.5“以人为核心”，加强对员工的质量意识教育，充分调动所有施工人员的积极性，增强人的责任感，抓好施工过程中的质量控制，加大质量管理和质量检验力度，虚心接受招标人意见。</w:t>
      </w:r>
    </w:p>
    <w:p w14:paraId="7B975B4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.3.6项目保证资料真实、完整、规范、及时、满足要求。</w:t>
      </w:r>
    </w:p>
    <w:p w14:paraId="42065C7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.3.7检测管理标准化，检测操作规范化。</w:t>
      </w:r>
    </w:p>
    <w:p w14:paraId="4002A92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.3.8强化全过程的质量管理，在工作准备阶段主动与招标人取得联系，确保质量和工期。</w:t>
      </w:r>
    </w:p>
    <w:p w14:paraId="6ED429E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.3.9加强隐蔽工程的质量管理，隐蔽工程施工必须经招标人检查，并办好签字手续后方可隐蔽。</w:t>
      </w:r>
    </w:p>
    <w:p w14:paraId="0D8753F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.3.10 坚持预防为主，确保工程的内在质量和外观质量均符合要求。</w:t>
      </w:r>
    </w:p>
    <w:p w14:paraId="33FCBABE">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.3.11对施工（检修）用机具、设备、计量器具严格管理。对施工（检修）用检验、测量和试验设备分类按期进行校验、校准，使用前进行仔细检查，保证使用合格的计量器具。</w:t>
      </w:r>
    </w:p>
    <w:p w14:paraId="7B83965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.3.12认真填写记录，做到不合格工序不转序，不合格项目不移交。尤其是对关键工序和特殊过程严加控制，确保工序质量。</w:t>
      </w:r>
    </w:p>
    <w:p w14:paraId="76E2FB25">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.3.13认真做好每次开工作业前的准备，工作结束的质量总结。</w:t>
      </w:r>
    </w:p>
    <w:p w14:paraId="774E070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.3.14过程中发生的质量问题或质量事故要</w:t>
      </w:r>
      <w:r>
        <w:rPr>
          <w:rFonts w:hint="eastAsia" w:ascii="宋体" w:hAnsi="宋体" w:cs="宋体"/>
          <w:kern w:val="0"/>
          <w:szCs w:val="21"/>
          <w:highlight w:val="none"/>
        </w:rPr>
        <w:t>及时报告招标人，中标人必须及时制定处理方案，经招标人和有关部门审批后</w:t>
      </w:r>
      <w:r>
        <w:rPr>
          <w:rFonts w:hint="eastAsia" w:ascii="宋体" w:hAnsi="宋体" w:cs="宋体"/>
          <w:kern w:val="0"/>
          <w:szCs w:val="21"/>
          <w:highlight w:val="none"/>
          <w:lang w:eastAsia="zh-CN"/>
        </w:rPr>
        <w:t>实施</w:t>
      </w:r>
      <w:r>
        <w:rPr>
          <w:rFonts w:hint="eastAsia" w:ascii="宋体" w:hAnsi="宋体" w:cs="宋体"/>
          <w:kern w:val="0"/>
          <w:szCs w:val="21"/>
          <w:highlight w:val="none"/>
        </w:rPr>
        <w:t>。</w:t>
      </w:r>
    </w:p>
    <w:p w14:paraId="5A1465D5">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.3.15中标人应对工作内容认真自检，确认合格后，再报招标人确认。</w:t>
      </w:r>
    </w:p>
    <w:p w14:paraId="144D31B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.3.16中标人必须对现场跟踪检查，发现问题及时组织处理。</w:t>
      </w:r>
    </w:p>
    <w:p w14:paraId="5899E5C2">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.3.17工作完成后，及时整理完工资料，并交付招标人审核、确认。</w:t>
      </w:r>
    </w:p>
    <w:p w14:paraId="29B52FE5">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.4 质量管理组织机构及主要职责</w:t>
      </w:r>
    </w:p>
    <w:p w14:paraId="0B21026F">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中标人必须提供该项目的质量管理组织架构图及各岗位的主要职责。</w:t>
      </w:r>
    </w:p>
    <w:p w14:paraId="2D7CDC96">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.5中标人必须有明确的安全质量检验标准及技术规范并参照执行。</w:t>
      </w:r>
    </w:p>
    <w:p w14:paraId="6964DFA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.6 除非另有规定，本项目应按中国技术规范和标准设计及施工（检修）作业。如遇遗漏所需项目实施的作业规范，应征得招标人同意，补充规范以满足合同要求。原则上没有国家标准、规范的，适用行业标准、规范；没有国家和行业标准、规范的，适用工程所在地地方标准、规范；国内没有相应标准、规范的，由招标人向中标人提出施工（检修）作业技术要求，中标人提出施工（检修</w:t>
      </w:r>
      <w:r>
        <w:rPr>
          <w:rFonts w:hint="eastAsia" w:ascii="宋体" w:hAnsi="宋体" w:cs="宋体"/>
          <w:kern w:val="0"/>
          <w:szCs w:val="21"/>
        </w:rPr>
        <w:t>）工艺，经招标人批准后执行。</w:t>
      </w:r>
    </w:p>
    <w:p w14:paraId="7A96C56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.7文件资料控制</w:t>
      </w:r>
    </w:p>
    <w:p w14:paraId="4E6F3A4F">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.7.1所有与检测相关文件和记录应分别进行编号、分类、登记、发放、传递、保管和回收，必须与招标人管理同步。</w:t>
      </w:r>
    </w:p>
    <w:p w14:paraId="424912A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.7.2图纸及计划、任务单、各类会议纪要（记录）按程序文件的要求统一编号、分类、登记、标识、存档，按招标人批准的范围发放、传递。</w:t>
      </w:r>
    </w:p>
    <w:p w14:paraId="2F3C27D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rPr>
        <w:t>1</w:t>
      </w:r>
      <w:r>
        <w:rPr>
          <w:rFonts w:hint="eastAsia" w:ascii="宋体" w:hAnsi="宋体" w:cs="宋体"/>
          <w:kern w:val="0"/>
          <w:szCs w:val="21"/>
          <w:lang w:val="en-US" w:eastAsia="zh-CN"/>
        </w:rPr>
        <w:t>3</w:t>
      </w:r>
      <w:r>
        <w:rPr>
          <w:rFonts w:hint="eastAsia" w:ascii="宋体" w:hAnsi="宋体" w:cs="宋体"/>
          <w:kern w:val="0"/>
          <w:szCs w:val="21"/>
        </w:rPr>
        <w:t>.7.3如项目修改原</w:t>
      </w:r>
      <w:r>
        <w:rPr>
          <w:rFonts w:hint="eastAsia" w:ascii="宋体" w:hAnsi="宋体" w:cs="宋体"/>
          <w:kern w:val="0"/>
          <w:szCs w:val="21"/>
          <w:highlight w:val="none"/>
        </w:rPr>
        <w:t>设计，中标人必须征得招标人同意并在资料相应位置明确标识，并将修改存档，同时将修改指令复印件附在图中。对作废图纸应及时回收，交招标人统一处理。</w:t>
      </w:r>
    </w:p>
    <w:p w14:paraId="18B9603E">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3</w:t>
      </w:r>
      <w:r>
        <w:rPr>
          <w:rFonts w:hint="eastAsia" w:ascii="宋体" w:hAnsi="宋体" w:cs="宋体"/>
          <w:kern w:val="0"/>
          <w:szCs w:val="21"/>
          <w:highlight w:val="none"/>
        </w:rPr>
        <w:t>.7.4有一整套检修规范、标准等文件，对于标准的更新及规程、规范的变化应及时报告招标人，并在相应部位做代替说明，待业方批准后执行。</w:t>
      </w:r>
    </w:p>
    <w:p w14:paraId="6C15968A">
      <w:pPr>
        <w:spacing w:line="440" w:lineRule="exact"/>
        <w:ind w:firstLine="420" w:firstLineChars="200"/>
        <w:rPr>
          <w:rFonts w:hint="eastAsia" w:ascii="宋体" w:hAnsi="宋体" w:cs="宋体"/>
          <w:b/>
          <w:bCs/>
          <w:szCs w:val="21"/>
          <w:highlight w:val="none"/>
        </w:rPr>
      </w:pPr>
      <w:bookmarkStart w:id="331" w:name="_Toc208481059"/>
      <w:bookmarkStart w:id="332" w:name="_Toc488238912"/>
      <w:bookmarkStart w:id="333" w:name="_Toc440551889"/>
      <w:bookmarkStart w:id="334" w:name="_Toc172623580"/>
      <w:bookmarkStart w:id="335" w:name="_Toc294082659"/>
      <w:r>
        <w:rPr>
          <w:rFonts w:hint="eastAsia" w:ascii="宋体" w:hAnsi="宋体" w:cs="宋体"/>
          <w:b/>
          <w:bCs/>
          <w:szCs w:val="21"/>
          <w:highlight w:val="none"/>
        </w:rPr>
        <w:t>十</w:t>
      </w:r>
      <w:r>
        <w:rPr>
          <w:rFonts w:hint="eastAsia" w:ascii="宋体" w:hAnsi="宋体" w:cs="宋体"/>
          <w:b/>
          <w:bCs/>
          <w:szCs w:val="21"/>
          <w:highlight w:val="none"/>
          <w:lang w:val="en-US" w:eastAsia="zh-CN"/>
        </w:rPr>
        <w:t>四、</w:t>
      </w:r>
      <w:r>
        <w:rPr>
          <w:rFonts w:hint="eastAsia" w:ascii="宋体" w:hAnsi="宋体" w:cs="宋体"/>
          <w:b/>
          <w:bCs/>
          <w:szCs w:val="21"/>
          <w:highlight w:val="none"/>
        </w:rPr>
        <w:t>安全管理</w:t>
      </w:r>
      <w:bookmarkEnd w:id="331"/>
      <w:bookmarkEnd w:id="332"/>
      <w:bookmarkEnd w:id="333"/>
      <w:bookmarkEnd w:id="334"/>
      <w:bookmarkEnd w:id="335"/>
    </w:p>
    <w:p w14:paraId="0614619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.1中标人必须有</w:t>
      </w:r>
      <w:r>
        <w:rPr>
          <w:rFonts w:hint="eastAsia" w:ascii="宋体" w:hAnsi="宋体" w:cs="宋体"/>
          <w:kern w:val="0"/>
          <w:szCs w:val="21"/>
          <w:highlight w:val="none"/>
          <w:lang w:eastAsia="zh-CN"/>
        </w:rPr>
        <w:t>明确</w:t>
      </w:r>
      <w:r>
        <w:rPr>
          <w:rFonts w:hint="eastAsia" w:ascii="宋体" w:hAnsi="宋体" w:cs="宋体"/>
          <w:kern w:val="0"/>
          <w:szCs w:val="21"/>
          <w:highlight w:val="none"/>
        </w:rPr>
        <w:t>该项目的安全目标、安全指标并进行安全管理。</w:t>
      </w:r>
    </w:p>
    <w:p w14:paraId="073BB5C0">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.2中标人必须提供该项目的安全控制组织架构及主要岗位职责。</w:t>
      </w:r>
    </w:p>
    <w:p w14:paraId="0722805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.3安全控制管理制度</w:t>
      </w:r>
    </w:p>
    <w:p w14:paraId="0F6B5727">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.3.1在作业过程中，首先牢固树立“安全第一、预防为主”的思想。</w:t>
      </w:r>
    </w:p>
    <w:p w14:paraId="5B2478A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.3.2全面执行中标人发布的安全管理制度：</w:t>
      </w:r>
    </w:p>
    <w:p w14:paraId="77484969">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.4安全组织、技术措施</w:t>
      </w:r>
    </w:p>
    <w:p w14:paraId="6D3B95C1">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4.1遵照现行国家及有关部门的安全法规、规范、规定对本项目进行安全管理、健康管理、环境管理，确保安全施工（检修），杜绝一切人身伤亡事故。要有完整的安全管理组织体制，有专兼职安全干部，安全员负责设备检测和日常的安全、防火工作等。</w:t>
      </w:r>
    </w:p>
    <w:p w14:paraId="155DD0E3">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4.2实行“三级”安全管理，坚持“管施工（检修）的同时必须抓安全”，“项目负责人是第一安全责任人”的原则，开展好正常的安全活动。中标人对本合同工作范围内的安全、消防等负责，对本单位进场人员治安保卫工作负责。</w:t>
      </w:r>
    </w:p>
    <w:p w14:paraId="63BD583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.4.3强化各级安全监察网络，一级抓一级，层层落实安全生产责任制，抓好安全基础工作，重点放在预防上，有针对性的开展好作业前的安全预想预防工作，在布置工作的同时也要布置安全，认真做好内部的各种</w:t>
      </w:r>
      <w:r>
        <w:rPr>
          <w:rFonts w:hint="eastAsia" w:ascii="宋体" w:hAnsi="宋体" w:cs="宋体"/>
          <w:kern w:val="0"/>
          <w:szCs w:val="21"/>
          <w:lang w:eastAsia="zh-CN"/>
        </w:rPr>
        <w:t>安全管理台账</w:t>
      </w:r>
      <w:r>
        <w:rPr>
          <w:rFonts w:hint="eastAsia" w:ascii="宋体" w:hAnsi="宋体" w:cs="宋体"/>
          <w:kern w:val="0"/>
          <w:szCs w:val="21"/>
        </w:rPr>
        <w:t>。</w:t>
      </w:r>
    </w:p>
    <w:p w14:paraId="0F9A83DC">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.4.4执行招标人制定的安全管理制度、安全操作规程及安全奖惩办法等规章制度，强化安全管理。</w:t>
      </w:r>
    </w:p>
    <w:p w14:paraId="5719C59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.4.5推行安全风险制，执行《“安全风险抵押金”制度》，从负责人到施工（检修）人员，逐级签订安全风险责任合同。</w:t>
      </w:r>
    </w:p>
    <w:p w14:paraId="1E02E6B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.4.6专、兼职安全员固定在作业现场，掌握安全动态，加强安全监督管理，抓好安全措施的落实，及时向负责人提供安全信息，协助抓好整个项目的安全工作。</w:t>
      </w:r>
    </w:p>
    <w:p w14:paraId="36D9773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.4.7项目负责人、安全员都有责任搞好本单位的施工（检修）安全。凡发现有违反安全操作规程者，有权令其停止工作。</w:t>
      </w:r>
    </w:p>
    <w:p w14:paraId="5CFC882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.4.8加强对职工的安全教育，定期组织安全学习，施工（检修）中严格执行安全措施和安全规程，狠抓安全措施的落实，防患于未然。</w:t>
      </w:r>
    </w:p>
    <w:p w14:paraId="473E949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.4.9在危险作业区域和交叉作业区域，增加临时性安全监察岗，加强预控和监督。</w:t>
      </w:r>
    </w:p>
    <w:p w14:paraId="015A6D3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.4.10各级领导和业务部门定期深入作业现场，进行安全大检查，查思想、查管理、查落实，查隐患，对安全上的薄弱环节决不放过。</w:t>
      </w:r>
    </w:p>
    <w:p w14:paraId="1DA699E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.4.11坚持文明施工（检修），保证施工（检修）机械、设备完好和清洁，安全操作规程齐全，持证上岗，施工（检修）现场的安全管理、安全设施、安全工器具要符合规定。</w:t>
      </w:r>
    </w:p>
    <w:p w14:paraId="4A31E28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.4.12作业现场设置安全标志，安全员上岗监督，作业人员一律戴安全帽，闲杂人员不得进入作业现场；登高时必须</w:t>
      </w:r>
      <w:r>
        <w:rPr>
          <w:rFonts w:hint="eastAsia" w:ascii="宋体" w:hAnsi="宋体" w:cs="宋体"/>
          <w:kern w:val="0"/>
          <w:szCs w:val="21"/>
          <w:lang w:eastAsia="zh-CN"/>
        </w:rPr>
        <w:t>佩戴</w:t>
      </w:r>
      <w:r>
        <w:rPr>
          <w:rFonts w:hint="eastAsia" w:ascii="宋体" w:hAnsi="宋体" w:cs="宋体"/>
          <w:kern w:val="0"/>
          <w:szCs w:val="21"/>
        </w:rPr>
        <w:t>好安全带及安全绳后才能进行高空作业，严禁高空落物。</w:t>
      </w:r>
    </w:p>
    <w:p w14:paraId="65374327">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4.13施工（检修）中严格按照安规办事，施工（检修）现场坚持特殊工种100%持有效证件上岗作业的准则；所有检测人员应办理招标人场地出入证，进入招标人场地必须执行招标人有关安全、消防和治安管理制度。所有检测人员均要有操作证及经过安全培训，并向招标人提供详细的操作技术等级证书和操作证的复印件供招标人备案。</w:t>
      </w:r>
    </w:p>
    <w:p w14:paraId="23B1D6B9">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.4.14各分项作业都制定明确的安全保证措施，贯彻执行于作业的全过程。</w:t>
      </w:r>
    </w:p>
    <w:p w14:paraId="0FD86454">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.4.15加强对机具设备的维护管理，操作前检查；操作人员必须经考试合格，才能上岗，其它人员不能顶岗操作。</w:t>
      </w:r>
    </w:p>
    <w:p w14:paraId="289D1D8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.4.16加强对车辆使用的管理，加强车辆保养和司机安全意识教育；加强所有作业人员在地铁隧道中行走的安全教育，防止行车伤害，杜绝交通事故发生。</w:t>
      </w:r>
    </w:p>
    <w:p w14:paraId="17EBB8E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.4.17作业用临时电源箱，下班后应将闸刀拉开上锁，所有机电设备都应设接地接零等保护装置，严禁乱拉、乱接电源线。</w:t>
      </w:r>
    </w:p>
    <w:p w14:paraId="3EC999C8">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.4.18夏季施工（检修）应做好防暑降温工作。</w:t>
      </w:r>
    </w:p>
    <w:p w14:paraId="4F9573BB">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.4.19工作负责人必须要办理许可手续后方可带领工作人员进入工作现场。</w:t>
      </w:r>
    </w:p>
    <w:p w14:paraId="1EE3A256">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.4.20在危险区域动火必须到招标人安保部办理动火证。并派专人监护，方可实施。</w:t>
      </w:r>
    </w:p>
    <w:p w14:paraId="6B222C2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.4.21对设备缺陷的处理工作，必须在工作前将缺陷发生的原因、处理的方法以及处理工作时对现场条件的要求、工作中的安全注意事项等核查清楚。</w:t>
      </w:r>
    </w:p>
    <w:p w14:paraId="3016D17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4.22对大型作业等较为复杂的施工（检修）作业项目，有关人员必须在施工（检修）前深入到现场，对大型施工（检修）机械的行走路线和工作位置以及对施工（检修）构成障碍的物体等核查清楚，以确定可行的施工（检修）方案和作业中的不安全因素，制定可靠的安全防范措施。</w:t>
      </w:r>
    </w:p>
    <w:p w14:paraId="067224D3">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.4.23保证作业区内的清洁卫生。</w:t>
      </w:r>
    </w:p>
    <w:p w14:paraId="236862C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4</w:t>
      </w:r>
      <w:r>
        <w:rPr>
          <w:rFonts w:hint="eastAsia" w:ascii="宋体" w:hAnsi="宋体" w:cs="宋体"/>
          <w:kern w:val="0"/>
          <w:szCs w:val="21"/>
        </w:rPr>
        <w:t>.4.24爱护招标人的消防设施，按招标人有关规定及时到指定地点调换使用过的灭火器材。</w:t>
      </w:r>
    </w:p>
    <w:p w14:paraId="0577363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lang w:val="en-US" w:eastAsia="zh-CN"/>
        </w:rPr>
        <w:t>14.</w:t>
      </w:r>
      <w:r>
        <w:rPr>
          <w:rFonts w:hint="eastAsia" w:ascii="宋体" w:hAnsi="宋体" w:cs="宋体"/>
          <w:kern w:val="0"/>
          <w:szCs w:val="21"/>
        </w:rPr>
        <w:t>4</w:t>
      </w:r>
      <w:r>
        <w:rPr>
          <w:rFonts w:hint="eastAsia" w:ascii="宋体" w:hAnsi="宋体" w:cs="宋体"/>
          <w:kern w:val="0"/>
          <w:szCs w:val="21"/>
          <w:highlight w:val="none"/>
        </w:rPr>
        <w:t>.25中标人必须严格遵守招标人及中标人规定的劳动纪律，中标人规定的劳动纪律及各类规章制度、规程不得与招标人的规章制度、规程相违背。</w:t>
      </w:r>
    </w:p>
    <w:p w14:paraId="29C8506A">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4</w:t>
      </w:r>
      <w:r>
        <w:rPr>
          <w:rFonts w:hint="eastAsia" w:ascii="宋体" w:hAnsi="宋体" w:cs="宋体"/>
          <w:kern w:val="0"/>
          <w:szCs w:val="21"/>
          <w:highlight w:val="none"/>
        </w:rPr>
        <w:t>.4.26中标人必须严格遵守招标人所在地的“社会治安管理条例”。</w:t>
      </w:r>
    </w:p>
    <w:p w14:paraId="762D713C">
      <w:pPr>
        <w:spacing w:line="440" w:lineRule="exact"/>
        <w:ind w:firstLine="420" w:firstLineChars="200"/>
        <w:rPr>
          <w:rFonts w:hint="eastAsia" w:ascii="宋体" w:hAnsi="宋体" w:cs="宋体"/>
          <w:b/>
          <w:bCs/>
          <w:szCs w:val="21"/>
          <w:highlight w:val="none"/>
        </w:rPr>
      </w:pPr>
      <w:bookmarkStart w:id="336" w:name="_Toc488238913"/>
      <w:bookmarkStart w:id="337" w:name="_Toc440551890"/>
      <w:bookmarkStart w:id="338" w:name="_Toc208481060"/>
      <w:bookmarkStart w:id="339" w:name="_Toc294082660"/>
      <w:bookmarkStart w:id="340" w:name="_Toc172623581"/>
      <w:r>
        <w:rPr>
          <w:rFonts w:hint="eastAsia" w:ascii="宋体" w:hAnsi="宋体" w:cs="宋体"/>
          <w:b/>
          <w:bCs/>
          <w:szCs w:val="21"/>
          <w:highlight w:val="none"/>
        </w:rPr>
        <w:t>十</w:t>
      </w:r>
      <w:r>
        <w:rPr>
          <w:rFonts w:hint="eastAsia" w:ascii="宋体" w:hAnsi="宋体" w:cs="宋体"/>
          <w:b/>
          <w:bCs/>
          <w:szCs w:val="21"/>
          <w:highlight w:val="none"/>
          <w:lang w:val="en-US" w:eastAsia="zh-CN"/>
        </w:rPr>
        <w:t>五、</w:t>
      </w:r>
      <w:r>
        <w:rPr>
          <w:rFonts w:hint="eastAsia" w:ascii="宋体" w:hAnsi="宋体" w:cs="宋体"/>
          <w:b/>
          <w:bCs/>
          <w:szCs w:val="21"/>
          <w:highlight w:val="none"/>
        </w:rPr>
        <w:t>文明管理</w:t>
      </w:r>
      <w:bookmarkEnd w:id="336"/>
      <w:bookmarkEnd w:id="337"/>
      <w:bookmarkEnd w:id="338"/>
      <w:bookmarkEnd w:id="339"/>
      <w:bookmarkEnd w:id="340"/>
    </w:p>
    <w:p w14:paraId="0164D96D">
      <w:pPr>
        <w:tabs>
          <w:tab w:val="left" w:pos="420"/>
        </w:tabs>
        <w:adjustRightInd w:val="0"/>
        <w:snapToGrid w:val="0"/>
        <w:spacing w:line="44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w:t>
      </w:r>
      <w:r>
        <w:rPr>
          <w:rFonts w:hint="eastAsia" w:ascii="宋体" w:hAnsi="宋体" w:cs="宋体"/>
          <w:kern w:val="0"/>
          <w:szCs w:val="21"/>
          <w:highlight w:val="none"/>
          <w:lang w:val="en-US" w:eastAsia="zh-CN"/>
        </w:rPr>
        <w:t>5</w:t>
      </w:r>
      <w:r>
        <w:rPr>
          <w:rFonts w:hint="eastAsia" w:ascii="宋体" w:hAnsi="宋体" w:cs="宋体"/>
          <w:kern w:val="0"/>
          <w:szCs w:val="21"/>
          <w:highlight w:val="none"/>
        </w:rPr>
        <w:t>.1作业过程中，严格按照“规范化管理、标准化作业”规定要求，实施文明管理。</w:t>
      </w:r>
    </w:p>
    <w:p w14:paraId="0D3BE6FD">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highlight w:val="none"/>
          <w:lang w:val="en-US" w:eastAsia="zh-CN"/>
        </w:rPr>
        <w:t>15</w:t>
      </w:r>
      <w:r>
        <w:rPr>
          <w:rFonts w:hint="eastAsia" w:ascii="宋体" w:hAnsi="宋体" w:cs="宋体"/>
          <w:kern w:val="0"/>
          <w:szCs w:val="21"/>
          <w:highlight w:val="none"/>
        </w:rPr>
        <w:t>.2作业过程中，中标人应合理地保持作业现场中</w:t>
      </w:r>
      <w:r>
        <w:rPr>
          <w:rFonts w:hint="eastAsia" w:ascii="宋体" w:hAnsi="宋体" w:cs="宋体"/>
          <w:kern w:val="0"/>
          <w:szCs w:val="21"/>
        </w:rPr>
        <w:t>不出现不必要的障碍，处置好作业设备及多余材料，保持现场整洁和道路畅通。</w:t>
      </w:r>
    </w:p>
    <w:p w14:paraId="24D80541">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15</w:t>
      </w:r>
      <w:r>
        <w:rPr>
          <w:rFonts w:hint="eastAsia" w:ascii="宋体" w:hAnsi="宋体" w:cs="宋体"/>
          <w:kern w:val="0"/>
          <w:szCs w:val="21"/>
        </w:rPr>
        <w:t>.3保护作业区域内各种管线、输电及通信线路、控制开关、生产通道、测量标点等，不得随意破坏、操作、占用。如与其他作业平面发生矛盾，应事先通报招标人，在得到招标人同意后方可按要求执行。如发现未经请示同意而擅自行事，将视其具体情况给予罚款处理。</w:t>
      </w:r>
    </w:p>
    <w:p w14:paraId="121DD3E2">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.4必须负责作业现场日常卫生清理工作，保证公共环境整洁。</w:t>
      </w:r>
    </w:p>
    <w:p w14:paraId="7D5FE2B0">
      <w:pPr>
        <w:tabs>
          <w:tab w:val="left" w:pos="420"/>
        </w:tabs>
        <w:adjustRightInd w:val="0"/>
        <w:snapToGri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.5运至作业现场的备品备件，剩余部分由</w:t>
      </w:r>
      <w:r>
        <w:rPr>
          <w:rFonts w:hint="eastAsia" w:ascii="宋体" w:hAnsi="宋体" w:cs="宋体"/>
          <w:kern w:val="0"/>
          <w:szCs w:val="21"/>
          <w:highlight w:val="none"/>
        </w:rPr>
        <w:t>中标人及</w:t>
      </w:r>
      <w:r>
        <w:rPr>
          <w:rFonts w:hint="eastAsia" w:ascii="宋体" w:hAnsi="宋体" w:cs="宋体"/>
          <w:kern w:val="0"/>
          <w:szCs w:val="21"/>
        </w:rPr>
        <w:t>时回收，并放到招标人指定的地点。</w:t>
      </w:r>
    </w:p>
    <w:p w14:paraId="0209C72B">
      <w:pPr>
        <w:spacing w:line="360" w:lineRule="auto"/>
        <w:ind w:firstLine="420" w:firstLineChars="200"/>
        <w:jc w:val="both"/>
        <w:rPr>
          <w:rFonts w:hint="eastAsia" w:eastAsia="宋体"/>
          <w:lang w:val="en-US" w:eastAsia="zh-CN"/>
        </w:rPr>
      </w:pPr>
      <w:r>
        <w:rPr>
          <w:rFonts w:hint="eastAsia" w:ascii="宋体" w:hAnsi="宋体" w:cs="宋体"/>
          <w:kern w:val="0"/>
          <w:szCs w:val="21"/>
        </w:rPr>
        <w:t>1</w:t>
      </w:r>
      <w:r>
        <w:rPr>
          <w:rFonts w:hint="eastAsia" w:ascii="宋体" w:hAnsi="宋体" w:cs="宋体"/>
          <w:kern w:val="0"/>
          <w:szCs w:val="21"/>
          <w:lang w:val="en-US" w:eastAsia="zh-CN"/>
        </w:rPr>
        <w:t>5</w:t>
      </w:r>
      <w:r>
        <w:rPr>
          <w:rFonts w:hint="eastAsia" w:ascii="宋体" w:hAnsi="宋体" w:cs="宋体"/>
          <w:kern w:val="0"/>
          <w:szCs w:val="21"/>
        </w:rPr>
        <w:t>.6作业现场讲文明、讲礼貌，遇事商量解决，严禁打架、斗殴。</w:t>
      </w:r>
      <w:r>
        <w:rPr>
          <w:rFonts w:hint="eastAsia" w:ascii="宋体" w:hAnsi="宋体" w:cs="宋体"/>
          <w:kern w:val="0"/>
          <w:szCs w:val="21"/>
          <w:lang w:val="en-US" w:eastAsia="zh-CN"/>
        </w:rPr>
        <w:t xml:space="preserve"> </w:t>
      </w:r>
    </w:p>
    <w:p w14:paraId="32CE5685">
      <w:pPr>
        <w:keepNext w:val="0"/>
        <w:keepLines w:val="0"/>
        <w:pageBreakBefore w:val="0"/>
        <w:widowControl w:val="0"/>
        <w:kinsoku/>
        <w:wordWrap/>
        <w:overflowPunct/>
        <w:topLinePunct w:val="0"/>
        <w:autoSpaceDE/>
        <w:autoSpaceDN/>
        <w:bidi w:val="0"/>
        <w:adjustRightInd/>
        <w:snapToGrid w:val="0"/>
        <w:spacing w:line="520" w:lineRule="exact"/>
        <w:ind w:firstLine="420"/>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br w:type="page"/>
      </w:r>
    </w:p>
    <w:p w14:paraId="2880BDC6">
      <w:pPr>
        <w:numPr>
          <w:ilvl w:val="0"/>
          <w:numId w:val="5"/>
        </w:numPr>
        <w:jc w:val="center"/>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 xml:space="preserve"> 合同条款及格式</w:t>
      </w:r>
    </w:p>
    <w:p w14:paraId="25206C00">
      <w:pPr>
        <w:numPr>
          <w:ilvl w:val="0"/>
          <w:numId w:val="0"/>
        </w:numPr>
        <w:jc w:val="left"/>
        <w:rPr>
          <w:rFonts w:hint="eastAsia" w:eastAsia="仿宋"/>
          <w:b/>
          <w:lang w:eastAsia="zh-CN"/>
        </w:rPr>
      </w:pPr>
      <w:r>
        <w:rPr>
          <w:rFonts w:hint="eastAsia" w:eastAsia="仿宋"/>
          <w:b/>
        </w:rPr>
        <w:t>甲方：</w:t>
      </w:r>
    </w:p>
    <w:p w14:paraId="441AFBEF">
      <w:pPr>
        <w:spacing w:line="360" w:lineRule="auto"/>
        <w:rPr>
          <w:rFonts w:eastAsia="仿宋"/>
          <w:b/>
          <w:u w:val="single"/>
        </w:rPr>
      </w:pPr>
      <w:r>
        <w:rPr>
          <w:rFonts w:hint="eastAsia" w:eastAsia="仿宋"/>
          <w:b/>
        </w:rPr>
        <w:t>乙方：</w:t>
      </w:r>
    </w:p>
    <w:p w14:paraId="7B550967">
      <w:pPr>
        <w:spacing w:line="360" w:lineRule="auto"/>
        <w:ind w:firstLine="420" w:firstLineChars="200"/>
        <w:rPr>
          <w:rFonts w:eastAsia="仿宋"/>
        </w:rPr>
      </w:pPr>
      <w:r>
        <w:rPr>
          <w:rFonts w:eastAsia="仿宋"/>
        </w:rPr>
        <w:t>根据有关法律</w:t>
      </w:r>
      <w:r>
        <w:rPr>
          <w:rFonts w:hint="eastAsia" w:eastAsia="仿宋"/>
        </w:rPr>
        <w:t>法规</w:t>
      </w:r>
      <w:r>
        <w:rPr>
          <w:rFonts w:eastAsia="仿宋"/>
        </w:rPr>
        <w:t>规定，遵循平等、自愿、公平和诚信的原则，</w:t>
      </w:r>
      <w:r>
        <w:rPr>
          <w:rFonts w:hint="eastAsia" w:eastAsia="仿宋"/>
        </w:rPr>
        <w:t>甲、乙</w:t>
      </w:r>
      <w:r>
        <w:rPr>
          <w:rFonts w:eastAsia="仿宋"/>
        </w:rPr>
        <w:t>双方就</w:t>
      </w:r>
      <w:r>
        <w:rPr>
          <w:rFonts w:hint="eastAsia" w:eastAsia="仿宋"/>
          <w:u w:val="single"/>
          <w:lang w:eastAsia="zh-CN"/>
        </w:rPr>
        <w:t>滁州至南京城际铁路（滁州段）一期、二期全线监控CCTV补盲加装项目</w:t>
      </w:r>
      <w:r>
        <w:rPr>
          <w:rFonts w:hint="eastAsia" w:eastAsia="仿宋"/>
        </w:rPr>
        <w:t>（以下称“本项目”）的实施</w:t>
      </w:r>
      <w:r>
        <w:rPr>
          <w:rFonts w:eastAsia="仿宋"/>
        </w:rPr>
        <w:t>及有关事项协商一致</w:t>
      </w:r>
      <w:r>
        <w:rPr>
          <w:rFonts w:hint="eastAsia" w:eastAsia="仿宋"/>
        </w:rPr>
        <w:t>，</w:t>
      </w:r>
      <w:r>
        <w:rPr>
          <w:rFonts w:eastAsia="仿宋"/>
        </w:rPr>
        <w:t>共同达成如下协议：</w:t>
      </w:r>
    </w:p>
    <w:p w14:paraId="0789248B">
      <w:pPr>
        <w:pStyle w:val="39"/>
        <w:numPr>
          <w:ilvl w:val="0"/>
          <w:numId w:val="0"/>
        </w:numPr>
        <w:spacing w:line="360" w:lineRule="auto"/>
        <w:ind w:leftChars="0"/>
        <w:rPr>
          <w:rFonts w:eastAsia="仿宋"/>
          <w:b/>
        </w:rPr>
      </w:pPr>
      <w:bookmarkStart w:id="341" w:name="_Toc351203486"/>
      <w:r>
        <w:rPr>
          <w:rFonts w:hint="eastAsia" w:eastAsia="仿宋"/>
          <w:b/>
          <w:lang w:val="en-US" w:eastAsia="zh-CN"/>
        </w:rPr>
        <w:t>一、</w:t>
      </w:r>
      <w:r>
        <w:rPr>
          <w:rFonts w:eastAsia="仿宋"/>
          <w:b/>
        </w:rPr>
        <w:t>合同文件构成</w:t>
      </w:r>
      <w:bookmarkEnd w:id="341"/>
    </w:p>
    <w:p w14:paraId="040B1419">
      <w:pPr>
        <w:spacing w:line="360" w:lineRule="auto"/>
        <w:rPr>
          <w:rFonts w:eastAsia="仿宋"/>
          <w:bCs/>
        </w:rPr>
      </w:pPr>
      <w:bookmarkStart w:id="342" w:name="_Hlk14188859"/>
      <w:r>
        <w:rPr>
          <w:rFonts w:eastAsia="仿宋"/>
          <w:bCs/>
        </w:rPr>
        <w:t>本</w:t>
      </w:r>
      <w:r>
        <w:rPr>
          <w:rFonts w:hint="eastAsia" w:eastAsia="仿宋"/>
          <w:bCs/>
          <w:lang w:eastAsia="zh-CN"/>
        </w:rPr>
        <w:t>合同</w:t>
      </w:r>
      <w:r>
        <w:rPr>
          <w:rFonts w:eastAsia="仿宋"/>
          <w:bCs/>
        </w:rPr>
        <w:t>书与下列文件一起构成合同文件：</w:t>
      </w:r>
    </w:p>
    <w:p w14:paraId="4E0A9042">
      <w:pPr>
        <w:pStyle w:val="39"/>
        <w:numPr>
          <w:ilvl w:val="0"/>
          <w:numId w:val="6"/>
        </w:numPr>
        <w:spacing w:line="360" w:lineRule="auto"/>
        <w:ind w:firstLineChars="0"/>
        <w:rPr>
          <w:rFonts w:eastAsia="仿宋"/>
        </w:rPr>
      </w:pPr>
      <w:r>
        <w:rPr>
          <w:rFonts w:hint="eastAsia" w:eastAsia="仿宋"/>
        </w:rPr>
        <w:t>招标文件、投标文件、</w:t>
      </w:r>
      <w:r>
        <w:rPr>
          <w:rFonts w:eastAsia="仿宋"/>
        </w:rPr>
        <w:t>中标通知书（如有）；</w:t>
      </w:r>
    </w:p>
    <w:p w14:paraId="739DD1EF">
      <w:pPr>
        <w:pStyle w:val="39"/>
        <w:numPr>
          <w:ilvl w:val="0"/>
          <w:numId w:val="6"/>
        </w:numPr>
        <w:spacing w:line="360" w:lineRule="auto"/>
        <w:ind w:firstLineChars="0"/>
        <w:rPr>
          <w:rFonts w:eastAsia="仿宋"/>
        </w:rPr>
      </w:pPr>
      <w:bookmarkStart w:id="343" w:name="_Hlk14189050"/>
      <w:r>
        <w:rPr>
          <w:rFonts w:hint="eastAsia" w:eastAsia="仿宋"/>
        </w:rPr>
        <w:t>竞争性磋商</w:t>
      </w:r>
      <w:r>
        <w:rPr>
          <w:rFonts w:hint="eastAsia" w:eastAsia="仿宋"/>
          <w:lang w:val="en-US" w:eastAsia="zh-CN"/>
        </w:rPr>
        <w:t>文件</w:t>
      </w:r>
      <w:r>
        <w:rPr>
          <w:rFonts w:hint="eastAsia" w:eastAsia="仿宋"/>
        </w:rPr>
        <w:t>、谈判文件及申请文件（如有）</w:t>
      </w:r>
      <w:r>
        <w:rPr>
          <w:rFonts w:eastAsia="仿宋"/>
        </w:rPr>
        <w:t>；</w:t>
      </w:r>
    </w:p>
    <w:p w14:paraId="4EBDBF58">
      <w:pPr>
        <w:numPr>
          <w:ilvl w:val="0"/>
          <w:numId w:val="6"/>
        </w:numPr>
        <w:spacing w:line="360" w:lineRule="auto"/>
        <w:ind w:left="720" w:leftChars="0" w:hanging="720" w:firstLineChars="0"/>
        <w:rPr>
          <w:rFonts w:eastAsia="仿宋"/>
        </w:rPr>
      </w:pPr>
      <w:r>
        <w:rPr>
          <w:rFonts w:eastAsia="仿宋"/>
        </w:rPr>
        <w:t>技术标准和要求</w:t>
      </w:r>
      <w:r>
        <w:rPr>
          <w:rFonts w:hint="eastAsia" w:eastAsia="仿宋"/>
          <w:lang w:eastAsia="zh-CN"/>
        </w:rPr>
        <w:t>（</w:t>
      </w:r>
      <w:r>
        <w:rPr>
          <w:rFonts w:hint="eastAsia" w:eastAsia="仿宋"/>
          <w:lang w:val="en-US" w:eastAsia="zh-CN"/>
        </w:rPr>
        <w:t>用户需求书</w:t>
      </w:r>
      <w:r>
        <w:rPr>
          <w:rFonts w:hint="eastAsia" w:eastAsia="仿宋"/>
          <w:lang w:eastAsia="zh-CN"/>
        </w:rPr>
        <w:t>）</w:t>
      </w:r>
      <w:r>
        <w:rPr>
          <w:rFonts w:eastAsia="仿宋"/>
        </w:rPr>
        <w:t>；</w:t>
      </w:r>
      <w:bookmarkEnd w:id="343"/>
    </w:p>
    <w:p w14:paraId="681E10EE">
      <w:pPr>
        <w:numPr>
          <w:ilvl w:val="0"/>
          <w:numId w:val="6"/>
        </w:numPr>
        <w:spacing w:line="360" w:lineRule="auto"/>
        <w:ind w:left="720" w:leftChars="0" w:hanging="720" w:firstLineChars="0"/>
        <w:rPr>
          <w:rFonts w:eastAsia="仿宋"/>
          <w:highlight w:val="none"/>
        </w:rPr>
      </w:pPr>
      <w:r>
        <w:rPr>
          <w:rFonts w:eastAsia="仿宋"/>
        </w:rPr>
        <w:t>图纸</w:t>
      </w:r>
      <w:r>
        <w:rPr>
          <w:rFonts w:hint="eastAsia" w:eastAsia="仿宋"/>
          <w:lang w:eastAsia="zh-CN"/>
        </w:rPr>
        <w:t>（</w:t>
      </w:r>
      <w:r>
        <w:rPr>
          <w:rFonts w:hint="eastAsia" w:eastAsia="仿宋"/>
          <w:lang w:val="en-US" w:eastAsia="zh-CN"/>
        </w:rPr>
        <w:t>如有</w:t>
      </w:r>
      <w:r>
        <w:rPr>
          <w:rFonts w:hint="eastAsia" w:eastAsia="仿宋"/>
          <w:lang w:eastAsia="zh-CN"/>
        </w:rPr>
        <w:t>）</w:t>
      </w:r>
      <w:r>
        <w:rPr>
          <w:rFonts w:eastAsia="仿宋"/>
        </w:rPr>
        <w:t>；</w:t>
      </w:r>
    </w:p>
    <w:p w14:paraId="070942C0">
      <w:pPr>
        <w:numPr>
          <w:ilvl w:val="0"/>
          <w:numId w:val="6"/>
        </w:numPr>
        <w:spacing w:line="360" w:lineRule="auto"/>
        <w:ind w:left="720" w:leftChars="0" w:hanging="720" w:firstLineChars="0"/>
        <w:rPr>
          <w:rFonts w:eastAsia="仿宋"/>
        </w:rPr>
      </w:pPr>
      <w:r>
        <w:rPr>
          <w:rFonts w:eastAsia="仿宋"/>
          <w:highlight w:val="none"/>
        </w:rPr>
        <w:t>已标价工程量清单或预算书</w:t>
      </w:r>
      <w:r>
        <w:rPr>
          <w:rFonts w:hint="eastAsia" w:eastAsia="仿宋"/>
          <w:highlight w:val="none"/>
          <w:lang w:eastAsia="zh-CN"/>
        </w:rPr>
        <w:t>（</w:t>
      </w:r>
      <w:r>
        <w:rPr>
          <w:rFonts w:hint="eastAsia" w:eastAsia="仿宋"/>
          <w:highlight w:val="none"/>
          <w:lang w:val="en-US" w:eastAsia="zh-CN"/>
        </w:rPr>
        <w:t>如有</w:t>
      </w:r>
      <w:r>
        <w:rPr>
          <w:rFonts w:hint="eastAsia" w:eastAsia="仿宋"/>
          <w:highlight w:val="none"/>
          <w:lang w:eastAsia="zh-CN"/>
        </w:rPr>
        <w:t>）</w:t>
      </w:r>
      <w:r>
        <w:rPr>
          <w:rFonts w:eastAsia="仿宋"/>
          <w:highlight w:val="none"/>
        </w:rPr>
        <w:t>；</w:t>
      </w:r>
      <w:bookmarkStart w:id="344" w:name="_Hlk14189066"/>
    </w:p>
    <w:p w14:paraId="3B8D39D1">
      <w:pPr>
        <w:numPr>
          <w:ilvl w:val="0"/>
          <w:numId w:val="6"/>
        </w:numPr>
        <w:spacing w:line="360" w:lineRule="auto"/>
        <w:ind w:left="720" w:leftChars="0" w:hanging="720" w:firstLineChars="0"/>
        <w:rPr>
          <w:rFonts w:eastAsia="仿宋"/>
        </w:rPr>
      </w:pPr>
      <w:r>
        <w:rPr>
          <w:rFonts w:hint="eastAsia" w:eastAsia="仿宋"/>
        </w:rPr>
        <w:t>其他文件：_</w:t>
      </w:r>
      <w:r>
        <w:rPr>
          <w:rFonts w:eastAsia="仿宋"/>
        </w:rPr>
        <w:t>____________________</w:t>
      </w:r>
      <w:bookmarkEnd w:id="342"/>
      <w:bookmarkEnd w:id="344"/>
    </w:p>
    <w:p w14:paraId="39501BA3">
      <w:pPr>
        <w:spacing w:line="360" w:lineRule="auto"/>
        <w:ind w:firstLine="420" w:firstLineChars="200"/>
        <w:rPr>
          <w:rFonts w:eastAsia="仿宋"/>
        </w:rPr>
      </w:pPr>
      <w:r>
        <w:rPr>
          <w:rFonts w:eastAsia="仿宋"/>
        </w:rPr>
        <w:t>上述各项合同文件包括合同当事人就该项合同文件所作出的补充和修改，属于同一类内容的文件，应以最新签署的为准。</w:t>
      </w:r>
    </w:p>
    <w:p w14:paraId="19EEF47B">
      <w:pPr>
        <w:spacing w:line="360" w:lineRule="auto"/>
        <w:outlineLvl w:val="0"/>
        <w:rPr>
          <w:rFonts w:eastAsia="仿宋"/>
          <w:b/>
          <w:bCs/>
        </w:rPr>
      </w:pPr>
      <w:r>
        <w:rPr>
          <w:rFonts w:hint="eastAsia" w:eastAsia="仿宋"/>
          <w:b/>
          <w:bCs/>
        </w:rPr>
        <w:t>二、项目概况</w:t>
      </w:r>
    </w:p>
    <w:p w14:paraId="13059FA8">
      <w:pPr>
        <w:spacing w:line="360" w:lineRule="auto"/>
        <w:rPr>
          <w:rFonts w:eastAsia="仿宋"/>
        </w:rPr>
      </w:pPr>
      <w:r>
        <w:rPr>
          <w:rFonts w:hint="eastAsia" w:eastAsia="仿宋"/>
        </w:rPr>
        <w:t>2</w:t>
      </w:r>
      <w:r>
        <w:rPr>
          <w:rFonts w:eastAsia="仿宋"/>
        </w:rPr>
        <w:t>.1</w:t>
      </w:r>
      <w:r>
        <w:rPr>
          <w:rFonts w:hint="eastAsia" w:eastAsia="仿宋"/>
          <w:lang w:val="en-US" w:eastAsia="zh-CN"/>
        </w:rPr>
        <w:t xml:space="preserve"> </w:t>
      </w:r>
      <w:r>
        <w:rPr>
          <w:rFonts w:hint="eastAsia" w:eastAsia="仿宋"/>
        </w:rPr>
        <w:t>项目实施</w:t>
      </w:r>
      <w:r>
        <w:rPr>
          <w:rFonts w:eastAsia="仿宋"/>
        </w:rPr>
        <w:t>地点：</w:t>
      </w:r>
      <w:r>
        <w:rPr>
          <w:rFonts w:hint="eastAsia" w:eastAsia="仿宋"/>
          <w:u w:val="single"/>
          <w:lang w:val="en-US" w:eastAsia="zh-CN"/>
        </w:rPr>
        <w:t xml:space="preserve"> </w:t>
      </w:r>
      <w:r>
        <w:rPr>
          <w:rFonts w:eastAsia="仿宋"/>
          <w:u w:val="single"/>
        </w:rPr>
        <w:t xml:space="preserve">    </w:t>
      </w:r>
      <w:r>
        <w:rPr>
          <w:rFonts w:hint="eastAsia" w:eastAsia="仿宋"/>
          <w:u w:val="single"/>
          <w:lang w:val="en-US" w:eastAsia="zh-CN"/>
        </w:rPr>
        <w:t xml:space="preserve">         </w:t>
      </w:r>
      <w:r>
        <w:rPr>
          <w:rFonts w:eastAsia="仿宋"/>
          <w:u w:val="single"/>
        </w:rPr>
        <w:t xml:space="preserve">   </w:t>
      </w:r>
    </w:p>
    <w:p w14:paraId="075C2815">
      <w:pPr>
        <w:spacing w:line="360" w:lineRule="auto"/>
        <w:rPr>
          <w:rFonts w:eastAsia="仿宋"/>
        </w:rPr>
      </w:pPr>
      <w:r>
        <w:rPr>
          <w:rFonts w:hint="eastAsia" w:eastAsia="仿宋"/>
        </w:rPr>
        <w:t>2</w:t>
      </w:r>
      <w:r>
        <w:rPr>
          <w:rFonts w:eastAsia="仿宋"/>
        </w:rPr>
        <w:t xml:space="preserve">.2 </w:t>
      </w:r>
      <w:r>
        <w:rPr>
          <w:rFonts w:hint="eastAsia" w:eastAsia="仿宋"/>
        </w:rPr>
        <w:t>项目内容：</w:t>
      </w:r>
      <w:r>
        <w:rPr>
          <w:rFonts w:hint="eastAsia" w:eastAsia="仿宋"/>
          <w:u w:val="single"/>
          <w:lang w:val="en-US" w:eastAsia="zh-CN"/>
        </w:rPr>
        <w:t xml:space="preserve"> </w:t>
      </w:r>
      <w:r>
        <w:rPr>
          <w:rFonts w:eastAsia="仿宋"/>
          <w:u w:val="single"/>
        </w:rPr>
        <w:t xml:space="preserve"> </w:t>
      </w:r>
      <w:r>
        <w:rPr>
          <w:rFonts w:hint="eastAsia" w:eastAsia="仿宋"/>
          <w:u w:val="single"/>
          <w:lang w:val="en-US" w:eastAsia="zh-CN"/>
        </w:rPr>
        <w:t>详见用户需求书</w:t>
      </w:r>
      <w:r>
        <w:rPr>
          <w:rFonts w:eastAsia="仿宋"/>
          <w:u w:val="single"/>
        </w:rPr>
        <w:t xml:space="preserve">     </w:t>
      </w:r>
    </w:p>
    <w:p w14:paraId="035981DF">
      <w:pPr>
        <w:spacing w:line="360" w:lineRule="auto"/>
        <w:outlineLvl w:val="0"/>
        <w:rPr>
          <w:rFonts w:hint="eastAsia" w:eastAsia="仿宋"/>
          <w:b/>
          <w:bCs/>
        </w:rPr>
      </w:pPr>
      <w:r>
        <w:rPr>
          <w:rFonts w:hint="eastAsia" w:eastAsia="仿宋"/>
          <w:b/>
          <w:bCs/>
        </w:rPr>
        <w:t>三、合同工期</w:t>
      </w:r>
    </w:p>
    <w:p w14:paraId="75E6596F">
      <w:pPr>
        <w:spacing w:line="360" w:lineRule="auto"/>
        <w:rPr>
          <w:rFonts w:eastAsia="仿宋"/>
          <w:u w:val="single"/>
        </w:rPr>
      </w:pPr>
      <w:r>
        <w:rPr>
          <w:rFonts w:hint="eastAsia" w:eastAsia="仿宋"/>
          <w:lang w:val="en-US" w:eastAsia="zh-CN"/>
        </w:rPr>
        <w:t xml:space="preserve">3.1 </w:t>
      </w:r>
      <w:r>
        <w:rPr>
          <w:rFonts w:hint="eastAsia" w:eastAsia="仿宋"/>
        </w:rPr>
        <w:t>本项目工期为</w:t>
      </w:r>
      <w:r>
        <w:rPr>
          <w:rFonts w:hint="eastAsia" w:eastAsia="仿宋"/>
          <w:u w:val="single"/>
          <w:lang w:val="en-US" w:eastAsia="zh-CN"/>
        </w:rPr>
        <w:t xml:space="preserve">     </w:t>
      </w:r>
      <w:r>
        <w:rPr>
          <w:rFonts w:hint="eastAsia" w:eastAsia="仿宋"/>
        </w:rPr>
        <w:t>天（日历天），自</w:t>
      </w:r>
      <w:r>
        <w:rPr>
          <w:rFonts w:hint="eastAsia" w:eastAsia="仿宋"/>
          <w:u w:val="single"/>
        </w:rPr>
        <w:t>甲方下达开工通知书之日起计算</w:t>
      </w:r>
      <w:r>
        <w:rPr>
          <w:rFonts w:hint="eastAsia" w:eastAsia="仿宋"/>
          <w:u w:val="none"/>
        </w:rPr>
        <w:t>。</w:t>
      </w:r>
    </w:p>
    <w:p w14:paraId="6AA8635C">
      <w:pPr>
        <w:spacing w:line="360" w:lineRule="auto"/>
        <w:rPr>
          <w:rFonts w:hint="default" w:eastAsia="仿宋"/>
          <w:b/>
          <w:lang w:val="en-US" w:eastAsia="zh-CN"/>
        </w:rPr>
      </w:pPr>
      <w:bookmarkStart w:id="345" w:name="_Toc351203484"/>
      <w:r>
        <w:rPr>
          <w:rFonts w:hint="eastAsia" w:eastAsia="仿宋"/>
          <w:b/>
        </w:rPr>
        <w:t>四</w:t>
      </w:r>
      <w:r>
        <w:rPr>
          <w:rFonts w:eastAsia="仿宋"/>
          <w:b/>
        </w:rPr>
        <w:t>、合同价</w:t>
      </w:r>
      <w:bookmarkEnd w:id="345"/>
      <w:r>
        <w:rPr>
          <w:rFonts w:hint="eastAsia" w:eastAsia="仿宋"/>
          <w:b/>
        </w:rPr>
        <w:t>款</w:t>
      </w:r>
      <w:r>
        <w:rPr>
          <w:rFonts w:hint="eastAsia" w:eastAsia="仿宋"/>
          <w:b/>
          <w:lang w:val="en-US" w:eastAsia="zh-CN"/>
        </w:rPr>
        <w:t>及付款方式</w:t>
      </w:r>
    </w:p>
    <w:p w14:paraId="11554297">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b/>
          <w:bCs/>
          <w:sz w:val="21"/>
          <w:szCs w:val="21"/>
          <w:highlight w:val="none"/>
        </w:rPr>
      </w:pPr>
      <w:r>
        <w:rPr>
          <w:rFonts w:hint="eastAsia" w:eastAsia="仿宋"/>
          <w:sz w:val="21"/>
          <w:szCs w:val="21"/>
        </w:rPr>
        <w:t>4</w:t>
      </w:r>
      <w:r>
        <w:rPr>
          <w:rFonts w:eastAsia="仿宋"/>
          <w:sz w:val="21"/>
          <w:szCs w:val="21"/>
        </w:rPr>
        <w:t xml:space="preserve">.1 </w:t>
      </w:r>
      <w:r>
        <w:rPr>
          <w:rFonts w:ascii="仿宋" w:hAnsi="仿宋" w:eastAsia="仿宋"/>
          <w:sz w:val="21"/>
          <w:szCs w:val="21"/>
        </w:rPr>
        <w:t>本合同不含税价</w:t>
      </w:r>
      <w:r>
        <w:rPr>
          <w:rFonts w:hint="eastAsia" w:ascii="仿宋" w:hAnsi="仿宋" w:eastAsia="仿宋"/>
          <w:sz w:val="21"/>
          <w:szCs w:val="21"/>
          <w:lang w:val="en-US" w:eastAsia="zh-CN"/>
        </w:rPr>
        <w:t>款</w:t>
      </w:r>
      <w:r>
        <w:rPr>
          <w:rFonts w:ascii="仿宋" w:hAnsi="仿宋" w:eastAsia="仿宋"/>
          <w:sz w:val="21"/>
          <w:szCs w:val="21"/>
        </w:rPr>
        <w:t>为</w:t>
      </w:r>
      <w:r>
        <w:rPr>
          <w:rFonts w:hint="eastAsia" w:ascii="仿宋" w:hAnsi="仿宋" w:eastAsia="仿宋"/>
          <w:sz w:val="21"/>
          <w:szCs w:val="21"/>
        </w:rPr>
        <w:t>人民币（大写）</w:t>
      </w:r>
      <w:r>
        <w:rPr>
          <w:rFonts w:hint="eastAsia" w:ascii="仿宋" w:hAnsi="仿宋" w:eastAsia="仿宋"/>
          <w:sz w:val="21"/>
          <w:szCs w:val="21"/>
          <w:u w:val="single"/>
        </w:rPr>
        <w:t xml:space="preserve">                  </w:t>
      </w:r>
      <w:r>
        <w:rPr>
          <w:rFonts w:hint="eastAsia" w:ascii="仿宋" w:hAnsi="仿宋" w:eastAsia="仿宋"/>
          <w:sz w:val="21"/>
          <w:szCs w:val="21"/>
        </w:rPr>
        <w:t>（¥</w:t>
      </w:r>
      <w:r>
        <w:rPr>
          <w:rFonts w:hint="eastAsia" w:ascii="仿宋" w:hAnsi="仿宋" w:eastAsia="仿宋"/>
          <w:sz w:val="21"/>
          <w:szCs w:val="21"/>
          <w:u w:val="single"/>
        </w:rPr>
        <w:t xml:space="preserve">           </w:t>
      </w:r>
      <w:r>
        <w:rPr>
          <w:rFonts w:hint="eastAsia" w:ascii="仿宋" w:hAnsi="仿宋" w:eastAsia="仿宋"/>
          <w:sz w:val="21"/>
          <w:szCs w:val="21"/>
        </w:rPr>
        <w:t>元）</w:t>
      </w:r>
      <w:r>
        <w:rPr>
          <w:rFonts w:ascii="仿宋" w:hAnsi="仿宋" w:eastAsia="仿宋"/>
          <w:sz w:val="21"/>
          <w:szCs w:val="21"/>
        </w:rPr>
        <w:t>，含税总价共计为</w:t>
      </w:r>
      <w:r>
        <w:rPr>
          <w:rFonts w:hint="eastAsia" w:ascii="仿宋" w:hAnsi="仿宋" w:eastAsia="仿宋"/>
          <w:sz w:val="21"/>
          <w:szCs w:val="21"/>
        </w:rPr>
        <w:t>人民币（大写）</w:t>
      </w:r>
      <w:r>
        <w:rPr>
          <w:rFonts w:hint="eastAsia" w:ascii="仿宋" w:hAnsi="仿宋" w:eastAsia="仿宋"/>
          <w:sz w:val="21"/>
          <w:szCs w:val="21"/>
          <w:u w:val="single"/>
        </w:rPr>
        <w:t xml:space="preserve">                  </w:t>
      </w:r>
      <w:r>
        <w:rPr>
          <w:rFonts w:hint="eastAsia" w:ascii="仿宋" w:hAnsi="仿宋" w:eastAsia="仿宋"/>
          <w:sz w:val="21"/>
          <w:szCs w:val="21"/>
        </w:rPr>
        <w:t>（¥</w:t>
      </w:r>
      <w:r>
        <w:rPr>
          <w:rFonts w:hint="eastAsia" w:ascii="仿宋" w:hAnsi="仿宋" w:eastAsia="仿宋"/>
          <w:sz w:val="21"/>
          <w:szCs w:val="21"/>
          <w:u w:val="single"/>
        </w:rPr>
        <w:t xml:space="preserve">           </w:t>
      </w:r>
      <w:r>
        <w:rPr>
          <w:rFonts w:hint="eastAsia" w:ascii="仿宋" w:hAnsi="仿宋" w:eastAsia="仿宋"/>
          <w:sz w:val="21"/>
          <w:szCs w:val="21"/>
        </w:rPr>
        <w:t>元）,税率为_</w:t>
      </w:r>
      <w:r>
        <w:rPr>
          <w:rFonts w:ascii="仿宋" w:hAnsi="仿宋" w:eastAsia="仿宋"/>
          <w:sz w:val="21"/>
          <w:szCs w:val="21"/>
        </w:rPr>
        <w:t>____%</w:t>
      </w:r>
      <w:r>
        <w:rPr>
          <w:rFonts w:hint="eastAsia" w:ascii="仿宋" w:hAnsi="仿宋" w:eastAsia="仿宋"/>
          <w:bCs/>
          <w:sz w:val="21"/>
          <w:szCs w:val="21"/>
        </w:rPr>
        <w:t>，</w:t>
      </w:r>
      <w:r>
        <w:rPr>
          <w:rFonts w:ascii="仿宋" w:hAnsi="仿宋" w:eastAsia="仿宋"/>
          <w:sz w:val="21"/>
          <w:szCs w:val="21"/>
        </w:rPr>
        <w:t>具体价</w:t>
      </w:r>
      <w:r>
        <w:rPr>
          <w:rFonts w:hint="eastAsia" w:ascii="仿宋" w:hAnsi="仿宋" w:eastAsia="仿宋"/>
          <w:sz w:val="21"/>
          <w:szCs w:val="21"/>
          <w:lang w:val="en-US" w:eastAsia="zh-CN"/>
        </w:rPr>
        <w:t>款</w:t>
      </w:r>
      <w:r>
        <w:rPr>
          <w:rFonts w:ascii="仿宋" w:hAnsi="仿宋" w:eastAsia="仿宋"/>
          <w:sz w:val="21"/>
          <w:szCs w:val="21"/>
        </w:rPr>
        <w:t>清单详见</w:t>
      </w:r>
      <w:r>
        <w:rPr>
          <w:rFonts w:ascii="仿宋" w:hAnsi="仿宋" w:eastAsia="仿宋"/>
          <w:sz w:val="21"/>
          <w:szCs w:val="21"/>
          <w:highlight w:val="none"/>
        </w:rPr>
        <w:t>【附件</w:t>
      </w:r>
      <w:r>
        <w:rPr>
          <w:rFonts w:hint="eastAsia" w:ascii="仿宋" w:hAnsi="仿宋" w:eastAsia="仿宋"/>
          <w:sz w:val="21"/>
          <w:szCs w:val="21"/>
          <w:highlight w:val="none"/>
          <w:lang w:eastAsia="zh-CN"/>
        </w:rPr>
        <w:t>二</w:t>
      </w:r>
      <w:r>
        <w:rPr>
          <w:rFonts w:hint="eastAsia" w:ascii="仿宋" w:hAnsi="仿宋" w:eastAsia="仿宋"/>
          <w:sz w:val="21"/>
          <w:szCs w:val="21"/>
          <w:highlight w:val="none"/>
          <w:lang w:val="en-US" w:eastAsia="zh-CN"/>
        </w:rPr>
        <w:t>价格明细表</w:t>
      </w:r>
      <w:r>
        <w:rPr>
          <w:rFonts w:ascii="仿宋" w:hAnsi="仿宋" w:eastAsia="仿宋"/>
          <w:sz w:val="21"/>
          <w:szCs w:val="21"/>
          <w:highlight w:val="none"/>
        </w:rPr>
        <w:t>】。</w:t>
      </w:r>
    </w:p>
    <w:p w14:paraId="5440D66E">
      <w:pPr>
        <w:spacing w:line="360" w:lineRule="auto"/>
        <w:rPr>
          <w:rFonts w:eastAsia="仿宋"/>
          <w:highlight w:val="none"/>
        </w:rPr>
      </w:pPr>
      <w:r>
        <w:rPr>
          <w:rFonts w:hint="eastAsia" w:eastAsia="仿宋"/>
          <w:highlight w:val="none"/>
        </w:rPr>
        <w:t>4</w:t>
      </w:r>
      <w:r>
        <w:rPr>
          <w:rFonts w:eastAsia="仿宋"/>
          <w:highlight w:val="none"/>
        </w:rPr>
        <w:t xml:space="preserve">.2 </w:t>
      </w:r>
      <w:r>
        <w:rPr>
          <w:rFonts w:hint="eastAsia" w:eastAsia="仿宋"/>
          <w:highlight w:val="none"/>
        </w:rPr>
        <w:t>本合同采用以下第</w:t>
      </w:r>
      <w:r>
        <w:rPr>
          <w:rFonts w:hint="eastAsia" w:eastAsia="仿宋"/>
          <w:highlight w:val="none"/>
          <w:u w:val="single"/>
          <w:lang w:val="en-US" w:eastAsia="zh-CN"/>
        </w:rPr>
        <w:t>1</w:t>
      </w:r>
      <w:r>
        <w:rPr>
          <w:rFonts w:hint="eastAsia" w:eastAsia="仿宋"/>
          <w:highlight w:val="none"/>
        </w:rPr>
        <w:t>种价格形式：</w:t>
      </w:r>
    </w:p>
    <w:p w14:paraId="352F481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highlight w:val="yellow"/>
        </w:rPr>
      </w:pPr>
      <w:r>
        <w:rPr>
          <w:rFonts w:hint="eastAsia" w:eastAsia="仿宋"/>
        </w:rPr>
        <w:t>1.总价合同形式</w:t>
      </w:r>
    </w:p>
    <w:p w14:paraId="1E8F7F8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hint="eastAsia" w:eastAsia="仿宋"/>
        </w:rPr>
        <w:t>（1）合同价款包括合同项目范围内的合同设备（含合同规定的各种材料、备品备件、专用工具）、设计、土建、安装、保管、调试、试验、验收、并网、技术服务等费用。</w:t>
      </w:r>
    </w:p>
    <w:p w14:paraId="3F8128D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eastAsia="仿宋"/>
          <w:color w:val="auto"/>
        </w:rPr>
      </w:pPr>
      <w:r>
        <w:rPr>
          <w:rFonts w:hint="eastAsia" w:eastAsia="仿宋"/>
        </w:rPr>
        <w:t>（</w:t>
      </w:r>
      <w:r>
        <w:rPr>
          <w:rFonts w:eastAsia="仿宋"/>
        </w:rPr>
        <w:t>2</w:t>
      </w:r>
      <w:r>
        <w:rPr>
          <w:rFonts w:hint="eastAsia" w:eastAsia="仿宋"/>
        </w:rPr>
        <w:t>）</w:t>
      </w:r>
      <w:r>
        <w:rPr>
          <w:rFonts w:hint="eastAsia" w:eastAsia="仿宋"/>
          <w:color w:val="auto"/>
        </w:rPr>
        <w:t>以甲方提供的工程量清单包干，在合同约定的范围内合同总价原则上不作任何调整。</w:t>
      </w:r>
    </w:p>
    <w:p w14:paraId="5A5B2FE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olor w:val="auto"/>
        </w:rPr>
        <w:t>（3）</w:t>
      </w:r>
      <w:r>
        <w:rPr>
          <w:rFonts w:eastAsia="仿宋"/>
          <w:color w:val="auto"/>
        </w:rPr>
        <w:t>本合同总价在合同有效期内为不变价</w:t>
      </w:r>
      <w:r>
        <w:rPr>
          <w:rFonts w:hint="eastAsia" w:eastAsia="仿宋"/>
          <w:color w:val="auto"/>
        </w:rPr>
        <w:t>，除非发生下列情形可作调整外，不会因为其他情形发生任何调整：</w:t>
      </w:r>
    </w:p>
    <w:p w14:paraId="1BC8E5C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olor w:val="auto"/>
        </w:rPr>
        <w:t>a</w:t>
      </w:r>
      <w:r>
        <w:rPr>
          <w:rFonts w:eastAsia="仿宋"/>
          <w:color w:val="auto"/>
        </w:rPr>
        <w:t xml:space="preserve">. </w:t>
      </w:r>
      <w:r>
        <w:rPr>
          <w:rFonts w:hint="eastAsia" w:eastAsia="仿宋"/>
          <w:color w:val="auto"/>
        </w:rPr>
        <w:t>按照甲方要求或指示的设计变更，导致不包含在合同范围内的工程量或费用的增加，或者导致合同范围内的工程量或费用的减少；</w:t>
      </w:r>
    </w:p>
    <w:p w14:paraId="3AD7367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olor w:val="auto"/>
        </w:rPr>
        <w:t>b</w:t>
      </w:r>
      <w:r>
        <w:rPr>
          <w:rFonts w:eastAsia="仿宋"/>
          <w:color w:val="auto"/>
        </w:rPr>
        <w:t>.</w:t>
      </w:r>
      <w:r>
        <w:rPr>
          <w:rFonts w:hint="eastAsia" w:eastAsia="仿宋"/>
          <w:color w:val="auto"/>
        </w:rPr>
        <w:t>经甲方签证确认的非乙方原因导致的合同工程现场签证事项。</w:t>
      </w:r>
    </w:p>
    <w:p w14:paraId="7937A90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olor w:val="auto"/>
        </w:rPr>
        <w:t>2.单价合同形式</w:t>
      </w:r>
    </w:p>
    <w:p w14:paraId="4D65682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olor w:val="auto"/>
        </w:rPr>
        <w:t>（1）本合同采用固定单价合同形式，固定单价所包含的范围，除合同另有约定外，工程量清单中有标价的单价均包括了实施和完成合同项目所需的人工、材料、机械、质检、安装、缺陷修复、管理、利润等费用，以及合同明示或暗示的所有责任、风险。</w:t>
      </w:r>
    </w:p>
    <w:p w14:paraId="0466428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olor w:val="auto"/>
        </w:rPr>
        <w:t>（2）构成合同价款的项目单价一经甲方和乙方签订合同确定后不作调整。</w:t>
      </w:r>
    </w:p>
    <w:p w14:paraId="03609C4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hint="eastAsia" w:eastAsia="仿宋"/>
          <w:color w:val="auto"/>
          <w:highlight w:val="none"/>
        </w:rPr>
        <w:t>3.其他形式</w:t>
      </w:r>
    </w:p>
    <w:p w14:paraId="7C01B5B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rPr>
      </w:pPr>
      <w:r>
        <w:rPr>
          <w:rFonts w:hint="eastAsia" w:eastAsia="仿宋" w:cs="仿宋"/>
          <w:color w:val="auto"/>
        </w:rPr>
        <w:t>本项目中的</w:t>
      </w:r>
      <w:r>
        <w:rPr>
          <w:rFonts w:hint="eastAsia" w:eastAsia="仿宋"/>
          <w:color w:val="auto"/>
        </w:rPr>
        <w:t>__________(</w:t>
      </w:r>
      <w:r>
        <w:rPr>
          <w:rFonts w:hint="eastAsia" w:eastAsia="仿宋" w:cs="仿宋"/>
          <w:color w:val="auto"/>
        </w:rPr>
        <w:t>工程量确定的子项目名称</w:t>
      </w:r>
      <w:r>
        <w:rPr>
          <w:rFonts w:hint="eastAsia" w:eastAsia="仿宋"/>
          <w:color w:val="auto"/>
        </w:rPr>
        <w:t>)</w:t>
      </w:r>
      <w:r>
        <w:rPr>
          <w:rFonts w:hint="eastAsia" w:eastAsia="仿宋" w:cs="仿宋"/>
          <w:color w:val="auto"/>
        </w:rPr>
        <w:t>以双方确认的</w:t>
      </w:r>
      <w:r>
        <w:rPr>
          <w:rFonts w:hint="eastAsia" w:eastAsia="仿宋"/>
          <w:color w:val="auto"/>
        </w:rPr>
        <w:t>/</w:t>
      </w:r>
      <w:r>
        <w:rPr>
          <w:rFonts w:hint="eastAsia" w:eastAsia="仿宋" w:cs="仿宋"/>
          <w:color w:val="auto"/>
        </w:rPr>
        <w:t>甲方提供的报价清单中固定总价包干，这部分项目的合同价款在约定的范围内原则上不作任何调整；本项目中的</w:t>
      </w:r>
      <w:r>
        <w:rPr>
          <w:rFonts w:hint="eastAsia" w:eastAsia="仿宋"/>
          <w:color w:val="auto"/>
        </w:rPr>
        <w:t>__________(</w:t>
      </w:r>
      <w:r>
        <w:rPr>
          <w:rFonts w:hint="eastAsia" w:eastAsia="仿宋" w:cs="仿宋"/>
          <w:color w:val="auto"/>
        </w:rPr>
        <w:t>工程量预估的子项目名称</w:t>
      </w:r>
      <w:r>
        <w:rPr>
          <w:rFonts w:hint="eastAsia" w:eastAsia="仿宋"/>
          <w:color w:val="auto"/>
        </w:rPr>
        <w:t>)</w:t>
      </w:r>
      <w:r>
        <w:rPr>
          <w:rFonts w:hint="eastAsia" w:eastAsia="仿宋" w:cs="仿宋"/>
          <w:color w:val="auto"/>
        </w:rPr>
        <w:t>工程量为预估，以双方或者甲方确认的报价清单中的固定单价包干，这部分项目的合同价款按双方最终确认的工程量据实计算，固定单价原则上不作任何调整。</w:t>
      </w:r>
    </w:p>
    <w:p w14:paraId="438592D4">
      <w:pPr>
        <w:spacing w:line="360" w:lineRule="auto"/>
        <w:rPr>
          <w:rFonts w:eastAsia="仿宋"/>
        </w:rPr>
      </w:pPr>
      <w:r>
        <w:rPr>
          <w:rFonts w:hint="eastAsia" w:eastAsia="仿宋"/>
          <w:color w:val="auto"/>
        </w:rPr>
        <w:t>4</w:t>
      </w:r>
      <w:r>
        <w:rPr>
          <w:rFonts w:eastAsia="仿宋"/>
          <w:color w:val="auto"/>
        </w:rPr>
        <w:t xml:space="preserve">.3 </w:t>
      </w:r>
      <w:r>
        <w:rPr>
          <w:rFonts w:hint="eastAsia" w:eastAsia="仿宋"/>
          <w:color w:val="auto"/>
        </w:rPr>
        <w:t>出现合同约定的合同价款调增事项后的七个工作日内，乙方</w:t>
      </w:r>
      <w:r>
        <w:rPr>
          <w:rFonts w:hint="eastAsia" w:eastAsia="仿宋"/>
        </w:rPr>
        <w:t>应向甲方提交合同价款调增报告并附上相关资料，若乙方在七个工作日内未提交合同价款调增报告的，视为乙方对该事项不存在调整价款。</w:t>
      </w:r>
    </w:p>
    <w:p w14:paraId="688B0130">
      <w:pPr>
        <w:spacing w:line="360" w:lineRule="auto"/>
        <w:rPr>
          <w:rFonts w:eastAsia="仿宋"/>
        </w:rPr>
      </w:pPr>
      <w:r>
        <w:rPr>
          <w:rFonts w:hint="eastAsia" w:eastAsia="仿宋"/>
        </w:rPr>
        <w:t>4</w:t>
      </w:r>
      <w:r>
        <w:rPr>
          <w:rFonts w:eastAsia="仿宋"/>
        </w:rPr>
        <w:t xml:space="preserve">.4 </w:t>
      </w:r>
      <w:r>
        <w:rPr>
          <w:rFonts w:hint="eastAsia" w:eastAsia="仿宋"/>
        </w:rPr>
        <w:t>甲方应</w:t>
      </w:r>
      <w:r>
        <w:rPr>
          <w:rFonts w:eastAsia="仿宋"/>
        </w:rPr>
        <w:t>在收到</w:t>
      </w:r>
      <w:r>
        <w:rPr>
          <w:rFonts w:hint="eastAsia" w:eastAsia="仿宋"/>
        </w:rPr>
        <w:t>乙方</w:t>
      </w:r>
      <w:r>
        <w:rPr>
          <w:rFonts w:eastAsia="仿宋"/>
        </w:rPr>
        <w:t>合同价款调增报告及相关资料之日起</w:t>
      </w:r>
      <w:r>
        <w:rPr>
          <w:rFonts w:eastAsia="仿宋"/>
          <w:u w:val="single"/>
        </w:rPr>
        <w:t>14</w:t>
      </w:r>
      <w:r>
        <w:rPr>
          <w:rFonts w:hint="eastAsia" w:eastAsia="仿宋"/>
          <w:u w:val="none"/>
          <w:lang w:val="en-US" w:eastAsia="zh-CN"/>
        </w:rPr>
        <w:t>个</w:t>
      </w:r>
      <w:r>
        <w:rPr>
          <w:rFonts w:hint="eastAsia" w:eastAsia="仿宋"/>
        </w:rPr>
        <w:t>工作日内</w:t>
      </w:r>
      <w:r>
        <w:rPr>
          <w:rFonts w:eastAsia="仿宋"/>
        </w:rPr>
        <w:t>对其核实，予以确认的</w:t>
      </w:r>
      <w:r>
        <w:rPr>
          <w:rFonts w:hint="eastAsia" w:eastAsia="仿宋"/>
        </w:rPr>
        <w:t>，</w:t>
      </w:r>
      <w:r>
        <w:rPr>
          <w:rFonts w:eastAsia="仿宋"/>
        </w:rPr>
        <w:t>应书面通知</w:t>
      </w:r>
      <w:r>
        <w:rPr>
          <w:rFonts w:hint="eastAsia" w:eastAsia="仿宋"/>
        </w:rPr>
        <w:t>乙方</w:t>
      </w:r>
      <w:r>
        <w:rPr>
          <w:rFonts w:eastAsia="仿宋"/>
        </w:rPr>
        <w:t>。</w:t>
      </w:r>
      <w:r>
        <w:rPr>
          <w:rFonts w:hint="eastAsia" w:eastAsia="仿宋"/>
        </w:rPr>
        <w:t>甲方未予确认的部分，乙方不得擅自变更或增加。</w:t>
      </w:r>
    </w:p>
    <w:p w14:paraId="6D992FED">
      <w:pPr>
        <w:spacing w:line="360" w:lineRule="auto"/>
        <w:rPr>
          <w:rFonts w:eastAsia="仿宋"/>
        </w:rPr>
      </w:pPr>
      <w:r>
        <w:rPr>
          <w:rFonts w:hint="eastAsia" w:eastAsia="仿宋"/>
        </w:rPr>
        <w:t>4</w:t>
      </w:r>
      <w:r>
        <w:rPr>
          <w:rFonts w:eastAsia="仿宋"/>
        </w:rPr>
        <w:t xml:space="preserve">.5 </w:t>
      </w:r>
      <w:r>
        <w:rPr>
          <w:rFonts w:hint="eastAsia" w:eastAsia="仿宋"/>
        </w:rPr>
        <w:t>出现合同约定的合同价款调减事项后的</w:t>
      </w:r>
      <w:r>
        <w:rPr>
          <w:rFonts w:hint="eastAsia" w:eastAsia="仿宋"/>
          <w:u w:val="single"/>
        </w:rPr>
        <w:t>7</w:t>
      </w:r>
      <w:r>
        <w:rPr>
          <w:rFonts w:hint="eastAsia" w:eastAsia="仿宋"/>
        </w:rPr>
        <w:t>个工作日内，甲方应向乙方提交合同价款调减报告并说明理由。乙方在收到甲方合同价款调减报告及相关资料之日起</w:t>
      </w:r>
      <w:r>
        <w:rPr>
          <w:rFonts w:hint="eastAsia" w:eastAsia="仿宋"/>
          <w:u w:val="single"/>
          <w:lang w:val="en-US" w:eastAsia="zh-CN"/>
        </w:rPr>
        <w:t>7</w:t>
      </w:r>
      <w:r>
        <w:rPr>
          <w:rFonts w:hint="eastAsia" w:eastAsia="仿宋"/>
        </w:rPr>
        <w:t>个工作日内不予确认也未提出不同意见的，视为乙方认可甲方的价款调减请求。</w:t>
      </w:r>
    </w:p>
    <w:p w14:paraId="1A2254B5">
      <w:pPr>
        <w:spacing w:line="360" w:lineRule="auto"/>
        <w:rPr>
          <w:rFonts w:hint="eastAsia" w:eastAsia="仿宋"/>
        </w:rPr>
      </w:pPr>
      <w:r>
        <w:rPr>
          <w:rFonts w:hint="eastAsia" w:eastAsia="仿宋"/>
        </w:rPr>
        <w:t>4</w:t>
      </w:r>
      <w:r>
        <w:rPr>
          <w:rFonts w:eastAsia="仿宋"/>
        </w:rPr>
        <w:t xml:space="preserve">.6 </w:t>
      </w:r>
      <w:r>
        <w:rPr>
          <w:rFonts w:hint="eastAsia" w:eastAsia="仿宋"/>
        </w:rPr>
        <w:t>经过甲乙双方确认调整的合同价款，作为追加（减）合同价款，与工程进度款或结算款同期支付。</w:t>
      </w:r>
    </w:p>
    <w:p w14:paraId="75330161">
      <w:pPr>
        <w:spacing w:line="360" w:lineRule="auto"/>
        <w:rPr>
          <w:rFonts w:eastAsia="仿宋"/>
        </w:rPr>
      </w:pPr>
      <w:r>
        <w:rPr>
          <w:rFonts w:hint="eastAsia" w:eastAsia="仿宋"/>
          <w:lang w:val="en-US" w:eastAsia="zh-CN"/>
        </w:rPr>
        <w:t>4.7 本合同款项应按</w:t>
      </w:r>
      <w:r>
        <w:rPr>
          <w:rFonts w:hint="eastAsia" w:eastAsia="仿宋"/>
        </w:rPr>
        <w:t>下列第</w:t>
      </w:r>
      <w:r>
        <w:rPr>
          <w:rFonts w:hint="eastAsia" w:eastAsia="仿宋"/>
          <w:u w:val="single"/>
          <w:lang w:val="en-US" w:eastAsia="zh-CN"/>
        </w:rPr>
        <w:t>1</w:t>
      </w:r>
      <w:r>
        <w:rPr>
          <w:rFonts w:hint="eastAsia" w:eastAsia="仿宋"/>
        </w:rPr>
        <w:t>种方式</w:t>
      </w:r>
      <w:r>
        <w:rPr>
          <w:rFonts w:hint="eastAsia" w:eastAsia="仿宋"/>
          <w:lang w:val="en-US" w:eastAsia="zh-CN"/>
        </w:rPr>
        <w:t>支付</w:t>
      </w:r>
      <w:r>
        <w:rPr>
          <w:rFonts w:hint="eastAsia" w:eastAsia="仿宋"/>
        </w:rPr>
        <w:t>：</w:t>
      </w:r>
    </w:p>
    <w:p w14:paraId="4CB7E36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olor w:val="auto"/>
          <w:highlight w:val="none"/>
        </w:rPr>
      </w:pPr>
      <w:r>
        <w:rPr>
          <w:rFonts w:eastAsia="仿宋"/>
          <w:color w:val="auto"/>
          <w:highlight w:val="none"/>
        </w:rPr>
        <w:t>1</w:t>
      </w:r>
      <w:r>
        <w:rPr>
          <w:rFonts w:hint="eastAsia" w:eastAsia="仿宋"/>
          <w:color w:val="auto"/>
          <w:highlight w:val="none"/>
        </w:rPr>
        <w:t>.一次性付款</w:t>
      </w:r>
    </w:p>
    <w:p w14:paraId="458D550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eastAsia="仿宋"/>
          <w:color w:val="auto"/>
          <w:highlight w:val="none"/>
        </w:rPr>
        <w:t>(1)</w:t>
      </w:r>
      <w:r>
        <w:rPr>
          <w:rFonts w:hint="eastAsia" w:eastAsia="仿宋"/>
          <w:color w:val="auto"/>
          <w:highlight w:val="none"/>
        </w:rPr>
        <w:t>在本</w:t>
      </w:r>
      <w:r>
        <w:rPr>
          <w:rFonts w:eastAsia="仿宋"/>
          <w:color w:val="auto"/>
          <w:highlight w:val="none"/>
        </w:rPr>
        <w:t>项目</w:t>
      </w:r>
      <w:r>
        <w:rPr>
          <w:rFonts w:hint="eastAsia" w:eastAsia="仿宋"/>
          <w:color w:val="auto"/>
          <w:highlight w:val="none"/>
        </w:rPr>
        <w:t>竣工验收合格后（</w:t>
      </w:r>
      <w:r>
        <w:rPr>
          <w:rFonts w:hint="eastAsia" w:ascii="仿宋" w:eastAsia="仿宋"/>
          <w:color w:val="auto"/>
          <w:szCs w:val="28"/>
          <w:highlight w:val="none"/>
        </w:rPr>
        <w:t>如达到甲方结算审计条件，还须完成结算审计</w:t>
      </w:r>
      <w:r>
        <w:rPr>
          <w:rFonts w:hint="eastAsia" w:eastAsia="仿宋"/>
          <w:color w:val="auto"/>
          <w:highlight w:val="none"/>
        </w:rPr>
        <w:t>）</w:t>
      </w:r>
      <w:r>
        <w:rPr>
          <w:rFonts w:eastAsia="仿宋"/>
          <w:color w:val="auto"/>
          <w:highlight w:val="none"/>
        </w:rPr>
        <w:t>，</w:t>
      </w:r>
      <w:r>
        <w:rPr>
          <w:rFonts w:hint="eastAsia" w:eastAsia="仿宋"/>
        </w:rPr>
        <w:t>乙方提交</w:t>
      </w:r>
      <w:r>
        <w:rPr>
          <w:rFonts w:eastAsia="仿宋"/>
        </w:rPr>
        <w:t>全额有效</w:t>
      </w:r>
      <w:r>
        <w:rPr>
          <w:rFonts w:hint="eastAsia" w:eastAsia="仿宋"/>
          <w:lang w:val="en-US" w:eastAsia="zh-CN"/>
        </w:rPr>
        <w:t>且</w:t>
      </w:r>
      <w:r>
        <w:rPr>
          <w:rFonts w:hint="eastAsia" w:eastAsia="仿宋"/>
        </w:rPr>
        <w:t>经甲方确认无误的增值税专用发票后三十日内，甲方</w:t>
      </w:r>
      <w:r>
        <w:rPr>
          <w:rFonts w:eastAsia="仿宋"/>
        </w:rPr>
        <w:t>应付至结算价的</w:t>
      </w:r>
      <w:r>
        <w:rPr>
          <w:rFonts w:hint="eastAsia" w:eastAsia="仿宋"/>
          <w:u w:val="single"/>
        </w:rPr>
        <w:t>97</w:t>
      </w:r>
      <w:r>
        <w:rPr>
          <w:rFonts w:eastAsia="仿宋"/>
        </w:rPr>
        <w:t>%</w:t>
      </w:r>
      <w:r>
        <w:rPr>
          <w:rFonts w:hint="eastAsia" w:eastAsia="仿宋"/>
        </w:rPr>
        <w:t>；</w:t>
      </w:r>
      <w:bookmarkStart w:id="346" w:name="OLE_LINK5"/>
    </w:p>
    <w:p w14:paraId="684D85A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hint="eastAsia" w:eastAsia="仿宋"/>
        </w:rPr>
        <w:t>(</w:t>
      </w:r>
      <w:r>
        <w:rPr>
          <w:rFonts w:eastAsia="仿宋"/>
        </w:rPr>
        <w:t>2)余下</w:t>
      </w:r>
      <w:r>
        <w:rPr>
          <w:rFonts w:hint="eastAsia" w:eastAsia="仿宋"/>
          <w:u w:val="single"/>
        </w:rPr>
        <w:t>3</w:t>
      </w:r>
      <w:r>
        <w:rPr>
          <w:rFonts w:eastAsia="仿宋"/>
        </w:rPr>
        <w:t>%</w:t>
      </w:r>
      <w:r>
        <w:rPr>
          <w:rFonts w:hint="eastAsia" w:eastAsia="仿宋"/>
        </w:rPr>
        <w:t>的</w:t>
      </w:r>
      <w:r>
        <w:rPr>
          <w:rFonts w:eastAsia="仿宋"/>
        </w:rPr>
        <w:t>合同费用作为质保金</w:t>
      </w:r>
      <w:r>
        <w:rPr>
          <w:rFonts w:hint="eastAsia" w:eastAsia="仿宋"/>
        </w:rPr>
        <w:t>，</w:t>
      </w:r>
      <w:r>
        <w:rPr>
          <w:rFonts w:eastAsia="仿宋"/>
        </w:rPr>
        <w:t>在</w:t>
      </w:r>
      <w:r>
        <w:rPr>
          <w:rFonts w:hint="eastAsia" w:eastAsia="仿宋"/>
        </w:rPr>
        <w:t>本</w:t>
      </w:r>
      <w:r>
        <w:rPr>
          <w:rFonts w:eastAsia="仿宋"/>
        </w:rPr>
        <w:t>项目</w:t>
      </w:r>
      <w:r>
        <w:rPr>
          <w:rFonts w:hint="eastAsia" w:eastAsia="仿宋"/>
        </w:rPr>
        <w:t>质保期结束并经</w:t>
      </w:r>
      <w:r>
        <w:rPr>
          <w:rFonts w:eastAsia="仿宋"/>
        </w:rPr>
        <w:t>验收</w:t>
      </w:r>
      <w:r>
        <w:rPr>
          <w:rFonts w:hint="eastAsia" w:eastAsia="仿宋"/>
        </w:rPr>
        <w:t>合格后三十日内，</w:t>
      </w:r>
      <w:r>
        <w:rPr>
          <w:rFonts w:eastAsia="仿宋"/>
        </w:rPr>
        <w:t>乙方提供（甲方</w:t>
      </w:r>
      <w:r>
        <w:rPr>
          <w:rFonts w:hint="eastAsia" w:eastAsia="仿宋"/>
        </w:rPr>
        <w:t>出具</w:t>
      </w:r>
      <w:r>
        <w:rPr>
          <w:rFonts w:eastAsia="仿宋"/>
        </w:rPr>
        <w:t>的）验收证明文件，由甲方支付给乙方。</w:t>
      </w:r>
      <w:bookmarkEnd w:id="346"/>
    </w:p>
    <w:p w14:paraId="1C42198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eastAsia="仿宋"/>
        </w:rPr>
        <w:t>2.</w:t>
      </w:r>
      <w:r>
        <w:rPr>
          <w:rFonts w:hint="eastAsia" w:eastAsia="仿宋"/>
        </w:rPr>
        <w:t>分阶段付款：</w:t>
      </w:r>
    </w:p>
    <w:p w14:paraId="22238C1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hint="eastAsia" w:eastAsia="仿宋"/>
        </w:rPr>
        <w:t>（1）首期付款：【</w:t>
      </w:r>
      <w:r>
        <w:rPr>
          <w:rFonts w:hint="eastAsia" w:eastAsia="仿宋"/>
          <w:u w:val="single"/>
        </w:rPr>
        <w:t>付款条件</w:t>
      </w:r>
      <w:r>
        <w:rPr>
          <w:rFonts w:hint="eastAsia" w:eastAsia="仿宋"/>
        </w:rPr>
        <w:t>】，【</w:t>
      </w:r>
      <w:r>
        <w:rPr>
          <w:rFonts w:hint="eastAsia" w:eastAsia="仿宋"/>
          <w:u w:val="single"/>
        </w:rPr>
        <w:t>付款时间</w:t>
      </w:r>
      <w:r>
        <w:rPr>
          <w:rFonts w:hint="eastAsia" w:eastAsia="仿宋"/>
        </w:rPr>
        <w:t>】，【</w:t>
      </w:r>
      <w:r>
        <w:rPr>
          <w:rFonts w:hint="eastAsia" w:eastAsia="仿宋"/>
          <w:u w:val="single"/>
        </w:rPr>
        <w:t>付款比例</w:t>
      </w:r>
      <w:r>
        <w:rPr>
          <w:rFonts w:hint="eastAsia" w:eastAsia="仿宋"/>
        </w:rPr>
        <w:t>】%，即人民币（大写）_____元(￥_____元)；</w:t>
      </w:r>
    </w:p>
    <w:p w14:paraId="438C403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hint="eastAsia" w:eastAsia="仿宋"/>
        </w:rPr>
        <w:t>（2）第二期付款：【</w:t>
      </w:r>
      <w:r>
        <w:rPr>
          <w:rFonts w:hint="eastAsia" w:eastAsia="仿宋"/>
          <w:u w:val="single"/>
        </w:rPr>
        <w:t>付款条件</w:t>
      </w:r>
      <w:r>
        <w:rPr>
          <w:rFonts w:hint="eastAsia" w:eastAsia="仿宋"/>
        </w:rPr>
        <w:t>】，【</w:t>
      </w:r>
      <w:r>
        <w:rPr>
          <w:rFonts w:hint="eastAsia" w:eastAsia="仿宋"/>
          <w:u w:val="single"/>
        </w:rPr>
        <w:t>付款时间</w:t>
      </w:r>
      <w:r>
        <w:rPr>
          <w:rFonts w:hint="eastAsia" w:eastAsia="仿宋"/>
        </w:rPr>
        <w:t>】，【</w:t>
      </w:r>
      <w:r>
        <w:rPr>
          <w:rFonts w:hint="eastAsia" w:eastAsia="仿宋"/>
          <w:u w:val="single"/>
        </w:rPr>
        <w:t>付款比例</w:t>
      </w:r>
      <w:r>
        <w:rPr>
          <w:rFonts w:hint="eastAsia" w:eastAsia="仿宋"/>
        </w:rPr>
        <w:t>】%，即人民币（大写）_____元(￥_____元)；</w:t>
      </w:r>
    </w:p>
    <w:p w14:paraId="2E31D88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hint="eastAsia" w:eastAsia="仿宋"/>
        </w:rPr>
        <w:t>（3）末期付款：在本</w:t>
      </w:r>
      <w:r>
        <w:rPr>
          <w:rFonts w:eastAsia="仿宋"/>
        </w:rPr>
        <w:t>项目</w:t>
      </w:r>
      <w:r>
        <w:rPr>
          <w:rFonts w:hint="eastAsia" w:eastAsia="仿宋"/>
        </w:rPr>
        <w:t>竣工验收通过后（如果存在项目变更，须完成结算审计）</w:t>
      </w:r>
      <w:r>
        <w:rPr>
          <w:rFonts w:eastAsia="仿宋"/>
        </w:rPr>
        <w:t>，甲方</w:t>
      </w:r>
      <w:r>
        <w:rPr>
          <w:rFonts w:hint="eastAsia" w:eastAsia="仿宋"/>
        </w:rPr>
        <w:t>收到</w:t>
      </w:r>
      <w:r>
        <w:rPr>
          <w:rFonts w:eastAsia="仿宋"/>
        </w:rPr>
        <w:t>乙方提供的有效</w:t>
      </w:r>
      <w:r>
        <w:rPr>
          <w:rFonts w:hint="eastAsia" w:eastAsia="仿宋"/>
        </w:rPr>
        <w:t>增值税专用发票后三十日内，甲方向乙方</w:t>
      </w:r>
      <w:r>
        <w:rPr>
          <w:rFonts w:eastAsia="仿宋"/>
        </w:rPr>
        <w:t>支付至结算价的</w:t>
      </w:r>
      <w:r>
        <w:rPr>
          <w:rFonts w:hint="eastAsia" w:eastAsia="仿宋"/>
          <w:u w:val="single"/>
        </w:rPr>
        <w:t>97</w:t>
      </w:r>
      <w:r>
        <w:rPr>
          <w:rFonts w:eastAsia="仿宋"/>
        </w:rPr>
        <w:t>%</w:t>
      </w:r>
      <w:r>
        <w:rPr>
          <w:rFonts w:hint="eastAsia" w:eastAsia="仿宋"/>
        </w:rPr>
        <w:t>；</w:t>
      </w:r>
    </w:p>
    <w:p w14:paraId="4AE5BB5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rPr>
      </w:pPr>
      <w:r>
        <w:rPr>
          <w:rFonts w:hint="eastAsia" w:eastAsia="仿宋"/>
        </w:rPr>
        <w:t>（4）</w:t>
      </w:r>
      <w:r>
        <w:rPr>
          <w:rFonts w:eastAsia="仿宋"/>
        </w:rPr>
        <w:t>余下</w:t>
      </w:r>
      <w:r>
        <w:rPr>
          <w:rFonts w:hint="eastAsia" w:eastAsia="仿宋"/>
          <w:u w:val="single"/>
        </w:rPr>
        <w:t>3</w:t>
      </w:r>
      <w:r>
        <w:rPr>
          <w:rFonts w:eastAsia="仿宋"/>
        </w:rPr>
        <w:t>%</w:t>
      </w:r>
      <w:r>
        <w:rPr>
          <w:rFonts w:hint="eastAsia" w:eastAsia="仿宋"/>
        </w:rPr>
        <w:t>的</w:t>
      </w:r>
      <w:r>
        <w:rPr>
          <w:rFonts w:eastAsia="仿宋"/>
        </w:rPr>
        <w:t>合同</w:t>
      </w:r>
      <w:r>
        <w:rPr>
          <w:rFonts w:hint="eastAsia" w:eastAsia="仿宋"/>
        </w:rPr>
        <w:t>价款</w:t>
      </w:r>
      <w:r>
        <w:rPr>
          <w:rFonts w:eastAsia="仿宋"/>
        </w:rPr>
        <w:t>作为质保金</w:t>
      </w:r>
      <w:r>
        <w:rPr>
          <w:rFonts w:hint="eastAsia" w:eastAsia="仿宋"/>
        </w:rPr>
        <w:t>，</w:t>
      </w:r>
      <w:r>
        <w:rPr>
          <w:rFonts w:eastAsia="仿宋"/>
        </w:rPr>
        <w:t>在</w:t>
      </w:r>
      <w:r>
        <w:rPr>
          <w:rFonts w:hint="eastAsia" w:eastAsia="仿宋"/>
        </w:rPr>
        <w:t>本</w:t>
      </w:r>
      <w:r>
        <w:rPr>
          <w:rFonts w:eastAsia="仿宋"/>
        </w:rPr>
        <w:t>项目</w:t>
      </w:r>
      <w:r>
        <w:rPr>
          <w:rFonts w:hint="eastAsia" w:eastAsia="仿宋"/>
        </w:rPr>
        <w:t>质保期结束并经</w:t>
      </w:r>
      <w:r>
        <w:rPr>
          <w:rFonts w:eastAsia="仿宋"/>
        </w:rPr>
        <w:t>验收</w:t>
      </w:r>
      <w:r>
        <w:rPr>
          <w:rFonts w:hint="eastAsia" w:eastAsia="仿宋"/>
        </w:rPr>
        <w:t>合格后三十日内，</w:t>
      </w:r>
      <w:r>
        <w:rPr>
          <w:rFonts w:eastAsia="仿宋"/>
        </w:rPr>
        <w:t>乙方提供（甲方</w:t>
      </w:r>
      <w:r>
        <w:rPr>
          <w:rFonts w:hint="eastAsia" w:eastAsia="仿宋"/>
        </w:rPr>
        <w:t>出具</w:t>
      </w:r>
      <w:r>
        <w:rPr>
          <w:rFonts w:eastAsia="仿宋"/>
        </w:rPr>
        <w:t>的）验收证明文件，由甲方支付给乙方。</w:t>
      </w:r>
    </w:p>
    <w:p w14:paraId="29642C90">
      <w:pPr>
        <w:spacing w:line="360" w:lineRule="auto"/>
        <w:rPr>
          <w:rFonts w:hint="eastAsia" w:eastAsia="仿宋"/>
          <w:lang w:val="en-US" w:eastAsia="zh-CN"/>
        </w:rPr>
      </w:pPr>
      <w:r>
        <w:rPr>
          <w:rFonts w:hint="eastAsia" w:eastAsia="仿宋"/>
          <w:lang w:val="en-US" w:eastAsia="zh-CN"/>
        </w:rPr>
        <w:t>4.8 合同价款以</w:t>
      </w:r>
      <w:r>
        <w:rPr>
          <w:rFonts w:hint="eastAsia" w:eastAsia="仿宋"/>
          <w:u w:val="single"/>
          <w:lang w:val="en-US" w:eastAsia="zh-CN"/>
        </w:rPr>
        <w:t xml:space="preserve"> 银行转账 </w:t>
      </w:r>
      <w:r>
        <w:rPr>
          <w:rFonts w:hint="eastAsia" w:eastAsia="仿宋"/>
          <w:lang w:val="en-US" w:eastAsia="zh-CN"/>
        </w:rPr>
        <w:t>的方式支付。</w:t>
      </w:r>
    </w:p>
    <w:p w14:paraId="4018C542">
      <w:pPr>
        <w:spacing w:line="360" w:lineRule="auto"/>
        <w:rPr>
          <w:rFonts w:hint="eastAsia" w:eastAsia="仿宋"/>
          <w:lang w:val="en-US" w:eastAsia="zh-CN"/>
        </w:rPr>
      </w:pPr>
      <w:r>
        <w:rPr>
          <w:rFonts w:hint="eastAsia" w:eastAsia="仿宋"/>
          <w:lang w:val="en-US" w:eastAsia="zh-CN"/>
        </w:rPr>
        <w:t>乙方银行账户信息确认如下：</w:t>
      </w:r>
    </w:p>
    <w:p w14:paraId="65C45F78">
      <w:pPr>
        <w:spacing w:line="360" w:lineRule="auto"/>
        <w:rPr>
          <w:rFonts w:hint="eastAsia" w:eastAsia="仿宋"/>
          <w:u w:val="none"/>
          <w:lang w:val="en-US" w:eastAsia="zh-CN"/>
        </w:rPr>
      </w:pPr>
      <w:r>
        <w:rPr>
          <w:rFonts w:hint="eastAsia" w:eastAsia="仿宋"/>
          <w:lang w:val="en-US" w:eastAsia="zh-CN"/>
        </w:rPr>
        <w:t>账户名：_____________________</w:t>
      </w:r>
      <w:r>
        <w:rPr>
          <w:rFonts w:hint="eastAsia" w:eastAsia="仿宋"/>
          <w:u w:val="none"/>
          <w:lang w:val="en-US" w:eastAsia="zh-CN"/>
        </w:rPr>
        <w:t xml:space="preserve">  </w:t>
      </w:r>
    </w:p>
    <w:p w14:paraId="59C5C8A9">
      <w:pPr>
        <w:spacing w:line="360" w:lineRule="auto"/>
        <w:rPr>
          <w:rFonts w:hint="default" w:eastAsia="仿宋"/>
          <w:lang w:val="en-US" w:eastAsia="zh-CN"/>
        </w:rPr>
      </w:pPr>
      <w:r>
        <w:rPr>
          <w:rFonts w:hint="eastAsia" w:eastAsia="仿宋"/>
          <w:lang w:val="en-US" w:eastAsia="zh-CN"/>
        </w:rPr>
        <w:t xml:space="preserve">开户行：_____________________                                   </w:t>
      </w:r>
    </w:p>
    <w:p w14:paraId="68B4FBE4">
      <w:pPr>
        <w:spacing w:line="360" w:lineRule="auto"/>
        <w:rPr>
          <w:rFonts w:hint="default" w:eastAsia="仿宋"/>
          <w:lang w:val="en-US" w:eastAsia="zh-CN"/>
        </w:rPr>
      </w:pPr>
      <w:r>
        <w:rPr>
          <w:rFonts w:hint="eastAsia" w:eastAsia="仿宋"/>
          <w:lang w:val="en-US" w:eastAsia="zh-CN"/>
        </w:rPr>
        <w:t xml:space="preserve">账号： ______________________                                         </w:t>
      </w:r>
    </w:p>
    <w:p w14:paraId="293CCCD3">
      <w:pPr>
        <w:spacing w:line="360" w:lineRule="auto"/>
        <w:rPr>
          <w:rFonts w:hint="eastAsia" w:eastAsia="仿宋"/>
          <w:lang w:val="en-US" w:eastAsia="zh-CN"/>
        </w:rPr>
      </w:pPr>
      <w:r>
        <w:rPr>
          <w:rFonts w:hint="eastAsia" w:eastAsia="仿宋"/>
          <w:lang w:val="en-US" w:eastAsia="zh-CN"/>
        </w:rPr>
        <w:t>甲方开票信息确认如下：</w:t>
      </w:r>
    </w:p>
    <w:p w14:paraId="14A355E7">
      <w:pPr>
        <w:spacing w:line="360" w:lineRule="auto"/>
        <w:rPr>
          <w:rFonts w:hint="eastAsia" w:eastAsia="仿宋"/>
          <w:lang w:val="en-US" w:eastAsia="zh-CN"/>
        </w:rPr>
      </w:pPr>
      <w:r>
        <w:rPr>
          <w:rFonts w:hint="eastAsia" w:eastAsia="仿宋"/>
          <w:lang w:val="en-US" w:eastAsia="zh-CN"/>
        </w:rPr>
        <w:t xml:space="preserve">单位名称：                                    </w:t>
      </w:r>
    </w:p>
    <w:p w14:paraId="7E7ACC75">
      <w:pPr>
        <w:spacing w:line="360" w:lineRule="auto"/>
        <w:rPr>
          <w:rFonts w:hint="eastAsia" w:eastAsia="仿宋"/>
          <w:lang w:val="en-US" w:eastAsia="zh-CN"/>
        </w:rPr>
      </w:pPr>
      <w:r>
        <w:rPr>
          <w:rFonts w:hint="eastAsia" w:eastAsia="仿宋"/>
          <w:lang w:val="en-US" w:eastAsia="zh-CN"/>
        </w:rPr>
        <w:t xml:space="preserve">纳税人识别号：                             </w:t>
      </w:r>
    </w:p>
    <w:p w14:paraId="1FCF13D4">
      <w:pPr>
        <w:spacing w:line="360" w:lineRule="auto"/>
        <w:rPr>
          <w:rFonts w:hint="eastAsia" w:eastAsia="仿宋"/>
          <w:lang w:val="en-US" w:eastAsia="zh-CN"/>
        </w:rPr>
      </w:pPr>
      <w:r>
        <w:rPr>
          <w:rFonts w:hint="eastAsia" w:eastAsia="仿宋"/>
          <w:lang w:val="en-US" w:eastAsia="zh-CN"/>
        </w:rPr>
        <w:t xml:space="preserve">地址、电话：                                  </w:t>
      </w:r>
    </w:p>
    <w:p w14:paraId="6F8E176E">
      <w:pPr>
        <w:spacing w:line="360" w:lineRule="auto"/>
        <w:rPr>
          <w:rFonts w:hint="eastAsia" w:eastAsia="仿宋"/>
          <w:lang w:val="en-US" w:eastAsia="zh-CN"/>
        </w:rPr>
      </w:pPr>
      <w:r>
        <w:rPr>
          <w:rFonts w:hint="eastAsia" w:eastAsia="仿宋"/>
          <w:lang w:val="en-US" w:eastAsia="zh-CN"/>
        </w:rPr>
        <w:t>开户行、账号：</w:t>
      </w:r>
    </w:p>
    <w:p w14:paraId="79E5541A">
      <w:pPr>
        <w:spacing w:line="360" w:lineRule="auto"/>
        <w:rPr>
          <w:rFonts w:eastAsia="仿宋"/>
          <w:highlight w:val="none"/>
        </w:rPr>
      </w:pPr>
      <w:r>
        <w:rPr>
          <w:rFonts w:hint="eastAsia" w:eastAsia="仿宋"/>
          <w:lang w:val="en-US" w:eastAsia="zh-CN"/>
        </w:rPr>
        <w:t xml:space="preserve">4.9 </w:t>
      </w:r>
      <w:r>
        <w:rPr>
          <w:rFonts w:hint="eastAsia" w:eastAsia="仿宋"/>
        </w:rPr>
        <w:t>乙方应支付的违约金、损失赔偿金等</w:t>
      </w:r>
      <w:r>
        <w:rPr>
          <w:rFonts w:hint="eastAsia" w:eastAsia="仿宋"/>
          <w:highlight w:val="none"/>
        </w:rPr>
        <w:t>均可由甲方直接从未付的合同价款、履约保证金或质保金中扣除。如不足以赔付，甲方有权向乙方另行主张赔偿。</w:t>
      </w:r>
    </w:p>
    <w:p w14:paraId="083F2074">
      <w:pPr>
        <w:spacing w:line="360" w:lineRule="auto"/>
        <w:rPr>
          <w:rFonts w:hint="eastAsia" w:eastAsia="仿宋"/>
          <w:highlight w:val="none"/>
        </w:rPr>
      </w:pPr>
      <w:r>
        <w:rPr>
          <w:rFonts w:hint="eastAsia" w:eastAsia="仿宋"/>
          <w:highlight w:val="none"/>
          <w:lang w:val="en-US" w:eastAsia="zh-CN"/>
        </w:rPr>
        <w:t xml:space="preserve">4.10 </w:t>
      </w:r>
      <w:r>
        <w:rPr>
          <w:rFonts w:hint="eastAsia" w:eastAsia="仿宋"/>
          <w:highlight w:val="none"/>
        </w:rPr>
        <w:t>本合同约定的为含税合同价款。在合同履行期间，如遇国家的税率调整或其他政策影响税率的，税率随变化而变化，则合同价款及综合单价金额不做调整。</w:t>
      </w:r>
    </w:p>
    <w:p w14:paraId="51E95700">
      <w:pPr>
        <w:spacing w:line="360" w:lineRule="auto"/>
        <w:rPr>
          <w:rFonts w:eastAsia="仿宋"/>
        </w:rPr>
      </w:pPr>
      <w:r>
        <w:rPr>
          <w:rFonts w:hint="eastAsia" w:eastAsia="仿宋"/>
          <w:lang w:val="en-US" w:eastAsia="zh-CN"/>
        </w:rPr>
        <w:t xml:space="preserve">4.11 </w:t>
      </w:r>
      <w:r>
        <w:rPr>
          <w:rFonts w:hint="eastAsia" w:eastAsia="仿宋"/>
        </w:rPr>
        <w:t>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14:paraId="76DE4F9A">
      <w:pPr>
        <w:spacing w:line="360" w:lineRule="auto"/>
        <w:rPr>
          <w:rFonts w:eastAsia="仿宋"/>
          <w:b/>
        </w:rPr>
      </w:pPr>
      <w:r>
        <w:rPr>
          <w:rFonts w:hint="eastAsia" w:eastAsia="仿宋"/>
          <w:b/>
        </w:rPr>
        <w:t>五、甲方权利义务</w:t>
      </w:r>
    </w:p>
    <w:p w14:paraId="323C04E8">
      <w:pPr>
        <w:spacing w:line="360" w:lineRule="auto"/>
        <w:rPr>
          <w:rFonts w:eastAsia="仿宋"/>
        </w:rPr>
      </w:pPr>
      <w:r>
        <w:rPr>
          <w:rFonts w:hint="eastAsia" w:eastAsia="仿宋"/>
        </w:rPr>
        <w:t>5</w:t>
      </w:r>
      <w:r>
        <w:rPr>
          <w:rFonts w:eastAsia="仿宋"/>
        </w:rPr>
        <w:t>.1</w:t>
      </w:r>
      <w:r>
        <w:rPr>
          <w:rFonts w:hint="eastAsia" w:eastAsia="仿宋"/>
          <w:lang w:val="en-US" w:eastAsia="zh-CN"/>
        </w:rPr>
        <w:t xml:space="preserve"> </w:t>
      </w:r>
      <w:r>
        <w:rPr>
          <w:rFonts w:hint="eastAsia" w:eastAsia="仿宋"/>
        </w:rPr>
        <w:t>负责按照本合同约定向乙方支付相应的费用。</w:t>
      </w:r>
    </w:p>
    <w:p w14:paraId="2B7F3C97">
      <w:pPr>
        <w:spacing w:line="360" w:lineRule="auto"/>
        <w:rPr>
          <w:rFonts w:eastAsia="仿宋"/>
        </w:rPr>
      </w:pPr>
      <w:r>
        <w:rPr>
          <w:rFonts w:hint="eastAsia" w:eastAsia="仿宋"/>
        </w:rPr>
        <w:t>5</w:t>
      </w:r>
      <w:r>
        <w:rPr>
          <w:rFonts w:eastAsia="仿宋"/>
        </w:rPr>
        <w:t>.2</w:t>
      </w:r>
      <w:r>
        <w:rPr>
          <w:rFonts w:hint="eastAsia" w:eastAsia="仿宋"/>
          <w:lang w:val="en-US" w:eastAsia="zh-CN"/>
        </w:rPr>
        <w:t xml:space="preserve"> </w:t>
      </w:r>
      <w:r>
        <w:rPr>
          <w:rFonts w:hint="eastAsia" w:eastAsia="仿宋"/>
        </w:rPr>
        <w:t>负责向乙方提供本项目相关的图纸和资料，并审批乙方提供的施工方案和计划。</w:t>
      </w:r>
    </w:p>
    <w:p w14:paraId="5FA7BC9C">
      <w:pPr>
        <w:spacing w:line="360" w:lineRule="auto"/>
        <w:rPr>
          <w:rFonts w:eastAsia="仿宋"/>
        </w:rPr>
      </w:pPr>
      <w:r>
        <w:rPr>
          <w:rFonts w:hint="eastAsia" w:eastAsia="仿宋"/>
        </w:rPr>
        <w:t>5</w:t>
      </w:r>
      <w:r>
        <w:rPr>
          <w:rFonts w:eastAsia="仿宋"/>
        </w:rPr>
        <w:t xml:space="preserve">.3 </w:t>
      </w:r>
      <w:r>
        <w:rPr>
          <w:rFonts w:hint="eastAsia" w:eastAsia="仿宋"/>
        </w:rPr>
        <w:t>对乙方维修中的项目的施工质量、工程进度、安全生产、文明、环保施工等有协调、监督、监察的权利。</w:t>
      </w:r>
    </w:p>
    <w:p w14:paraId="19E9C4D1">
      <w:pPr>
        <w:spacing w:line="360" w:lineRule="auto"/>
        <w:rPr>
          <w:rFonts w:eastAsia="仿宋"/>
        </w:rPr>
      </w:pPr>
      <w:r>
        <w:rPr>
          <w:rFonts w:hint="eastAsia" w:eastAsia="仿宋"/>
        </w:rPr>
        <w:t>5.</w:t>
      </w:r>
      <w:r>
        <w:rPr>
          <w:rFonts w:eastAsia="仿宋"/>
        </w:rPr>
        <w:t>4</w:t>
      </w:r>
      <w:r>
        <w:rPr>
          <w:rFonts w:hint="eastAsia" w:eastAsia="仿宋"/>
          <w:lang w:val="en-US" w:eastAsia="zh-CN"/>
        </w:rPr>
        <w:t xml:space="preserve"> </w:t>
      </w:r>
      <w:r>
        <w:rPr>
          <w:rFonts w:hint="eastAsia" w:eastAsia="仿宋"/>
        </w:rPr>
        <w:t>负责本项目的完工验收，并办理项目结算。</w:t>
      </w:r>
    </w:p>
    <w:p w14:paraId="1CE8B7FE">
      <w:pPr>
        <w:spacing w:line="360" w:lineRule="auto"/>
        <w:rPr>
          <w:rFonts w:eastAsia="仿宋"/>
          <w:b/>
        </w:rPr>
      </w:pPr>
      <w:r>
        <w:rPr>
          <w:rFonts w:hint="eastAsia" w:eastAsia="仿宋"/>
          <w:b/>
        </w:rPr>
        <w:t>六、乙方权利义务</w:t>
      </w:r>
    </w:p>
    <w:p w14:paraId="4050084B">
      <w:pPr>
        <w:spacing w:line="360" w:lineRule="auto"/>
        <w:rPr>
          <w:rFonts w:eastAsia="仿宋"/>
        </w:rPr>
      </w:pPr>
      <w:r>
        <w:rPr>
          <w:rFonts w:hint="eastAsia" w:eastAsia="仿宋"/>
        </w:rPr>
        <w:t>6</w:t>
      </w:r>
      <w:r>
        <w:rPr>
          <w:rFonts w:eastAsia="仿宋"/>
        </w:rPr>
        <w:t>.1</w:t>
      </w:r>
      <w:r>
        <w:rPr>
          <w:rFonts w:hint="eastAsia" w:eastAsia="仿宋"/>
          <w:lang w:val="en-US" w:eastAsia="zh-CN"/>
        </w:rPr>
        <w:t xml:space="preserve"> </w:t>
      </w:r>
      <w:r>
        <w:rPr>
          <w:rFonts w:hint="eastAsia" w:eastAsia="仿宋"/>
        </w:rPr>
        <w:t>乙方应具有完成本项目的施工资质，在施工前应向甲方提供符合要求的施工计划、施工方案以及施工设计图纸等材料。</w:t>
      </w:r>
    </w:p>
    <w:p w14:paraId="2E8A6ADE">
      <w:pPr>
        <w:spacing w:line="360" w:lineRule="auto"/>
        <w:rPr>
          <w:rFonts w:eastAsia="仿宋"/>
        </w:rPr>
      </w:pPr>
      <w:r>
        <w:rPr>
          <w:rFonts w:hint="eastAsia" w:eastAsia="仿宋"/>
        </w:rPr>
        <w:t>6</w:t>
      </w:r>
      <w:r>
        <w:rPr>
          <w:rFonts w:eastAsia="仿宋"/>
        </w:rPr>
        <w:t>.2</w:t>
      </w:r>
      <w:r>
        <w:rPr>
          <w:rFonts w:hint="eastAsia" w:eastAsia="仿宋"/>
          <w:lang w:val="en-US" w:eastAsia="zh-CN"/>
        </w:rPr>
        <w:t xml:space="preserve"> </w:t>
      </w:r>
      <w:r>
        <w:rPr>
          <w:rFonts w:hint="eastAsia" w:eastAsia="仿宋"/>
        </w:rPr>
        <w:t>乙方指派项目经理负责组织施工，保质、保量、按期完成施工任务。</w:t>
      </w:r>
    </w:p>
    <w:p w14:paraId="5B9C4442">
      <w:pPr>
        <w:spacing w:line="360" w:lineRule="auto"/>
        <w:rPr>
          <w:rFonts w:eastAsia="仿宋"/>
        </w:rPr>
      </w:pPr>
      <w:r>
        <w:rPr>
          <w:rFonts w:hint="eastAsia" w:eastAsia="仿宋"/>
        </w:rPr>
        <w:t>6</w:t>
      </w:r>
      <w:r>
        <w:rPr>
          <w:rFonts w:eastAsia="仿宋"/>
        </w:rPr>
        <w:t>.3</w:t>
      </w:r>
      <w:r>
        <w:rPr>
          <w:rFonts w:hint="eastAsia" w:eastAsia="仿宋"/>
          <w:lang w:val="en-US" w:eastAsia="zh-CN"/>
        </w:rPr>
        <w:t xml:space="preserve"> </w:t>
      </w:r>
      <w:r>
        <w:rPr>
          <w:rFonts w:hint="eastAsia" w:eastAsia="仿宋"/>
        </w:rPr>
        <w:t>在项目实施前向甲方提交一份现场主要施工人员和施工设备的清单，严格执行施工规范、安全操作规程，遵守防火安全、环境保护等规定，做好各项质量检查记录。</w:t>
      </w:r>
    </w:p>
    <w:p w14:paraId="78AACF17">
      <w:pPr>
        <w:spacing w:line="360" w:lineRule="auto"/>
        <w:rPr>
          <w:rFonts w:eastAsia="仿宋"/>
        </w:rPr>
      </w:pPr>
      <w:r>
        <w:rPr>
          <w:rFonts w:hint="eastAsia" w:eastAsia="仿宋"/>
        </w:rPr>
        <w:t>6</w:t>
      </w:r>
      <w:r>
        <w:rPr>
          <w:rFonts w:eastAsia="仿宋"/>
        </w:rPr>
        <w:t>.4</w:t>
      </w:r>
      <w:r>
        <w:rPr>
          <w:rFonts w:hint="eastAsia" w:eastAsia="仿宋"/>
          <w:lang w:val="en-US" w:eastAsia="zh-CN"/>
        </w:rPr>
        <w:t xml:space="preserve"> </w:t>
      </w:r>
      <w:r>
        <w:rPr>
          <w:rFonts w:hint="eastAsia" w:eastAsia="仿宋"/>
        </w:rPr>
        <w:t>本项目实施过程中，应接受甲方的检查、检验，并为检查、检验提供便利条件。</w:t>
      </w:r>
    </w:p>
    <w:p w14:paraId="279B723A">
      <w:pPr>
        <w:spacing w:line="360" w:lineRule="auto"/>
        <w:rPr>
          <w:rFonts w:eastAsia="仿宋"/>
        </w:rPr>
      </w:pPr>
      <w:r>
        <w:rPr>
          <w:rFonts w:hint="eastAsia" w:eastAsia="仿宋"/>
        </w:rPr>
        <w:t>6</w:t>
      </w:r>
      <w:r>
        <w:rPr>
          <w:rFonts w:eastAsia="仿宋"/>
        </w:rPr>
        <w:t>.5</w:t>
      </w:r>
      <w:r>
        <w:rPr>
          <w:rFonts w:hint="eastAsia" w:eastAsia="仿宋"/>
          <w:lang w:val="en-US" w:eastAsia="zh-CN"/>
        </w:rPr>
        <w:t xml:space="preserve"> </w:t>
      </w:r>
      <w:r>
        <w:rPr>
          <w:rFonts w:hint="eastAsia" w:eastAsia="仿宋"/>
        </w:rPr>
        <w:t>乙方应当严格按照国家颁布的安全法规安全施工，如本项目施工过程中发生安全、火灾等事故的，乙方应立即采取适当救助措施并通知甲方。出现安全事故或造成乙方雇员、第三人人身损害、财产损失的，由乙方承担全部赔偿责任。</w:t>
      </w:r>
    </w:p>
    <w:p w14:paraId="09B954DC">
      <w:pPr>
        <w:spacing w:line="360" w:lineRule="auto"/>
        <w:rPr>
          <w:rFonts w:eastAsia="仿宋"/>
        </w:rPr>
      </w:pPr>
      <w:r>
        <w:rPr>
          <w:rFonts w:hint="eastAsia" w:eastAsia="仿宋"/>
        </w:rPr>
        <w:t>6</w:t>
      </w:r>
      <w:r>
        <w:rPr>
          <w:rFonts w:eastAsia="仿宋"/>
        </w:rPr>
        <w:t>.6</w:t>
      </w:r>
      <w:r>
        <w:rPr>
          <w:rFonts w:hint="eastAsia" w:eastAsia="仿宋"/>
          <w:lang w:val="en-US" w:eastAsia="zh-CN"/>
        </w:rPr>
        <w:t xml:space="preserve"> </w:t>
      </w:r>
      <w:r>
        <w:rPr>
          <w:rFonts w:hint="eastAsia" w:eastAsia="仿宋"/>
        </w:rPr>
        <w:t>遵守国家、地方政府及行政主管部门对施工现场管理的规定，妥善保护好施工现场周围建筑物、设备管线不受损坏，保护期间发生侵权或损坏事件的，由乙方负责解决，并承担由此产生的一切费用和损失；做好施工现场保卫和垃圾清运等工作，保证在本项目竣工之日起7天内清理所有的垃圾。</w:t>
      </w:r>
    </w:p>
    <w:p w14:paraId="0D633E09">
      <w:pPr>
        <w:spacing w:line="360" w:lineRule="auto"/>
        <w:rPr>
          <w:rFonts w:eastAsia="仿宋"/>
        </w:rPr>
      </w:pPr>
      <w:r>
        <w:rPr>
          <w:rFonts w:hint="eastAsia" w:eastAsia="仿宋"/>
        </w:rPr>
        <w:t>6</w:t>
      </w:r>
      <w:r>
        <w:rPr>
          <w:rFonts w:eastAsia="仿宋"/>
        </w:rPr>
        <w:t>.7</w:t>
      </w:r>
      <w:r>
        <w:rPr>
          <w:rFonts w:hint="eastAsia" w:eastAsia="仿宋"/>
          <w:lang w:val="en-US" w:eastAsia="zh-CN"/>
        </w:rPr>
        <w:t xml:space="preserve"> </w:t>
      </w:r>
      <w:r>
        <w:rPr>
          <w:rFonts w:hint="eastAsia" w:eastAsia="仿宋"/>
        </w:rPr>
        <w:t>本项目完工未移交甲方之前，乙方应负责保管现场的一切设施和工程成品。</w:t>
      </w:r>
    </w:p>
    <w:p w14:paraId="19AD62F2">
      <w:pPr>
        <w:spacing w:line="360" w:lineRule="auto"/>
        <w:rPr>
          <w:rFonts w:eastAsia="仿宋"/>
        </w:rPr>
      </w:pPr>
      <w:r>
        <w:rPr>
          <w:rFonts w:hint="eastAsia" w:eastAsia="仿宋"/>
        </w:rPr>
        <w:t>6</w:t>
      </w:r>
      <w:r>
        <w:rPr>
          <w:rFonts w:eastAsia="仿宋"/>
        </w:rPr>
        <w:t>.8</w:t>
      </w:r>
      <w:r>
        <w:rPr>
          <w:rFonts w:hint="eastAsia" w:eastAsia="仿宋"/>
          <w:lang w:val="en-US" w:eastAsia="zh-CN"/>
        </w:rPr>
        <w:t xml:space="preserve"> </w:t>
      </w:r>
      <w:r>
        <w:rPr>
          <w:rFonts w:hint="eastAsia" w:eastAsia="仿宋"/>
        </w:rPr>
        <w:t>未经甲方的书面同意，乙方不得将其在本合同项下的权利和义务转让给第三方。</w:t>
      </w:r>
    </w:p>
    <w:p w14:paraId="0569550B">
      <w:pPr>
        <w:spacing w:line="360" w:lineRule="auto"/>
        <w:rPr>
          <w:rFonts w:hint="eastAsia" w:eastAsia="仿宋"/>
        </w:rPr>
      </w:pPr>
      <w:r>
        <w:rPr>
          <w:rFonts w:hint="eastAsia" w:eastAsia="仿宋"/>
        </w:rPr>
        <w:t>6</w:t>
      </w:r>
      <w:r>
        <w:rPr>
          <w:rFonts w:eastAsia="仿宋"/>
        </w:rPr>
        <w:t>.9</w:t>
      </w:r>
      <w:r>
        <w:rPr>
          <w:rFonts w:hint="eastAsia" w:eastAsia="仿宋"/>
          <w:lang w:val="en-US" w:eastAsia="zh-CN"/>
        </w:rPr>
        <w:t xml:space="preserve"> </w:t>
      </w:r>
      <w:r>
        <w:rPr>
          <w:rFonts w:hint="eastAsia" w:eastAsia="仿宋"/>
        </w:rPr>
        <w:t>负责办理</w:t>
      </w:r>
      <w:r>
        <w:rPr>
          <w:rFonts w:hint="eastAsia" w:eastAsia="仿宋"/>
          <w:lang w:val="en-US" w:eastAsia="zh-CN"/>
        </w:rPr>
        <w:t>项目</w:t>
      </w:r>
      <w:r>
        <w:rPr>
          <w:rFonts w:hint="eastAsia" w:eastAsia="仿宋"/>
        </w:rPr>
        <w:t>施工期间乙方相关雇员的工伤保险、意外伤害保险、第三者责任保险及工程设备保险等事宜并承担相关费用，并负责处理与其雇员、员工之间的劳动人事争议。</w:t>
      </w:r>
    </w:p>
    <w:p w14:paraId="6D4FF2E7">
      <w:pPr>
        <w:spacing w:line="360" w:lineRule="auto"/>
        <w:rPr>
          <w:rFonts w:hint="eastAsia" w:eastAsia="仿宋" w:cs="Times New Roman (正文 CS 字体)"/>
          <w:highlight w:val="none"/>
        </w:rPr>
      </w:pPr>
      <w:r>
        <w:rPr>
          <w:rFonts w:hint="eastAsia" w:eastAsia="仿宋"/>
          <w:lang w:val="en-US" w:eastAsia="zh-CN"/>
        </w:rPr>
        <w:t xml:space="preserve">6.10 </w:t>
      </w:r>
      <w:r>
        <w:rPr>
          <w:rFonts w:hint="eastAsia" w:eastAsia="仿宋"/>
          <w:highlight w:val="none"/>
        </w:rPr>
        <w:t>乙方承诺严格规范劳动用工，</w:t>
      </w:r>
      <w:r>
        <w:rPr>
          <w:rFonts w:hint="eastAsia" w:eastAsia="仿宋"/>
          <w:highlight w:val="none"/>
          <w:lang w:val="en-US" w:eastAsia="zh-CN"/>
        </w:rPr>
        <w:t>并</w:t>
      </w:r>
      <w:r>
        <w:rPr>
          <w:rFonts w:hint="eastAsia" w:eastAsia="仿宋"/>
          <w:highlight w:val="none"/>
        </w:rPr>
        <w:t>不得发生任何拖欠第三方材料款、拖欠农民工工资或集体聚集、上访、打架等群体事件，</w:t>
      </w:r>
      <w:r>
        <w:rPr>
          <w:rFonts w:hint="eastAsia" w:eastAsia="仿宋"/>
          <w:highlight w:val="none"/>
          <w:lang w:val="en-US" w:eastAsia="zh-CN"/>
        </w:rPr>
        <w:t>否则甲方有权解除合同，并有权从应付未付的合同款项、履约保证金中扣除因</w:t>
      </w:r>
      <w:r>
        <w:rPr>
          <w:rFonts w:hint="eastAsia" w:eastAsia="仿宋" w:cs="Times New Roman (正文 CS 字体)"/>
          <w:highlight w:val="none"/>
        </w:rPr>
        <w:t>乙方</w:t>
      </w:r>
      <w:r>
        <w:rPr>
          <w:rFonts w:hint="eastAsia" w:eastAsia="仿宋" w:cs="Times New Roman (正文 CS 字体)"/>
          <w:highlight w:val="none"/>
          <w:lang w:val="en-US" w:eastAsia="zh-CN"/>
        </w:rPr>
        <w:t>原因</w:t>
      </w:r>
      <w:r>
        <w:rPr>
          <w:rFonts w:hint="eastAsia" w:eastAsia="仿宋" w:cs="Times New Roman (正文 CS 字体)"/>
          <w:highlight w:val="none"/>
        </w:rPr>
        <w:t>导致的任何费用支出、违约金、损失或损害赔偿金。</w:t>
      </w:r>
    </w:p>
    <w:p w14:paraId="4D12B00B">
      <w:pPr>
        <w:spacing w:line="360" w:lineRule="auto"/>
        <w:rPr>
          <w:rFonts w:hint="eastAsia" w:eastAsia="仿宋"/>
          <w:highlight w:val="none"/>
          <w:lang w:val="en-US" w:eastAsia="zh-CN"/>
        </w:rPr>
      </w:pPr>
      <w:r>
        <w:rPr>
          <w:rFonts w:hint="default" w:eastAsia="仿宋"/>
          <w:highlight w:val="none"/>
          <w:lang w:eastAsia="zh-CN"/>
        </w:rPr>
        <w:t>6.11</w:t>
      </w:r>
      <w:r>
        <w:rPr>
          <w:rFonts w:hint="eastAsia" w:eastAsia="仿宋"/>
          <w:highlight w:val="none"/>
          <w:lang w:val="en-US" w:eastAsia="zh-CN"/>
        </w:rPr>
        <w:t xml:space="preserve"> 乙方</w:t>
      </w:r>
      <w:r>
        <w:rPr>
          <w:rFonts w:hint="eastAsia" w:eastAsia="仿宋"/>
          <w:highlight w:val="none"/>
          <w:lang w:val="en-US" w:eastAsia="zh-Hans"/>
        </w:rPr>
        <w:t>如</w:t>
      </w:r>
      <w:r>
        <w:rPr>
          <w:rFonts w:hint="eastAsia" w:eastAsia="仿宋"/>
          <w:highlight w:val="none"/>
          <w:lang w:val="en-US" w:eastAsia="zh-CN"/>
        </w:rPr>
        <w:t>在中标后</w:t>
      </w:r>
      <w:r>
        <w:rPr>
          <w:rFonts w:hint="eastAsia" w:eastAsia="仿宋"/>
          <w:highlight w:val="none"/>
          <w:lang w:val="en-US" w:eastAsia="zh-Hans"/>
        </w:rPr>
        <w:t>或者合同履行期间发生</w:t>
      </w:r>
      <w:r>
        <w:rPr>
          <w:rFonts w:hint="eastAsia" w:eastAsia="仿宋"/>
          <w:highlight w:val="none"/>
          <w:lang w:val="en-US" w:eastAsia="zh-CN"/>
        </w:rPr>
        <w:t>被人民法院列为失信被执行人、影响合同履约能力的重大行政处罚等情形，应及时向</w:t>
      </w:r>
      <w:r>
        <w:rPr>
          <w:rFonts w:hint="eastAsia" w:eastAsia="仿宋"/>
          <w:highlight w:val="none"/>
          <w:lang w:val="en-US" w:eastAsia="zh-Hans"/>
        </w:rPr>
        <w:t>甲方的</w:t>
      </w:r>
      <w:r>
        <w:rPr>
          <w:rFonts w:hint="eastAsia" w:eastAsia="仿宋"/>
          <w:highlight w:val="none"/>
          <w:lang w:val="en-US" w:eastAsia="zh-CN"/>
        </w:rPr>
        <w:t>履约管理单位</w:t>
      </w:r>
      <w:r>
        <w:rPr>
          <w:rFonts w:hint="eastAsia" w:eastAsia="仿宋"/>
          <w:highlight w:val="none"/>
          <w:lang w:val="en-US" w:eastAsia="zh-Hans"/>
        </w:rPr>
        <w:t>、</w:t>
      </w:r>
      <w:r>
        <w:rPr>
          <w:rFonts w:hint="eastAsia" w:eastAsia="仿宋"/>
          <w:highlight w:val="none"/>
          <w:lang w:val="en-US" w:eastAsia="zh-CN"/>
        </w:rPr>
        <w:t>物资部报备。</w:t>
      </w:r>
    </w:p>
    <w:p w14:paraId="7CBADB6F">
      <w:pPr>
        <w:spacing w:line="360" w:lineRule="auto"/>
        <w:rPr>
          <w:rFonts w:eastAsia="仿宋"/>
          <w:b/>
        </w:rPr>
      </w:pPr>
      <w:r>
        <w:rPr>
          <w:rFonts w:hint="eastAsia" w:eastAsia="仿宋"/>
          <w:b/>
          <w:lang w:val="en-US" w:eastAsia="zh-CN"/>
        </w:rPr>
        <w:t>七</w:t>
      </w:r>
      <w:r>
        <w:rPr>
          <w:rFonts w:hint="eastAsia" w:eastAsia="仿宋"/>
          <w:b/>
        </w:rPr>
        <w:t>、质量及验收要求</w:t>
      </w:r>
    </w:p>
    <w:p w14:paraId="24592128">
      <w:pPr>
        <w:spacing w:line="360" w:lineRule="auto"/>
        <w:rPr>
          <w:rFonts w:eastAsia="仿宋"/>
        </w:rPr>
      </w:pPr>
      <w:r>
        <w:rPr>
          <w:rFonts w:hint="eastAsia" w:eastAsia="仿宋"/>
        </w:rPr>
        <w:t>7</w:t>
      </w:r>
      <w:r>
        <w:rPr>
          <w:rFonts w:eastAsia="仿宋"/>
        </w:rPr>
        <w:t>.1</w:t>
      </w:r>
      <w:r>
        <w:rPr>
          <w:rFonts w:hint="eastAsia" w:eastAsia="仿宋"/>
          <w:lang w:val="en-US" w:eastAsia="zh-CN"/>
        </w:rPr>
        <w:t xml:space="preserve"> </w:t>
      </w:r>
      <w:r>
        <w:rPr>
          <w:rFonts w:hint="eastAsia" w:eastAsia="仿宋"/>
        </w:rPr>
        <w:t>乙方为本项目提供的材料均须符合国家标准，有质量合格证明，主要材料的品种、规格等经甲方认可后方可使用。</w:t>
      </w:r>
    </w:p>
    <w:p w14:paraId="232BC6F9">
      <w:pPr>
        <w:spacing w:line="360" w:lineRule="auto"/>
        <w:rPr>
          <w:rFonts w:eastAsia="仿宋"/>
        </w:rPr>
      </w:pPr>
      <w:r>
        <w:rPr>
          <w:rFonts w:hint="eastAsia" w:eastAsia="仿宋"/>
        </w:rPr>
        <w:t>7</w:t>
      </w:r>
      <w:r>
        <w:rPr>
          <w:rFonts w:eastAsia="仿宋"/>
        </w:rPr>
        <w:t>.2</w:t>
      </w:r>
      <w:r>
        <w:rPr>
          <w:rFonts w:hint="eastAsia" w:eastAsia="仿宋"/>
          <w:lang w:val="en-US" w:eastAsia="zh-CN"/>
        </w:rPr>
        <w:t xml:space="preserve"> </w:t>
      </w:r>
      <w:r>
        <w:rPr>
          <w:rFonts w:hint="eastAsia" w:eastAsia="仿宋"/>
        </w:rPr>
        <w:t>本项目施工质量应符合</w:t>
      </w:r>
      <w:r>
        <w:rPr>
          <w:rFonts w:eastAsia="仿宋"/>
        </w:rPr>
        <w:t>国家标准、行业标准、工程所在地的地方性标准</w:t>
      </w:r>
      <w:r>
        <w:rPr>
          <w:rFonts w:hint="eastAsia" w:eastAsia="仿宋"/>
        </w:rPr>
        <w:t>，并达到合同规定要求，各项技术指标符合施工图纸中所列举的指标要求。</w:t>
      </w:r>
    </w:p>
    <w:p w14:paraId="5F170DCF">
      <w:pPr>
        <w:spacing w:line="360" w:lineRule="auto"/>
        <w:rPr>
          <w:rFonts w:eastAsia="仿宋"/>
          <w:highlight w:val="none"/>
        </w:rPr>
      </w:pPr>
      <w:r>
        <w:rPr>
          <w:rFonts w:hint="eastAsia" w:eastAsia="仿宋"/>
          <w:highlight w:val="none"/>
        </w:rPr>
        <w:t>7.3</w:t>
      </w:r>
      <w:r>
        <w:rPr>
          <w:rFonts w:hint="eastAsia" w:eastAsia="仿宋"/>
          <w:highlight w:val="none"/>
          <w:lang w:val="en-US" w:eastAsia="zh-CN"/>
        </w:rPr>
        <w:t xml:space="preserve"> </w:t>
      </w:r>
      <w:r>
        <w:rPr>
          <w:rFonts w:hint="eastAsia" w:eastAsia="仿宋"/>
          <w:highlight w:val="none"/>
        </w:rPr>
        <w:t>原则上没有国家标准、规范的，适用行业标准、规范；没有国家和行业标准、规范的，适用项目所在地的地方标准、规范；国内没有相应标准、规范的，由甲方向乙方提出技术要求，乙方提出维修方案，经甲方批准后执行。</w:t>
      </w:r>
    </w:p>
    <w:p w14:paraId="52A1C298">
      <w:pPr>
        <w:spacing w:line="360" w:lineRule="auto"/>
        <w:rPr>
          <w:rFonts w:eastAsia="仿宋"/>
          <w:highlight w:val="none"/>
        </w:rPr>
      </w:pPr>
      <w:r>
        <w:rPr>
          <w:rFonts w:hint="eastAsia" w:eastAsia="仿宋"/>
          <w:highlight w:val="none"/>
        </w:rPr>
        <w:t>7.4</w:t>
      </w:r>
      <w:r>
        <w:rPr>
          <w:rFonts w:hint="eastAsia" w:eastAsia="仿宋"/>
          <w:highlight w:val="none"/>
          <w:lang w:val="en-US" w:eastAsia="zh-CN"/>
        </w:rPr>
        <w:t xml:space="preserve"> </w:t>
      </w:r>
      <w:r>
        <w:rPr>
          <w:rFonts w:hint="eastAsia" w:eastAsia="仿宋"/>
          <w:highlight w:val="none"/>
        </w:rPr>
        <w:t>如遇规范、标准、技术规程对同一问题的处理出现相互矛盾的情况时，乙方应通知甲方，提出解决办法并征得甲方的同意。本项目所用的规范及标准应采用双方最新确定的方案。</w:t>
      </w:r>
    </w:p>
    <w:p w14:paraId="6B2E976F">
      <w:pPr>
        <w:spacing w:line="360" w:lineRule="auto"/>
        <w:rPr>
          <w:rFonts w:eastAsia="仿宋"/>
        </w:rPr>
      </w:pPr>
      <w:r>
        <w:rPr>
          <w:rFonts w:hint="eastAsia" w:eastAsia="仿宋"/>
        </w:rPr>
        <w:t>7</w:t>
      </w:r>
      <w:r>
        <w:rPr>
          <w:rFonts w:eastAsia="仿宋"/>
        </w:rPr>
        <w:t>.</w:t>
      </w:r>
      <w:r>
        <w:rPr>
          <w:rFonts w:hint="eastAsia" w:eastAsia="仿宋"/>
        </w:rPr>
        <w:t>5</w:t>
      </w:r>
      <w:r>
        <w:rPr>
          <w:rFonts w:hint="eastAsia" w:eastAsia="仿宋"/>
          <w:lang w:val="en-US" w:eastAsia="zh-CN"/>
        </w:rPr>
        <w:t xml:space="preserve"> </w:t>
      </w:r>
      <w:r>
        <w:rPr>
          <w:rFonts w:hint="eastAsia" w:eastAsia="仿宋"/>
        </w:rPr>
        <w:t>工程完工后七日内，乙方应书面通知甲方验收，甲方自接到验收通知之日起七日内组织验收；如果性能及施工质量不能满足甲方要求，乙方将全部或部分重新设计施工，延误的工期以及造成的损失由乙方承担。甲、乙双方可另定验收之日组织验收，验收合格之日为质保期起算日。</w:t>
      </w:r>
    </w:p>
    <w:p w14:paraId="67B86106">
      <w:pPr>
        <w:spacing w:line="360" w:lineRule="auto"/>
        <w:rPr>
          <w:rFonts w:eastAsia="仿宋"/>
        </w:rPr>
      </w:pPr>
      <w:r>
        <w:rPr>
          <w:rFonts w:hint="eastAsia" w:eastAsia="仿宋"/>
        </w:rPr>
        <w:t>7</w:t>
      </w:r>
      <w:r>
        <w:rPr>
          <w:rFonts w:eastAsia="仿宋"/>
        </w:rPr>
        <w:t>.</w:t>
      </w:r>
      <w:r>
        <w:rPr>
          <w:rFonts w:hint="eastAsia" w:eastAsia="仿宋"/>
        </w:rPr>
        <w:t>6</w:t>
      </w:r>
      <w:r>
        <w:rPr>
          <w:rFonts w:hint="eastAsia" w:eastAsia="仿宋"/>
          <w:lang w:val="en-US" w:eastAsia="zh-CN"/>
        </w:rPr>
        <w:t xml:space="preserve"> </w:t>
      </w:r>
      <w:r>
        <w:rPr>
          <w:rFonts w:hint="eastAsia" w:eastAsia="仿宋"/>
        </w:rPr>
        <w:t>甲乙双方对工程质量有争议，应协商确定第三方工程质量检验机构进行鉴定，所需费用及由此造成的损失，由责任方承担。</w:t>
      </w:r>
    </w:p>
    <w:p w14:paraId="79C4323B">
      <w:pPr>
        <w:spacing w:line="360" w:lineRule="auto"/>
        <w:rPr>
          <w:rFonts w:eastAsia="仿宋"/>
          <w:b/>
        </w:rPr>
      </w:pPr>
      <w:r>
        <w:rPr>
          <w:rFonts w:hint="eastAsia" w:eastAsia="仿宋"/>
          <w:b/>
        </w:rPr>
        <w:t>八、质量保证</w:t>
      </w:r>
    </w:p>
    <w:p w14:paraId="1E4CDD10">
      <w:pPr>
        <w:spacing w:line="360" w:lineRule="auto"/>
        <w:ind w:firstLine="420" w:firstLineChars="200"/>
        <w:rPr>
          <w:rFonts w:eastAsia="仿宋"/>
        </w:rPr>
      </w:pPr>
      <w:r>
        <w:rPr>
          <w:rFonts w:hint="eastAsia" w:eastAsia="仿宋"/>
        </w:rPr>
        <w:t>乙方应按法律法规及本合同约定，对交付甲方使用的工程或设备在质量保证期内承担质量保证责任。</w:t>
      </w:r>
    </w:p>
    <w:p w14:paraId="2D3A36F6">
      <w:pPr>
        <w:spacing w:line="360" w:lineRule="auto"/>
        <w:rPr>
          <w:rFonts w:eastAsia="仿宋"/>
        </w:rPr>
      </w:pPr>
      <w:r>
        <w:rPr>
          <w:rFonts w:hint="eastAsia" w:eastAsia="仿宋"/>
        </w:rPr>
        <w:t>8</w:t>
      </w:r>
      <w:r>
        <w:rPr>
          <w:rFonts w:eastAsia="仿宋"/>
        </w:rPr>
        <w:t>.1</w:t>
      </w:r>
      <w:r>
        <w:rPr>
          <w:rFonts w:hint="eastAsia" w:eastAsia="仿宋"/>
          <w:lang w:val="en-US" w:eastAsia="zh-CN"/>
        </w:rPr>
        <w:t xml:space="preserve"> </w:t>
      </w:r>
      <w:r>
        <w:rPr>
          <w:rFonts w:hint="eastAsia" w:eastAsia="仿宋"/>
        </w:rPr>
        <w:t>质量保证范围</w:t>
      </w:r>
    </w:p>
    <w:p w14:paraId="40E14083">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hint="eastAsia" w:eastAsia="仿宋"/>
        </w:rPr>
        <w:t>质量保证范围包括乙方承担的本项目一切工作和合同约定的其他工作。</w:t>
      </w:r>
    </w:p>
    <w:p w14:paraId="5CEE4F48">
      <w:pPr>
        <w:spacing w:line="360" w:lineRule="auto"/>
        <w:rPr>
          <w:rFonts w:eastAsia="仿宋"/>
        </w:rPr>
      </w:pPr>
      <w:r>
        <w:rPr>
          <w:rFonts w:hint="eastAsia" w:eastAsia="仿宋"/>
        </w:rPr>
        <w:t>8</w:t>
      </w:r>
      <w:r>
        <w:rPr>
          <w:rFonts w:eastAsia="仿宋"/>
        </w:rPr>
        <w:t>.2</w:t>
      </w:r>
      <w:r>
        <w:rPr>
          <w:rFonts w:hint="eastAsia" w:eastAsia="仿宋"/>
          <w:lang w:val="en-US" w:eastAsia="zh-CN"/>
        </w:rPr>
        <w:t xml:space="preserve"> </w:t>
      </w:r>
      <w:r>
        <w:rPr>
          <w:rFonts w:hint="eastAsia" w:eastAsia="仿宋"/>
        </w:rPr>
        <w:t>质量保证期限</w:t>
      </w:r>
    </w:p>
    <w:p w14:paraId="3CA964A3">
      <w:pPr>
        <w:spacing w:line="360" w:lineRule="auto"/>
        <w:rPr>
          <w:rFonts w:eastAsia="仿宋"/>
        </w:rPr>
      </w:pPr>
      <w:r>
        <w:rPr>
          <w:rFonts w:hint="eastAsia" w:eastAsia="仿宋"/>
        </w:rPr>
        <w:t>乙方对本项目承担质量保证责任的期限为</w:t>
      </w:r>
      <w:r>
        <w:rPr>
          <w:rFonts w:hint="eastAsia" w:ascii="宋体" w:hAnsi="宋体" w:eastAsia="宋体" w:cs="宋体"/>
          <w:u w:val="single"/>
        </w:rPr>
        <w:t>2年</w:t>
      </w:r>
      <w:r>
        <w:rPr>
          <w:rFonts w:eastAsia="仿宋"/>
        </w:rPr>
        <w:t>，</w:t>
      </w:r>
      <w:r>
        <w:rPr>
          <w:rFonts w:hint="eastAsia" w:eastAsia="仿宋"/>
        </w:rPr>
        <w:t>从验收合格之日起计算。</w:t>
      </w:r>
    </w:p>
    <w:p w14:paraId="10D4A0D2">
      <w:pPr>
        <w:spacing w:line="360" w:lineRule="auto"/>
        <w:rPr>
          <w:rFonts w:eastAsia="仿宋"/>
        </w:rPr>
      </w:pPr>
      <w:r>
        <w:rPr>
          <w:rFonts w:hint="eastAsia" w:eastAsia="仿宋"/>
        </w:rPr>
        <w:t>8</w:t>
      </w:r>
      <w:r>
        <w:rPr>
          <w:rFonts w:eastAsia="仿宋"/>
        </w:rPr>
        <w:t>.3</w:t>
      </w:r>
      <w:r>
        <w:rPr>
          <w:rFonts w:hint="eastAsia" w:eastAsia="仿宋"/>
          <w:lang w:val="en-US" w:eastAsia="zh-CN"/>
        </w:rPr>
        <w:t xml:space="preserve"> </w:t>
      </w:r>
      <w:r>
        <w:rPr>
          <w:rFonts w:hint="eastAsia" w:eastAsia="仿宋"/>
        </w:rPr>
        <w:t>质量保证责任承担</w:t>
      </w:r>
    </w:p>
    <w:p w14:paraId="661B6560">
      <w:pPr>
        <w:spacing w:line="360" w:lineRule="auto"/>
        <w:rPr>
          <w:rFonts w:eastAsia="仿宋"/>
          <w:highlight w:val="none"/>
        </w:rPr>
      </w:pPr>
      <w:r>
        <w:rPr>
          <w:rFonts w:eastAsia="仿宋"/>
        </w:rPr>
        <w:t>1）</w:t>
      </w:r>
      <w:r>
        <w:rPr>
          <w:rFonts w:hint="eastAsia" w:eastAsia="仿宋"/>
        </w:rPr>
        <w:t>属于保证范围和内容的项目，甲方在保证期间内发现本项目维修改造工作有缺陷，可要求乙方立即修复，乙方必须在收到甲方的通知后立即派人员到现场免费修复。如乙方拖延修复，甲方可自行组织修复，由此产生的一切费用和损失由乙方承担。在质量保证期内，由于乙方的原因造成的维修费用损失和甲方的损失由乙方承担</w:t>
      </w:r>
      <w:r>
        <w:rPr>
          <w:rFonts w:hint="eastAsia" w:eastAsia="仿宋"/>
          <w:highlight w:val="none"/>
        </w:rPr>
        <w:t>，且不能抵扣质量保证金。</w:t>
      </w:r>
    </w:p>
    <w:p w14:paraId="4AFA0C8F">
      <w:pPr>
        <w:spacing w:line="360" w:lineRule="auto"/>
        <w:rPr>
          <w:rFonts w:eastAsia="仿宋"/>
          <w:highlight w:val="none"/>
        </w:rPr>
      </w:pPr>
      <w:r>
        <w:rPr>
          <w:rFonts w:eastAsia="仿宋"/>
          <w:highlight w:val="none"/>
        </w:rPr>
        <w:t>2</w:t>
      </w:r>
      <w:r>
        <w:rPr>
          <w:rFonts w:hint="eastAsia" w:eastAsia="仿宋"/>
          <w:highlight w:val="none"/>
        </w:rPr>
        <w:t>）发生须紧急抢修的事故时，乙方接到通知后，应立即到达事故现场抢修。非乙方作业质量引起的事故，抢修费用由甲方承担（属于合同工作范围的在该合同项下支付）。</w:t>
      </w:r>
    </w:p>
    <w:p w14:paraId="706DBF66">
      <w:pPr>
        <w:spacing w:line="360" w:lineRule="auto"/>
        <w:rPr>
          <w:rFonts w:eastAsia="仿宋"/>
        </w:rPr>
      </w:pPr>
      <w:r>
        <w:rPr>
          <w:rFonts w:eastAsia="仿宋"/>
        </w:rPr>
        <w:t>3</w:t>
      </w:r>
      <w:r>
        <w:rPr>
          <w:rFonts w:hint="eastAsia" w:eastAsia="仿宋"/>
        </w:rPr>
        <w:t>）在国家规定的合理使用期限内，因乙方作业质量原因致使本项目在合理使用期限内造成人身伤亡和财产损害的，由乙方承担损害赔偿责任。</w:t>
      </w:r>
    </w:p>
    <w:p w14:paraId="7CAAA652">
      <w:pPr>
        <w:spacing w:line="360" w:lineRule="auto"/>
        <w:rPr>
          <w:rFonts w:eastAsia="仿宋"/>
          <w:b/>
        </w:rPr>
      </w:pPr>
      <w:r>
        <w:rPr>
          <w:rFonts w:hint="eastAsia" w:eastAsia="仿宋"/>
          <w:b/>
        </w:rPr>
        <w:t>九、履约担保</w:t>
      </w:r>
    </w:p>
    <w:p w14:paraId="702A23F7">
      <w:pPr>
        <w:spacing w:line="360" w:lineRule="auto"/>
        <w:rPr>
          <w:rFonts w:eastAsia="仿宋"/>
        </w:rPr>
      </w:pPr>
      <w:r>
        <w:rPr>
          <w:rFonts w:hint="eastAsia" w:eastAsia="仿宋"/>
        </w:rPr>
        <w:t>9</w:t>
      </w:r>
      <w:r>
        <w:rPr>
          <w:rFonts w:eastAsia="仿宋"/>
        </w:rPr>
        <w:t>.1</w:t>
      </w:r>
      <w:bookmarkStart w:id="347" w:name="_Toc198694697"/>
      <w:bookmarkStart w:id="348" w:name="_Toc198693812"/>
      <w:r>
        <w:rPr>
          <w:rFonts w:hint="eastAsia" w:eastAsia="仿宋"/>
          <w:lang w:val="en-US" w:eastAsia="zh-CN"/>
        </w:rPr>
        <w:t xml:space="preserve"> </w:t>
      </w:r>
      <w:r>
        <w:rPr>
          <w:rFonts w:hint="eastAsia" w:eastAsia="仿宋"/>
        </w:rPr>
        <w:t>履约担保</w:t>
      </w:r>
    </w:p>
    <w:p w14:paraId="03EB424E">
      <w:pPr>
        <w:spacing w:line="360" w:lineRule="auto"/>
        <w:rPr>
          <w:rFonts w:eastAsia="仿宋" w:cs="Times New Roman (正文 CS 字体)"/>
          <w:highlight w:val="none"/>
        </w:rPr>
      </w:pPr>
      <w:r>
        <w:rPr>
          <w:rFonts w:hint="eastAsia" w:eastAsia="仿宋" w:cs="Times New Roman (正文 CS 字体)"/>
        </w:rPr>
        <w:t>1</w:t>
      </w:r>
      <w:r>
        <w:rPr>
          <w:rFonts w:eastAsia="仿宋" w:cs="Times New Roman (正文 CS 字体)"/>
        </w:rPr>
        <w:t>.在本合同签订时，乙方应向甲方提交履约保证金，本项目履约保证金的金额为合同总价</w:t>
      </w:r>
      <w:r>
        <w:rPr>
          <w:rFonts w:eastAsia="仿宋" w:cs="Times New Roman (正文 CS 字体)"/>
          <w:highlight w:val="none"/>
        </w:rPr>
        <w:t>款</w:t>
      </w:r>
      <w:r>
        <w:rPr>
          <w:rFonts w:hint="eastAsia" w:eastAsia="仿宋" w:cs="Times New Roman (正文 CS 字体)"/>
          <w:highlight w:val="none"/>
          <w:u w:val="single"/>
          <w:lang w:val="en-US" w:eastAsia="zh-CN"/>
        </w:rPr>
        <w:t>10</w:t>
      </w:r>
      <w:r>
        <w:rPr>
          <w:rFonts w:eastAsia="仿宋" w:cs="Times New Roman (正文 CS 字体)"/>
          <w:highlight w:val="none"/>
          <w:u w:val="single"/>
        </w:rPr>
        <w:t>%</w:t>
      </w:r>
      <w:r>
        <w:rPr>
          <w:rFonts w:eastAsia="仿宋" w:cs="Times New Roman (正文 CS 字体)"/>
          <w:highlight w:val="none"/>
        </w:rPr>
        <w:t>。</w:t>
      </w:r>
    </w:p>
    <w:p w14:paraId="13F07B54">
      <w:pPr>
        <w:spacing w:line="360" w:lineRule="auto"/>
        <w:rPr>
          <w:rFonts w:eastAsia="仿宋" w:cs="Times New Roman (正文 CS 字体)"/>
          <w:highlight w:val="none"/>
        </w:rPr>
      </w:pPr>
      <w:r>
        <w:rPr>
          <w:rFonts w:eastAsia="仿宋" w:cs="Times New Roman (正文 CS 字体)"/>
          <w:highlight w:val="none"/>
        </w:rPr>
        <w:t>2.履约保证金由甲方持有，甲方有权在该保证金内扣除任何乙方应付而未付之任何款项</w:t>
      </w:r>
      <w:r>
        <w:rPr>
          <w:rFonts w:hint="eastAsia" w:eastAsia="仿宋" w:cs="Times New Roman (正文 CS 字体)"/>
          <w:highlight w:val="none"/>
        </w:rPr>
        <w:t>（包括但不限于合同约定的乙方应支付款项、甲方垫付的其他费用等），及任何因乙方在不遵守或不履行本</w:t>
      </w:r>
      <w:r>
        <w:rPr>
          <w:rFonts w:hint="eastAsia" w:eastAsia="仿宋" w:cs="Times New Roman (正文 CS 字体)"/>
          <w:highlight w:val="none"/>
          <w:lang w:eastAsia="zh-CN"/>
        </w:rPr>
        <w:t>合同</w:t>
      </w:r>
      <w:r>
        <w:rPr>
          <w:rFonts w:hint="eastAsia" w:eastAsia="仿宋" w:cs="Times New Roman (正文 CS 字体)"/>
          <w:highlight w:val="none"/>
        </w:rPr>
        <w:t>条款之任何部分而导致的任何费用支出、违约金、损失或损害赔偿金。</w:t>
      </w:r>
      <w:r>
        <w:rPr>
          <w:rFonts w:eastAsia="仿宋" w:cs="Times New Roman (正文 CS 字体)"/>
          <w:highlight w:val="none"/>
        </w:rPr>
        <w:t>如甲方根据</w:t>
      </w:r>
      <w:r>
        <w:rPr>
          <w:rFonts w:hint="eastAsia" w:eastAsia="仿宋" w:cs="Times New Roman (正文 CS 字体)"/>
          <w:highlight w:val="none"/>
        </w:rPr>
        <w:t>上述</w:t>
      </w:r>
      <w:r>
        <w:rPr>
          <w:rFonts w:eastAsia="仿宋" w:cs="Times New Roman (正文 CS 字体)"/>
          <w:highlight w:val="none"/>
        </w:rPr>
        <w:t>情况扣除保证金，乙方必须在扣款后七个工作日内，补足相等于该扣除款额的履约保证金，以保证合同履行期间履约保证金的完整。如履约保证金尚不能弥补甲方的损失，甲方有权另行向乙方主张赔偿。</w:t>
      </w:r>
    </w:p>
    <w:p w14:paraId="06A7B3F3">
      <w:pPr>
        <w:spacing w:line="360" w:lineRule="auto"/>
        <w:ind w:firstLine="105" w:firstLineChars="50"/>
        <w:rPr>
          <w:rFonts w:eastAsia="仿宋" w:cs="Times New Roman (正文 CS 字体)"/>
          <w:highlight w:val="none"/>
        </w:rPr>
      </w:pPr>
      <w:r>
        <w:rPr>
          <w:rFonts w:hint="eastAsia" w:eastAsia="仿宋" w:cs="Times New Roman (正文 CS 字体)"/>
          <w:highlight w:val="none"/>
        </w:rPr>
        <w:t>（采用履约保证金的方式时选用）</w:t>
      </w:r>
    </w:p>
    <w:p w14:paraId="2659DB8A">
      <w:pPr>
        <w:spacing w:line="360" w:lineRule="auto"/>
        <w:rPr>
          <w:rFonts w:eastAsia="仿宋" w:cs="Times New Roman (正文 CS 字体)"/>
          <w:b/>
          <w:highlight w:val="none"/>
        </w:rPr>
      </w:pPr>
      <w:r>
        <w:rPr>
          <w:rFonts w:hint="eastAsia" w:eastAsia="仿宋" w:cs="Times New Roman (正文 CS 字体)"/>
          <w:b/>
          <w:highlight w:val="none"/>
        </w:rPr>
        <w:t>或</w:t>
      </w:r>
    </w:p>
    <w:p w14:paraId="40F0A449">
      <w:pPr>
        <w:spacing w:line="360" w:lineRule="auto"/>
        <w:rPr>
          <w:rFonts w:eastAsia="仿宋" w:cs="Times New Roman (正文 CS 字体)"/>
          <w:highlight w:val="none"/>
        </w:rPr>
      </w:pPr>
      <w:r>
        <w:rPr>
          <w:rFonts w:eastAsia="仿宋" w:cs="Times New Roman (正文 CS 字体)"/>
          <w:highlight w:val="none"/>
        </w:rPr>
        <w:t>1.在本合同签订时，乙方应</w:t>
      </w:r>
      <w:r>
        <w:rPr>
          <w:rFonts w:hint="eastAsia" w:eastAsia="仿宋" w:cs="Times New Roman (正文 CS 字体)"/>
          <w:highlight w:val="none"/>
        </w:rPr>
        <w:t>提交经甲方认可的银行履约保函，保函金</w:t>
      </w:r>
      <w:r>
        <w:rPr>
          <w:rFonts w:eastAsia="仿宋" w:cs="Times New Roman (正文 CS 字体)"/>
          <w:highlight w:val="none"/>
        </w:rPr>
        <w:t>额为合同总价款</w:t>
      </w:r>
      <w:r>
        <w:rPr>
          <w:rFonts w:hint="eastAsia" w:eastAsia="仿宋" w:cs="Times New Roman (正文 CS 字体)"/>
          <w:highlight w:val="none"/>
          <w:u w:val="single"/>
          <w:lang w:val="en-US" w:eastAsia="zh-CN"/>
        </w:rPr>
        <w:t>10</w:t>
      </w:r>
      <w:r>
        <w:rPr>
          <w:rFonts w:eastAsia="仿宋" w:cs="Times New Roman (正文 CS 字体)"/>
          <w:highlight w:val="none"/>
          <w:u w:val="single"/>
        </w:rPr>
        <w:t>%</w:t>
      </w:r>
      <w:r>
        <w:rPr>
          <w:rFonts w:eastAsia="仿宋" w:cs="Times New Roman (正文 CS 字体)"/>
          <w:highlight w:val="none"/>
        </w:rPr>
        <w:t>。</w:t>
      </w:r>
    </w:p>
    <w:p w14:paraId="4F0155FF">
      <w:pPr>
        <w:spacing w:line="360" w:lineRule="auto"/>
        <w:rPr>
          <w:rFonts w:eastAsia="仿宋" w:cs="Times New Roman (正文 CS 字体)"/>
          <w:highlight w:val="none"/>
        </w:rPr>
      </w:pPr>
      <w:r>
        <w:rPr>
          <w:rFonts w:hint="eastAsia" w:eastAsia="仿宋" w:cs="Times New Roman (正文 CS 字体)"/>
          <w:highlight w:val="none"/>
        </w:rPr>
        <w:t>2</w:t>
      </w:r>
      <w:r>
        <w:rPr>
          <w:rFonts w:eastAsia="仿宋" w:cs="Times New Roman (正文 CS 字体)"/>
          <w:highlight w:val="none"/>
        </w:rPr>
        <w:t>.甲方有权在履约保函内提取任何乙方应付而未付之任何款项</w:t>
      </w:r>
      <w:bookmarkStart w:id="349" w:name="_Hlk18247249"/>
      <w:r>
        <w:rPr>
          <w:rFonts w:hint="eastAsia" w:eastAsia="仿宋" w:cs="Times New Roman (正文 CS 字体)"/>
          <w:highlight w:val="none"/>
        </w:rPr>
        <w:t>（包括但不限于合同约定的乙方应支付款项、甲方垫付的其他费用等），</w:t>
      </w:r>
      <w:bookmarkStart w:id="350" w:name="_Hlk17966884"/>
      <w:r>
        <w:rPr>
          <w:rFonts w:hint="eastAsia" w:eastAsia="仿宋" w:cs="Times New Roman (正文 CS 字体)"/>
          <w:highlight w:val="none"/>
        </w:rPr>
        <w:t>及任何因乙方在不遵守或不履行本</w:t>
      </w:r>
      <w:r>
        <w:rPr>
          <w:rFonts w:hint="eastAsia" w:eastAsia="仿宋" w:cs="Times New Roman (正文 CS 字体)"/>
          <w:highlight w:val="none"/>
          <w:lang w:eastAsia="zh-CN"/>
        </w:rPr>
        <w:t>合同</w:t>
      </w:r>
      <w:r>
        <w:rPr>
          <w:rFonts w:hint="eastAsia" w:eastAsia="仿宋" w:cs="Times New Roman (正文 CS 字体)"/>
          <w:highlight w:val="none"/>
        </w:rPr>
        <w:t>条款之任何部分而导致的任何费用支出、违约金、损失或损害赔偿金。</w:t>
      </w:r>
      <w:bookmarkEnd w:id="349"/>
      <w:bookmarkEnd w:id="350"/>
      <w:r>
        <w:rPr>
          <w:rFonts w:eastAsia="仿宋" w:cs="Times New Roman (正文 CS 字体)"/>
          <w:highlight w:val="none"/>
        </w:rPr>
        <w:t>如甲方根据上述情况提取保函金额，乙方必须在该项提取发生之日起七个工作日内，补足至原履约保函金额</w:t>
      </w:r>
      <w:r>
        <w:rPr>
          <w:rFonts w:hint="eastAsia" w:eastAsia="仿宋" w:cs="Times New Roman (正文 CS 字体)"/>
          <w:highlight w:val="none"/>
        </w:rPr>
        <w:t>即元</w:t>
      </w:r>
      <w:r>
        <w:rPr>
          <w:rFonts w:eastAsia="仿宋" w:cs="Times New Roman (正文 CS 字体)"/>
          <w:highlight w:val="none"/>
        </w:rPr>
        <w:t>整，以保证合同履行期间履约保函的完整。如履约保函金额全部提取尚不能弥补甲方的损失，甲方有权另行向乙方主张赔偿。</w:t>
      </w:r>
      <w:r>
        <w:rPr>
          <w:rFonts w:hint="eastAsia" w:eastAsia="仿宋" w:cs="Times New Roman (正文 CS 字体)"/>
          <w:highlight w:val="none"/>
        </w:rPr>
        <w:t>（采用履约保函的方式时选用）</w:t>
      </w:r>
    </w:p>
    <w:p w14:paraId="19B7ADA3">
      <w:pPr>
        <w:spacing w:line="360" w:lineRule="auto"/>
        <w:rPr>
          <w:rFonts w:eastAsia="仿宋" w:cs="Times New Roman (正文 CS 字体)"/>
          <w:highlight w:val="none"/>
        </w:rPr>
      </w:pPr>
      <w:r>
        <w:rPr>
          <w:rFonts w:eastAsia="仿宋" w:cs="Times New Roman (正文 CS 字体)"/>
          <w:highlight w:val="none"/>
        </w:rPr>
        <w:t>3</w:t>
      </w:r>
      <w:r>
        <w:rPr>
          <w:rFonts w:hint="eastAsia" w:eastAsia="仿宋" w:cs="Times New Roman (正文 CS 字体)"/>
          <w:highlight w:val="none"/>
        </w:rPr>
        <w:t>.</w:t>
      </w:r>
      <w:r>
        <w:rPr>
          <w:rFonts w:eastAsia="仿宋" w:cs="Times New Roman (正文 CS 字体)"/>
          <w:highlight w:val="none"/>
        </w:rPr>
        <w:t>履约担保的有效期</w:t>
      </w:r>
      <w:r>
        <w:rPr>
          <w:rFonts w:hint="eastAsia" w:eastAsia="仿宋" w:cs="Times New Roman (正文 CS 字体)"/>
          <w:highlight w:val="none"/>
        </w:rPr>
        <w:t>（采用履约保函的方式时选用）</w:t>
      </w:r>
    </w:p>
    <w:p w14:paraId="6DB9DEE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eastAsia="仿宋" w:cs="Times New Roman (正文 CS 字体)"/>
          <w:highlight w:val="none"/>
        </w:rPr>
      </w:pPr>
      <w:r>
        <w:rPr>
          <w:rFonts w:eastAsia="仿宋" w:cs="Times New Roman (正文 CS 字体)"/>
          <w:highlight w:val="none"/>
        </w:rPr>
        <w:t>乙方应承诺提交的履约保函在本合同履行期间内有效，若因变更指令或索赔等原因致使前述日期延后，则乙方应无条件顺延履约保函的有效期。若银行出具的履约保函记载的有效期先于前述日期到期的，乙方应在履约保函到期前无条件到银行顺延履约保函的有效期或按照原保函格式提供新保函，并应在履约保函到期前30日将银行出具的顺延履约保函的正式文书或符合本合同要求的新保函提供给甲方，由此发生的费用包含在合同价款中。</w:t>
      </w:r>
    </w:p>
    <w:p w14:paraId="2DEA6A2F">
      <w:pPr>
        <w:spacing w:line="360" w:lineRule="auto"/>
        <w:rPr>
          <w:rFonts w:eastAsia="仿宋" w:cs="Times New Roman (正文 CS 字体)"/>
          <w:highlight w:val="none"/>
        </w:rPr>
      </w:pPr>
      <w:r>
        <w:rPr>
          <w:rFonts w:hint="eastAsia" w:eastAsia="仿宋" w:cs="Times New Roman (正文 CS 字体)"/>
          <w:highlight w:val="none"/>
          <w:lang w:val="en-US" w:eastAsia="zh-CN"/>
        </w:rPr>
        <w:t xml:space="preserve">9.2 </w:t>
      </w:r>
      <w:r>
        <w:rPr>
          <w:rFonts w:hint="eastAsia" w:eastAsia="仿宋" w:cs="Times New Roman (正文 CS 字体)"/>
          <w:highlight w:val="none"/>
        </w:rPr>
        <w:t>履约担保</w:t>
      </w:r>
      <w:r>
        <w:rPr>
          <w:rFonts w:eastAsia="仿宋" w:cs="Times New Roman (正文 CS 字体)"/>
          <w:highlight w:val="none"/>
        </w:rPr>
        <w:t>的</w:t>
      </w:r>
      <w:r>
        <w:rPr>
          <w:rFonts w:hint="eastAsia" w:eastAsia="仿宋" w:cs="Times New Roman (正文 CS 字体)"/>
          <w:highlight w:val="none"/>
        </w:rPr>
        <w:t>退</w:t>
      </w:r>
      <w:r>
        <w:rPr>
          <w:rFonts w:eastAsia="仿宋" w:cs="Times New Roman (正文 CS 字体)"/>
          <w:highlight w:val="none"/>
        </w:rPr>
        <w:t>还</w:t>
      </w:r>
    </w:p>
    <w:bookmarkEnd w:id="347"/>
    <w:bookmarkEnd w:id="348"/>
    <w:p w14:paraId="2C0241D9">
      <w:pPr>
        <w:spacing w:line="360" w:lineRule="auto"/>
        <w:ind w:firstLine="420" w:firstLineChars="200"/>
        <w:rPr>
          <w:rFonts w:eastAsia="仿宋" w:cs="Times New Roman (正文 CS 字体)"/>
          <w:highlight w:val="none"/>
        </w:rPr>
      </w:pPr>
      <w:r>
        <w:rPr>
          <w:rFonts w:hint="eastAsia" w:eastAsia="仿宋" w:cs="Times New Roman (正文 CS 字体)"/>
          <w:highlight w:val="none"/>
          <w:lang w:val="en-US" w:eastAsia="zh-CN"/>
        </w:rPr>
        <w:t xml:space="preserve">乙方在本合同约定的服务期限届满并经甲方验收合格后30日内办理履约保证金（或履约保函）退还手续。 </w:t>
      </w:r>
    </w:p>
    <w:p w14:paraId="22A2AF58">
      <w:pPr>
        <w:spacing w:line="360" w:lineRule="auto"/>
        <w:rPr>
          <w:rFonts w:eastAsia="仿宋"/>
          <w:b/>
        </w:rPr>
      </w:pPr>
      <w:r>
        <w:rPr>
          <w:rFonts w:hint="eastAsia" w:eastAsia="仿宋"/>
          <w:b/>
        </w:rPr>
        <w:t>十、违约责任</w:t>
      </w:r>
    </w:p>
    <w:p w14:paraId="32217B45">
      <w:pPr>
        <w:spacing w:line="360" w:lineRule="auto"/>
        <w:rPr>
          <w:rFonts w:eastAsia="仿宋"/>
        </w:rPr>
      </w:pPr>
      <w:r>
        <w:rPr>
          <w:rFonts w:hint="eastAsia" w:eastAsia="仿宋"/>
        </w:rPr>
        <w:t>10</w:t>
      </w:r>
      <w:r>
        <w:rPr>
          <w:rFonts w:eastAsia="仿宋"/>
        </w:rPr>
        <w:t>.1</w:t>
      </w:r>
      <w:r>
        <w:rPr>
          <w:rFonts w:hint="eastAsia" w:eastAsia="仿宋"/>
          <w:lang w:val="en-US" w:eastAsia="zh-CN"/>
        </w:rPr>
        <w:t xml:space="preserve"> </w:t>
      </w:r>
      <w:r>
        <w:rPr>
          <w:rFonts w:hint="eastAsia" w:eastAsia="仿宋"/>
        </w:rPr>
        <w:t>在合同履行中，乙方不按照甲方的管理规定以及现场检查人员的施工管理要求进行施工的，每发现一次应向甲方支付1000元作为违约金，如同时给甲方造成损失的，乙方还应承担赔偿责任。</w:t>
      </w:r>
    </w:p>
    <w:p w14:paraId="308393AE">
      <w:pPr>
        <w:spacing w:line="360" w:lineRule="auto"/>
        <w:rPr>
          <w:rFonts w:hint="eastAsia" w:eastAsia="仿宋"/>
          <w:highlight w:val="none"/>
        </w:rPr>
      </w:pPr>
      <w:r>
        <w:rPr>
          <w:rFonts w:eastAsia="仿宋"/>
          <w:highlight w:val="none"/>
        </w:rPr>
        <w:t>10.2</w:t>
      </w:r>
      <w:r>
        <w:rPr>
          <w:rFonts w:hint="eastAsia" w:eastAsia="仿宋"/>
          <w:highlight w:val="none"/>
          <w:lang w:val="en-US" w:eastAsia="zh-CN"/>
        </w:rPr>
        <w:t xml:space="preserve"> </w:t>
      </w:r>
      <w:r>
        <w:rPr>
          <w:rFonts w:hint="eastAsia" w:eastAsia="仿宋"/>
          <w:highlight w:val="none"/>
        </w:rPr>
        <w:t>违反本合同第</w:t>
      </w:r>
      <w:r>
        <w:rPr>
          <w:rFonts w:eastAsia="仿宋"/>
          <w:highlight w:val="none"/>
        </w:rPr>
        <w:t>6.9</w:t>
      </w:r>
      <w:r>
        <w:rPr>
          <w:rFonts w:hint="eastAsia" w:eastAsia="仿宋"/>
          <w:highlight w:val="none"/>
        </w:rPr>
        <w:t>条规定，每发</w:t>
      </w:r>
      <w:r>
        <w:rPr>
          <w:rFonts w:hint="eastAsia" w:eastAsia="仿宋"/>
          <w:highlight w:val="none"/>
          <w:lang w:val="en-US" w:eastAsia="zh-CN"/>
        </w:rPr>
        <w:t>生一次</w:t>
      </w:r>
      <w:r>
        <w:rPr>
          <w:rFonts w:hint="eastAsia" w:eastAsia="仿宋"/>
          <w:highlight w:val="none"/>
        </w:rPr>
        <w:t>应向甲方支付</w:t>
      </w:r>
      <w:r>
        <w:rPr>
          <w:rFonts w:eastAsia="仿宋"/>
          <w:highlight w:val="none"/>
        </w:rPr>
        <w:t>1000</w:t>
      </w:r>
      <w:r>
        <w:rPr>
          <w:rFonts w:hint="eastAsia" w:eastAsia="仿宋"/>
          <w:highlight w:val="none"/>
        </w:rPr>
        <w:t>元作为违约金，如同时给甲方造成损失的，乙方还应承担赔偿责任。</w:t>
      </w:r>
    </w:p>
    <w:p w14:paraId="4A817B87">
      <w:pPr>
        <w:spacing w:line="360" w:lineRule="auto"/>
        <w:rPr>
          <w:rFonts w:eastAsia="仿宋"/>
        </w:rPr>
      </w:pPr>
      <w:r>
        <w:rPr>
          <w:rFonts w:hint="eastAsia" w:eastAsia="仿宋"/>
        </w:rPr>
        <w:t>10</w:t>
      </w:r>
      <w:r>
        <w:rPr>
          <w:rFonts w:eastAsia="仿宋"/>
        </w:rPr>
        <w:t>.</w:t>
      </w:r>
      <w:r>
        <w:rPr>
          <w:rFonts w:hint="eastAsia" w:eastAsia="仿宋"/>
        </w:rPr>
        <w:t>3</w:t>
      </w:r>
      <w:r>
        <w:rPr>
          <w:rFonts w:hint="eastAsia" w:eastAsia="仿宋"/>
          <w:lang w:val="en-US" w:eastAsia="zh-CN"/>
        </w:rPr>
        <w:t xml:space="preserve"> </w:t>
      </w:r>
      <w:r>
        <w:rPr>
          <w:rFonts w:hint="eastAsia" w:eastAsia="仿宋"/>
        </w:rPr>
        <w:t>乙方未能按照甲方审查确认的施工图纸或做法说明进行施工而造成的工程量变更，乙方不得提出费用增加的要求，甲方也不需为此支付额外的费用。</w:t>
      </w:r>
    </w:p>
    <w:p w14:paraId="5C873073">
      <w:pPr>
        <w:spacing w:line="360" w:lineRule="auto"/>
        <w:rPr>
          <w:rFonts w:eastAsia="仿宋"/>
        </w:rPr>
      </w:pPr>
      <w:r>
        <w:rPr>
          <w:rFonts w:hint="eastAsia" w:eastAsia="仿宋"/>
        </w:rPr>
        <w:t>10</w:t>
      </w:r>
      <w:r>
        <w:rPr>
          <w:rFonts w:eastAsia="仿宋"/>
        </w:rPr>
        <w:t>.</w:t>
      </w:r>
      <w:r>
        <w:rPr>
          <w:rFonts w:hint="eastAsia" w:eastAsia="仿宋"/>
        </w:rPr>
        <w:t>4</w:t>
      </w:r>
      <w:r>
        <w:rPr>
          <w:rFonts w:hint="eastAsia" w:eastAsia="仿宋"/>
          <w:lang w:val="en-US" w:eastAsia="zh-CN"/>
        </w:rPr>
        <w:t xml:space="preserve"> </w:t>
      </w:r>
      <w:r>
        <w:rPr>
          <w:rFonts w:hint="eastAsia" w:eastAsia="仿宋"/>
        </w:rPr>
        <w:t>由于乙方原因造成工程质量不合格或设计不符合双方约定的，乙方应按合同价款的</w:t>
      </w:r>
      <w:r>
        <w:rPr>
          <w:rFonts w:hint="eastAsia" w:eastAsia="仿宋"/>
          <w:u w:val="single"/>
        </w:rPr>
        <w:t>10%</w:t>
      </w:r>
      <w:r>
        <w:rPr>
          <w:rFonts w:hint="eastAsia" w:eastAsia="仿宋"/>
        </w:rPr>
        <w:t>向甲方支付违约金，并负责在本合同规定工期内返工至约定的质量标准要求，若违约金不足以弥补甲方的损失，乙方应足额赔偿甲方的损失。</w:t>
      </w:r>
    </w:p>
    <w:p w14:paraId="09CA3538">
      <w:pPr>
        <w:spacing w:line="360" w:lineRule="auto"/>
        <w:rPr>
          <w:rFonts w:eastAsia="仿宋"/>
        </w:rPr>
      </w:pPr>
      <w:r>
        <w:rPr>
          <w:rFonts w:hint="eastAsia" w:eastAsia="仿宋"/>
        </w:rPr>
        <w:t>10</w:t>
      </w:r>
      <w:r>
        <w:rPr>
          <w:rFonts w:eastAsia="仿宋"/>
        </w:rPr>
        <w:t>.</w:t>
      </w:r>
      <w:r>
        <w:rPr>
          <w:rFonts w:hint="eastAsia" w:eastAsia="仿宋"/>
        </w:rPr>
        <w:t>5</w:t>
      </w:r>
      <w:r>
        <w:rPr>
          <w:rFonts w:hint="eastAsia" w:eastAsia="仿宋"/>
          <w:lang w:val="en-US" w:eastAsia="zh-CN"/>
        </w:rPr>
        <w:t xml:space="preserve"> </w:t>
      </w:r>
      <w:r>
        <w:rPr>
          <w:rFonts w:hint="eastAsia" w:eastAsia="仿宋"/>
        </w:rPr>
        <w:t>乙方未能在规定日期内竣工验收并交付甲方使用的，每逾期一日，乙方须按合同价款的</w:t>
      </w:r>
      <w:r>
        <w:rPr>
          <w:rFonts w:hint="eastAsia" w:eastAsia="仿宋"/>
          <w:u w:val="single"/>
        </w:rPr>
        <w:t>0.5%</w:t>
      </w:r>
      <w:r>
        <w:rPr>
          <w:rFonts w:hint="eastAsia" w:eastAsia="仿宋"/>
        </w:rPr>
        <w:t>向甲方支付违约金。</w:t>
      </w:r>
    </w:p>
    <w:p w14:paraId="06CE7E5C">
      <w:pPr>
        <w:spacing w:line="360" w:lineRule="auto"/>
        <w:rPr>
          <w:rFonts w:eastAsia="仿宋"/>
        </w:rPr>
      </w:pPr>
      <w:r>
        <w:rPr>
          <w:rFonts w:hint="eastAsia" w:eastAsia="仿宋"/>
        </w:rPr>
        <w:t>10</w:t>
      </w:r>
      <w:r>
        <w:rPr>
          <w:rFonts w:eastAsia="仿宋"/>
        </w:rPr>
        <w:t>.</w:t>
      </w:r>
      <w:r>
        <w:rPr>
          <w:rFonts w:hint="eastAsia" w:eastAsia="仿宋"/>
        </w:rPr>
        <w:t>6</w:t>
      </w:r>
      <w:r>
        <w:rPr>
          <w:rFonts w:hint="eastAsia" w:eastAsia="仿宋"/>
          <w:lang w:val="en-US" w:eastAsia="zh-CN"/>
        </w:rPr>
        <w:t xml:space="preserve"> </w:t>
      </w:r>
      <w:r>
        <w:rPr>
          <w:rFonts w:hint="eastAsia" w:eastAsia="仿宋"/>
        </w:rPr>
        <w:t>乙方发生下列情形之一，甲方有权解除本合同</w:t>
      </w:r>
      <w:r>
        <w:rPr>
          <w:rFonts w:hint="eastAsia" w:eastAsia="仿宋"/>
          <w:lang w:val="en-US" w:eastAsia="zh-CN"/>
        </w:rPr>
        <w:t>并不予退还履约保证金，</w:t>
      </w:r>
      <w:r>
        <w:rPr>
          <w:rFonts w:hint="eastAsia" w:eastAsia="仿宋"/>
        </w:rPr>
        <w:t>甲方因合同解除而遭受损失的，乙方</w:t>
      </w:r>
      <w:r>
        <w:rPr>
          <w:rFonts w:hint="eastAsia" w:eastAsia="仿宋"/>
          <w:lang w:val="en-US" w:eastAsia="zh-CN"/>
        </w:rPr>
        <w:t>还</w:t>
      </w:r>
      <w:r>
        <w:rPr>
          <w:rFonts w:hint="eastAsia" w:eastAsia="仿宋"/>
        </w:rPr>
        <w:t>应承担赔偿责任：</w:t>
      </w:r>
    </w:p>
    <w:p w14:paraId="5F3FBCD4">
      <w:pPr>
        <w:spacing w:line="360" w:lineRule="auto"/>
        <w:rPr>
          <w:rFonts w:eastAsia="仿宋"/>
        </w:rPr>
      </w:pPr>
      <w:r>
        <w:rPr>
          <w:rFonts w:hint="eastAsia" w:eastAsia="仿宋"/>
        </w:rPr>
        <w:t>1）因乙方未能按照本合同规定，导致工程开工延误</w:t>
      </w:r>
      <w:r>
        <w:rPr>
          <w:rFonts w:hint="eastAsia" w:eastAsia="仿宋"/>
          <w:u w:val="single"/>
        </w:rPr>
        <w:t>20日</w:t>
      </w:r>
      <w:r>
        <w:rPr>
          <w:rFonts w:hint="eastAsia" w:eastAsia="仿宋"/>
        </w:rPr>
        <w:t>以上；</w:t>
      </w:r>
    </w:p>
    <w:p w14:paraId="57CC1CE5">
      <w:pPr>
        <w:spacing w:line="360" w:lineRule="auto"/>
        <w:rPr>
          <w:rFonts w:eastAsia="仿宋"/>
        </w:rPr>
      </w:pPr>
      <w:r>
        <w:rPr>
          <w:rFonts w:hint="eastAsia" w:eastAsia="仿宋"/>
        </w:rPr>
        <w:t>2）因乙方原因导致工程未能在本合同约定的期限内完工，且工期延误</w:t>
      </w:r>
      <w:r>
        <w:rPr>
          <w:rFonts w:hint="eastAsia" w:eastAsia="仿宋"/>
          <w:u w:val="single"/>
        </w:rPr>
        <w:t>30日</w:t>
      </w:r>
      <w:r>
        <w:rPr>
          <w:rFonts w:hint="eastAsia" w:eastAsia="仿宋"/>
        </w:rPr>
        <w:t>以上；</w:t>
      </w:r>
    </w:p>
    <w:p w14:paraId="581A71E4">
      <w:pPr>
        <w:spacing w:line="360" w:lineRule="auto"/>
        <w:rPr>
          <w:rFonts w:eastAsia="仿宋"/>
        </w:rPr>
      </w:pPr>
      <w:r>
        <w:rPr>
          <w:rFonts w:hint="eastAsia" w:eastAsia="仿宋"/>
        </w:rPr>
        <w:t>3）乙方违反本合同第六条的规定，导致发生安全事故的；</w:t>
      </w:r>
    </w:p>
    <w:p w14:paraId="377EB593">
      <w:pPr>
        <w:spacing w:line="360" w:lineRule="auto"/>
        <w:rPr>
          <w:rFonts w:eastAsia="仿宋"/>
        </w:rPr>
      </w:pPr>
      <w:r>
        <w:rPr>
          <w:rFonts w:hint="eastAsia" w:eastAsia="仿宋"/>
        </w:rPr>
        <w:t>4）乙方违反本合同项下的其他义务，并且在甲方发出违约通知后</w:t>
      </w:r>
      <w:r>
        <w:rPr>
          <w:rFonts w:hint="eastAsia" w:eastAsia="仿宋"/>
          <w:u w:val="single"/>
        </w:rPr>
        <w:t>10</w:t>
      </w:r>
      <w:r>
        <w:rPr>
          <w:rFonts w:hint="eastAsia" w:eastAsia="仿宋"/>
        </w:rPr>
        <w:t>天内或在违约通知限定的期限内仍未纠正，或纠正后仍不符合本合同的约定或甲方要求。</w:t>
      </w:r>
    </w:p>
    <w:p w14:paraId="46F65E24">
      <w:pPr>
        <w:spacing w:line="360" w:lineRule="auto"/>
        <w:rPr>
          <w:rFonts w:eastAsia="仿宋"/>
        </w:rPr>
      </w:pPr>
      <w:r>
        <w:rPr>
          <w:rFonts w:hint="eastAsia" w:eastAsia="仿宋"/>
        </w:rPr>
        <w:t>10</w:t>
      </w:r>
      <w:r>
        <w:rPr>
          <w:rFonts w:eastAsia="仿宋"/>
        </w:rPr>
        <w:t>.</w:t>
      </w:r>
      <w:r>
        <w:rPr>
          <w:rFonts w:hint="eastAsia" w:eastAsia="仿宋"/>
        </w:rPr>
        <w:t>7</w:t>
      </w:r>
      <w:r>
        <w:rPr>
          <w:rFonts w:hint="eastAsia" w:eastAsia="仿宋"/>
          <w:lang w:val="en-US" w:eastAsia="zh-CN"/>
        </w:rPr>
        <w:t xml:space="preserve"> </w:t>
      </w:r>
      <w:r>
        <w:rPr>
          <w:rFonts w:hint="eastAsia" w:eastAsia="仿宋"/>
        </w:rPr>
        <w:t>在合同履行期间，擅自解除合同方，应按合同总金额的20％作为违约金付给</w:t>
      </w:r>
      <w:r>
        <w:rPr>
          <w:rFonts w:hint="eastAsia" w:eastAsia="仿宋"/>
          <w:lang w:val="en-US" w:eastAsia="zh-CN"/>
        </w:rPr>
        <w:t>守约</w:t>
      </w:r>
      <w:r>
        <w:rPr>
          <w:rFonts w:hint="eastAsia" w:eastAsia="仿宋"/>
        </w:rPr>
        <w:t>方。因擅自解除合同，使对方造成的实际损失超过违约金的，责任方应足额赔偿另一方损失。</w:t>
      </w:r>
    </w:p>
    <w:p w14:paraId="26ED1767">
      <w:pPr>
        <w:pageBreakBefore w:val="0"/>
        <w:kinsoku/>
        <w:wordWrap/>
        <w:overflowPunct/>
        <w:topLinePunct w:val="0"/>
        <w:bidi w:val="0"/>
        <w:snapToGrid/>
        <w:spacing w:line="360" w:lineRule="auto"/>
        <w:textAlignment w:val="auto"/>
        <w:rPr>
          <w:rFonts w:hint="eastAsia" w:eastAsia="仿宋"/>
        </w:rPr>
      </w:pPr>
      <w:r>
        <w:rPr>
          <w:rFonts w:hint="eastAsia" w:eastAsia="仿宋"/>
        </w:rPr>
        <w:t>10</w:t>
      </w:r>
      <w:r>
        <w:rPr>
          <w:rFonts w:eastAsia="仿宋"/>
        </w:rPr>
        <w:t>.</w:t>
      </w:r>
      <w:r>
        <w:rPr>
          <w:rFonts w:hint="eastAsia" w:eastAsia="仿宋"/>
        </w:rPr>
        <w:t>8</w:t>
      </w:r>
      <w:r>
        <w:rPr>
          <w:rFonts w:hint="eastAsia" w:eastAsia="仿宋"/>
          <w:lang w:val="en-US" w:eastAsia="zh-CN"/>
        </w:rPr>
        <w:t xml:space="preserve"> </w:t>
      </w:r>
      <w:r>
        <w:rPr>
          <w:rFonts w:hint="eastAsia" w:ascii="仿宋" w:hAnsi="仿宋" w:eastAsia="仿宋" w:cs="仿宋"/>
          <w:sz w:val="24"/>
          <w:szCs w:val="24"/>
          <w:lang w:eastAsia="zh-CN"/>
        </w:rPr>
        <w:t>本合同所称不可抗力事件指合同当事人不能预见、不能避免、不能克服的客观情况，包括但不限于地震、</w:t>
      </w:r>
      <w:r>
        <w:rPr>
          <w:rFonts w:hint="eastAsia" w:ascii="仿宋" w:hAnsi="仿宋" w:eastAsia="仿宋" w:cs="仿宋"/>
          <w:sz w:val="24"/>
          <w:szCs w:val="24"/>
          <w:lang w:val="en-US" w:eastAsia="zh-CN"/>
        </w:rPr>
        <w:t>火灾、</w:t>
      </w:r>
      <w:r>
        <w:rPr>
          <w:rFonts w:hint="eastAsia" w:ascii="仿宋" w:hAnsi="仿宋" w:eastAsia="仿宋" w:cs="仿宋"/>
          <w:sz w:val="24"/>
          <w:szCs w:val="24"/>
          <w:lang w:eastAsia="zh-CN"/>
        </w:rPr>
        <w:t>水灾、雷击、雪灾等天灾，战争、恐怖袭击、内乱、</w:t>
      </w:r>
      <w:r>
        <w:rPr>
          <w:rFonts w:hint="eastAsia" w:ascii="仿宋" w:hAnsi="仿宋" w:eastAsia="仿宋" w:cs="仿宋"/>
          <w:sz w:val="24"/>
          <w:szCs w:val="24"/>
          <w:lang w:val="en-US" w:eastAsia="zh-CN"/>
        </w:rPr>
        <w:t>疫情等</w:t>
      </w:r>
      <w:r>
        <w:rPr>
          <w:rFonts w:hint="eastAsia" w:ascii="仿宋" w:hAnsi="仿宋" w:eastAsia="仿宋" w:cs="仿宋"/>
          <w:sz w:val="24"/>
          <w:szCs w:val="24"/>
          <w:lang w:eastAsia="zh-CN"/>
        </w:rPr>
        <w:t>严重威胁安全或健康的情形。</w:t>
      </w:r>
      <w:r>
        <w:rPr>
          <w:rFonts w:hint="eastAsia" w:eastAsia="仿宋"/>
        </w:rPr>
        <w:t>因不可抗力使本合同的履行受到影响的，受不可抗力影响方应于该事由发生后</w:t>
      </w:r>
      <w:r>
        <w:rPr>
          <w:rFonts w:hint="eastAsia" w:eastAsia="仿宋"/>
          <w:u w:val="single"/>
        </w:rPr>
        <w:t>10</w:t>
      </w:r>
      <w:r>
        <w:rPr>
          <w:rFonts w:hint="eastAsia" w:eastAsia="仿宋"/>
        </w:rPr>
        <w:t>日内通知对方并提供相关证明。双方可根据受不可抗力影响的程度决定全部或部分免除本合同项下义务或解除本合同。因不可抗力导致的合同义务减免或合同终止，双方均不承担责任。</w:t>
      </w:r>
    </w:p>
    <w:p w14:paraId="03D2E371">
      <w:pPr>
        <w:spacing w:line="360" w:lineRule="auto"/>
        <w:rPr>
          <w:rFonts w:hint="eastAsia" w:eastAsia="仿宋"/>
          <w:b/>
          <w:lang w:eastAsia="zh-CN"/>
        </w:rPr>
      </w:pPr>
      <w:bookmarkStart w:id="351" w:name="_Toc424651548"/>
      <w:r>
        <w:rPr>
          <w:rFonts w:hint="eastAsia" w:eastAsia="仿宋"/>
          <w:b/>
          <w:lang w:val="en-US" w:eastAsia="zh-CN"/>
        </w:rPr>
        <w:t>十一、</w:t>
      </w:r>
      <w:r>
        <w:rPr>
          <w:rFonts w:hint="eastAsia" w:eastAsia="仿宋"/>
          <w:b/>
          <w:lang w:eastAsia="zh-CN"/>
        </w:rPr>
        <w:t>通知</w:t>
      </w:r>
      <w:bookmarkEnd w:id="351"/>
    </w:p>
    <w:p w14:paraId="705DF8D7">
      <w:pPr>
        <w:spacing w:line="360" w:lineRule="auto"/>
        <w:rPr>
          <w:rFonts w:hint="eastAsia" w:eastAsia="仿宋"/>
          <w:b w:val="0"/>
          <w:bCs/>
          <w:lang w:eastAsia="zh-CN"/>
        </w:rPr>
      </w:pPr>
      <w:r>
        <w:rPr>
          <w:rFonts w:hint="eastAsia" w:eastAsia="仿宋"/>
          <w:b w:val="0"/>
          <w:bCs/>
          <w:lang w:val="en-US" w:eastAsia="zh-CN"/>
        </w:rPr>
        <w:t xml:space="preserve">11.1 </w:t>
      </w:r>
      <w:r>
        <w:rPr>
          <w:rFonts w:hint="eastAsia" w:eastAsia="仿宋"/>
          <w:b w:val="0"/>
          <w:bCs/>
          <w:lang w:eastAsia="zh-CN"/>
        </w:rPr>
        <w:t>任何与本合同有关的通知应以书面形式做出，由本合同一方以专人递送、邮递方式发出。通知以专人递送，于递交时视为送达；以邮递方式发出，于邮件寄出后的第3个工作日视为送达。任何通知一经送达即行生效。</w:t>
      </w:r>
    </w:p>
    <w:p w14:paraId="25ABBDB6">
      <w:pPr>
        <w:spacing w:line="360" w:lineRule="auto"/>
        <w:rPr>
          <w:rFonts w:hint="eastAsia" w:eastAsia="仿宋"/>
          <w:b w:val="0"/>
          <w:bCs/>
          <w:lang w:eastAsia="zh-CN"/>
        </w:rPr>
      </w:pPr>
      <w:r>
        <w:rPr>
          <w:rFonts w:hint="eastAsia" w:eastAsia="仿宋"/>
          <w:b w:val="0"/>
          <w:bCs/>
          <w:lang w:eastAsia="zh-CN"/>
        </w:rPr>
        <w:t>各方的联络及通讯方法以各方的下列信息为准：</w:t>
      </w:r>
    </w:p>
    <w:p w14:paraId="7E86F170">
      <w:pPr>
        <w:spacing w:line="360" w:lineRule="auto"/>
        <w:rPr>
          <w:rFonts w:hint="eastAsia" w:eastAsia="仿宋"/>
          <w:b w:val="0"/>
          <w:bCs/>
          <w:lang w:val="en-US" w:eastAsia="zh-CN"/>
        </w:rPr>
      </w:pPr>
      <w:r>
        <w:rPr>
          <w:rFonts w:hint="eastAsia" w:eastAsia="仿宋"/>
          <w:b w:val="0"/>
          <w:bCs/>
          <w:lang w:val="en-US" w:eastAsia="zh-CN"/>
        </w:rPr>
        <w:t xml:space="preserve">甲方： </w:t>
      </w:r>
    </w:p>
    <w:p w14:paraId="20BDD487">
      <w:pPr>
        <w:spacing w:line="360" w:lineRule="auto"/>
        <w:rPr>
          <w:rFonts w:hint="eastAsia" w:eastAsia="仿宋"/>
          <w:b w:val="0"/>
          <w:bCs/>
          <w:lang w:val="en-US" w:eastAsia="zh-CN"/>
        </w:rPr>
      </w:pPr>
      <w:r>
        <w:rPr>
          <w:rFonts w:hint="eastAsia" w:eastAsia="仿宋"/>
          <w:b w:val="0"/>
          <w:bCs/>
          <w:lang w:val="en-US" w:eastAsia="zh-CN"/>
        </w:rPr>
        <w:t>地址：</w:t>
      </w:r>
    </w:p>
    <w:p w14:paraId="40352DA1">
      <w:pPr>
        <w:spacing w:line="360" w:lineRule="auto"/>
        <w:rPr>
          <w:rFonts w:hint="eastAsia" w:eastAsia="仿宋"/>
          <w:b w:val="0"/>
          <w:bCs/>
          <w:lang w:eastAsia="zh-CN"/>
        </w:rPr>
      </w:pPr>
      <w:r>
        <w:rPr>
          <w:rFonts w:hint="eastAsia" w:eastAsia="仿宋"/>
          <w:b w:val="0"/>
          <w:bCs/>
          <w:lang w:val="en-US" w:eastAsia="zh-CN"/>
        </w:rPr>
        <w:t>电话：</w:t>
      </w:r>
    </w:p>
    <w:p w14:paraId="3C608947">
      <w:pPr>
        <w:spacing w:line="360" w:lineRule="auto"/>
        <w:rPr>
          <w:rFonts w:hint="eastAsia" w:eastAsia="仿宋"/>
          <w:b w:val="0"/>
          <w:bCs/>
          <w:lang w:eastAsia="zh-CN"/>
        </w:rPr>
      </w:pPr>
      <w:r>
        <w:rPr>
          <w:rFonts w:hint="eastAsia" w:eastAsia="仿宋"/>
          <w:b w:val="0"/>
          <w:bCs/>
          <w:lang w:eastAsia="zh-CN"/>
        </w:rPr>
        <w:t>收件人：_____________________</w:t>
      </w:r>
    </w:p>
    <w:p w14:paraId="30211E70">
      <w:pPr>
        <w:spacing w:line="360" w:lineRule="auto"/>
        <w:rPr>
          <w:rFonts w:hint="eastAsia" w:eastAsia="仿宋"/>
          <w:b w:val="0"/>
          <w:bCs/>
          <w:lang w:eastAsia="zh-CN"/>
        </w:rPr>
      </w:pPr>
      <w:r>
        <w:rPr>
          <w:rFonts w:hint="eastAsia" w:eastAsia="仿宋"/>
          <w:b w:val="0"/>
          <w:bCs/>
          <w:lang w:eastAsia="zh-CN"/>
        </w:rPr>
        <w:t>联系人：_____________________</w:t>
      </w:r>
    </w:p>
    <w:p w14:paraId="5D70738B">
      <w:pPr>
        <w:spacing w:line="360" w:lineRule="auto"/>
        <w:rPr>
          <w:rFonts w:hint="eastAsia" w:eastAsia="仿宋"/>
          <w:b w:val="0"/>
          <w:bCs/>
          <w:lang w:eastAsia="zh-CN"/>
        </w:rPr>
      </w:pPr>
    </w:p>
    <w:p w14:paraId="743D5C09">
      <w:pPr>
        <w:spacing w:line="360" w:lineRule="auto"/>
        <w:rPr>
          <w:rFonts w:hint="eastAsia" w:eastAsia="仿宋"/>
          <w:b w:val="0"/>
          <w:bCs/>
          <w:lang w:eastAsia="zh-CN"/>
        </w:rPr>
      </w:pPr>
      <w:r>
        <w:rPr>
          <w:rFonts w:hint="eastAsia" w:eastAsia="仿宋"/>
          <w:b w:val="0"/>
          <w:bCs/>
          <w:lang w:eastAsia="zh-CN"/>
        </w:rPr>
        <w:t>乙方：</w:t>
      </w:r>
    </w:p>
    <w:p w14:paraId="5DC89FF7">
      <w:pPr>
        <w:spacing w:line="360" w:lineRule="auto"/>
        <w:rPr>
          <w:rFonts w:hint="eastAsia" w:eastAsia="仿宋"/>
          <w:b w:val="0"/>
          <w:bCs/>
          <w:lang w:eastAsia="zh-CN"/>
        </w:rPr>
      </w:pPr>
      <w:r>
        <w:rPr>
          <w:rFonts w:hint="eastAsia" w:eastAsia="仿宋"/>
          <w:b w:val="0"/>
          <w:bCs/>
          <w:lang w:eastAsia="zh-CN"/>
        </w:rPr>
        <w:t>地址：_____________________</w:t>
      </w:r>
    </w:p>
    <w:p w14:paraId="573A37F1">
      <w:pPr>
        <w:spacing w:line="360" w:lineRule="auto"/>
        <w:rPr>
          <w:rFonts w:hint="eastAsia" w:eastAsia="仿宋"/>
          <w:b w:val="0"/>
          <w:bCs/>
          <w:lang w:eastAsia="zh-CN"/>
        </w:rPr>
      </w:pPr>
      <w:r>
        <w:rPr>
          <w:rFonts w:hint="eastAsia" w:eastAsia="仿宋"/>
          <w:b w:val="0"/>
          <w:bCs/>
          <w:lang w:eastAsia="zh-CN"/>
        </w:rPr>
        <w:t>电话：_____________________</w:t>
      </w:r>
    </w:p>
    <w:p w14:paraId="75D5F75A">
      <w:pPr>
        <w:spacing w:line="360" w:lineRule="auto"/>
        <w:rPr>
          <w:rFonts w:hint="eastAsia" w:eastAsia="仿宋"/>
          <w:b w:val="0"/>
          <w:bCs/>
          <w:lang w:eastAsia="zh-CN"/>
        </w:rPr>
      </w:pPr>
      <w:r>
        <w:rPr>
          <w:rFonts w:hint="eastAsia" w:eastAsia="仿宋"/>
          <w:b w:val="0"/>
          <w:bCs/>
          <w:lang w:eastAsia="zh-CN"/>
        </w:rPr>
        <w:t>收件人：____________________</w:t>
      </w:r>
    </w:p>
    <w:p w14:paraId="6FC567FA">
      <w:pPr>
        <w:spacing w:line="360" w:lineRule="auto"/>
        <w:rPr>
          <w:rFonts w:hint="eastAsia" w:eastAsia="仿宋"/>
          <w:b w:val="0"/>
          <w:bCs/>
          <w:lang w:eastAsia="zh-CN"/>
        </w:rPr>
      </w:pPr>
      <w:r>
        <w:rPr>
          <w:rFonts w:hint="eastAsia" w:eastAsia="仿宋"/>
          <w:b w:val="0"/>
          <w:bCs/>
          <w:lang w:eastAsia="zh-CN"/>
        </w:rPr>
        <w:t>联系人：__________________</w:t>
      </w:r>
    </w:p>
    <w:p w14:paraId="127EBB1F">
      <w:pPr>
        <w:spacing w:line="360" w:lineRule="auto"/>
        <w:rPr>
          <w:rFonts w:hint="eastAsia" w:eastAsia="仿宋"/>
          <w:b w:val="0"/>
          <w:bCs/>
          <w:lang w:val="en-US" w:eastAsia="zh-CN"/>
        </w:rPr>
      </w:pPr>
      <w:r>
        <w:rPr>
          <w:rFonts w:hint="eastAsia" w:eastAsia="仿宋"/>
          <w:b w:val="0"/>
          <w:bCs/>
          <w:lang w:val="en-US" w:eastAsia="zh-CN"/>
        </w:rPr>
        <w:t xml:space="preserve">11.2 一方变更名称、地址、联系人或联系方式的，应当在变更后三日内及时书面通知对方，对方实际收到变更通知前的送达仍为有效送达。变更方未及时通知，对方按照变更前的信息进行送达的仍视为有效送达，因此产生的不利后果由变更方承担。 </w:t>
      </w:r>
    </w:p>
    <w:p w14:paraId="71179729">
      <w:pPr>
        <w:spacing w:line="360" w:lineRule="auto"/>
        <w:rPr>
          <w:rFonts w:hint="eastAsia" w:eastAsia="仿宋"/>
          <w:b w:val="0"/>
          <w:bCs/>
        </w:rPr>
      </w:pPr>
      <w:r>
        <w:rPr>
          <w:rFonts w:hint="eastAsia" w:eastAsia="仿宋"/>
          <w:b w:val="0"/>
          <w:bCs/>
          <w:lang w:val="en-US" w:eastAsia="zh-CN"/>
        </w:rPr>
        <w:t>11.3 本条款为独立条款，不受协议整体或其他条款的效力的影响，始终有效。</w:t>
      </w:r>
    </w:p>
    <w:p w14:paraId="5821E501">
      <w:pPr>
        <w:spacing w:line="360" w:lineRule="auto"/>
        <w:rPr>
          <w:rFonts w:eastAsia="仿宋"/>
          <w:b/>
        </w:rPr>
      </w:pPr>
      <w:r>
        <w:rPr>
          <w:rFonts w:hint="eastAsia" w:eastAsia="仿宋"/>
          <w:b/>
        </w:rPr>
        <w:t>十</w:t>
      </w:r>
      <w:r>
        <w:rPr>
          <w:rFonts w:hint="eastAsia" w:eastAsia="仿宋"/>
          <w:b/>
          <w:lang w:val="en-US" w:eastAsia="zh-CN"/>
        </w:rPr>
        <w:t>二</w:t>
      </w:r>
      <w:r>
        <w:rPr>
          <w:rFonts w:hint="eastAsia" w:eastAsia="仿宋"/>
          <w:b/>
        </w:rPr>
        <w:t>、争议解决</w:t>
      </w:r>
    </w:p>
    <w:p w14:paraId="0A93F26D">
      <w:pPr>
        <w:spacing w:line="360" w:lineRule="auto"/>
        <w:ind w:firstLine="420" w:firstLineChars="200"/>
        <w:rPr>
          <w:rFonts w:hint="eastAsia" w:eastAsia="仿宋"/>
          <w:b/>
          <w:lang w:val="en-US" w:eastAsia="zh-CN"/>
        </w:rPr>
      </w:pPr>
      <w:r>
        <w:rPr>
          <w:rFonts w:hint="eastAsia" w:eastAsia="仿宋"/>
        </w:rPr>
        <w:t>因履行合同所发生的或与本合同有关的一切争议，双方应通过友好协商解决。如果双方协商不成，任何一方可向</w:t>
      </w:r>
      <w:r>
        <w:rPr>
          <w:rFonts w:hint="eastAsia" w:eastAsia="仿宋"/>
          <w:lang w:val="en-US" w:eastAsia="zh-CN"/>
        </w:rPr>
        <w:t>甲方</w:t>
      </w:r>
      <w:r>
        <w:rPr>
          <w:rFonts w:hint="eastAsia" w:eastAsia="仿宋"/>
        </w:rPr>
        <w:t>所在地有管辖权的人民法院起诉。</w:t>
      </w:r>
    </w:p>
    <w:p w14:paraId="34F2CA80">
      <w:pPr>
        <w:spacing w:line="360" w:lineRule="auto"/>
        <w:rPr>
          <w:rFonts w:hint="default" w:eastAsia="仿宋"/>
          <w:b/>
          <w:lang w:val="en-US" w:eastAsia="zh-CN"/>
        </w:rPr>
      </w:pPr>
      <w:r>
        <w:rPr>
          <w:rFonts w:hint="eastAsia" w:eastAsia="仿宋"/>
          <w:b/>
          <w:lang w:val="en-US" w:eastAsia="zh-CN"/>
        </w:rPr>
        <w:t>十三、廉洁规范条款</w:t>
      </w:r>
    </w:p>
    <w:p w14:paraId="395FE2DD">
      <w:pPr>
        <w:spacing w:line="360" w:lineRule="auto"/>
        <w:ind w:firstLine="420" w:firstLineChars="200"/>
        <w:rPr>
          <w:rFonts w:hint="eastAsia" w:eastAsia="仿宋"/>
          <w:lang w:val="zh-CN"/>
        </w:rPr>
      </w:pPr>
      <w:r>
        <w:rPr>
          <w:rFonts w:hint="eastAsia" w:eastAsia="仿宋"/>
          <w:lang w:val="en-US" w:eastAsia="zh-CN"/>
        </w:rPr>
        <w:t>合同各方</w:t>
      </w:r>
      <w:r>
        <w:rPr>
          <w:rFonts w:hint="eastAsia" w:eastAsia="仿宋"/>
        </w:rPr>
        <w:t>承诺：在</w:t>
      </w:r>
      <w:r>
        <w:rPr>
          <w:rFonts w:hint="eastAsia" w:eastAsia="仿宋"/>
          <w:lang w:val="en-US" w:eastAsia="zh-CN"/>
        </w:rPr>
        <w:t>本项目实施</w:t>
      </w:r>
      <w:r>
        <w:rPr>
          <w:rFonts w:hint="eastAsia" w:eastAsia="仿宋"/>
        </w:rPr>
        <w:t>中均将严格遵守商业廉洁规范，不得直接、间接或变相向其他方公司及其员工、顾问及其亲朋好友提供任何形式的不正当利益，包括但不限于回扣、佣金、礼金、物品、有价证券、信用卡、购物卡/券、宴请、消费性娱乐活动、旅游活动，不得承诺未来兑现某种利益等形式，并将要求员工履行廉洁义务。任何一方违反廉洁条款都将视为该方根本违约，守约方可以解除本</w:t>
      </w:r>
      <w:r>
        <w:rPr>
          <w:rFonts w:hint="eastAsia" w:eastAsia="仿宋"/>
          <w:lang w:eastAsia="zh-CN"/>
        </w:rPr>
        <w:t>合同，</w:t>
      </w:r>
      <w:r>
        <w:rPr>
          <w:rFonts w:hint="eastAsia" w:eastAsia="仿宋"/>
          <w:lang w:val="en-US" w:eastAsia="zh-CN"/>
        </w:rPr>
        <w:t>甲方解除本合同的，有权不予退还乙方履约保证金</w:t>
      </w:r>
      <w:r>
        <w:rPr>
          <w:rFonts w:hint="eastAsia" w:eastAsia="仿宋"/>
        </w:rPr>
        <w:t>。</w:t>
      </w:r>
    </w:p>
    <w:p w14:paraId="5F5EB6C0">
      <w:pPr>
        <w:spacing w:line="360" w:lineRule="auto"/>
        <w:rPr>
          <w:rFonts w:eastAsia="仿宋"/>
          <w:b/>
        </w:rPr>
      </w:pPr>
      <w:r>
        <w:rPr>
          <w:rFonts w:hint="eastAsia" w:eastAsia="仿宋"/>
          <w:b/>
        </w:rPr>
        <w:t>十</w:t>
      </w:r>
      <w:r>
        <w:rPr>
          <w:rFonts w:hint="eastAsia" w:eastAsia="仿宋"/>
          <w:b/>
          <w:lang w:val="en-US" w:eastAsia="zh-CN"/>
        </w:rPr>
        <w:t>四</w:t>
      </w:r>
      <w:r>
        <w:rPr>
          <w:rFonts w:hint="eastAsia" w:eastAsia="仿宋"/>
          <w:b/>
        </w:rPr>
        <w:t>、附则</w:t>
      </w:r>
    </w:p>
    <w:p w14:paraId="21516AD2">
      <w:pPr>
        <w:spacing w:line="360" w:lineRule="auto"/>
        <w:rPr>
          <w:rFonts w:eastAsia="仿宋"/>
        </w:rPr>
      </w:pPr>
      <w:r>
        <w:rPr>
          <w:rFonts w:eastAsia="仿宋"/>
        </w:rPr>
        <w:t>1</w:t>
      </w:r>
      <w:r>
        <w:rPr>
          <w:rFonts w:hint="eastAsia" w:eastAsia="仿宋"/>
          <w:lang w:val="en-US" w:eastAsia="zh-CN"/>
        </w:rPr>
        <w:t>4</w:t>
      </w:r>
      <w:r>
        <w:rPr>
          <w:rFonts w:eastAsia="仿宋"/>
        </w:rPr>
        <w:t xml:space="preserve">.1 </w:t>
      </w:r>
      <w:bookmarkStart w:id="352" w:name="_Toc478650037"/>
      <w:r>
        <w:rPr>
          <w:rFonts w:hint="eastAsia" w:eastAsia="仿宋"/>
        </w:rPr>
        <w:t>本合同经甲、乙双方法定代表人或授权代表人签</w:t>
      </w:r>
      <w:r>
        <w:rPr>
          <w:rFonts w:hint="eastAsia" w:eastAsia="仿宋"/>
          <w:highlight w:val="none"/>
        </w:rPr>
        <w:t>名</w:t>
      </w:r>
      <w:r>
        <w:rPr>
          <w:rFonts w:hint="eastAsia" w:eastAsia="仿宋"/>
          <w:highlight w:val="none"/>
          <w:lang w:val="en-US" w:eastAsia="zh-CN"/>
        </w:rPr>
        <w:t>（如为授权代表签名，乙方需提交法定代表人授权委托书</w:t>
      </w:r>
      <w:r>
        <w:rPr>
          <w:rFonts w:hint="eastAsia" w:eastAsia="仿宋"/>
          <w:highlight w:val="none"/>
          <w:lang w:eastAsia="zh-CN"/>
        </w:rPr>
        <w:t>）</w:t>
      </w:r>
      <w:r>
        <w:rPr>
          <w:rFonts w:hint="eastAsia" w:eastAsia="仿宋"/>
          <w:highlight w:val="none"/>
        </w:rPr>
        <w:t>并加盖单位公章或者合同专用章后生效。</w:t>
      </w:r>
      <w:r>
        <w:rPr>
          <w:rFonts w:eastAsia="仿宋"/>
          <w:highlight w:val="none"/>
        </w:rPr>
        <w:t>未</w:t>
      </w:r>
      <w:r>
        <w:rPr>
          <w:rFonts w:eastAsia="仿宋"/>
        </w:rPr>
        <w:t>尽事宜，双方根据需要，经协商可另外签订补充</w:t>
      </w:r>
      <w:r>
        <w:rPr>
          <w:rFonts w:hint="eastAsia" w:eastAsia="仿宋"/>
          <w:lang w:eastAsia="zh-CN"/>
        </w:rPr>
        <w:t>合同</w:t>
      </w:r>
      <w:r>
        <w:rPr>
          <w:rFonts w:eastAsia="仿宋"/>
        </w:rPr>
        <w:t>。</w:t>
      </w:r>
      <w:bookmarkEnd w:id="352"/>
    </w:p>
    <w:p w14:paraId="0A67CA98">
      <w:pPr>
        <w:spacing w:line="360" w:lineRule="auto"/>
        <w:rPr>
          <w:rFonts w:eastAsia="仿宋"/>
        </w:rPr>
      </w:pPr>
      <w:r>
        <w:rPr>
          <w:rFonts w:eastAsia="仿宋"/>
        </w:rPr>
        <w:t>1</w:t>
      </w:r>
      <w:r>
        <w:rPr>
          <w:rFonts w:hint="eastAsia" w:eastAsia="仿宋"/>
          <w:lang w:val="en-US" w:eastAsia="zh-CN"/>
        </w:rPr>
        <w:t>4</w:t>
      </w:r>
      <w:r>
        <w:rPr>
          <w:rFonts w:eastAsia="仿宋"/>
        </w:rPr>
        <w:t>.2 本合同一式</w:t>
      </w:r>
      <w:r>
        <w:rPr>
          <w:rFonts w:eastAsia="仿宋"/>
          <w:u w:val="single"/>
        </w:rPr>
        <w:t>9</w:t>
      </w:r>
      <w:r>
        <w:rPr>
          <w:rFonts w:eastAsia="仿宋"/>
        </w:rPr>
        <w:t>份，其中正本</w:t>
      </w:r>
      <w:r>
        <w:rPr>
          <w:rFonts w:eastAsia="仿宋"/>
          <w:u w:val="single"/>
        </w:rPr>
        <w:t>3</w:t>
      </w:r>
      <w:r>
        <w:rPr>
          <w:rFonts w:eastAsia="仿宋"/>
        </w:rPr>
        <w:t>份，甲方执</w:t>
      </w:r>
      <w:r>
        <w:rPr>
          <w:rFonts w:eastAsia="仿宋"/>
          <w:u w:val="single"/>
        </w:rPr>
        <w:t>1</w:t>
      </w:r>
      <w:r>
        <w:rPr>
          <w:rFonts w:eastAsia="仿宋"/>
        </w:rPr>
        <w:t>份，乙方执</w:t>
      </w:r>
      <w:r>
        <w:rPr>
          <w:rFonts w:eastAsia="仿宋"/>
          <w:u w:val="single"/>
        </w:rPr>
        <w:t>2</w:t>
      </w:r>
      <w:r>
        <w:rPr>
          <w:rFonts w:eastAsia="仿宋"/>
        </w:rPr>
        <w:t>份；副本</w:t>
      </w:r>
      <w:r>
        <w:rPr>
          <w:rFonts w:eastAsia="仿宋"/>
          <w:u w:val="single"/>
        </w:rPr>
        <w:t>6</w:t>
      </w:r>
      <w:r>
        <w:rPr>
          <w:rFonts w:eastAsia="仿宋"/>
        </w:rPr>
        <w:t>份，甲方执</w:t>
      </w:r>
      <w:r>
        <w:rPr>
          <w:rFonts w:eastAsia="仿宋"/>
          <w:u w:val="single"/>
        </w:rPr>
        <w:t>4</w:t>
      </w:r>
      <w:r>
        <w:rPr>
          <w:rFonts w:eastAsia="仿宋"/>
        </w:rPr>
        <w:t>份，乙方执</w:t>
      </w:r>
      <w:r>
        <w:rPr>
          <w:rFonts w:eastAsia="仿宋"/>
          <w:u w:val="single"/>
        </w:rPr>
        <w:t>2</w:t>
      </w:r>
      <w:r>
        <w:rPr>
          <w:rFonts w:eastAsia="仿宋"/>
        </w:rPr>
        <w:t>份；</w:t>
      </w:r>
      <w:r>
        <w:rPr>
          <w:rFonts w:hint="eastAsia" w:eastAsia="仿宋"/>
        </w:rPr>
        <w:t>正本和副本</w:t>
      </w:r>
      <w:r>
        <w:rPr>
          <w:rFonts w:eastAsia="仿宋"/>
        </w:rPr>
        <w:t>具有同等的法律效力</w:t>
      </w:r>
      <w:r>
        <w:rPr>
          <w:rFonts w:hint="eastAsia" w:eastAsia="仿宋"/>
        </w:rPr>
        <w:t>，如有互相矛盾之处，以正本为准。</w:t>
      </w:r>
    </w:p>
    <w:p w14:paraId="681D6EC2">
      <w:pPr>
        <w:spacing w:line="360" w:lineRule="auto"/>
        <w:rPr>
          <w:rFonts w:eastAsia="仿宋"/>
        </w:rPr>
      </w:pPr>
      <w:r>
        <w:rPr>
          <w:rFonts w:hint="eastAsia" w:eastAsia="仿宋"/>
        </w:rPr>
        <w:t>1</w:t>
      </w:r>
      <w:r>
        <w:rPr>
          <w:rFonts w:hint="eastAsia" w:eastAsia="仿宋"/>
          <w:lang w:val="en-US" w:eastAsia="zh-CN"/>
        </w:rPr>
        <w:t>4</w:t>
      </w:r>
      <w:r>
        <w:rPr>
          <w:rFonts w:hint="eastAsia" w:eastAsia="仿宋"/>
        </w:rPr>
        <w:t>.3</w:t>
      </w:r>
      <w:r>
        <w:rPr>
          <w:rFonts w:hint="eastAsia" w:eastAsia="仿宋"/>
          <w:lang w:val="en-US" w:eastAsia="zh-CN"/>
        </w:rPr>
        <w:t xml:space="preserve"> </w:t>
      </w:r>
      <w:r>
        <w:rPr>
          <w:rFonts w:hint="eastAsia" w:eastAsia="仿宋"/>
        </w:rPr>
        <w:t>本合同的附件内容作为合同的组成部分，与本合同具有同等法律效力。</w:t>
      </w:r>
    </w:p>
    <w:p w14:paraId="3B7996CC">
      <w:pPr>
        <w:spacing w:line="360" w:lineRule="auto"/>
        <w:rPr>
          <w:rFonts w:eastAsia="仿宋"/>
          <w:b/>
          <w:bCs/>
        </w:rPr>
      </w:pPr>
      <w:r>
        <w:rPr>
          <w:rFonts w:hint="eastAsia" w:eastAsia="仿宋"/>
          <w:b/>
          <w:bCs/>
        </w:rPr>
        <w:t>十</w:t>
      </w:r>
      <w:r>
        <w:rPr>
          <w:rFonts w:hint="eastAsia" w:eastAsia="仿宋"/>
          <w:b/>
          <w:bCs/>
          <w:lang w:val="en-US" w:eastAsia="zh-CN"/>
        </w:rPr>
        <w:t>五</w:t>
      </w:r>
      <w:r>
        <w:rPr>
          <w:rFonts w:hint="eastAsia" w:eastAsia="仿宋"/>
          <w:b/>
          <w:bCs/>
        </w:rPr>
        <w:t>、合同附件</w:t>
      </w:r>
    </w:p>
    <w:p w14:paraId="3AB7E9DF">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附件一：</w:t>
      </w:r>
      <w:r>
        <w:rPr>
          <w:rFonts w:hint="eastAsia" w:ascii="仿宋" w:hAnsi="仿宋" w:eastAsia="仿宋" w:cs="仿宋"/>
          <w:sz w:val="21"/>
          <w:szCs w:val="21"/>
          <w:highlight w:val="none"/>
          <w:lang w:val="en-US" w:eastAsia="zh-CN"/>
        </w:rPr>
        <w:t>用户</w:t>
      </w:r>
      <w:r>
        <w:rPr>
          <w:rFonts w:hint="eastAsia" w:ascii="仿宋" w:hAnsi="仿宋" w:eastAsia="仿宋" w:cs="仿宋"/>
          <w:sz w:val="21"/>
          <w:szCs w:val="21"/>
          <w:highlight w:val="none"/>
        </w:rPr>
        <w:t>需求书</w:t>
      </w:r>
    </w:p>
    <w:p w14:paraId="1E055B59">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附件二：价格明细表</w:t>
      </w:r>
    </w:p>
    <w:p w14:paraId="3FB2AA6E">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附件三：项目组成员</w:t>
      </w:r>
    </w:p>
    <w:p w14:paraId="0CCAA860">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附件四：拟投入设备一览表</w:t>
      </w:r>
    </w:p>
    <w:p w14:paraId="7DB29068">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附件五：乙方技术方案及承诺（</w:t>
      </w:r>
      <w:r>
        <w:rPr>
          <w:rFonts w:hint="eastAsia" w:ascii="仿宋" w:hAnsi="仿宋" w:eastAsia="仿宋" w:cs="仿宋"/>
          <w:sz w:val="21"/>
          <w:szCs w:val="21"/>
          <w:highlight w:val="none"/>
          <w:lang w:val="en-US" w:eastAsia="zh-CN"/>
        </w:rPr>
        <w:t>或</w:t>
      </w:r>
      <w:r>
        <w:rPr>
          <w:rFonts w:hint="eastAsia" w:ascii="仿宋" w:hAnsi="仿宋" w:eastAsia="仿宋" w:cs="仿宋"/>
          <w:sz w:val="21"/>
          <w:szCs w:val="21"/>
          <w:highlight w:val="none"/>
        </w:rPr>
        <w:t>授权书）</w:t>
      </w:r>
    </w:p>
    <w:p w14:paraId="74EC129F">
      <w:pPr>
        <w:spacing w:line="360"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附件六：法定代表人授权书及法定代表人身份证复印件</w:t>
      </w:r>
    </w:p>
    <w:p w14:paraId="41E59E0E">
      <w:pPr>
        <w:spacing w:line="360"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附件七：履约保证金收据/履约保函复印件</w:t>
      </w:r>
    </w:p>
    <w:p w14:paraId="345888E7">
      <w:pPr>
        <w:spacing w:line="360"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附件八：中标通知书/成交通知书复印件</w:t>
      </w:r>
    </w:p>
    <w:p w14:paraId="514FD059">
      <w:pPr>
        <w:spacing w:line="360" w:lineRule="auto"/>
        <w:ind w:firstLine="480" w:firstLineChars="200"/>
        <w:rPr>
          <w:rFonts w:ascii="Arial" w:hAnsi="Arial" w:cs="宋体"/>
          <w:sz w:val="24"/>
        </w:rPr>
      </w:pPr>
    </w:p>
    <w:p w14:paraId="71B0CFF2">
      <w:pPr>
        <w:spacing w:line="360" w:lineRule="auto"/>
        <w:ind w:firstLine="480" w:firstLineChars="200"/>
        <w:rPr>
          <w:rFonts w:ascii="Arial" w:hAnsi="Arial" w:cs="宋体"/>
          <w:sz w:val="24"/>
        </w:rPr>
      </w:pPr>
    </w:p>
    <w:p w14:paraId="63AF2035">
      <w:pPr>
        <w:spacing w:line="360" w:lineRule="auto"/>
        <w:rPr>
          <w:rFonts w:ascii="Arial" w:hAnsi="Arial" w:cs="宋体"/>
          <w:sz w:val="24"/>
        </w:rPr>
      </w:pPr>
    </w:p>
    <w:p w14:paraId="7D697222">
      <w:pPr>
        <w:spacing w:line="360" w:lineRule="auto"/>
        <w:rPr>
          <w:rFonts w:ascii="Arial" w:hAnsi="Arial" w:cs="宋体"/>
          <w:sz w:val="24"/>
        </w:rPr>
      </w:pPr>
    </w:p>
    <w:p w14:paraId="067A9639"/>
    <w:p w14:paraId="294B1AFD"/>
    <w:p w14:paraId="29873A26"/>
    <w:p w14:paraId="3DE23829"/>
    <w:p w14:paraId="51864C53"/>
    <w:p w14:paraId="42F74275"/>
    <w:p w14:paraId="37EB5115"/>
    <w:p w14:paraId="795BF467"/>
    <w:p w14:paraId="66467677"/>
    <w:p w14:paraId="139B3F68"/>
    <w:p w14:paraId="12972CCF"/>
    <w:p w14:paraId="61E3E4AA"/>
    <w:p w14:paraId="7AD86687"/>
    <w:p w14:paraId="6B754E16">
      <w:pPr>
        <w:pStyle w:val="13"/>
        <w:spacing w:line="360" w:lineRule="exact"/>
        <w:jc w:val="center"/>
        <w:rPr>
          <w:rFonts w:hAnsi="宋体"/>
          <w:b/>
          <w:sz w:val="24"/>
          <w:szCs w:val="24"/>
        </w:rPr>
      </w:pPr>
    </w:p>
    <w:p w14:paraId="62D2A023">
      <w:pPr>
        <w:pStyle w:val="13"/>
        <w:spacing w:line="360" w:lineRule="exact"/>
        <w:jc w:val="center"/>
        <w:rPr>
          <w:rFonts w:hint="eastAsia" w:hAnsi="宋体"/>
          <w:b/>
          <w:sz w:val="24"/>
          <w:szCs w:val="24"/>
        </w:rPr>
      </w:pPr>
    </w:p>
    <w:p w14:paraId="2D8E8A0D">
      <w:pPr>
        <w:pStyle w:val="13"/>
        <w:spacing w:line="360" w:lineRule="exact"/>
        <w:jc w:val="center"/>
        <w:rPr>
          <w:rFonts w:hint="eastAsia" w:hAnsi="宋体"/>
          <w:b/>
          <w:sz w:val="24"/>
          <w:szCs w:val="24"/>
        </w:rPr>
      </w:pPr>
    </w:p>
    <w:p w14:paraId="1A65A772">
      <w:pPr>
        <w:pStyle w:val="13"/>
        <w:spacing w:line="360" w:lineRule="exact"/>
        <w:jc w:val="center"/>
        <w:rPr>
          <w:rFonts w:hint="eastAsia" w:hAnsi="宋体"/>
          <w:b/>
          <w:sz w:val="24"/>
          <w:szCs w:val="24"/>
        </w:rPr>
      </w:pPr>
    </w:p>
    <w:p w14:paraId="48551250">
      <w:pPr>
        <w:rPr>
          <w:rFonts w:hint="eastAsia" w:hAnsi="宋体"/>
          <w:b/>
          <w:sz w:val="24"/>
          <w:szCs w:val="24"/>
        </w:rPr>
      </w:pPr>
      <w:r>
        <w:rPr>
          <w:rFonts w:hint="eastAsia" w:hAnsi="宋体"/>
          <w:b/>
          <w:sz w:val="24"/>
          <w:szCs w:val="24"/>
        </w:rPr>
        <w:br w:type="page"/>
      </w:r>
    </w:p>
    <w:p w14:paraId="1BFC7788">
      <w:pPr>
        <w:pStyle w:val="13"/>
        <w:spacing w:line="360" w:lineRule="exact"/>
        <w:jc w:val="center"/>
        <w:rPr>
          <w:rFonts w:hint="eastAsia" w:hAnsi="宋体"/>
          <w:b/>
          <w:sz w:val="24"/>
          <w:szCs w:val="24"/>
        </w:rPr>
      </w:pPr>
    </w:p>
    <w:p w14:paraId="4D86F8F5">
      <w:pPr>
        <w:pStyle w:val="13"/>
        <w:spacing w:line="360" w:lineRule="exact"/>
        <w:jc w:val="center"/>
        <w:rPr>
          <w:rFonts w:hAnsi="宋体"/>
          <w:b/>
          <w:sz w:val="24"/>
          <w:szCs w:val="24"/>
        </w:rPr>
      </w:pPr>
      <w:r>
        <w:rPr>
          <w:rFonts w:hint="eastAsia" w:hAnsi="宋体"/>
          <w:b/>
          <w:sz w:val="24"/>
          <w:szCs w:val="24"/>
        </w:rPr>
        <w:t>（此页无正文，为合同签署页）</w:t>
      </w:r>
    </w:p>
    <w:p w14:paraId="61A8A274">
      <w:pPr>
        <w:pStyle w:val="13"/>
        <w:jc w:val="left"/>
        <w:rPr>
          <w:rFonts w:hAnsi="宋体"/>
          <w:b/>
          <w:sz w:val="24"/>
          <w:szCs w:val="24"/>
        </w:rPr>
      </w:pPr>
    </w:p>
    <w:p w14:paraId="382424A2">
      <w:pPr>
        <w:pStyle w:val="13"/>
        <w:jc w:val="left"/>
        <w:rPr>
          <w:rFonts w:hAnsi="宋体"/>
          <w:b/>
          <w:sz w:val="24"/>
          <w:szCs w:val="24"/>
        </w:rPr>
      </w:pPr>
      <w:r>
        <w:rPr>
          <w:b/>
        </w:rPr>
        <mc:AlternateContent>
          <mc:Choice Requires="wps">
            <w:drawing>
              <wp:anchor distT="0" distB="0" distL="114300" distR="114300" simplePos="0" relativeHeight="251660288" behindDoc="0" locked="0" layoutInCell="1" allowOverlap="1">
                <wp:simplePos x="0" y="0"/>
                <wp:positionH relativeFrom="column">
                  <wp:posOffset>3055620</wp:posOffset>
                </wp:positionH>
                <wp:positionV relativeFrom="paragraph">
                  <wp:posOffset>18415</wp:posOffset>
                </wp:positionV>
                <wp:extent cx="2828925" cy="4015740"/>
                <wp:effectExtent l="0" t="0" r="9525" b="3810"/>
                <wp:wrapNone/>
                <wp:docPr id="8" name="文本框 8"/>
                <wp:cNvGraphicFramePr/>
                <a:graphic xmlns:a="http://schemas.openxmlformats.org/drawingml/2006/main">
                  <a:graphicData uri="http://schemas.microsoft.com/office/word/2010/wordprocessingShape">
                    <wps:wsp>
                      <wps:cNvSpPr txBox="1"/>
                      <wps:spPr>
                        <a:xfrm>
                          <a:off x="0" y="0"/>
                          <a:ext cx="2828925" cy="3643630"/>
                        </a:xfrm>
                        <a:prstGeom prst="rect">
                          <a:avLst/>
                        </a:prstGeom>
                        <a:solidFill>
                          <a:srgbClr val="FFFFFF"/>
                        </a:solidFill>
                        <a:ln>
                          <a:noFill/>
                        </a:ln>
                        <a:effectLst/>
                      </wps:spPr>
                      <wps:txbx>
                        <w:txbxContent>
                          <w:p w14:paraId="711626A6">
                            <w:pPr>
                              <w:ind w:left="14" w:hanging="14" w:hangingChars="6"/>
                              <w:rPr>
                                <w:rFonts w:ascii="宋体" w:hAnsi="宋体"/>
                                <w:b/>
                                <w:sz w:val="24"/>
                              </w:rPr>
                            </w:pPr>
                            <w:r>
                              <w:rPr>
                                <w:rFonts w:hint="eastAsia" w:ascii="宋体" w:hAnsi="宋体"/>
                                <w:b/>
                                <w:sz w:val="24"/>
                              </w:rPr>
                              <w:t>乙方：</w:t>
                            </w:r>
                            <w:r>
                              <w:rPr>
                                <w:rFonts w:ascii="宋体" w:hAnsi="宋体"/>
                                <w:b/>
                                <w:sz w:val="24"/>
                              </w:rPr>
                              <w:t>（盖章）</w:t>
                            </w:r>
                          </w:p>
                          <w:p w14:paraId="43CC8E57">
                            <w:pPr>
                              <w:pStyle w:val="11"/>
                              <w:tabs>
                                <w:tab w:val="left" w:pos="180"/>
                              </w:tabs>
                              <w:rPr>
                                <w:rFonts w:hAnsi="宋体"/>
                                <w:b/>
                                <w:color w:val="auto"/>
                                <w:kern w:val="2"/>
                                <w:sz w:val="24"/>
                                <w:szCs w:val="24"/>
                              </w:rPr>
                            </w:pPr>
                          </w:p>
                          <w:p w14:paraId="5704F75C">
                            <w:pPr>
                              <w:pStyle w:val="11"/>
                              <w:tabs>
                                <w:tab w:val="left" w:pos="180"/>
                              </w:tabs>
                              <w:rPr>
                                <w:rFonts w:hAnsi="宋体"/>
                                <w:b/>
                                <w:color w:val="auto"/>
                                <w:kern w:val="2"/>
                                <w:sz w:val="24"/>
                                <w:szCs w:val="24"/>
                              </w:rPr>
                            </w:pPr>
                          </w:p>
                          <w:p w14:paraId="4765B22F">
                            <w:pPr>
                              <w:pStyle w:val="11"/>
                              <w:tabs>
                                <w:tab w:val="left" w:pos="180"/>
                              </w:tabs>
                              <w:rPr>
                                <w:rFonts w:hAnsi="宋体"/>
                                <w:b/>
                                <w:color w:val="auto"/>
                                <w:kern w:val="2"/>
                                <w:sz w:val="24"/>
                                <w:szCs w:val="24"/>
                              </w:rPr>
                            </w:pPr>
                          </w:p>
                          <w:p w14:paraId="02AD0269">
                            <w:pPr>
                              <w:pStyle w:val="11"/>
                              <w:tabs>
                                <w:tab w:val="left" w:pos="180"/>
                              </w:tabs>
                              <w:rPr>
                                <w:rFonts w:hAnsi="宋体"/>
                                <w:b/>
                                <w:color w:val="auto"/>
                                <w:kern w:val="2"/>
                                <w:sz w:val="24"/>
                                <w:szCs w:val="24"/>
                              </w:rPr>
                            </w:pPr>
                            <w:r>
                              <w:rPr>
                                <w:rFonts w:hint="eastAsia" w:hAnsi="宋体"/>
                                <w:b/>
                                <w:color w:val="auto"/>
                                <w:kern w:val="2"/>
                                <w:sz w:val="24"/>
                                <w:szCs w:val="24"/>
                              </w:rPr>
                              <w:t>地址：</w:t>
                            </w:r>
                          </w:p>
                          <w:p w14:paraId="68EE164F">
                            <w:pPr>
                              <w:pStyle w:val="11"/>
                              <w:tabs>
                                <w:tab w:val="left" w:pos="180"/>
                              </w:tabs>
                              <w:rPr>
                                <w:rFonts w:hAnsi="宋体"/>
                                <w:b/>
                                <w:color w:val="auto"/>
                                <w:kern w:val="2"/>
                                <w:sz w:val="24"/>
                                <w:szCs w:val="24"/>
                              </w:rPr>
                            </w:pPr>
                          </w:p>
                          <w:p w14:paraId="7B673EF5">
                            <w:pPr>
                              <w:pStyle w:val="11"/>
                              <w:tabs>
                                <w:tab w:val="left" w:pos="180"/>
                              </w:tabs>
                              <w:rPr>
                                <w:rFonts w:hAnsi="宋体"/>
                                <w:b/>
                                <w:color w:val="auto"/>
                                <w:kern w:val="2"/>
                                <w:sz w:val="24"/>
                                <w:szCs w:val="24"/>
                              </w:rPr>
                            </w:pPr>
                            <w:r>
                              <w:rPr>
                                <w:rFonts w:hint="eastAsia" w:hAnsi="宋体"/>
                                <w:b/>
                                <w:color w:val="auto"/>
                                <w:kern w:val="2"/>
                                <w:sz w:val="24"/>
                                <w:szCs w:val="24"/>
                              </w:rPr>
                              <w:t>法人（或授权）代表：</w:t>
                            </w:r>
                          </w:p>
                          <w:p w14:paraId="2EF24AB5">
                            <w:pPr>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06681A1A">
                            <w:pPr>
                              <w:rPr>
                                <w:rFonts w:ascii="宋体" w:hAnsi="宋体"/>
                                <w:b/>
                                <w:sz w:val="24"/>
                                <w:szCs w:val="20"/>
                              </w:rPr>
                            </w:pPr>
                          </w:p>
                          <w:p w14:paraId="0A5647DD">
                            <w:pPr>
                              <w:rPr>
                                <w:rFonts w:ascii="宋体" w:hAnsi="宋体"/>
                                <w:b/>
                                <w:sz w:val="24"/>
                                <w:szCs w:val="20"/>
                              </w:rPr>
                            </w:pPr>
                          </w:p>
                          <w:p w14:paraId="45ED59E1">
                            <w:r>
                              <w:rPr>
                                <w:rFonts w:hint="eastAsia" w:ascii="宋体" w:hAnsi="宋体"/>
                                <w:b/>
                                <w:sz w:val="24"/>
                                <w:szCs w:val="20"/>
                              </w:rPr>
                              <w:t>日期:      年   月   日</w:t>
                            </w:r>
                          </w:p>
                        </w:txbxContent>
                      </wps:txbx>
                      <wps:bodyPr upright="1"/>
                    </wps:wsp>
                  </a:graphicData>
                </a:graphic>
              </wp:anchor>
            </w:drawing>
          </mc:Choice>
          <mc:Fallback>
            <w:pict>
              <v:shape id="_x0000_s1026" o:spid="_x0000_s1026" o:spt="202" type="#_x0000_t202" style="position:absolute;left:0pt;margin-left:240.6pt;margin-top:1.45pt;height:316.2pt;width:222.75pt;z-index:251660288;mso-width-relative:page;mso-height-relative:page;" fillcolor="#FFFFFF" filled="t" stroked="f" coordsize="21600,21600" o:gfxdata="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vVRCjYAAAACQEAAA8AAAAAAAAAAQAgAAAAIgAAAGRycy9k&#10;b3ducmV2LnhtbFBLAQIUABQAAAAIAIdO4kCUI0ylyQEAAIYDAAAOAAAAAAAAAAEAIAAAACcBAABk&#10;cnMvZTJvRG9jLnhtbFBLBQYAAAAABgAGAFkBAABiBQAAAAA=&#10;">
                <v:fill on="t" focussize="0,0"/>
                <v:stroke on="f"/>
                <v:imagedata o:title=""/>
                <o:lock v:ext="edit" aspectratio="f"/>
                <v:textbox>
                  <w:txbxContent>
                    <w:p w14:paraId="711626A6">
                      <w:pPr>
                        <w:ind w:left="14" w:hanging="14" w:hangingChars="6"/>
                        <w:rPr>
                          <w:rFonts w:ascii="宋体" w:hAnsi="宋体"/>
                          <w:b/>
                          <w:sz w:val="24"/>
                        </w:rPr>
                      </w:pPr>
                      <w:r>
                        <w:rPr>
                          <w:rFonts w:hint="eastAsia" w:ascii="宋体" w:hAnsi="宋体"/>
                          <w:b/>
                          <w:sz w:val="24"/>
                        </w:rPr>
                        <w:t>乙方：</w:t>
                      </w:r>
                      <w:r>
                        <w:rPr>
                          <w:rFonts w:ascii="宋体" w:hAnsi="宋体"/>
                          <w:b/>
                          <w:sz w:val="24"/>
                        </w:rPr>
                        <w:t>（盖章）</w:t>
                      </w:r>
                    </w:p>
                    <w:p w14:paraId="43CC8E57">
                      <w:pPr>
                        <w:pStyle w:val="11"/>
                        <w:tabs>
                          <w:tab w:val="left" w:pos="180"/>
                        </w:tabs>
                        <w:rPr>
                          <w:rFonts w:hAnsi="宋体"/>
                          <w:b/>
                          <w:color w:val="auto"/>
                          <w:kern w:val="2"/>
                          <w:sz w:val="24"/>
                          <w:szCs w:val="24"/>
                        </w:rPr>
                      </w:pPr>
                    </w:p>
                    <w:p w14:paraId="5704F75C">
                      <w:pPr>
                        <w:pStyle w:val="11"/>
                        <w:tabs>
                          <w:tab w:val="left" w:pos="180"/>
                        </w:tabs>
                        <w:rPr>
                          <w:rFonts w:hAnsi="宋体"/>
                          <w:b/>
                          <w:color w:val="auto"/>
                          <w:kern w:val="2"/>
                          <w:sz w:val="24"/>
                          <w:szCs w:val="24"/>
                        </w:rPr>
                      </w:pPr>
                    </w:p>
                    <w:p w14:paraId="4765B22F">
                      <w:pPr>
                        <w:pStyle w:val="11"/>
                        <w:tabs>
                          <w:tab w:val="left" w:pos="180"/>
                        </w:tabs>
                        <w:rPr>
                          <w:rFonts w:hAnsi="宋体"/>
                          <w:b/>
                          <w:color w:val="auto"/>
                          <w:kern w:val="2"/>
                          <w:sz w:val="24"/>
                          <w:szCs w:val="24"/>
                        </w:rPr>
                      </w:pPr>
                    </w:p>
                    <w:p w14:paraId="02AD0269">
                      <w:pPr>
                        <w:pStyle w:val="11"/>
                        <w:tabs>
                          <w:tab w:val="left" w:pos="180"/>
                        </w:tabs>
                        <w:rPr>
                          <w:rFonts w:hAnsi="宋体"/>
                          <w:b/>
                          <w:color w:val="auto"/>
                          <w:kern w:val="2"/>
                          <w:sz w:val="24"/>
                          <w:szCs w:val="24"/>
                        </w:rPr>
                      </w:pPr>
                      <w:r>
                        <w:rPr>
                          <w:rFonts w:hint="eastAsia" w:hAnsi="宋体"/>
                          <w:b/>
                          <w:color w:val="auto"/>
                          <w:kern w:val="2"/>
                          <w:sz w:val="24"/>
                          <w:szCs w:val="24"/>
                        </w:rPr>
                        <w:t>地址：</w:t>
                      </w:r>
                    </w:p>
                    <w:p w14:paraId="68EE164F">
                      <w:pPr>
                        <w:pStyle w:val="11"/>
                        <w:tabs>
                          <w:tab w:val="left" w:pos="180"/>
                        </w:tabs>
                        <w:rPr>
                          <w:rFonts w:hAnsi="宋体"/>
                          <w:b/>
                          <w:color w:val="auto"/>
                          <w:kern w:val="2"/>
                          <w:sz w:val="24"/>
                          <w:szCs w:val="24"/>
                        </w:rPr>
                      </w:pPr>
                    </w:p>
                    <w:p w14:paraId="7B673EF5">
                      <w:pPr>
                        <w:pStyle w:val="11"/>
                        <w:tabs>
                          <w:tab w:val="left" w:pos="180"/>
                        </w:tabs>
                        <w:rPr>
                          <w:rFonts w:hAnsi="宋体"/>
                          <w:b/>
                          <w:color w:val="auto"/>
                          <w:kern w:val="2"/>
                          <w:sz w:val="24"/>
                          <w:szCs w:val="24"/>
                        </w:rPr>
                      </w:pPr>
                      <w:r>
                        <w:rPr>
                          <w:rFonts w:hint="eastAsia" w:hAnsi="宋体"/>
                          <w:b/>
                          <w:color w:val="auto"/>
                          <w:kern w:val="2"/>
                          <w:sz w:val="24"/>
                          <w:szCs w:val="24"/>
                        </w:rPr>
                        <w:t>法人（或授权）代表：</w:t>
                      </w:r>
                    </w:p>
                    <w:p w14:paraId="2EF24AB5">
                      <w:pPr>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06681A1A">
                      <w:pPr>
                        <w:rPr>
                          <w:rFonts w:ascii="宋体" w:hAnsi="宋体"/>
                          <w:b/>
                          <w:sz w:val="24"/>
                          <w:szCs w:val="20"/>
                        </w:rPr>
                      </w:pPr>
                    </w:p>
                    <w:p w14:paraId="0A5647DD">
                      <w:pPr>
                        <w:rPr>
                          <w:rFonts w:ascii="宋体" w:hAnsi="宋体"/>
                          <w:b/>
                          <w:sz w:val="24"/>
                          <w:szCs w:val="20"/>
                        </w:rPr>
                      </w:pPr>
                    </w:p>
                    <w:p w14:paraId="45ED59E1">
                      <w:r>
                        <w:rPr>
                          <w:rFonts w:hint="eastAsia" w:ascii="宋体" w:hAnsi="宋体"/>
                          <w:b/>
                          <w:sz w:val="24"/>
                          <w:szCs w:val="20"/>
                        </w:rPr>
                        <w:t>日期:      年   月   日</w:t>
                      </w:r>
                    </w:p>
                  </w:txbxContent>
                </v:textbox>
              </v:shape>
            </w:pict>
          </mc:Fallback>
        </mc:AlternateContent>
      </w:r>
      <w:r>
        <w:rPr>
          <w:b/>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5" name="文本框 5"/>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0A854F5A"/>
                        </w:txbxContent>
                      </wps:txbx>
                      <wps:bodyPr upright="1"/>
                    </wps:wsp>
                  </a:graphicData>
                </a:graphic>
              </wp:anchor>
            </w:drawing>
          </mc:Choice>
          <mc:Fallback>
            <w:pict>
              <v:shape id="_x0000_s1026" o:spid="_x0000_s1026" o:spt="202" type="#_x0000_t202" style="position:absolute;left:0pt;margin-left:0pt;margin-top:0.05pt;height:313pt;width:225pt;z-index:251659264;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gyeLTAAAABQEAAA8AAAAAAAAAAQAgAAAAIgAAAGRycy9kb3ducmV2Lnht&#10;bFBLAQIUABQAAAAIAIdO4kAuVJpLxQEAAIYDAAAOAAAAAAAAAAEAIAAAACIBAABkcnMvZTJvRG9j&#10;LnhtbFBLBQYAAAAABgAGAFkBAABZBQAAAAA=&#10;">
                <v:fill on="t" focussize="0,0"/>
                <v:stroke on="f"/>
                <v:imagedata o:title=""/>
                <o:lock v:ext="edit" aspectratio="f"/>
                <v:textbox>
                  <w:txbxContent>
                    <w:p w14:paraId="0A854F5A"/>
                  </w:txbxContent>
                </v:textbox>
              </v:shape>
            </w:pict>
          </mc:Fallback>
        </mc:AlternateContent>
      </w:r>
      <w:r>
        <w:rPr>
          <w: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2857500" cy="3975100"/>
                <wp:effectExtent l="0" t="0" r="0" b="6350"/>
                <wp:wrapNone/>
                <wp:docPr id="12" name="文本框 12"/>
                <wp:cNvGraphicFramePr/>
                <a:graphic xmlns:a="http://schemas.openxmlformats.org/drawingml/2006/main">
                  <a:graphicData uri="http://schemas.microsoft.com/office/word/2010/wordprocessingShape">
                    <wps:wsp>
                      <wps:cNvSpPr txBox="1"/>
                      <wps:spPr>
                        <a:xfrm>
                          <a:off x="0" y="0"/>
                          <a:ext cx="2857500" cy="3975100"/>
                        </a:xfrm>
                        <a:prstGeom prst="rect">
                          <a:avLst/>
                        </a:prstGeom>
                        <a:solidFill>
                          <a:srgbClr val="FFFFFF"/>
                        </a:solidFill>
                        <a:ln>
                          <a:noFill/>
                        </a:ln>
                        <a:effectLst/>
                      </wps:spPr>
                      <wps:txbx>
                        <w:txbxContent>
                          <w:p w14:paraId="71EB1585">
                            <w:pPr>
                              <w:spacing w:line="360" w:lineRule="auto"/>
                              <w:rPr>
                                <w:rFonts w:hint="eastAsia" w:ascii="宋体" w:hAnsi="宋体" w:eastAsia="宋体"/>
                                <w:b/>
                                <w:sz w:val="24"/>
                                <w:lang w:eastAsia="zh-CN"/>
                              </w:rPr>
                            </w:pPr>
                            <w:r>
                              <w:rPr>
                                <w:rFonts w:hint="eastAsia" w:ascii="宋体" w:hAnsi="宋体"/>
                                <w:b/>
                                <w:sz w:val="24"/>
                              </w:rPr>
                              <w:t>甲</w:t>
                            </w:r>
                            <w:r>
                              <w:rPr>
                                <w:rFonts w:ascii="宋体" w:hAnsi="宋体"/>
                                <w:b/>
                                <w:sz w:val="24"/>
                              </w:rPr>
                              <w:t>方：</w:t>
                            </w:r>
                            <w:r>
                              <w:rPr>
                                <w:rFonts w:hint="eastAsia"/>
                                <w:b/>
                                <w:sz w:val="24"/>
                                <w:lang w:val="en-US" w:eastAsia="zh-CN"/>
                              </w:rPr>
                              <w:t xml:space="preserve"> </w:t>
                            </w:r>
                          </w:p>
                          <w:p w14:paraId="1648B6BF">
                            <w:pPr>
                              <w:spacing w:line="360" w:lineRule="auto"/>
                              <w:ind w:left="14" w:hanging="14" w:hangingChars="6"/>
                              <w:rPr>
                                <w:rFonts w:ascii="宋体" w:hAnsi="宋体"/>
                                <w:b/>
                                <w:sz w:val="24"/>
                              </w:rPr>
                            </w:pPr>
                            <w:r>
                              <w:rPr>
                                <w:rFonts w:ascii="宋体" w:hAnsi="宋体"/>
                                <w:b/>
                                <w:sz w:val="24"/>
                              </w:rPr>
                              <w:t>（盖章）</w:t>
                            </w:r>
                          </w:p>
                          <w:p w14:paraId="58562E31">
                            <w:pPr>
                              <w:spacing w:line="360" w:lineRule="auto"/>
                              <w:ind w:left="14" w:hanging="14" w:hangingChars="6"/>
                              <w:rPr>
                                <w:rFonts w:ascii="宋体" w:hAnsi="宋体"/>
                                <w:b/>
                                <w:sz w:val="24"/>
                              </w:rPr>
                            </w:pPr>
                          </w:p>
                          <w:p w14:paraId="33646B62">
                            <w:pPr>
                              <w:spacing w:line="360" w:lineRule="auto"/>
                              <w:ind w:left="14" w:hanging="14" w:hangingChars="6"/>
                              <w:rPr>
                                <w:rFonts w:ascii="宋体" w:hAnsi="宋体"/>
                                <w:b/>
                                <w:sz w:val="24"/>
                              </w:rPr>
                            </w:pPr>
                            <w:r>
                              <w:rPr>
                                <w:rFonts w:ascii="宋体" w:hAnsi="宋体"/>
                                <w:b/>
                                <w:sz w:val="24"/>
                              </w:rPr>
                              <w:t>地址：</w:t>
                            </w:r>
                          </w:p>
                          <w:p w14:paraId="20F3CFD0">
                            <w:pPr>
                              <w:spacing w:line="360" w:lineRule="auto"/>
                              <w:ind w:left="14" w:hanging="14" w:hangingChars="6"/>
                              <w:rPr>
                                <w:rFonts w:ascii="宋体" w:hAnsi="宋体"/>
                                <w:b/>
                                <w:sz w:val="24"/>
                              </w:rPr>
                            </w:pPr>
                          </w:p>
                          <w:p w14:paraId="6FE7A7D8">
                            <w:pPr>
                              <w:spacing w:line="360" w:lineRule="auto"/>
                              <w:ind w:left="14" w:hanging="14" w:hangingChars="6"/>
                              <w:rPr>
                                <w:rFonts w:ascii="宋体" w:hAnsi="宋体"/>
                                <w:b/>
                                <w:sz w:val="24"/>
                              </w:rPr>
                            </w:pPr>
                            <w:r>
                              <w:rPr>
                                <w:rFonts w:ascii="宋体" w:hAnsi="宋体"/>
                                <w:b/>
                                <w:sz w:val="24"/>
                              </w:rPr>
                              <w:t>法人（或授权）代表：</w:t>
                            </w:r>
                          </w:p>
                          <w:p w14:paraId="5E44EF3F">
                            <w:pPr>
                              <w:spacing w:line="360" w:lineRule="auto"/>
                              <w:ind w:left="14" w:hanging="14" w:hangingChars="6"/>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6C51E269">
                            <w:pPr>
                              <w:spacing w:line="360" w:lineRule="auto"/>
                              <w:ind w:left="14" w:hanging="14" w:hangingChars="6"/>
                              <w:rPr>
                                <w:rFonts w:ascii="宋体" w:hAnsi="宋体"/>
                                <w:b/>
                                <w:sz w:val="24"/>
                              </w:rPr>
                            </w:pPr>
                          </w:p>
                          <w:p w14:paraId="3AA49C60">
                            <w:pPr>
                              <w:spacing w:line="360" w:lineRule="auto"/>
                              <w:ind w:left="14" w:hanging="14" w:hangingChars="6"/>
                              <w:rPr>
                                <w:rFonts w:ascii="宋体" w:hAnsi="宋体"/>
                                <w:b/>
                                <w:sz w:val="24"/>
                              </w:rPr>
                            </w:pPr>
                            <w:r>
                              <w:rPr>
                                <w:rFonts w:ascii="宋体" w:hAnsi="宋体"/>
                                <w:b/>
                                <w:sz w:val="24"/>
                              </w:rPr>
                              <w:t>日期:      年   月   日</w:t>
                            </w:r>
                          </w:p>
                        </w:txbxContent>
                      </wps:txbx>
                      <wps:bodyPr upright="1"/>
                    </wps:wsp>
                  </a:graphicData>
                </a:graphic>
              </wp:anchor>
            </w:drawing>
          </mc:Choice>
          <mc:Fallback>
            <w:pict>
              <v:shape id="_x0000_s1026" o:spid="_x0000_s1026" o:spt="202" type="#_x0000_t202" style="position:absolute;left:0pt;margin-left:0pt;margin-top:0.05pt;height:313pt;width:225pt;z-index:251661312;mso-width-relative:page;mso-height-relative:page;" fillcolor="#FFFFFF" filled="t" stroked="f" coordsize="21600,21600" o:gfxdata="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P4Mni0wAAAAUBAAAPAAAAAAAAAAEAIAAAACIAAABkcnMvZG93bnJldi54&#10;bWxQSwECFAAUAAAACACHTuJAVoF4rMYBAACIAwAADgAAAAAAAAABACAAAAAiAQAAZHJzL2Uyb0Rv&#10;Yy54bWxQSwUGAAAAAAYABgBZAQAAWgUAAAAA&#10;">
                <v:fill on="t" focussize="0,0"/>
                <v:stroke on="f"/>
                <v:imagedata o:title=""/>
                <o:lock v:ext="edit" aspectratio="f"/>
                <v:textbox>
                  <w:txbxContent>
                    <w:p w14:paraId="71EB1585">
                      <w:pPr>
                        <w:spacing w:line="360" w:lineRule="auto"/>
                        <w:rPr>
                          <w:rFonts w:hint="eastAsia" w:ascii="宋体" w:hAnsi="宋体" w:eastAsia="宋体"/>
                          <w:b/>
                          <w:sz w:val="24"/>
                          <w:lang w:eastAsia="zh-CN"/>
                        </w:rPr>
                      </w:pPr>
                      <w:r>
                        <w:rPr>
                          <w:rFonts w:hint="eastAsia" w:ascii="宋体" w:hAnsi="宋体"/>
                          <w:b/>
                          <w:sz w:val="24"/>
                        </w:rPr>
                        <w:t>甲</w:t>
                      </w:r>
                      <w:r>
                        <w:rPr>
                          <w:rFonts w:ascii="宋体" w:hAnsi="宋体"/>
                          <w:b/>
                          <w:sz w:val="24"/>
                        </w:rPr>
                        <w:t>方：</w:t>
                      </w:r>
                      <w:r>
                        <w:rPr>
                          <w:rFonts w:hint="eastAsia"/>
                          <w:b/>
                          <w:sz w:val="24"/>
                          <w:lang w:val="en-US" w:eastAsia="zh-CN"/>
                        </w:rPr>
                        <w:t xml:space="preserve"> </w:t>
                      </w:r>
                    </w:p>
                    <w:p w14:paraId="1648B6BF">
                      <w:pPr>
                        <w:spacing w:line="360" w:lineRule="auto"/>
                        <w:ind w:left="14" w:hanging="14" w:hangingChars="6"/>
                        <w:rPr>
                          <w:rFonts w:ascii="宋体" w:hAnsi="宋体"/>
                          <w:b/>
                          <w:sz w:val="24"/>
                        </w:rPr>
                      </w:pPr>
                      <w:r>
                        <w:rPr>
                          <w:rFonts w:ascii="宋体" w:hAnsi="宋体"/>
                          <w:b/>
                          <w:sz w:val="24"/>
                        </w:rPr>
                        <w:t>（盖章）</w:t>
                      </w:r>
                    </w:p>
                    <w:p w14:paraId="58562E31">
                      <w:pPr>
                        <w:spacing w:line="360" w:lineRule="auto"/>
                        <w:ind w:left="14" w:hanging="14" w:hangingChars="6"/>
                        <w:rPr>
                          <w:rFonts w:ascii="宋体" w:hAnsi="宋体"/>
                          <w:b/>
                          <w:sz w:val="24"/>
                        </w:rPr>
                      </w:pPr>
                    </w:p>
                    <w:p w14:paraId="33646B62">
                      <w:pPr>
                        <w:spacing w:line="360" w:lineRule="auto"/>
                        <w:ind w:left="14" w:hanging="14" w:hangingChars="6"/>
                        <w:rPr>
                          <w:rFonts w:ascii="宋体" w:hAnsi="宋体"/>
                          <w:b/>
                          <w:sz w:val="24"/>
                        </w:rPr>
                      </w:pPr>
                      <w:r>
                        <w:rPr>
                          <w:rFonts w:ascii="宋体" w:hAnsi="宋体"/>
                          <w:b/>
                          <w:sz w:val="24"/>
                        </w:rPr>
                        <w:t>地址：</w:t>
                      </w:r>
                    </w:p>
                    <w:p w14:paraId="20F3CFD0">
                      <w:pPr>
                        <w:spacing w:line="360" w:lineRule="auto"/>
                        <w:ind w:left="14" w:hanging="14" w:hangingChars="6"/>
                        <w:rPr>
                          <w:rFonts w:ascii="宋体" w:hAnsi="宋体"/>
                          <w:b/>
                          <w:sz w:val="24"/>
                        </w:rPr>
                      </w:pPr>
                    </w:p>
                    <w:p w14:paraId="6FE7A7D8">
                      <w:pPr>
                        <w:spacing w:line="360" w:lineRule="auto"/>
                        <w:ind w:left="14" w:hanging="14" w:hangingChars="6"/>
                        <w:rPr>
                          <w:rFonts w:ascii="宋体" w:hAnsi="宋体"/>
                          <w:b/>
                          <w:sz w:val="24"/>
                        </w:rPr>
                      </w:pPr>
                      <w:r>
                        <w:rPr>
                          <w:rFonts w:ascii="宋体" w:hAnsi="宋体"/>
                          <w:b/>
                          <w:sz w:val="24"/>
                        </w:rPr>
                        <w:t>法人（或授权）代表：</w:t>
                      </w:r>
                    </w:p>
                    <w:p w14:paraId="5E44EF3F">
                      <w:pPr>
                        <w:spacing w:line="360" w:lineRule="auto"/>
                        <w:ind w:left="14" w:hanging="14" w:hangingChars="6"/>
                        <w:rPr>
                          <w:rFonts w:ascii="宋体" w:hAnsi="宋体"/>
                          <w:b/>
                          <w:sz w:val="24"/>
                        </w:rPr>
                      </w:pPr>
                      <w:r>
                        <w:rPr>
                          <w:rFonts w:ascii="宋体" w:hAnsi="宋体"/>
                          <w:b/>
                          <w:sz w:val="24"/>
                        </w:rPr>
                        <w:t>（签</w:t>
                      </w:r>
                      <w:r>
                        <w:rPr>
                          <w:rFonts w:hint="eastAsia" w:ascii="宋体" w:hAnsi="宋体"/>
                          <w:b/>
                          <w:sz w:val="24"/>
                        </w:rPr>
                        <w:t>名</w:t>
                      </w:r>
                      <w:r>
                        <w:rPr>
                          <w:rFonts w:ascii="宋体" w:hAnsi="宋体"/>
                          <w:b/>
                          <w:sz w:val="24"/>
                        </w:rPr>
                        <w:t>）</w:t>
                      </w:r>
                    </w:p>
                    <w:p w14:paraId="6C51E269">
                      <w:pPr>
                        <w:spacing w:line="360" w:lineRule="auto"/>
                        <w:ind w:left="14" w:hanging="14" w:hangingChars="6"/>
                        <w:rPr>
                          <w:rFonts w:ascii="宋体" w:hAnsi="宋体"/>
                          <w:b/>
                          <w:sz w:val="24"/>
                        </w:rPr>
                      </w:pPr>
                    </w:p>
                    <w:p w14:paraId="3AA49C60">
                      <w:pPr>
                        <w:spacing w:line="360" w:lineRule="auto"/>
                        <w:ind w:left="14" w:hanging="14" w:hangingChars="6"/>
                        <w:rPr>
                          <w:rFonts w:ascii="宋体" w:hAnsi="宋体"/>
                          <w:b/>
                          <w:sz w:val="24"/>
                        </w:rPr>
                      </w:pPr>
                      <w:r>
                        <w:rPr>
                          <w:rFonts w:ascii="宋体" w:hAnsi="宋体"/>
                          <w:b/>
                          <w:sz w:val="24"/>
                        </w:rPr>
                        <w:t>日期:      年   月   日</w:t>
                      </w:r>
                    </w:p>
                  </w:txbxContent>
                </v:textbox>
              </v:shape>
            </w:pict>
          </mc:Fallback>
        </mc:AlternateContent>
      </w:r>
    </w:p>
    <w:p w14:paraId="1DC2D81A">
      <w:pPr>
        <w:pStyle w:val="13"/>
        <w:jc w:val="left"/>
        <w:rPr>
          <w:rFonts w:hAnsi="宋体"/>
          <w:b/>
          <w:sz w:val="24"/>
          <w:szCs w:val="24"/>
        </w:rPr>
      </w:pPr>
    </w:p>
    <w:p w14:paraId="5A774302">
      <w:pPr>
        <w:pStyle w:val="13"/>
        <w:jc w:val="left"/>
        <w:rPr>
          <w:rFonts w:hAnsi="宋体"/>
          <w:b/>
          <w:sz w:val="24"/>
          <w:szCs w:val="24"/>
        </w:rPr>
      </w:pPr>
    </w:p>
    <w:p w14:paraId="7A1E1CCA">
      <w:pPr>
        <w:pStyle w:val="13"/>
        <w:spacing w:line="360" w:lineRule="auto"/>
        <w:jc w:val="left"/>
        <w:rPr>
          <w:rFonts w:hAnsi="宋体"/>
          <w:b/>
          <w:sz w:val="24"/>
          <w:szCs w:val="24"/>
        </w:rPr>
      </w:pPr>
    </w:p>
    <w:p w14:paraId="7B1903DC">
      <w:pPr>
        <w:pStyle w:val="13"/>
        <w:spacing w:line="360" w:lineRule="auto"/>
        <w:jc w:val="left"/>
        <w:rPr>
          <w:rFonts w:hAnsi="宋体"/>
          <w:b/>
          <w:sz w:val="24"/>
          <w:szCs w:val="24"/>
        </w:rPr>
      </w:pPr>
    </w:p>
    <w:p w14:paraId="30F2110F">
      <w:pPr>
        <w:pStyle w:val="13"/>
        <w:spacing w:line="360" w:lineRule="auto"/>
        <w:rPr>
          <w:rFonts w:hAnsi="宋体" w:cs="Arial"/>
          <w:sz w:val="24"/>
        </w:rPr>
      </w:pPr>
    </w:p>
    <w:p w14:paraId="04C0108E">
      <w:pPr>
        <w:pStyle w:val="13"/>
        <w:spacing w:line="360" w:lineRule="auto"/>
        <w:sectPr>
          <w:footerReference r:id="rId3" w:type="default"/>
          <w:pgSz w:w="11906" w:h="16838"/>
          <w:pgMar w:top="1440" w:right="1247" w:bottom="1440" w:left="1247" w:header="851" w:footer="992" w:gutter="0"/>
          <w:pgNumType w:fmt="decimal" w:start="1"/>
          <w:cols w:space="720" w:num="1"/>
          <w:docGrid w:type="linesAndChars" w:linePitch="312" w:charSpace="0"/>
        </w:sectPr>
      </w:pPr>
    </w:p>
    <w:p w14:paraId="3EA9E6F0">
      <w:pPr>
        <w:rPr>
          <w:rFonts w:hint="eastAsia" w:ascii="宋体" w:hAnsi="宋体" w:eastAsia="宋体" w:cs="宋体"/>
          <w:color w:val="auto"/>
          <w:kern w:val="2"/>
          <w:sz w:val="28"/>
          <w:szCs w:val="28"/>
          <w:highlight w:val="none"/>
          <w:u w:color="auto"/>
          <w:lang w:val="en-US" w:eastAsia="zh-CN" w:bidi="ar"/>
        </w:rPr>
      </w:pPr>
    </w:p>
    <w:p w14:paraId="6DBDE402">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auto"/>
          <w:kern w:val="2"/>
          <w:sz w:val="28"/>
          <w:szCs w:val="28"/>
          <w:highlight w:val="none"/>
          <w:u w:color="auto"/>
          <w:lang w:val="en-US" w:eastAsia="zh-CN" w:bidi="ar"/>
        </w:rPr>
      </w:pPr>
      <w:r>
        <w:rPr>
          <w:rFonts w:hint="eastAsia" w:ascii="宋体" w:hAnsi="宋体" w:eastAsia="宋体" w:cs="宋体"/>
          <w:color w:val="auto"/>
          <w:kern w:val="2"/>
          <w:sz w:val="28"/>
          <w:szCs w:val="28"/>
          <w:highlight w:val="none"/>
          <w:u w:color="auto"/>
          <w:lang w:val="en-US" w:eastAsia="zh-CN" w:bidi="ar"/>
        </w:rPr>
        <w:t>第七章 投标文件格式</w:t>
      </w:r>
    </w:p>
    <w:p w14:paraId="4DC0BD64">
      <w:pPr>
        <w:spacing w:line="480" w:lineRule="auto"/>
        <w:jc w:val="center"/>
        <w:rPr>
          <w:rFonts w:hint="eastAsia" w:eastAsia="黑体"/>
          <w:sz w:val="20"/>
          <w:highlight w:val="none"/>
        </w:rPr>
      </w:pPr>
      <w:r>
        <w:rPr>
          <w:rFonts w:hint="eastAsia" w:ascii="宋体" w:hAnsi="宋体"/>
          <w:b/>
          <w:sz w:val="28"/>
          <w:szCs w:val="28"/>
          <w:highlight w:val="none"/>
        </w:rPr>
        <w:t>一、资信证明格式文件</w:t>
      </w:r>
    </w:p>
    <w:p w14:paraId="01ABEDF4">
      <w:pPr>
        <w:rPr>
          <w:rFonts w:hint="eastAsia" w:eastAsia="黑体"/>
          <w:sz w:val="20"/>
          <w:highlight w:val="none"/>
        </w:rPr>
      </w:pPr>
    </w:p>
    <w:p w14:paraId="5F3AF01D">
      <w:pPr>
        <w:jc w:val="center"/>
        <w:rPr>
          <w:rFonts w:hint="eastAsia" w:ascii="宋体"/>
          <w:b/>
          <w:sz w:val="44"/>
          <w:szCs w:val="44"/>
          <w:highlight w:val="none"/>
        </w:rPr>
      </w:pPr>
      <w:bookmarkStart w:id="353" w:name="_Toc350698753"/>
      <w:bookmarkStart w:id="354" w:name="_Toc449028949"/>
      <w:r>
        <w:rPr>
          <w:rFonts w:hint="eastAsia" w:ascii="宋体"/>
          <w:b/>
          <w:sz w:val="44"/>
          <w:szCs w:val="44"/>
          <w:highlight w:val="none"/>
        </w:rPr>
        <w:t>资信证明文件</w:t>
      </w:r>
      <w:bookmarkEnd w:id="353"/>
      <w:bookmarkEnd w:id="354"/>
    </w:p>
    <w:p w14:paraId="1BB23E50">
      <w:pPr>
        <w:jc w:val="center"/>
        <w:rPr>
          <w:rFonts w:hint="eastAsia" w:ascii="宋体"/>
          <w:sz w:val="32"/>
          <w:szCs w:val="32"/>
          <w:highlight w:val="none"/>
        </w:rPr>
      </w:pPr>
      <w:r>
        <w:rPr>
          <w:rFonts w:hint="eastAsia" w:ascii="宋体"/>
          <w:sz w:val="32"/>
          <w:szCs w:val="32"/>
          <w:highlight w:val="none"/>
        </w:rPr>
        <w:t>（投标文件一）</w:t>
      </w:r>
    </w:p>
    <w:p w14:paraId="580F251F">
      <w:pPr>
        <w:jc w:val="center"/>
        <w:rPr>
          <w:rFonts w:hint="eastAsia" w:eastAsia="黑体"/>
          <w:sz w:val="44"/>
          <w:szCs w:val="44"/>
          <w:highlight w:val="none"/>
        </w:rPr>
      </w:pPr>
    </w:p>
    <w:p w14:paraId="59D35BF8">
      <w:pPr>
        <w:jc w:val="center"/>
        <w:rPr>
          <w:rFonts w:hint="eastAsia" w:ascii="宋体"/>
          <w:sz w:val="32"/>
          <w:szCs w:val="32"/>
          <w:highlight w:val="none"/>
        </w:rPr>
      </w:pPr>
      <w:r>
        <w:rPr>
          <w:rFonts w:hint="eastAsia" w:ascii="宋体"/>
          <w:sz w:val="32"/>
          <w:szCs w:val="32"/>
          <w:highlight w:val="none"/>
          <w:u w:val="single"/>
        </w:rPr>
        <w:t xml:space="preserve">        </w:t>
      </w:r>
      <w:r>
        <w:rPr>
          <w:rFonts w:hint="eastAsia" w:ascii="宋体"/>
          <w:sz w:val="32"/>
          <w:szCs w:val="32"/>
          <w:highlight w:val="none"/>
        </w:rPr>
        <w:t>项目</w:t>
      </w:r>
    </w:p>
    <w:p w14:paraId="16E95535">
      <w:pPr>
        <w:jc w:val="both"/>
        <w:rPr>
          <w:rFonts w:hint="eastAsia" w:ascii="宋体"/>
          <w:sz w:val="44"/>
          <w:szCs w:val="44"/>
          <w:highlight w:val="none"/>
        </w:rPr>
      </w:pPr>
    </w:p>
    <w:p w14:paraId="6AFAF8F4">
      <w:pPr>
        <w:rPr>
          <w:rFonts w:hint="eastAsia" w:ascii="宋体"/>
          <w:sz w:val="28"/>
          <w:szCs w:val="28"/>
          <w:highlight w:val="none"/>
        </w:rPr>
      </w:pPr>
    </w:p>
    <w:p w14:paraId="1E82A2F7">
      <w:pPr>
        <w:rPr>
          <w:rFonts w:hint="eastAsia" w:ascii="宋体"/>
          <w:sz w:val="28"/>
          <w:szCs w:val="28"/>
          <w:highlight w:val="none"/>
        </w:rPr>
      </w:pPr>
    </w:p>
    <w:p w14:paraId="2C617110">
      <w:pPr>
        <w:rPr>
          <w:rFonts w:hint="eastAsia" w:ascii="宋体"/>
          <w:sz w:val="28"/>
          <w:szCs w:val="28"/>
          <w:highlight w:val="none"/>
        </w:rPr>
      </w:pPr>
    </w:p>
    <w:p w14:paraId="36A7512D">
      <w:pPr>
        <w:rPr>
          <w:rFonts w:hint="eastAsia" w:ascii="宋体"/>
          <w:sz w:val="28"/>
          <w:szCs w:val="28"/>
          <w:highlight w:val="none"/>
        </w:rPr>
      </w:pPr>
    </w:p>
    <w:p w14:paraId="183291E4">
      <w:pPr>
        <w:rPr>
          <w:rFonts w:hint="eastAsia" w:ascii="宋体"/>
          <w:sz w:val="28"/>
          <w:szCs w:val="28"/>
          <w:highlight w:val="none"/>
        </w:rPr>
      </w:pPr>
    </w:p>
    <w:p w14:paraId="3B9FF5E7">
      <w:pPr>
        <w:rPr>
          <w:rFonts w:hint="eastAsia" w:ascii="宋体"/>
          <w:sz w:val="28"/>
          <w:szCs w:val="28"/>
          <w:highlight w:val="none"/>
        </w:rPr>
      </w:pPr>
    </w:p>
    <w:p w14:paraId="65A23063">
      <w:pPr>
        <w:rPr>
          <w:rFonts w:hint="eastAsia" w:ascii="宋体"/>
          <w:sz w:val="28"/>
          <w:szCs w:val="28"/>
          <w:highlight w:val="none"/>
        </w:rPr>
      </w:pPr>
    </w:p>
    <w:p w14:paraId="0EA5F41D">
      <w:pPr>
        <w:jc w:val="center"/>
        <w:rPr>
          <w:rFonts w:hint="eastAsia" w:ascii="宋体"/>
          <w:sz w:val="28"/>
          <w:szCs w:val="28"/>
          <w:highlight w:val="none"/>
          <w:u w:val="single"/>
        </w:rPr>
      </w:pPr>
      <w:r>
        <w:rPr>
          <w:rFonts w:hint="eastAsia" w:ascii="宋体"/>
          <w:sz w:val="28"/>
          <w:szCs w:val="28"/>
          <w:highlight w:val="none"/>
        </w:rPr>
        <w:t>投标人：</w:t>
      </w:r>
      <w:r>
        <w:rPr>
          <w:rFonts w:hint="eastAsia" w:ascii="宋体"/>
          <w:sz w:val="28"/>
          <w:szCs w:val="28"/>
          <w:highlight w:val="none"/>
          <w:u w:val="single"/>
        </w:rPr>
        <w:t xml:space="preserve">                              </w:t>
      </w:r>
      <w:r>
        <w:rPr>
          <w:rFonts w:hint="eastAsia" w:ascii="宋体"/>
          <w:sz w:val="28"/>
          <w:szCs w:val="28"/>
          <w:highlight w:val="none"/>
        </w:rPr>
        <w:t>（签章）</w:t>
      </w:r>
    </w:p>
    <w:p w14:paraId="2A17644A">
      <w:pPr>
        <w:ind w:firstLine="560" w:firstLineChars="200"/>
        <w:rPr>
          <w:rFonts w:hint="eastAsia" w:ascii="宋体"/>
          <w:sz w:val="28"/>
          <w:szCs w:val="28"/>
          <w:highlight w:val="none"/>
        </w:rPr>
      </w:pPr>
      <w:r>
        <w:rPr>
          <w:rFonts w:hint="eastAsia" w:ascii="宋体"/>
          <w:sz w:val="28"/>
          <w:szCs w:val="28"/>
          <w:highlight w:val="none"/>
        </w:rPr>
        <w:t>法定代表人：</w:t>
      </w:r>
      <w:r>
        <w:rPr>
          <w:rFonts w:hint="eastAsia" w:ascii="宋体"/>
          <w:sz w:val="28"/>
          <w:szCs w:val="28"/>
          <w:highlight w:val="none"/>
          <w:u w:val="single"/>
        </w:rPr>
        <w:t xml:space="preserve">                              </w:t>
      </w:r>
      <w:r>
        <w:rPr>
          <w:rFonts w:hint="eastAsia" w:ascii="宋体"/>
          <w:sz w:val="28"/>
          <w:szCs w:val="28"/>
          <w:highlight w:val="none"/>
        </w:rPr>
        <w:t>（签章）</w:t>
      </w:r>
    </w:p>
    <w:p w14:paraId="24CE869C">
      <w:pPr>
        <w:jc w:val="center"/>
        <w:rPr>
          <w:rFonts w:hint="eastAsia"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7E1A7656">
      <w:pPr>
        <w:spacing w:line="720" w:lineRule="auto"/>
        <w:jc w:val="center"/>
        <w:rPr>
          <w:rFonts w:hint="eastAsia" w:ascii="宋体"/>
          <w:b/>
          <w:sz w:val="36"/>
          <w:szCs w:val="36"/>
          <w:highlight w:val="none"/>
        </w:rPr>
      </w:pPr>
    </w:p>
    <w:p w14:paraId="4297B8CD">
      <w:pPr>
        <w:spacing w:line="400" w:lineRule="exact"/>
        <w:ind w:firstLine="4130" w:firstLineChars="935"/>
        <w:rPr>
          <w:rFonts w:hint="eastAsia"/>
          <w:b/>
          <w:sz w:val="44"/>
          <w:szCs w:val="44"/>
          <w:highlight w:val="none"/>
        </w:rPr>
      </w:pPr>
    </w:p>
    <w:p w14:paraId="7CBF050E">
      <w:pPr>
        <w:spacing w:line="400" w:lineRule="exact"/>
        <w:ind w:firstLine="4130" w:firstLineChars="935"/>
        <w:rPr>
          <w:rFonts w:hint="eastAsia"/>
          <w:b/>
          <w:sz w:val="44"/>
          <w:szCs w:val="44"/>
          <w:highlight w:val="none"/>
        </w:rPr>
      </w:pPr>
    </w:p>
    <w:p w14:paraId="3BA80B46">
      <w:pPr>
        <w:pStyle w:val="6"/>
        <w:ind w:firstLine="883"/>
        <w:rPr>
          <w:rFonts w:hint="eastAsia"/>
          <w:b/>
          <w:sz w:val="44"/>
          <w:szCs w:val="44"/>
          <w:highlight w:val="none"/>
        </w:rPr>
      </w:pPr>
    </w:p>
    <w:p w14:paraId="543443E9">
      <w:pPr>
        <w:rPr>
          <w:rFonts w:hint="eastAsia"/>
          <w:highlight w:val="none"/>
        </w:rPr>
      </w:pPr>
    </w:p>
    <w:p w14:paraId="7825882F">
      <w:pPr>
        <w:spacing w:line="400" w:lineRule="exact"/>
        <w:ind w:firstLine="4130" w:firstLineChars="935"/>
        <w:rPr>
          <w:rFonts w:hint="eastAsia"/>
          <w:b/>
          <w:sz w:val="44"/>
          <w:szCs w:val="44"/>
          <w:highlight w:val="none"/>
        </w:rPr>
      </w:pPr>
    </w:p>
    <w:p w14:paraId="407A8138">
      <w:pPr>
        <w:jc w:val="center"/>
        <w:rPr>
          <w:rFonts w:hint="eastAsia"/>
          <w:b/>
          <w:sz w:val="44"/>
          <w:szCs w:val="44"/>
          <w:highlight w:val="none"/>
        </w:rPr>
      </w:pPr>
      <w:r>
        <w:rPr>
          <w:rFonts w:hint="eastAsia"/>
          <w:b/>
          <w:sz w:val="36"/>
          <w:szCs w:val="36"/>
          <w:highlight w:val="none"/>
        </w:rPr>
        <w:t>目   录</w:t>
      </w:r>
    </w:p>
    <w:p w14:paraId="3C29EEAC">
      <w:pPr>
        <w:spacing w:line="400" w:lineRule="exact"/>
        <w:rPr>
          <w:rFonts w:hint="eastAsia"/>
          <w:b/>
          <w:sz w:val="28"/>
          <w:szCs w:val="28"/>
          <w:highlight w:val="none"/>
        </w:rPr>
      </w:pPr>
    </w:p>
    <w:p w14:paraId="32F6618A">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（1）法定代表人身份证明及其有效身份证（或法定代表人授权委托书及其有效身份证）（格式见附件）；</w:t>
      </w:r>
    </w:p>
    <w:p w14:paraId="6D4AF87A">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（2）投标人有效的营业执照、税务登记证、组织机构代码证（或三合一证书）；</w:t>
      </w:r>
    </w:p>
    <w:p w14:paraId="3C2DA973">
      <w:pPr>
        <w:spacing w:line="360" w:lineRule="auto"/>
        <w:ind w:firstLine="420" w:firstLineChars="200"/>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3</w:t>
      </w:r>
      <w:r>
        <w:rPr>
          <w:rFonts w:hint="eastAsia" w:ascii="宋体" w:hAnsi="Times New Roman" w:eastAsia="宋体" w:cs="Times New Roman"/>
          <w:color w:val="auto"/>
          <w:szCs w:val="21"/>
          <w:highlight w:val="none"/>
        </w:rPr>
        <w:t>）诚信投标承诺书；</w:t>
      </w:r>
    </w:p>
    <w:p w14:paraId="5B005DCC">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hAnsi="Times New Roman" w:eastAsia="宋体" w:cs="Times New Roman"/>
          <w:color w:val="auto"/>
          <w:szCs w:val="21"/>
          <w:highlight w:val="none"/>
        </w:rPr>
        <w:t>（</w:t>
      </w:r>
      <w:r>
        <w:rPr>
          <w:rFonts w:hint="eastAsia" w:ascii="宋体" w:hAnsi="Times New Roman" w:eastAsia="宋体" w:cs="Times New Roman"/>
          <w:color w:val="auto"/>
          <w:szCs w:val="21"/>
          <w:highlight w:val="none"/>
          <w:lang w:val="en-US" w:eastAsia="zh-CN"/>
        </w:rPr>
        <w:t>4</w:t>
      </w:r>
      <w:r>
        <w:rPr>
          <w:rFonts w:hint="eastAsia" w:ascii="宋体" w:hAnsi="Times New Roman" w:eastAsia="宋体" w:cs="Times New Roman"/>
          <w:color w:val="auto"/>
          <w:szCs w:val="21"/>
          <w:highlight w:val="none"/>
        </w:rPr>
        <w:t>）服务承诺</w:t>
      </w:r>
      <w:r>
        <w:rPr>
          <w:rFonts w:hint="eastAsia" w:ascii="宋体" w:hAnsi="Times New Roman" w:eastAsia="宋体" w:cs="Times New Roman"/>
          <w:color w:val="auto"/>
          <w:szCs w:val="21"/>
          <w:highlight w:val="none"/>
          <w:lang w:eastAsia="zh-CN"/>
        </w:rPr>
        <w:t>；</w:t>
      </w:r>
    </w:p>
    <w:p w14:paraId="23B8DED5">
      <w:pPr>
        <w:spacing w:line="360" w:lineRule="auto"/>
        <w:ind w:firstLine="420" w:firstLineChars="200"/>
        <w:rPr>
          <w:rFonts w:hint="eastAsia" w:ascii="宋体" w:hAnsi="Times New Roman" w:eastAsia="宋体" w:cs="Times New Roman"/>
          <w:color w:val="auto"/>
          <w:szCs w:val="21"/>
          <w:highlight w:val="none"/>
          <w:lang w:eastAsia="zh-CN"/>
        </w:rPr>
      </w:pPr>
      <w:r>
        <w:rPr>
          <w:rFonts w:hint="eastAsia" w:ascii="宋体"/>
          <w:szCs w:val="21"/>
          <w:highlight w:val="none"/>
        </w:rPr>
        <w:t>（</w:t>
      </w:r>
      <w:r>
        <w:rPr>
          <w:rFonts w:hint="eastAsia" w:ascii="宋体"/>
          <w:szCs w:val="21"/>
          <w:highlight w:val="none"/>
          <w:lang w:val="en-US" w:eastAsia="zh-CN"/>
        </w:rPr>
        <w:t>5</w:t>
      </w:r>
      <w:r>
        <w:rPr>
          <w:rFonts w:hint="eastAsia" w:ascii="宋体"/>
          <w:szCs w:val="21"/>
          <w:highlight w:val="none"/>
        </w:rPr>
        <w:t>）</w:t>
      </w:r>
      <w:r>
        <w:rPr>
          <w:rFonts w:hint="eastAsia" w:ascii="宋体" w:hAnsi="Times New Roman" w:eastAsia="宋体" w:cs="Times New Roman"/>
          <w:color w:val="auto"/>
          <w:szCs w:val="21"/>
          <w:highlight w:val="none"/>
          <w:lang w:eastAsia="zh-CN"/>
        </w:rPr>
        <w:t>投标人认为需要提供的其他资信证明材料</w:t>
      </w:r>
      <w:r>
        <w:rPr>
          <w:rFonts w:hint="eastAsia" w:ascii="宋体" w:cs="Times New Roman"/>
          <w:color w:val="auto"/>
          <w:szCs w:val="21"/>
          <w:highlight w:val="none"/>
          <w:lang w:val="en-US" w:eastAsia="zh-CN"/>
        </w:rPr>
        <w:t>和资信评分所需材料</w:t>
      </w:r>
      <w:r>
        <w:rPr>
          <w:rFonts w:hint="eastAsia" w:ascii="宋体" w:hAnsi="Times New Roman" w:eastAsia="宋体" w:cs="Times New Roman"/>
          <w:color w:val="auto"/>
          <w:szCs w:val="21"/>
          <w:highlight w:val="none"/>
          <w:lang w:eastAsia="zh-CN"/>
        </w:rPr>
        <w:t>。</w:t>
      </w:r>
    </w:p>
    <w:p w14:paraId="02B3DBDA">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5762840B">
      <w:pPr>
        <w:keepNext w:val="0"/>
        <w:keepLines w:val="0"/>
        <w:widowControl/>
        <w:suppressLineNumbers w:val="0"/>
        <w:autoSpaceDE w:val="0"/>
        <w:autoSpaceDN/>
        <w:spacing w:before="0" w:beforeAutospacing="0" w:after="0" w:afterAutospacing="0" w:line="480" w:lineRule="auto"/>
        <w:ind w:left="720" w:right="0"/>
        <w:jc w:val="center"/>
        <w:rPr>
          <w:rFonts w:hint="eastAsia" w:ascii="宋体" w:hAnsi="宋体" w:eastAsia="宋体" w:cs="宋体"/>
          <w:b/>
          <w:bCs w:val="0"/>
          <w:sz w:val="28"/>
          <w:szCs w:val="28"/>
          <w:highlight w:val="none"/>
          <w:lang w:val="en-US"/>
        </w:rPr>
      </w:pPr>
      <w:r>
        <w:rPr>
          <w:rFonts w:hint="eastAsia" w:ascii="宋体" w:hAnsi="宋体" w:eastAsia="宋体" w:cs="宋体"/>
          <w:b/>
          <w:bCs w:val="0"/>
          <w:color w:val="000000"/>
          <w:kern w:val="0"/>
          <w:sz w:val="28"/>
          <w:szCs w:val="28"/>
          <w:highlight w:val="none"/>
          <w:u w:color="000000"/>
          <w:lang w:val="en-US" w:eastAsia="zh-CN" w:bidi="ar"/>
        </w:rPr>
        <w:t xml:space="preserve"> </w:t>
      </w:r>
    </w:p>
    <w:p w14:paraId="465587F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sz w:val="28"/>
          <w:szCs w:val="28"/>
          <w:highlight w:val="none"/>
          <w:lang w:val="en-US"/>
        </w:rPr>
      </w:pPr>
      <w:r>
        <w:rPr>
          <w:rFonts w:hint="default" w:ascii="Times New Roman" w:hAnsi="Times New Roman" w:eastAsia="宋体" w:cs="Times New Roman"/>
          <w:b/>
          <w:bCs w:val="0"/>
          <w:color w:val="000000"/>
          <w:kern w:val="0"/>
          <w:sz w:val="28"/>
          <w:szCs w:val="28"/>
          <w:highlight w:val="none"/>
          <w:lang w:val="en-US" w:eastAsia="zh-CN" w:bidi="ar"/>
        </w:rPr>
        <w:br w:type="page"/>
      </w:r>
    </w:p>
    <w:p w14:paraId="3E809E94">
      <w:pPr>
        <w:pStyle w:val="38"/>
        <w:keepNext w:val="0"/>
        <w:keepLines w:val="0"/>
        <w:pageBreakBefore w:val="0"/>
        <w:kinsoku/>
        <w:overflowPunct/>
        <w:topLinePunct w:val="0"/>
        <w:autoSpaceDE/>
        <w:autoSpaceDN/>
        <w:bidi w:val="0"/>
        <w:adjustRightInd/>
        <w:snapToGrid/>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1）</w:t>
      </w:r>
      <w:r>
        <w:rPr>
          <w:rFonts w:hint="eastAsia" w:ascii="宋体"/>
          <w:color w:val="auto"/>
          <w:sz w:val="24"/>
          <w:szCs w:val="24"/>
          <w:highlight w:val="none"/>
        </w:rPr>
        <w:t>1.法定代表人身份证明</w:t>
      </w:r>
    </w:p>
    <w:p w14:paraId="67B29470">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69A2B6F7">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6DB79AD1">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0022CFFA">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A8A989C">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23BBAC49">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hAnsi="Times New Roman" w:eastAsia="宋体" w:cs="Times New Roman"/>
          <w:sz w:val="24"/>
          <w:highlight w:val="none"/>
        </w:rPr>
        <w:t>姓</w:t>
      </w:r>
      <w:r>
        <w:rPr>
          <w:rFonts w:hint="eastAsia" w:ascii="宋体" w:hAnsi="Times New Roman" w:eastAsia="宋体" w:cs="Times New Roman"/>
          <w:sz w:val="24"/>
          <w:highlight w:val="none"/>
          <w:lang w:val="en-US" w:eastAsia="zh-CN"/>
        </w:rPr>
        <w:t xml:space="preserve">   </w:t>
      </w:r>
      <w:r>
        <w:rPr>
          <w:rFonts w:hint="eastAsia" w:ascii="宋体" w:hAnsi="Times New Roman" w:eastAsia="宋体" w:cs="Times New Roman"/>
          <w:sz w:val="24"/>
          <w:highlight w:val="none"/>
        </w:rPr>
        <w:t>名：</w:t>
      </w:r>
      <w:r>
        <w:rPr>
          <w:rFonts w:hint="eastAsia" w:ascii="宋体"/>
          <w:sz w:val="24"/>
          <w:highlight w:val="none"/>
          <w:u w:val="single"/>
        </w:rPr>
        <w:t xml:space="preserve">          </w:t>
      </w:r>
      <w:r>
        <w:rPr>
          <w:rFonts w:hint="eastAsia" w:ascii="宋体" w:hAnsi="Times New Roman" w:eastAsia="宋体" w:cs="Times New Roman"/>
          <w:sz w:val="24"/>
          <w:highlight w:val="none"/>
        </w:rPr>
        <w:t>身份证号码：</w:t>
      </w:r>
      <w:r>
        <w:rPr>
          <w:rFonts w:hint="eastAsia" w:ascii="宋体" w:hAnsi="Times New Roman" w:eastAsia="宋体" w:cs="Times New Roman"/>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lang w:eastAsia="zh-CN"/>
        </w:rPr>
        <w:t>，</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4AD26A31">
      <w:pPr>
        <w:keepNext w:val="0"/>
        <w:keepLines w:val="0"/>
        <w:pageBreakBefore w:val="0"/>
        <w:kinsoku/>
        <w:overflowPunct/>
        <w:topLinePunct w:val="0"/>
        <w:autoSpaceDE/>
        <w:autoSpaceDN/>
        <w:bidi w:val="0"/>
        <w:adjustRightInd/>
        <w:snapToGrid/>
        <w:spacing w:line="400" w:lineRule="exact"/>
        <w:rPr>
          <w:rFonts w:hint="eastAsia" w:ascii="宋体"/>
          <w:sz w:val="24"/>
          <w:highlight w:val="none"/>
        </w:rPr>
      </w:pPr>
      <w:r>
        <w:rPr>
          <w:rFonts w:hint="eastAsia" w:ascii="宋体"/>
          <w:sz w:val="24"/>
          <w:highlight w:val="none"/>
        </w:rPr>
        <w:t>特此证明。</w:t>
      </w:r>
    </w:p>
    <w:p w14:paraId="1E5E1AB8">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w:t>
      </w:r>
      <w:r>
        <w:rPr>
          <w:rFonts w:hint="eastAsia" w:ascii="宋体"/>
          <w:sz w:val="24"/>
          <w:highlight w:val="none"/>
          <w:lang w:val="en-US" w:eastAsia="zh-CN"/>
        </w:rPr>
        <w:t>盖</w:t>
      </w:r>
      <w:r>
        <w:rPr>
          <w:rFonts w:hint="eastAsia" w:ascii="宋体"/>
          <w:sz w:val="24"/>
          <w:highlight w:val="none"/>
        </w:rPr>
        <w:t>章）</w:t>
      </w:r>
    </w:p>
    <w:p w14:paraId="6F039E07">
      <w:pPr>
        <w:keepNext w:val="0"/>
        <w:keepLines w:val="0"/>
        <w:pageBreakBefore w:val="0"/>
        <w:kinsoku/>
        <w:wordWrap w:val="0"/>
        <w:overflowPunct/>
        <w:topLinePunct w:val="0"/>
        <w:autoSpaceDE/>
        <w:autoSpaceDN/>
        <w:bidi w:val="0"/>
        <w:adjustRightInd/>
        <w:snapToGrid/>
        <w:spacing w:line="400" w:lineRule="exact"/>
        <w:jc w:val="right"/>
        <w:rPr>
          <w:rFonts w:hint="eastAsia"/>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10A76931">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rPr>
          <w:rFonts w:hint="eastAsia" w:ascii="宋体"/>
          <w:color w:val="auto"/>
          <w:sz w:val="28"/>
          <w:szCs w:val="28"/>
          <w:highlight w:val="none"/>
        </w:rPr>
      </w:pPr>
      <w:r>
        <w:rPr>
          <w:rFonts w:hint="eastAsia" w:ascii="宋体"/>
          <w:color w:val="auto"/>
          <w:sz w:val="28"/>
          <w:szCs w:val="28"/>
          <w:highlight w:val="none"/>
        </w:rPr>
        <w:t>2.授权委托书</w:t>
      </w:r>
    </w:p>
    <w:p w14:paraId="0F754A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投</w:t>
      </w:r>
      <w:r>
        <w:rPr>
          <w:rFonts w:hint="eastAsia" w:ascii="宋体"/>
          <w:color w:val="auto"/>
          <w:sz w:val="24"/>
          <w:highlight w:val="none"/>
        </w:rPr>
        <w:t>标文件，全权处理与该项目投标、评审答疑、签订合同以及与合同执行有关的一切事务，其法律后果由我方承担。</w:t>
      </w:r>
    </w:p>
    <w:p w14:paraId="3FB938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highlight w:val="none"/>
        </w:rPr>
      </w:pPr>
      <w:r>
        <w:rPr>
          <w:rFonts w:hint="eastAsia" w:ascii="宋体"/>
          <w:color w:val="auto"/>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color w:val="auto"/>
          <w:sz w:val="24"/>
          <w:highlight w:val="none"/>
        </w:rPr>
        <w:t xml:space="preserve">                                </w:t>
      </w:r>
    </w:p>
    <w:p w14:paraId="4D3B2CF9">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sz w:val="28"/>
          <w:szCs w:val="28"/>
          <w:highlight w:val="none"/>
          <w:lang w:val="en-US"/>
        </w:rPr>
      </w:pPr>
      <w:r>
        <w:rPr>
          <w:rFonts w:hint="eastAsia" w:ascii="宋体" w:hAnsi="宋体" w:eastAsia="宋体" w:cs="宋体"/>
          <w:color w:val="000000"/>
          <w:kern w:val="0"/>
          <w:sz w:val="24"/>
          <w:szCs w:val="24"/>
          <w:highlight w:val="none"/>
          <w:u w:color="000000"/>
          <w:lang w:val="en-US" w:eastAsia="zh-CN" w:bidi="ar"/>
        </w:rPr>
        <w:t>代理人无转委托权，特此委托。</w:t>
      </w:r>
    </w:p>
    <w:p w14:paraId="7F9062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highlight w:val="none"/>
        </w:rPr>
      </w:pPr>
      <w:r>
        <w:rPr>
          <w:rFonts w:hint="eastAsia" w:ascii="宋体"/>
          <w:color w:val="auto"/>
          <w:sz w:val="24"/>
          <w:highlight w:val="none"/>
        </w:rPr>
        <w:t>附：</w:t>
      </w:r>
      <w:r>
        <w:rPr>
          <w:rFonts w:hint="eastAsia" w:ascii="宋体" w:hAnsi="Times New Roman" w:eastAsia="宋体" w:cs="Times New Roman"/>
          <w:color w:val="auto"/>
          <w:sz w:val="24"/>
          <w:highlight w:val="none"/>
        </w:rPr>
        <w:t>委托</w:t>
      </w:r>
      <w:r>
        <w:rPr>
          <w:rFonts w:hint="eastAsia" w:ascii="宋体" w:hAnsi="Times New Roman" w:eastAsia="宋体" w:cs="Times New Roman"/>
          <w:color w:val="auto"/>
          <w:sz w:val="24"/>
          <w:highlight w:val="none"/>
          <w:lang w:val="en-US" w:eastAsia="zh-CN"/>
        </w:rPr>
        <w:t>代理</w:t>
      </w:r>
      <w:r>
        <w:rPr>
          <w:rFonts w:hint="eastAsia" w:ascii="宋体" w:hAnsi="Times New Roman" w:eastAsia="宋体" w:cs="Times New Roman"/>
          <w:color w:val="auto"/>
          <w:sz w:val="24"/>
          <w:highlight w:val="none"/>
        </w:rPr>
        <w:t>人有效身份证扫描件</w:t>
      </w:r>
    </w:p>
    <w:p w14:paraId="0A935B70">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法定代表人有效身份证扫描件</w:t>
      </w:r>
    </w:p>
    <w:p w14:paraId="70F6CD56">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sz w:val="24"/>
          <w:szCs w:val="24"/>
          <w:highlight w:val="none"/>
          <w:lang w:val="en-US"/>
        </w:rPr>
      </w:pPr>
    </w:p>
    <w:p w14:paraId="7667E0E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highlight w:val="none"/>
          <w:lang w:val="en-US"/>
        </w:rPr>
      </w:pPr>
      <w:r>
        <w:rPr>
          <w:rFonts w:hint="eastAsia" w:ascii="宋体" w:hAnsi="宋体" w:eastAsia="宋体" w:cs="宋体"/>
          <w:color w:val="000000"/>
          <w:kern w:val="0"/>
          <w:sz w:val="28"/>
          <w:szCs w:val="28"/>
          <w:highlight w:val="none"/>
          <w:u w:color="000000"/>
          <w:lang w:val="en-US" w:eastAsia="zh-CN" w:bidi="ar"/>
        </w:rPr>
        <w:t xml:space="preserve">             </w:t>
      </w:r>
      <w:r>
        <w:rPr>
          <w:rFonts w:hint="eastAsia" w:ascii="宋体" w:hAnsi="宋体" w:eastAsia="宋体" w:cs="宋体"/>
          <w:color w:val="000000"/>
          <w:kern w:val="0"/>
          <w:sz w:val="21"/>
          <w:szCs w:val="21"/>
          <w:highlight w:val="none"/>
          <w:u w:color="000000"/>
          <w:lang w:val="en-US" w:eastAsia="zh-CN" w:bidi="ar"/>
        </w:rPr>
        <w:t xml:space="preserve"> </w:t>
      </w:r>
    </w:p>
    <w:p w14:paraId="7E111A4B">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投标人（盖单位章）：</w:t>
      </w:r>
    </w:p>
    <w:p w14:paraId="7FBC2353">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法定代表人（身份证号码）：           （签字或盖章）</w:t>
      </w:r>
    </w:p>
    <w:p w14:paraId="57F72B99">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委托代理人（身份证号码）：           （签字或盖章）</w:t>
      </w:r>
    </w:p>
    <w:p w14:paraId="6015DCCD">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highlight w:val="none"/>
          <w:lang w:val="en-US"/>
        </w:rPr>
      </w:pPr>
      <w:r>
        <w:rPr>
          <w:rFonts w:hint="eastAsia" w:ascii="宋体" w:hAnsi="宋体" w:eastAsia="宋体" w:cs="宋体"/>
          <w:color w:val="000000"/>
          <w:kern w:val="0"/>
          <w:sz w:val="21"/>
          <w:szCs w:val="21"/>
          <w:highlight w:val="none"/>
          <w:u w:color="000000"/>
          <w:lang w:val="en-US" w:eastAsia="zh-CN" w:bidi="ar"/>
        </w:rPr>
        <w:t xml:space="preserve">  年    月    日</w:t>
      </w:r>
    </w:p>
    <w:p w14:paraId="78550558">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71D34958">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36E3B59D">
      <w:pPr>
        <w:spacing w:line="360" w:lineRule="exact"/>
        <w:ind w:firstLine="413" w:firstLineChars="147"/>
        <w:jc w:val="left"/>
        <w:rPr>
          <w:rFonts w:hint="eastAsia" w:ascii="宋体" w:hAnsi="宋体" w:eastAsia="宋体" w:cs="宋体"/>
          <w:b/>
          <w:bCs w:val="0"/>
          <w:color w:val="000000"/>
          <w:kern w:val="0"/>
          <w:sz w:val="28"/>
          <w:szCs w:val="28"/>
          <w:highlight w:val="none"/>
          <w:u w:color="000000"/>
          <w:lang w:val="en-US" w:eastAsia="zh-CN" w:bidi="ar"/>
        </w:rPr>
      </w:pPr>
    </w:p>
    <w:p w14:paraId="005042B5">
      <w:pPr>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3496123B">
      <w:pPr>
        <w:spacing w:line="360" w:lineRule="exact"/>
        <w:ind w:firstLine="413" w:firstLineChars="147"/>
        <w:jc w:val="center"/>
        <w:rPr>
          <w:rFonts w:hint="default" w:ascii="Calibri" w:hAnsi="Calibri" w:cs="Times New Roman"/>
          <w:b/>
          <w:bCs w:val="0"/>
          <w:sz w:val="28"/>
          <w:szCs w:val="28"/>
          <w:highlight w:val="none"/>
          <w:lang w:val="en-US"/>
        </w:rPr>
      </w:pPr>
      <w:r>
        <w:rPr>
          <w:rFonts w:hint="eastAsia"/>
          <w:b/>
          <w:sz w:val="28"/>
          <w:szCs w:val="28"/>
          <w:highlight w:val="none"/>
          <w:lang w:eastAsia="zh-CN"/>
        </w:rPr>
        <w:t>（</w:t>
      </w:r>
      <w:r>
        <w:rPr>
          <w:rFonts w:hint="eastAsia"/>
          <w:b/>
          <w:sz w:val="28"/>
          <w:szCs w:val="28"/>
          <w:highlight w:val="none"/>
          <w:lang w:val="en-US" w:eastAsia="zh-CN"/>
        </w:rPr>
        <w:t>2）</w:t>
      </w:r>
      <w:r>
        <w:rPr>
          <w:rFonts w:hint="eastAsia"/>
          <w:b/>
          <w:sz w:val="28"/>
          <w:szCs w:val="28"/>
          <w:highlight w:val="none"/>
        </w:rPr>
        <w:t>诚信投标承诺书</w:t>
      </w:r>
    </w:p>
    <w:p w14:paraId="0CD1A1E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bookmarkStart w:id="355" w:name="_Toc425084385"/>
      <w:bookmarkStart w:id="356" w:name="_Toc451384148"/>
      <w:r>
        <w:rPr>
          <w:rFonts w:hint="eastAsia" w:ascii="宋体" w:hAnsi="宋体"/>
          <w:color w:val="000000"/>
          <w:szCs w:val="21"/>
          <w:highlight w:val="none"/>
        </w:rPr>
        <w:t>一、将遵循公</w:t>
      </w:r>
      <w:bookmarkStart w:id="357" w:name="_Toc503196197"/>
      <w:bookmarkStart w:id="358" w:name="_Toc506107356"/>
      <w:bookmarkStart w:id="359" w:name="_Toc26598"/>
      <w:r>
        <w:rPr>
          <w:rFonts w:hint="eastAsia" w:ascii="宋体" w:hAnsi="宋体"/>
          <w:color w:val="000000"/>
          <w:szCs w:val="21"/>
          <w:highlight w:val="none"/>
        </w:rPr>
        <w:t>开、公正和诚实信用</w:t>
      </w:r>
      <w:bookmarkEnd w:id="357"/>
      <w:bookmarkEnd w:id="358"/>
      <w:r>
        <w:rPr>
          <w:rFonts w:hint="eastAsia" w:ascii="宋体" w:hAnsi="宋体"/>
          <w:color w:val="000000"/>
          <w:szCs w:val="21"/>
          <w:highlight w:val="none"/>
        </w:rPr>
        <w:t>的</w:t>
      </w:r>
      <w:bookmarkEnd w:id="359"/>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3F20629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5E1406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3DBBD43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55B90D1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3CBCD0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rPr>
        <w:t>六、</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没有下列情形：</w:t>
      </w:r>
      <w:bookmarkStart w:id="360" w:name="OLE_LINK133"/>
      <w:bookmarkStart w:id="361" w:name="OLE_LINK134"/>
      <w:r>
        <w:rPr>
          <w:rFonts w:hint="eastAsia" w:ascii="宋体" w:hAnsi="宋体"/>
          <w:color w:val="000000"/>
          <w:szCs w:val="21"/>
          <w:highlight w:val="none"/>
        </w:rPr>
        <w:t>①被列入“信用中国”网站“失信被执行人”的</w:t>
      </w:r>
      <w:r>
        <w:rPr>
          <w:rFonts w:hint="eastAsia" w:ascii="宋体" w:hAnsi="宋体"/>
          <w:color w:val="000000"/>
          <w:szCs w:val="21"/>
          <w:highlight w:val="none"/>
          <w:lang w:eastAsia="zh-CN"/>
        </w:rPr>
        <w:t>；</w:t>
      </w:r>
      <w:r>
        <w:rPr>
          <w:rFonts w:hint="eastAsia" w:ascii="宋体" w:hAnsi="宋体"/>
          <w:color w:val="000000"/>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的</w:t>
      </w:r>
      <w:r>
        <w:rPr>
          <w:rFonts w:hint="eastAsia" w:ascii="宋体" w:hAnsi="宋体"/>
          <w:color w:val="000000"/>
          <w:szCs w:val="21"/>
          <w:highlight w:val="none"/>
          <w:lang w:eastAsia="zh-CN"/>
        </w:rPr>
        <w:t>；</w:t>
      </w:r>
      <w:r>
        <w:rPr>
          <w:rFonts w:hint="eastAsia" w:ascii="宋体" w:hAnsi="宋体"/>
          <w:color w:val="000000"/>
          <w:szCs w:val="21"/>
          <w:highlight w:val="none"/>
        </w:rPr>
        <w:t>⑥被列入国家企业信用信息公示系统网站“经营异常名录”或者“严重违法失信名单”的。⑦前三年有行贿犯罪行为的单位和个人</w:t>
      </w:r>
      <w:bookmarkEnd w:id="360"/>
      <w:bookmarkEnd w:id="361"/>
      <w:r>
        <w:rPr>
          <w:rFonts w:hint="eastAsia" w:ascii="宋体" w:hAnsi="宋体"/>
          <w:color w:val="000000"/>
          <w:szCs w:val="21"/>
          <w:highlight w:val="none"/>
          <w:lang w:eastAsia="zh-CN"/>
        </w:rPr>
        <w:t>。</w:t>
      </w:r>
    </w:p>
    <w:p w14:paraId="1DA010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七</w:t>
      </w:r>
      <w:r>
        <w:rPr>
          <w:rFonts w:hint="eastAsia" w:ascii="宋体" w:hAnsi="宋体"/>
          <w:color w:val="000000"/>
          <w:szCs w:val="21"/>
          <w:highlight w:val="none"/>
        </w:rPr>
        <w:t>、保证中标后不转包及使用挂靠</w:t>
      </w:r>
      <w:r>
        <w:rPr>
          <w:rFonts w:hint="eastAsia" w:ascii="宋体" w:hAnsi="宋体"/>
          <w:color w:val="000000"/>
          <w:szCs w:val="21"/>
          <w:highlight w:val="none"/>
          <w:lang w:val="en-US" w:eastAsia="zh-CN"/>
        </w:rPr>
        <w:t>服务</w:t>
      </w:r>
      <w:r>
        <w:rPr>
          <w:rFonts w:hint="eastAsia" w:ascii="宋体" w:hAnsi="宋体"/>
          <w:color w:val="000000"/>
          <w:szCs w:val="21"/>
          <w:highlight w:val="none"/>
        </w:rPr>
        <w:t>队伍，若有分包征得</w:t>
      </w:r>
      <w:r>
        <w:rPr>
          <w:rFonts w:hint="eastAsia" w:ascii="宋体" w:hAnsi="宋体"/>
          <w:color w:val="000000"/>
          <w:szCs w:val="21"/>
          <w:highlight w:val="none"/>
          <w:lang w:val="en-US" w:eastAsia="zh-CN"/>
        </w:rPr>
        <w:t>招标人</w:t>
      </w:r>
      <w:r>
        <w:rPr>
          <w:rFonts w:hint="eastAsia" w:ascii="宋体" w:hAnsi="宋体"/>
          <w:color w:val="000000"/>
          <w:szCs w:val="21"/>
          <w:highlight w:val="none"/>
        </w:rPr>
        <w:t>同意；</w:t>
      </w:r>
    </w:p>
    <w:p w14:paraId="477CF48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八</w:t>
      </w:r>
      <w:r>
        <w:rPr>
          <w:rFonts w:hint="eastAsia" w:ascii="宋体" w:hAnsi="宋体"/>
          <w:color w:val="000000"/>
          <w:szCs w:val="21"/>
          <w:highlight w:val="none"/>
        </w:rPr>
        <w:t>、保证中标之后，按照投标文件承诺派驻人员，如有违反，同意接受</w:t>
      </w:r>
      <w:r>
        <w:rPr>
          <w:rFonts w:hint="eastAsia" w:ascii="宋体" w:hAnsi="宋体"/>
          <w:color w:val="000000"/>
          <w:szCs w:val="21"/>
          <w:highlight w:val="none"/>
          <w:lang w:val="en-US" w:eastAsia="zh-CN"/>
        </w:rPr>
        <w:t>招标</w:t>
      </w:r>
      <w:r>
        <w:rPr>
          <w:rFonts w:hint="eastAsia" w:ascii="宋体" w:hAnsi="宋体"/>
          <w:color w:val="000000"/>
          <w:szCs w:val="21"/>
          <w:highlight w:val="none"/>
        </w:rPr>
        <w:t>单位违约处罚；</w:t>
      </w:r>
    </w:p>
    <w:p w14:paraId="5DD150C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九</w:t>
      </w:r>
      <w:r>
        <w:rPr>
          <w:rFonts w:hint="eastAsia" w:ascii="宋体" w:hAnsi="宋体"/>
          <w:color w:val="000000"/>
          <w:szCs w:val="21"/>
          <w:highlight w:val="none"/>
        </w:rPr>
        <w:t>、保证企业及所属相关人员在本次投标中无行贿等犯罪行为；</w:t>
      </w:r>
    </w:p>
    <w:p w14:paraId="4D6E76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000000"/>
          <w:szCs w:val="21"/>
          <w:highlight w:val="none"/>
          <w:lang w:eastAsia="zh-CN"/>
        </w:rPr>
      </w:pPr>
      <w:r>
        <w:rPr>
          <w:rFonts w:hint="eastAsia" w:ascii="宋体" w:hAnsi="宋体"/>
          <w:color w:val="000000"/>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szCs w:val="21"/>
          <w:highlight w:val="none"/>
          <w:lang w:eastAsia="zh-CN"/>
        </w:rPr>
        <w:t>。</w:t>
      </w:r>
    </w:p>
    <w:p w14:paraId="164C92A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C515C8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 </w:t>
      </w:r>
    </w:p>
    <w:p w14:paraId="30865DD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开户银行：                          基本账户：</w:t>
      </w:r>
    </w:p>
    <w:p w14:paraId="5BDE0E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投标单位（签章或盖章）：          法定代表人（签字或签章）：</w:t>
      </w:r>
    </w:p>
    <w:p w14:paraId="45D54A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szCs w:val="21"/>
          <w:highlight w:val="none"/>
        </w:rPr>
      </w:pPr>
    </w:p>
    <w:p w14:paraId="5D3E3380">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760D4728">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3B262F83">
      <w:pPr>
        <w:keepNext/>
        <w:keepLines/>
        <w:pageBreakBefore w:val="0"/>
        <w:widowControl w:val="0"/>
        <w:kinsoku/>
        <w:wordWrap/>
        <w:overflowPunct/>
        <w:topLinePunct w:val="0"/>
        <w:autoSpaceDE/>
        <w:autoSpaceDN/>
        <w:bidi w:val="0"/>
        <w:adjustRightInd/>
        <w:snapToGrid/>
        <w:spacing w:line="300" w:lineRule="exact"/>
        <w:jc w:val="center"/>
        <w:textAlignment w:val="auto"/>
        <w:outlineLvl w:val="2"/>
        <w:rPr>
          <w:rFonts w:hint="eastAsia"/>
          <w:b/>
          <w:bCs/>
          <w:sz w:val="28"/>
          <w:szCs w:val="28"/>
          <w:highlight w:val="none"/>
          <w:lang w:eastAsia="zh-CN"/>
        </w:rPr>
      </w:pPr>
    </w:p>
    <w:p w14:paraId="02E3582A">
      <w:pPr>
        <w:keepNext/>
        <w:keepLines/>
        <w:pageBreakBefore w:val="0"/>
        <w:widowControl w:val="0"/>
        <w:kinsoku/>
        <w:wordWrap/>
        <w:overflowPunct/>
        <w:topLinePunct w:val="0"/>
        <w:autoSpaceDE/>
        <w:autoSpaceDN/>
        <w:bidi w:val="0"/>
        <w:adjustRightInd/>
        <w:snapToGrid/>
        <w:spacing w:line="360" w:lineRule="auto"/>
        <w:jc w:val="center"/>
        <w:textAlignment w:val="auto"/>
        <w:outlineLvl w:val="2"/>
        <w:rPr>
          <w:b/>
          <w:bCs/>
          <w:sz w:val="28"/>
          <w:szCs w:val="28"/>
          <w:highlight w:val="none"/>
        </w:rPr>
      </w:pPr>
      <w:r>
        <w:rPr>
          <w:rFonts w:hint="eastAsia"/>
          <w:b/>
          <w:bCs/>
          <w:sz w:val="28"/>
          <w:szCs w:val="28"/>
          <w:highlight w:val="none"/>
          <w:lang w:eastAsia="zh-CN"/>
        </w:rPr>
        <w:t>（</w:t>
      </w:r>
      <w:r>
        <w:rPr>
          <w:rFonts w:hint="eastAsia"/>
          <w:b/>
          <w:bCs/>
          <w:sz w:val="28"/>
          <w:szCs w:val="28"/>
          <w:highlight w:val="none"/>
          <w:lang w:val="en-US" w:eastAsia="zh-CN"/>
        </w:rPr>
        <w:t>3）</w:t>
      </w:r>
      <w:r>
        <w:rPr>
          <w:rFonts w:hint="eastAsia"/>
          <w:b/>
          <w:bCs/>
          <w:sz w:val="28"/>
          <w:szCs w:val="28"/>
          <w:highlight w:val="none"/>
        </w:rPr>
        <w:t>服务承诺书</w:t>
      </w:r>
    </w:p>
    <w:p w14:paraId="43CC56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729E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olor w:val="000000"/>
          <w:sz w:val="24"/>
          <w:highlight w:val="none"/>
          <w:lang w:val="en-US" w:eastAsia="zh-CN"/>
        </w:rPr>
      </w:pPr>
      <w:r>
        <w:rPr>
          <w:rFonts w:hint="eastAsia" w:ascii="宋体" w:hAnsi="宋体"/>
          <w:color w:val="000000"/>
          <w:sz w:val="24"/>
          <w:highlight w:val="none"/>
          <w:lang w:val="en-US" w:eastAsia="zh-CN"/>
        </w:rPr>
        <w:t>本承诺声明：（投标人名称）对本招标文件所有要求完全响应，若有幸中标将严格按照以上承诺进行服务且提供不少于2年的质保期。若发现有偏离且不能按招标人要求调整的，招标人有权终止合同重新招标，我方承担因此产生的所有经济及工期责任。</w:t>
      </w:r>
    </w:p>
    <w:p w14:paraId="5692EB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特此声明。</w:t>
      </w:r>
    </w:p>
    <w:p w14:paraId="7E75DDF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w:t>
      </w:r>
    </w:p>
    <w:p w14:paraId="101BEA8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（签字或签章）       </w:t>
      </w:r>
    </w:p>
    <w:p w14:paraId="33F52DD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sz w:val="24"/>
          <w:highlight w:val="none"/>
          <w:u w:val="single"/>
        </w:rPr>
      </w:pPr>
      <w:r>
        <w:rPr>
          <w:rFonts w:hint="eastAsia" w:ascii="宋体" w:hAnsi="宋体"/>
          <w:color w:val="000000"/>
          <w:sz w:val="24"/>
          <w:highlight w:val="none"/>
        </w:rPr>
        <w:t xml:space="preserve">                                     </w:t>
      </w:r>
    </w:p>
    <w:p w14:paraId="3BAF78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（盖章）    </w:t>
      </w:r>
    </w:p>
    <w:p w14:paraId="22D42F3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rPr>
      </w:pPr>
    </w:p>
    <w:p w14:paraId="180FA26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3AFB0F11">
      <w:pPr>
        <w:spacing w:line="400" w:lineRule="exact"/>
        <w:ind w:firstLine="482" w:firstLineChars="200"/>
        <w:rPr>
          <w:rFonts w:ascii="宋体" w:hAnsi="宋体"/>
          <w:b/>
          <w:color w:val="000000"/>
          <w:sz w:val="24"/>
          <w:highlight w:val="none"/>
        </w:rPr>
      </w:pPr>
    </w:p>
    <w:bookmarkEnd w:id="355"/>
    <w:bookmarkEnd w:id="356"/>
    <w:p w14:paraId="45610A89">
      <w:pPr>
        <w:keepNext w:val="0"/>
        <w:keepLines w:val="0"/>
        <w:widowControl/>
        <w:suppressLineNumbers w:val="0"/>
        <w:spacing w:before="0" w:beforeAutospacing="0" w:after="0" w:afterAutospacing="0" w:line="357" w:lineRule="atLeast"/>
        <w:ind w:left="0" w:right="0"/>
        <w:jc w:val="both"/>
        <w:rPr>
          <w:rFonts w:hint="eastAsia" w:ascii="黑体" w:hAnsi="宋体" w:eastAsia="黑体" w:cs="黑体"/>
          <w:sz w:val="20"/>
          <w:szCs w:val="20"/>
          <w:highlight w:val="none"/>
          <w:lang w:val="en-US"/>
        </w:rPr>
      </w:pPr>
      <w:r>
        <w:rPr>
          <w:rFonts w:hint="eastAsia" w:ascii="宋体" w:hAnsi="宋体"/>
          <w:b/>
          <w:color w:val="auto"/>
          <w:sz w:val="30"/>
          <w:szCs w:val="30"/>
          <w:highlight w:val="none"/>
          <w:lang w:val="en-US" w:eastAsia="zh-CN"/>
        </w:rPr>
        <w:br w:type="page"/>
      </w:r>
    </w:p>
    <w:p w14:paraId="29750494">
      <w:pPr>
        <w:widowControl/>
        <w:jc w:val="center"/>
        <w:rPr>
          <w:rFonts w:hint="eastAsia" w:ascii="宋体" w:hAnsi="宋体"/>
          <w:b/>
          <w:sz w:val="28"/>
          <w:szCs w:val="28"/>
          <w:highlight w:val="none"/>
        </w:rPr>
      </w:pPr>
      <w:r>
        <w:rPr>
          <w:rFonts w:hint="eastAsia" w:ascii="宋体" w:hAnsi="宋体"/>
          <w:b/>
          <w:sz w:val="28"/>
          <w:szCs w:val="28"/>
          <w:highlight w:val="none"/>
        </w:rPr>
        <w:t>二、技术标格式文件</w:t>
      </w:r>
    </w:p>
    <w:p w14:paraId="3A10B31A">
      <w:pPr>
        <w:pStyle w:val="6"/>
        <w:rPr>
          <w:rFonts w:hint="eastAsia"/>
          <w:highlight w:val="none"/>
        </w:rPr>
      </w:pPr>
    </w:p>
    <w:p w14:paraId="1E4CEA7A">
      <w:pPr>
        <w:jc w:val="center"/>
        <w:rPr>
          <w:rFonts w:hint="eastAsia" w:ascii="宋体"/>
          <w:b/>
          <w:sz w:val="44"/>
          <w:szCs w:val="44"/>
          <w:highlight w:val="none"/>
        </w:rPr>
      </w:pPr>
      <w:r>
        <w:rPr>
          <w:rFonts w:hint="eastAsia" w:ascii="宋体"/>
          <w:b/>
          <w:sz w:val="44"/>
          <w:szCs w:val="44"/>
          <w:highlight w:val="none"/>
        </w:rPr>
        <w:t>技术标</w:t>
      </w:r>
    </w:p>
    <w:p w14:paraId="0697AFE5">
      <w:pPr>
        <w:jc w:val="center"/>
        <w:rPr>
          <w:rFonts w:hint="eastAsia" w:ascii="宋体"/>
          <w:sz w:val="32"/>
          <w:szCs w:val="32"/>
          <w:highlight w:val="none"/>
        </w:rPr>
      </w:pPr>
      <w:r>
        <w:rPr>
          <w:rFonts w:hint="eastAsia" w:ascii="宋体"/>
          <w:sz w:val="32"/>
          <w:szCs w:val="32"/>
          <w:highlight w:val="none"/>
        </w:rPr>
        <w:t>（投标文件二）</w:t>
      </w:r>
    </w:p>
    <w:p w14:paraId="5FE59CF4">
      <w:pPr>
        <w:jc w:val="center"/>
        <w:rPr>
          <w:rFonts w:hint="eastAsia" w:eastAsia="黑体"/>
          <w:sz w:val="44"/>
          <w:szCs w:val="44"/>
          <w:highlight w:val="none"/>
        </w:rPr>
      </w:pPr>
    </w:p>
    <w:p w14:paraId="1D6C5C01">
      <w:pPr>
        <w:jc w:val="center"/>
        <w:rPr>
          <w:rFonts w:hint="eastAsia" w:ascii="宋体"/>
          <w:sz w:val="32"/>
          <w:szCs w:val="32"/>
          <w:highlight w:val="none"/>
        </w:rPr>
      </w:pPr>
      <w:r>
        <w:rPr>
          <w:rFonts w:hint="eastAsia" w:ascii="宋体"/>
          <w:sz w:val="32"/>
          <w:szCs w:val="32"/>
          <w:highlight w:val="none"/>
          <w:u w:val="single"/>
        </w:rPr>
        <w:t xml:space="preserve">        </w:t>
      </w:r>
      <w:r>
        <w:rPr>
          <w:rFonts w:hint="eastAsia" w:ascii="宋体"/>
          <w:sz w:val="32"/>
          <w:szCs w:val="32"/>
          <w:highlight w:val="none"/>
        </w:rPr>
        <w:t>项目</w:t>
      </w:r>
    </w:p>
    <w:p w14:paraId="4E830435">
      <w:pPr>
        <w:rPr>
          <w:rFonts w:hint="eastAsia" w:ascii="宋体"/>
          <w:sz w:val="28"/>
          <w:szCs w:val="28"/>
          <w:highlight w:val="none"/>
        </w:rPr>
      </w:pPr>
    </w:p>
    <w:p w14:paraId="4F83C827">
      <w:pPr>
        <w:rPr>
          <w:rFonts w:hint="eastAsia" w:ascii="宋体"/>
          <w:sz w:val="28"/>
          <w:szCs w:val="28"/>
          <w:highlight w:val="none"/>
        </w:rPr>
      </w:pPr>
    </w:p>
    <w:p w14:paraId="36625B20">
      <w:pPr>
        <w:rPr>
          <w:rFonts w:hint="eastAsia" w:ascii="宋体"/>
          <w:sz w:val="28"/>
          <w:szCs w:val="28"/>
          <w:highlight w:val="none"/>
        </w:rPr>
      </w:pPr>
    </w:p>
    <w:p w14:paraId="5171E2FF">
      <w:pPr>
        <w:rPr>
          <w:rFonts w:hint="eastAsia" w:ascii="宋体"/>
          <w:sz w:val="28"/>
          <w:szCs w:val="28"/>
          <w:highlight w:val="none"/>
        </w:rPr>
      </w:pPr>
    </w:p>
    <w:p w14:paraId="0907EB8D">
      <w:pPr>
        <w:tabs>
          <w:tab w:val="left" w:pos="2579"/>
        </w:tabs>
        <w:rPr>
          <w:rFonts w:hint="eastAsia" w:ascii="宋体"/>
          <w:sz w:val="28"/>
          <w:szCs w:val="28"/>
          <w:highlight w:val="none"/>
        </w:rPr>
      </w:pPr>
      <w:r>
        <w:rPr>
          <w:rFonts w:ascii="宋体"/>
          <w:sz w:val="28"/>
          <w:szCs w:val="28"/>
          <w:highlight w:val="none"/>
        </w:rPr>
        <w:tab/>
      </w:r>
    </w:p>
    <w:p w14:paraId="2D9E34E1">
      <w:pPr>
        <w:rPr>
          <w:rFonts w:hint="eastAsia" w:ascii="宋体"/>
          <w:sz w:val="28"/>
          <w:szCs w:val="28"/>
          <w:highlight w:val="none"/>
        </w:rPr>
      </w:pPr>
    </w:p>
    <w:p w14:paraId="6DB7795A">
      <w:pPr>
        <w:rPr>
          <w:rFonts w:hint="eastAsia" w:ascii="宋体"/>
          <w:sz w:val="28"/>
          <w:szCs w:val="28"/>
          <w:highlight w:val="none"/>
        </w:rPr>
      </w:pPr>
    </w:p>
    <w:p w14:paraId="35B3614A">
      <w:pPr>
        <w:rPr>
          <w:rFonts w:hint="eastAsia" w:ascii="宋体"/>
          <w:sz w:val="28"/>
          <w:szCs w:val="28"/>
          <w:highlight w:val="none"/>
        </w:rPr>
      </w:pPr>
    </w:p>
    <w:p w14:paraId="444187F9">
      <w:pPr>
        <w:rPr>
          <w:rFonts w:hint="eastAsia" w:ascii="宋体"/>
          <w:sz w:val="28"/>
          <w:szCs w:val="28"/>
          <w:highlight w:val="none"/>
        </w:rPr>
      </w:pPr>
    </w:p>
    <w:p w14:paraId="0F5C5A0F">
      <w:pPr>
        <w:rPr>
          <w:rFonts w:hint="eastAsia" w:ascii="宋体"/>
          <w:sz w:val="28"/>
          <w:szCs w:val="28"/>
          <w:highlight w:val="none"/>
        </w:rPr>
      </w:pPr>
    </w:p>
    <w:p w14:paraId="39E03996">
      <w:pPr>
        <w:rPr>
          <w:rFonts w:hint="eastAsia" w:ascii="宋体"/>
          <w:sz w:val="28"/>
          <w:szCs w:val="28"/>
          <w:highlight w:val="none"/>
        </w:rPr>
      </w:pPr>
    </w:p>
    <w:p w14:paraId="737EDBC1">
      <w:pPr>
        <w:jc w:val="center"/>
        <w:rPr>
          <w:rFonts w:hint="eastAsia" w:ascii="宋体"/>
          <w:sz w:val="28"/>
          <w:szCs w:val="28"/>
          <w:highlight w:val="none"/>
          <w:u w:val="single"/>
        </w:rPr>
      </w:pPr>
      <w:r>
        <w:rPr>
          <w:rFonts w:hint="eastAsia" w:ascii="宋体"/>
          <w:sz w:val="28"/>
          <w:szCs w:val="28"/>
          <w:highlight w:val="none"/>
        </w:rPr>
        <w:t>投标人：</w:t>
      </w:r>
      <w:r>
        <w:rPr>
          <w:rFonts w:hint="eastAsia" w:ascii="宋体"/>
          <w:sz w:val="28"/>
          <w:szCs w:val="28"/>
          <w:highlight w:val="none"/>
          <w:u w:val="single"/>
        </w:rPr>
        <w:t xml:space="preserve">                              </w:t>
      </w:r>
      <w:r>
        <w:rPr>
          <w:rFonts w:hint="eastAsia" w:ascii="宋体"/>
          <w:sz w:val="28"/>
          <w:szCs w:val="28"/>
          <w:highlight w:val="none"/>
        </w:rPr>
        <w:t>（签章）</w:t>
      </w:r>
    </w:p>
    <w:p w14:paraId="5E82C039">
      <w:pPr>
        <w:ind w:firstLine="560" w:firstLineChars="200"/>
        <w:rPr>
          <w:rFonts w:hint="eastAsia" w:ascii="宋体"/>
          <w:sz w:val="28"/>
          <w:szCs w:val="28"/>
          <w:highlight w:val="none"/>
        </w:rPr>
      </w:pPr>
      <w:r>
        <w:rPr>
          <w:rFonts w:hint="eastAsia" w:ascii="宋体"/>
          <w:sz w:val="28"/>
          <w:szCs w:val="28"/>
          <w:highlight w:val="none"/>
        </w:rPr>
        <w:t>法定代表人：</w:t>
      </w:r>
      <w:r>
        <w:rPr>
          <w:rFonts w:hint="eastAsia" w:ascii="宋体"/>
          <w:sz w:val="28"/>
          <w:szCs w:val="28"/>
          <w:highlight w:val="none"/>
          <w:u w:val="single"/>
        </w:rPr>
        <w:t xml:space="preserve">                              </w:t>
      </w:r>
      <w:r>
        <w:rPr>
          <w:rFonts w:hint="eastAsia" w:ascii="宋体"/>
          <w:sz w:val="28"/>
          <w:szCs w:val="28"/>
          <w:highlight w:val="none"/>
        </w:rPr>
        <w:t>（签章）</w:t>
      </w:r>
    </w:p>
    <w:p w14:paraId="5EA52CA5">
      <w:pPr>
        <w:jc w:val="center"/>
        <w:rPr>
          <w:rFonts w:hint="eastAsia"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22D17A86">
      <w:pPr>
        <w:ind w:firstLine="565" w:firstLineChars="202"/>
        <w:jc w:val="left"/>
        <w:rPr>
          <w:rFonts w:hint="eastAsia" w:ascii="宋体"/>
          <w:sz w:val="28"/>
          <w:szCs w:val="28"/>
          <w:highlight w:val="none"/>
        </w:rPr>
      </w:pPr>
    </w:p>
    <w:p w14:paraId="1E1C9856">
      <w:pPr>
        <w:spacing w:line="720" w:lineRule="auto"/>
        <w:jc w:val="both"/>
        <w:rPr>
          <w:rFonts w:hint="eastAsia" w:ascii="宋体"/>
          <w:b/>
          <w:sz w:val="36"/>
          <w:szCs w:val="36"/>
          <w:highlight w:val="none"/>
        </w:rPr>
      </w:pPr>
    </w:p>
    <w:p w14:paraId="6FEDB25B">
      <w:pPr>
        <w:spacing w:line="400" w:lineRule="exact"/>
        <w:jc w:val="center"/>
        <w:rPr>
          <w:rFonts w:hint="eastAsia" w:ascii="宋体" w:hAnsi="宋体"/>
          <w:b/>
          <w:sz w:val="28"/>
          <w:szCs w:val="28"/>
          <w:highlight w:val="none"/>
          <w:lang w:val="en-US" w:eastAsia="zh-CN"/>
        </w:rPr>
      </w:pPr>
      <w:r>
        <w:rPr>
          <w:rFonts w:hint="eastAsia" w:ascii="宋体" w:hAnsi="宋体"/>
          <w:b/>
          <w:sz w:val="28"/>
          <w:szCs w:val="28"/>
          <w:highlight w:val="none"/>
          <w:lang w:val="en-US" w:eastAsia="zh-CN"/>
        </w:rPr>
        <w:br w:type="page"/>
      </w:r>
    </w:p>
    <w:p w14:paraId="10B0D540">
      <w:pPr>
        <w:spacing w:line="400" w:lineRule="exact"/>
        <w:jc w:val="center"/>
        <w:rPr>
          <w:rFonts w:hint="eastAsia"/>
          <w:b/>
          <w:sz w:val="36"/>
          <w:szCs w:val="36"/>
          <w:highlight w:val="none"/>
        </w:rPr>
      </w:pPr>
      <w:r>
        <w:rPr>
          <w:rFonts w:hint="eastAsia"/>
          <w:b/>
          <w:sz w:val="36"/>
          <w:szCs w:val="36"/>
          <w:highlight w:val="none"/>
        </w:rPr>
        <w:t>目   录</w:t>
      </w:r>
    </w:p>
    <w:p w14:paraId="5B90B20D">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21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技术方案</w:t>
      </w:r>
      <w:r>
        <w:rPr>
          <w:rFonts w:hint="eastAsia" w:ascii="宋体" w:hAnsi="宋体" w:eastAsia="宋体" w:cs="宋体"/>
          <w:color w:val="auto"/>
          <w:sz w:val="22"/>
          <w:szCs w:val="22"/>
          <w:highlight w:val="none"/>
          <w:lang w:eastAsia="zh-CN"/>
        </w:rPr>
        <w:t>；</w:t>
      </w:r>
    </w:p>
    <w:p w14:paraId="7F03C7D1">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21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施工组织方案</w:t>
      </w:r>
      <w:r>
        <w:rPr>
          <w:rFonts w:hint="eastAsia" w:ascii="宋体" w:hAnsi="宋体" w:eastAsia="宋体" w:cs="宋体"/>
          <w:color w:val="auto"/>
          <w:sz w:val="22"/>
          <w:szCs w:val="22"/>
          <w:highlight w:val="none"/>
          <w:lang w:eastAsia="zh-CN"/>
        </w:rPr>
        <w:t>；</w:t>
      </w:r>
    </w:p>
    <w:p w14:paraId="1F94E2EC">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21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安全文明施工组织措施</w:t>
      </w:r>
      <w:r>
        <w:rPr>
          <w:rFonts w:hint="eastAsia" w:ascii="宋体" w:hAnsi="宋体" w:eastAsia="宋体" w:cs="宋体"/>
          <w:color w:val="auto"/>
          <w:sz w:val="22"/>
          <w:szCs w:val="22"/>
          <w:highlight w:val="none"/>
          <w:lang w:eastAsia="zh-CN"/>
        </w:rPr>
        <w:t>；</w:t>
      </w:r>
    </w:p>
    <w:p w14:paraId="614C0DF7">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210" w:leftChars="0"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服务承诺</w:t>
      </w:r>
      <w:r>
        <w:rPr>
          <w:rFonts w:hint="eastAsia" w:ascii="宋体" w:hAnsi="宋体" w:eastAsia="宋体" w:cs="宋体"/>
          <w:color w:val="auto"/>
          <w:sz w:val="22"/>
          <w:szCs w:val="22"/>
          <w:highlight w:val="none"/>
          <w:lang w:eastAsia="zh-CN"/>
        </w:rPr>
        <w:t>。</w:t>
      </w:r>
    </w:p>
    <w:p w14:paraId="1CC1F127">
      <w:pPr>
        <w:spacing w:line="440" w:lineRule="exact"/>
        <w:ind w:firstLine="420" w:firstLineChars="200"/>
        <w:rPr>
          <w:rFonts w:hint="eastAsia" w:ascii="宋体"/>
          <w:szCs w:val="21"/>
          <w:highlight w:val="none"/>
        </w:rPr>
      </w:pPr>
    </w:p>
    <w:p w14:paraId="26AC2C5E">
      <w:pPr>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21FF7A68">
      <w:pPr>
        <w:spacing w:line="480" w:lineRule="auto"/>
        <w:jc w:val="center"/>
        <w:rPr>
          <w:rFonts w:hint="eastAsia" w:ascii="宋体" w:hAnsi="宋体"/>
          <w:b/>
          <w:sz w:val="28"/>
          <w:szCs w:val="28"/>
          <w:highlight w:val="none"/>
        </w:rPr>
      </w:pPr>
      <w:r>
        <w:rPr>
          <w:rFonts w:hint="eastAsia" w:ascii="宋体" w:hAnsi="宋体"/>
          <w:b/>
          <w:sz w:val="28"/>
          <w:szCs w:val="28"/>
          <w:highlight w:val="none"/>
          <w:lang w:val="en-US" w:eastAsia="zh-CN"/>
        </w:rPr>
        <w:t>三</w:t>
      </w:r>
      <w:r>
        <w:rPr>
          <w:rFonts w:hint="eastAsia" w:ascii="宋体" w:hAnsi="宋体"/>
          <w:b/>
          <w:sz w:val="28"/>
          <w:szCs w:val="28"/>
          <w:highlight w:val="none"/>
        </w:rPr>
        <w:t>、商务标格式文件</w:t>
      </w:r>
    </w:p>
    <w:p w14:paraId="580790B9">
      <w:pPr>
        <w:rPr>
          <w:rFonts w:hint="eastAsia" w:ascii="宋体"/>
          <w:sz w:val="20"/>
          <w:highlight w:val="none"/>
        </w:rPr>
      </w:pPr>
    </w:p>
    <w:p w14:paraId="69162FDE">
      <w:pPr>
        <w:jc w:val="center"/>
        <w:rPr>
          <w:rFonts w:hint="eastAsia" w:ascii="宋体"/>
          <w:b/>
          <w:sz w:val="44"/>
          <w:szCs w:val="44"/>
          <w:highlight w:val="none"/>
        </w:rPr>
      </w:pPr>
      <w:bookmarkStart w:id="362" w:name="_Toc449028954"/>
    </w:p>
    <w:p w14:paraId="5F3C6E3F">
      <w:pPr>
        <w:jc w:val="center"/>
        <w:rPr>
          <w:rFonts w:hint="eastAsia" w:ascii="宋体"/>
          <w:b/>
          <w:sz w:val="44"/>
          <w:szCs w:val="44"/>
          <w:highlight w:val="none"/>
        </w:rPr>
      </w:pPr>
      <w:r>
        <w:rPr>
          <w:rFonts w:hint="eastAsia" w:ascii="宋体"/>
          <w:b/>
          <w:sz w:val="44"/>
          <w:szCs w:val="44"/>
          <w:highlight w:val="none"/>
        </w:rPr>
        <w:t>商务标</w:t>
      </w:r>
      <w:bookmarkEnd w:id="362"/>
    </w:p>
    <w:p w14:paraId="6243CEDE">
      <w:pPr>
        <w:jc w:val="center"/>
        <w:rPr>
          <w:rFonts w:hint="eastAsia" w:ascii="宋体"/>
          <w:sz w:val="36"/>
          <w:szCs w:val="36"/>
          <w:highlight w:val="none"/>
        </w:rPr>
      </w:pPr>
      <w:r>
        <w:rPr>
          <w:rFonts w:hint="eastAsia" w:ascii="宋体"/>
          <w:sz w:val="44"/>
          <w:szCs w:val="44"/>
          <w:highlight w:val="none"/>
        </w:rPr>
        <w:t>（</w:t>
      </w:r>
      <w:r>
        <w:rPr>
          <w:rFonts w:hint="eastAsia" w:ascii="宋体"/>
          <w:sz w:val="36"/>
          <w:szCs w:val="36"/>
          <w:highlight w:val="none"/>
        </w:rPr>
        <w:t>投标文件</w:t>
      </w:r>
      <w:r>
        <w:rPr>
          <w:rFonts w:hint="eastAsia" w:ascii="宋体"/>
          <w:sz w:val="36"/>
          <w:szCs w:val="36"/>
          <w:highlight w:val="none"/>
          <w:lang w:val="en-US" w:eastAsia="zh-CN"/>
        </w:rPr>
        <w:t>三</w:t>
      </w:r>
      <w:r>
        <w:rPr>
          <w:rFonts w:hint="eastAsia" w:ascii="宋体"/>
          <w:sz w:val="36"/>
          <w:szCs w:val="36"/>
          <w:highlight w:val="none"/>
        </w:rPr>
        <w:t>）</w:t>
      </w:r>
    </w:p>
    <w:p w14:paraId="62530522">
      <w:pPr>
        <w:jc w:val="center"/>
        <w:rPr>
          <w:rFonts w:hint="eastAsia" w:ascii="宋体"/>
          <w:sz w:val="36"/>
          <w:szCs w:val="36"/>
          <w:highlight w:val="none"/>
        </w:rPr>
      </w:pPr>
    </w:p>
    <w:p w14:paraId="34D7E0DA">
      <w:pPr>
        <w:jc w:val="center"/>
        <w:rPr>
          <w:rFonts w:hint="eastAsia" w:ascii="宋体"/>
          <w:sz w:val="28"/>
          <w:szCs w:val="28"/>
          <w:highlight w:val="none"/>
        </w:rPr>
      </w:pPr>
      <w:r>
        <w:rPr>
          <w:rFonts w:hint="eastAsia" w:ascii="宋体"/>
          <w:sz w:val="32"/>
          <w:szCs w:val="32"/>
          <w:highlight w:val="none"/>
          <w:u w:val="single"/>
        </w:rPr>
        <w:t xml:space="preserve">        </w:t>
      </w:r>
      <w:r>
        <w:rPr>
          <w:rFonts w:hint="eastAsia" w:ascii="宋体"/>
          <w:sz w:val="32"/>
          <w:szCs w:val="32"/>
          <w:highlight w:val="none"/>
        </w:rPr>
        <w:t>项目</w:t>
      </w:r>
    </w:p>
    <w:p w14:paraId="383C704F">
      <w:pPr>
        <w:rPr>
          <w:rFonts w:hint="eastAsia" w:ascii="宋体"/>
          <w:sz w:val="28"/>
          <w:szCs w:val="28"/>
          <w:highlight w:val="none"/>
        </w:rPr>
      </w:pPr>
    </w:p>
    <w:p w14:paraId="0B2D2503">
      <w:pPr>
        <w:rPr>
          <w:rFonts w:hint="eastAsia" w:ascii="宋体"/>
          <w:sz w:val="28"/>
          <w:szCs w:val="28"/>
          <w:highlight w:val="none"/>
        </w:rPr>
      </w:pPr>
    </w:p>
    <w:p w14:paraId="27AA707C">
      <w:pPr>
        <w:rPr>
          <w:rFonts w:hint="eastAsia" w:ascii="宋体"/>
          <w:sz w:val="28"/>
          <w:szCs w:val="28"/>
          <w:highlight w:val="none"/>
        </w:rPr>
      </w:pPr>
    </w:p>
    <w:p w14:paraId="4158F2FF">
      <w:pPr>
        <w:rPr>
          <w:rFonts w:hint="eastAsia" w:ascii="宋体"/>
          <w:sz w:val="28"/>
          <w:szCs w:val="28"/>
          <w:highlight w:val="none"/>
        </w:rPr>
      </w:pPr>
    </w:p>
    <w:p w14:paraId="3295C25E">
      <w:pPr>
        <w:rPr>
          <w:rFonts w:hint="eastAsia" w:ascii="宋体"/>
          <w:sz w:val="28"/>
          <w:szCs w:val="28"/>
          <w:highlight w:val="none"/>
        </w:rPr>
      </w:pPr>
    </w:p>
    <w:p w14:paraId="4B55E6CC">
      <w:pPr>
        <w:rPr>
          <w:rFonts w:hint="eastAsia" w:ascii="宋体"/>
          <w:sz w:val="28"/>
          <w:szCs w:val="28"/>
          <w:highlight w:val="none"/>
        </w:rPr>
      </w:pPr>
    </w:p>
    <w:p w14:paraId="1BCB7819">
      <w:pPr>
        <w:rPr>
          <w:rFonts w:hint="eastAsia" w:ascii="宋体"/>
          <w:sz w:val="28"/>
          <w:szCs w:val="28"/>
          <w:highlight w:val="none"/>
        </w:rPr>
      </w:pPr>
    </w:p>
    <w:p w14:paraId="3157D66D">
      <w:pPr>
        <w:rPr>
          <w:rFonts w:hint="eastAsia" w:ascii="宋体"/>
          <w:sz w:val="28"/>
          <w:szCs w:val="28"/>
          <w:highlight w:val="none"/>
        </w:rPr>
      </w:pPr>
    </w:p>
    <w:p w14:paraId="35734BD5">
      <w:pPr>
        <w:rPr>
          <w:rFonts w:hint="eastAsia" w:ascii="宋体"/>
          <w:sz w:val="28"/>
          <w:szCs w:val="28"/>
          <w:highlight w:val="none"/>
        </w:rPr>
      </w:pPr>
    </w:p>
    <w:p w14:paraId="2CDDC6CF">
      <w:pPr>
        <w:rPr>
          <w:rFonts w:hint="eastAsia" w:ascii="宋体"/>
          <w:sz w:val="28"/>
          <w:szCs w:val="28"/>
          <w:highlight w:val="none"/>
        </w:rPr>
      </w:pPr>
    </w:p>
    <w:p w14:paraId="0E4CBD95">
      <w:pPr>
        <w:rPr>
          <w:rFonts w:hint="eastAsia" w:ascii="宋体"/>
          <w:sz w:val="28"/>
          <w:szCs w:val="28"/>
          <w:highlight w:val="none"/>
        </w:rPr>
      </w:pPr>
    </w:p>
    <w:p w14:paraId="6D0F22CE">
      <w:pPr>
        <w:jc w:val="center"/>
        <w:rPr>
          <w:rFonts w:hint="eastAsia" w:ascii="宋体"/>
          <w:sz w:val="28"/>
          <w:szCs w:val="28"/>
          <w:highlight w:val="none"/>
          <w:u w:val="single"/>
        </w:rPr>
      </w:pPr>
      <w:r>
        <w:rPr>
          <w:rFonts w:hint="eastAsia" w:ascii="宋体"/>
          <w:sz w:val="28"/>
          <w:szCs w:val="28"/>
          <w:highlight w:val="none"/>
        </w:rPr>
        <w:t>投标人：</w:t>
      </w:r>
      <w:r>
        <w:rPr>
          <w:rFonts w:hint="eastAsia" w:ascii="宋体"/>
          <w:sz w:val="28"/>
          <w:szCs w:val="28"/>
          <w:highlight w:val="none"/>
          <w:u w:val="single"/>
        </w:rPr>
        <w:t xml:space="preserve">                              </w:t>
      </w:r>
      <w:r>
        <w:rPr>
          <w:rFonts w:hint="eastAsia" w:ascii="宋体"/>
          <w:sz w:val="28"/>
          <w:szCs w:val="28"/>
          <w:highlight w:val="none"/>
        </w:rPr>
        <w:t>（签章）</w:t>
      </w:r>
    </w:p>
    <w:p w14:paraId="39CF5DF9">
      <w:pPr>
        <w:ind w:firstLine="700" w:firstLineChars="250"/>
        <w:rPr>
          <w:rFonts w:hint="eastAsia" w:ascii="宋体"/>
          <w:sz w:val="28"/>
          <w:szCs w:val="28"/>
          <w:highlight w:val="none"/>
        </w:rPr>
      </w:pPr>
      <w:r>
        <w:rPr>
          <w:rFonts w:hint="eastAsia" w:ascii="宋体"/>
          <w:sz w:val="28"/>
          <w:szCs w:val="28"/>
          <w:highlight w:val="none"/>
        </w:rPr>
        <w:t>法定代表人：</w:t>
      </w:r>
      <w:r>
        <w:rPr>
          <w:rFonts w:hint="eastAsia" w:ascii="宋体"/>
          <w:sz w:val="28"/>
          <w:szCs w:val="28"/>
          <w:highlight w:val="none"/>
          <w:u w:val="single"/>
        </w:rPr>
        <w:t xml:space="preserve">                             </w:t>
      </w:r>
      <w:r>
        <w:rPr>
          <w:rFonts w:hint="eastAsia" w:ascii="宋体"/>
          <w:sz w:val="28"/>
          <w:szCs w:val="28"/>
          <w:highlight w:val="none"/>
        </w:rPr>
        <w:t>（签章）</w:t>
      </w:r>
    </w:p>
    <w:p w14:paraId="7987A26F">
      <w:pPr>
        <w:jc w:val="center"/>
        <w:rPr>
          <w:rFonts w:hint="eastAsia"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50626ABF">
      <w:pPr>
        <w:spacing w:line="400" w:lineRule="exact"/>
        <w:rPr>
          <w:rFonts w:hint="eastAsia"/>
          <w:b/>
          <w:sz w:val="28"/>
          <w:szCs w:val="28"/>
          <w:highlight w:val="none"/>
        </w:rPr>
      </w:pPr>
      <w:r>
        <w:rPr>
          <w:rFonts w:hint="eastAsia"/>
          <w:b/>
          <w:sz w:val="28"/>
          <w:szCs w:val="28"/>
          <w:highlight w:val="none"/>
        </w:rPr>
        <w:t xml:space="preserve"> </w:t>
      </w:r>
    </w:p>
    <w:p w14:paraId="59E08F62">
      <w:pPr>
        <w:spacing w:line="400" w:lineRule="exact"/>
        <w:jc w:val="center"/>
        <w:rPr>
          <w:b/>
          <w:sz w:val="36"/>
          <w:szCs w:val="36"/>
          <w:highlight w:val="none"/>
        </w:rPr>
      </w:pPr>
      <w:r>
        <w:rPr>
          <w:b/>
          <w:sz w:val="36"/>
          <w:szCs w:val="36"/>
          <w:highlight w:val="none"/>
        </w:rPr>
        <w:br w:type="page"/>
      </w:r>
    </w:p>
    <w:p w14:paraId="553754B2">
      <w:pPr>
        <w:spacing w:line="400" w:lineRule="exact"/>
        <w:jc w:val="center"/>
        <w:rPr>
          <w:rFonts w:hint="eastAsia"/>
          <w:b/>
          <w:sz w:val="36"/>
          <w:szCs w:val="36"/>
          <w:highlight w:val="none"/>
        </w:rPr>
      </w:pPr>
      <w:r>
        <w:rPr>
          <w:rFonts w:hint="eastAsia"/>
          <w:b/>
          <w:sz w:val="36"/>
          <w:szCs w:val="36"/>
          <w:highlight w:val="none"/>
        </w:rPr>
        <w:t>目   录</w:t>
      </w:r>
    </w:p>
    <w:p w14:paraId="4F3FD8FF">
      <w:pPr>
        <w:spacing w:line="400" w:lineRule="exact"/>
        <w:ind w:firstLine="4130" w:firstLineChars="935"/>
        <w:rPr>
          <w:rFonts w:hint="eastAsia"/>
          <w:b/>
          <w:sz w:val="44"/>
          <w:szCs w:val="44"/>
          <w:highlight w:val="none"/>
        </w:rPr>
      </w:pPr>
    </w:p>
    <w:p w14:paraId="1FB1CBB2">
      <w:pPr>
        <w:spacing w:line="440" w:lineRule="exact"/>
        <w:ind w:firstLine="420" w:firstLineChars="200"/>
        <w:rPr>
          <w:rFonts w:hint="eastAsia" w:ascii="宋体"/>
          <w:szCs w:val="21"/>
          <w:highlight w:val="none"/>
        </w:rPr>
      </w:pPr>
      <w:r>
        <w:rPr>
          <w:rFonts w:hint="eastAsia" w:ascii="宋体"/>
          <w:szCs w:val="21"/>
          <w:highlight w:val="none"/>
        </w:rPr>
        <w:t>（1）开标一览表（格式见附件）；</w:t>
      </w:r>
    </w:p>
    <w:p w14:paraId="3321BA8E">
      <w:pPr>
        <w:spacing w:line="440" w:lineRule="exact"/>
        <w:ind w:firstLine="420" w:firstLineChars="200"/>
        <w:rPr>
          <w:rFonts w:hint="eastAsia" w:ascii="宋体"/>
          <w:szCs w:val="21"/>
          <w:highlight w:val="none"/>
        </w:rPr>
      </w:pPr>
      <w:r>
        <w:rPr>
          <w:rFonts w:hint="eastAsia" w:ascii="宋体"/>
          <w:szCs w:val="21"/>
          <w:highlight w:val="none"/>
        </w:rPr>
        <w:t>（2）投标函（格式见附件）；</w:t>
      </w:r>
    </w:p>
    <w:p w14:paraId="75A04039">
      <w:pPr>
        <w:spacing w:line="440" w:lineRule="exact"/>
        <w:ind w:firstLine="420" w:firstLineChars="200"/>
        <w:rPr>
          <w:rFonts w:hint="eastAsia" w:ascii="宋体"/>
          <w:szCs w:val="21"/>
          <w:highlight w:val="none"/>
          <w:lang w:val="en-US" w:eastAsia="zh-CN"/>
        </w:rPr>
      </w:pPr>
      <w:r>
        <w:rPr>
          <w:rFonts w:hint="eastAsia" w:ascii="宋体"/>
          <w:szCs w:val="21"/>
          <w:highlight w:val="none"/>
          <w:lang w:eastAsia="zh-CN"/>
        </w:rPr>
        <w:t>（</w:t>
      </w:r>
      <w:r>
        <w:rPr>
          <w:rFonts w:hint="eastAsia" w:ascii="宋体"/>
          <w:szCs w:val="21"/>
          <w:highlight w:val="none"/>
          <w:lang w:val="en-US" w:eastAsia="zh-CN"/>
        </w:rPr>
        <w:t>3）</w:t>
      </w:r>
      <w:r>
        <w:rPr>
          <w:rFonts w:hint="eastAsia" w:ascii="宋体" w:hAnsi="宋体"/>
          <w:color w:val="000000"/>
          <w:szCs w:val="21"/>
          <w:highlight w:val="none"/>
        </w:rPr>
        <w:t>招标人推荐的</w:t>
      </w:r>
      <w:r>
        <w:rPr>
          <w:rFonts w:hint="eastAsia" w:ascii="宋体" w:hAnsi="宋体" w:eastAsia="宋体" w:cs="Times New Roman"/>
          <w:color w:val="000000"/>
          <w:szCs w:val="21"/>
          <w:highlight w:val="none"/>
        </w:rPr>
        <w:t>材料品牌响应表（如有）</w:t>
      </w:r>
      <w:r>
        <w:rPr>
          <w:rFonts w:hint="eastAsia" w:ascii="宋体" w:hAnsi="宋体" w:eastAsia="宋体" w:cs="Times New Roman"/>
          <w:color w:val="000000"/>
          <w:szCs w:val="21"/>
          <w:highlight w:val="none"/>
          <w:lang w:eastAsia="zh-CN"/>
        </w:rPr>
        <w:t>；</w:t>
      </w:r>
    </w:p>
    <w:p w14:paraId="7F071B80">
      <w:pPr>
        <w:spacing w:line="440" w:lineRule="exact"/>
        <w:ind w:firstLine="420" w:firstLineChars="200"/>
        <w:rPr>
          <w:rFonts w:hint="eastAsia" w:ascii="宋体"/>
          <w:szCs w:val="21"/>
          <w:highlight w:val="none"/>
        </w:rPr>
      </w:pPr>
      <w:r>
        <w:rPr>
          <w:rFonts w:hint="eastAsia" w:ascii="宋体"/>
          <w:szCs w:val="21"/>
          <w:highlight w:val="none"/>
          <w:lang w:eastAsia="zh-CN"/>
        </w:rPr>
        <w:t>（</w:t>
      </w:r>
      <w:r>
        <w:rPr>
          <w:rFonts w:hint="eastAsia" w:ascii="宋体"/>
          <w:szCs w:val="21"/>
          <w:highlight w:val="none"/>
          <w:lang w:val="en-US" w:eastAsia="zh-CN"/>
        </w:rPr>
        <w:t>4）</w:t>
      </w:r>
      <w:r>
        <w:rPr>
          <w:rFonts w:hint="eastAsia" w:ascii="宋体"/>
          <w:szCs w:val="21"/>
          <w:highlight w:val="none"/>
        </w:rPr>
        <w:t>招标文件商务评审中要求提供的其他相关资料；</w:t>
      </w:r>
    </w:p>
    <w:p w14:paraId="0FD677FA">
      <w:pPr>
        <w:spacing w:line="440" w:lineRule="exact"/>
        <w:ind w:firstLine="420" w:firstLineChars="200"/>
        <w:rPr>
          <w:rFonts w:hint="eastAsia" w:ascii="宋体"/>
          <w:szCs w:val="21"/>
          <w:highlight w:val="none"/>
        </w:rPr>
      </w:pPr>
      <w:r>
        <w:rPr>
          <w:rFonts w:hint="eastAsia" w:ascii="宋体"/>
          <w:szCs w:val="21"/>
          <w:highlight w:val="none"/>
        </w:rPr>
        <w:t>（</w:t>
      </w:r>
      <w:r>
        <w:rPr>
          <w:rFonts w:hint="eastAsia" w:ascii="宋体"/>
          <w:szCs w:val="21"/>
          <w:highlight w:val="none"/>
          <w:lang w:val="en-US" w:eastAsia="zh-CN"/>
        </w:rPr>
        <w:t>5</w:t>
      </w:r>
      <w:r>
        <w:rPr>
          <w:rFonts w:hint="eastAsia" w:ascii="宋体"/>
          <w:szCs w:val="21"/>
          <w:highlight w:val="none"/>
        </w:rPr>
        <w:t>）投标人认为需要提供的其他材料。</w:t>
      </w:r>
    </w:p>
    <w:p w14:paraId="6BBFDBF9">
      <w:pPr>
        <w:jc w:val="center"/>
        <w:rPr>
          <w:rFonts w:hint="eastAsia" w:ascii="宋体"/>
          <w:b/>
          <w:sz w:val="28"/>
          <w:szCs w:val="28"/>
          <w:highlight w:val="none"/>
        </w:rPr>
      </w:pPr>
    </w:p>
    <w:p w14:paraId="58F9DE26">
      <w:pPr>
        <w:rPr>
          <w:rFonts w:hint="eastAsia" w:ascii="宋体" w:hAnsi="宋体" w:eastAsia="宋体" w:cs="宋体"/>
          <w:b/>
          <w:bCs w:val="0"/>
          <w:color w:val="000000"/>
          <w:kern w:val="0"/>
          <w:sz w:val="36"/>
          <w:szCs w:val="36"/>
          <w:highlight w:val="none"/>
          <w:u w:color="000000"/>
          <w:lang w:val="en-US" w:eastAsia="zh-CN" w:bidi="ar"/>
        </w:rPr>
      </w:pPr>
      <w:r>
        <w:rPr>
          <w:rFonts w:hint="eastAsia" w:ascii="宋体" w:hAnsi="宋体" w:eastAsia="宋体" w:cs="宋体"/>
          <w:b/>
          <w:bCs w:val="0"/>
          <w:color w:val="000000"/>
          <w:kern w:val="0"/>
          <w:sz w:val="36"/>
          <w:szCs w:val="36"/>
          <w:highlight w:val="none"/>
          <w:u w:color="000000"/>
          <w:lang w:val="en-US" w:eastAsia="zh-CN" w:bidi="ar"/>
        </w:rPr>
        <w:br w:type="page"/>
      </w:r>
    </w:p>
    <w:p w14:paraId="28C025CC">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sz w:val="36"/>
          <w:szCs w:val="36"/>
          <w:highlight w:val="none"/>
          <w:lang w:val="en-US"/>
        </w:rPr>
      </w:pPr>
      <w:r>
        <w:rPr>
          <w:rFonts w:hint="eastAsia" w:ascii="宋体" w:hAnsi="宋体" w:eastAsia="宋体" w:cs="宋体"/>
          <w:b/>
          <w:bCs w:val="0"/>
          <w:color w:val="000000"/>
          <w:kern w:val="0"/>
          <w:sz w:val="36"/>
          <w:szCs w:val="36"/>
          <w:highlight w:val="none"/>
          <w:u w:color="000000"/>
          <w:lang w:val="en-US" w:eastAsia="zh-CN" w:bidi="ar"/>
        </w:rPr>
        <w:t>（1）开标一览表</w:t>
      </w:r>
    </w:p>
    <w:p w14:paraId="5151B3D5">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tbl>
      <w:tblPr>
        <w:tblStyle w:val="23"/>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0FFEF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796D442E">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29110E2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highlight w:val="none"/>
                <w:lang w:val="en-US"/>
              </w:rPr>
            </w:pPr>
            <w:r>
              <w:rPr>
                <w:rFonts w:hint="default" w:ascii="Times New Roman" w:hAnsi="Times New Roman" w:eastAsia="宋体" w:cs="Times New Roman"/>
                <w:color w:val="000000"/>
                <w:kern w:val="2"/>
                <w:sz w:val="24"/>
                <w:szCs w:val="24"/>
                <w:highlight w:val="none"/>
                <w:u w:color="000000"/>
                <w:lang w:val="en-US" w:eastAsia="zh-CN" w:bidi="ar"/>
              </w:rPr>
              <w:t xml:space="preserve">         </w:t>
            </w:r>
          </w:p>
        </w:tc>
      </w:tr>
      <w:tr w14:paraId="4CC74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0FA3D833">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4EE28A0B">
            <w:pPr>
              <w:pStyle w:val="14"/>
              <w:widowControl/>
              <w:spacing w:line="460" w:lineRule="exact"/>
              <w:ind w:left="86" w:leftChars="41"/>
              <w:rPr>
                <w:rFonts w:hint="eastAsia" w:ascii="宋体" w:hAnsi="Arial" w:eastAsia="宋体" w:cs="宋体"/>
                <w:sz w:val="24"/>
                <w:szCs w:val="24"/>
                <w:highlight w:val="none"/>
                <w:lang w:val="en-US" w:eastAsia="zh-CN"/>
              </w:rPr>
            </w:pPr>
          </w:p>
        </w:tc>
      </w:tr>
      <w:tr w14:paraId="09FCE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3F3B7CB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投标报价\工期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1B821B93">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投标报价（含税)（大写）：</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58390941">
            <w:pPr>
              <w:keepNext w:val="0"/>
              <w:keepLines w:val="0"/>
              <w:widowControl/>
              <w:suppressLineNumbers w:val="0"/>
              <w:spacing w:before="0" w:beforeAutospacing="0" w:after="0" w:afterAutospacing="0" w:line="360" w:lineRule="auto"/>
              <w:ind w:left="0" w:right="0" w:firstLine="1920" w:firstLineChars="800"/>
              <w:jc w:val="both"/>
              <w:rPr>
                <w:rFonts w:hint="eastAsia" w:ascii="宋体" w:hAnsi="宋体" w:eastAsia="宋体" w:cs="宋体"/>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(小写) ：</w:t>
            </w:r>
            <w:r>
              <w:rPr>
                <w:rFonts w:hint="eastAsia" w:ascii="宋体" w:hAnsi="宋体" w:eastAsia="宋体" w:cs="宋体"/>
                <w:color w:val="000000"/>
                <w:kern w:val="2"/>
                <w:sz w:val="24"/>
                <w:szCs w:val="24"/>
                <w:highlight w:val="none"/>
                <w:u w:val="single" w:color="000000"/>
                <w:lang w:val="en-US" w:eastAsia="zh-CN" w:bidi="ar"/>
              </w:rPr>
              <w:t xml:space="preserve">                       </w:t>
            </w:r>
            <w:r>
              <w:rPr>
                <w:rFonts w:hint="eastAsia" w:ascii="宋体" w:hAnsi="宋体" w:eastAsia="宋体" w:cs="宋体"/>
                <w:color w:val="000000"/>
                <w:kern w:val="2"/>
                <w:sz w:val="24"/>
                <w:szCs w:val="24"/>
                <w:highlight w:val="none"/>
                <w:u w:color="000000"/>
                <w:lang w:val="en-US" w:eastAsia="zh-CN" w:bidi="ar"/>
              </w:rPr>
              <w:t>元</w:t>
            </w:r>
          </w:p>
          <w:p w14:paraId="0B593EEB">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000000"/>
                <w:kern w:val="2"/>
                <w:sz w:val="24"/>
                <w:szCs w:val="24"/>
                <w:highlight w:val="none"/>
                <w:u w:color="000000"/>
                <w:lang w:val="en-US" w:eastAsia="zh-CN" w:bidi="ar"/>
              </w:rPr>
            </w:pPr>
          </w:p>
          <w:p w14:paraId="4FD08F45">
            <w:pPr>
              <w:keepNext w:val="0"/>
              <w:keepLines w:val="0"/>
              <w:widowControl/>
              <w:suppressLineNumbers w:val="0"/>
              <w:spacing w:before="0" w:beforeAutospacing="0" w:after="0" w:afterAutospacing="0" w:line="360" w:lineRule="auto"/>
              <w:ind w:left="0" w:right="0"/>
              <w:jc w:val="both"/>
              <w:rPr>
                <w:rFonts w:hint="default"/>
                <w:kern w:val="2"/>
                <w:sz w:val="24"/>
                <w:szCs w:val="24"/>
                <w:highlight w:val="none"/>
                <w:lang w:val="en-US"/>
              </w:rPr>
            </w:pPr>
            <w:r>
              <w:rPr>
                <w:rFonts w:hint="eastAsia" w:ascii="宋体" w:hAnsi="宋体" w:eastAsia="宋体" w:cs="宋体"/>
                <w:color w:val="000000"/>
                <w:kern w:val="2"/>
                <w:sz w:val="24"/>
                <w:szCs w:val="24"/>
                <w:highlight w:val="none"/>
                <w:u w:color="000000"/>
                <w:lang w:val="en-US" w:eastAsia="zh-CN" w:bidi="ar"/>
              </w:rPr>
              <w:t>工期：</w:t>
            </w:r>
            <w:r>
              <w:rPr>
                <w:rFonts w:hint="eastAsia" w:ascii="宋体" w:hAnsi="宋体" w:eastAsia="宋体" w:cs="宋体"/>
                <w:color w:val="000000"/>
                <w:kern w:val="2"/>
                <w:sz w:val="24"/>
                <w:szCs w:val="24"/>
                <w:highlight w:val="none"/>
                <w:u w:val="single" w:color="000000"/>
                <w:lang w:val="en-US" w:eastAsia="zh-CN" w:bidi="ar"/>
              </w:rPr>
              <w:t xml:space="preserve">                        </w:t>
            </w:r>
          </w:p>
        </w:tc>
      </w:tr>
    </w:tbl>
    <w:p w14:paraId="35B37C1D">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sz w:val="24"/>
          <w:szCs w:val="24"/>
          <w:highlight w:val="none"/>
          <w:lang w:val="en-US"/>
        </w:rPr>
      </w:pPr>
      <w:r>
        <w:rPr>
          <w:rFonts w:hint="eastAsia" w:ascii="宋体" w:hAnsi="宋体" w:eastAsia="宋体" w:cs="宋体"/>
          <w:b/>
          <w:bCs w:val="0"/>
          <w:color w:val="000000"/>
          <w:kern w:val="0"/>
          <w:sz w:val="24"/>
          <w:szCs w:val="24"/>
          <w:highlight w:val="none"/>
          <w:u w:color="000000"/>
          <w:lang w:val="en-US" w:eastAsia="zh-CN" w:bidi="ar"/>
        </w:rPr>
        <w:t xml:space="preserve"> </w:t>
      </w:r>
    </w:p>
    <w:p w14:paraId="5B39EB2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法定代表人或授权委托人（签字或盖章）：         投标人（盖章）：</w:t>
      </w:r>
    </w:p>
    <w:p w14:paraId="06282E5B">
      <w:pPr>
        <w:keepNext w:val="0"/>
        <w:keepLines w:val="0"/>
        <w:widowControl/>
        <w:suppressLineNumbers w:val="0"/>
        <w:snapToGrid w:val="0"/>
        <w:spacing w:before="312" w:beforeLines="100" w:beforeAutospacing="0" w:after="312" w:afterLines="100" w:afterAutospacing="0" w:line="360" w:lineRule="auto"/>
        <w:ind w:left="0" w:right="0"/>
        <w:jc w:val="center"/>
        <w:rPr>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日  期：    年   月   日 </w:t>
      </w:r>
    </w:p>
    <w:p w14:paraId="6E01043F">
      <w:pPr>
        <w:spacing w:line="360" w:lineRule="auto"/>
        <w:rPr>
          <w:rFonts w:hint="eastAsia" w:ascii="宋体" w:hAnsi="宋体" w:eastAsia="宋体" w:cs="宋体"/>
          <w:b/>
          <w:bCs w:val="0"/>
          <w:color w:val="000000"/>
          <w:kern w:val="0"/>
          <w:sz w:val="30"/>
          <w:szCs w:val="30"/>
          <w:highlight w:val="none"/>
          <w:lang w:val="en-US" w:eastAsia="zh-CN" w:bidi="ar"/>
        </w:rPr>
        <w:sectPr>
          <w:footerReference r:id="rId4" w:type="default"/>
          <w:pgSz w:w="11906" w:h="16838"/>
          <w:pgMar w:top="1440" w:right="1800" w:bottom="1440" w:left="1800" w:header="851" w:footer="992" w:gutter="0"/>
          <w:pgNumType w:fmt="decimal"/>
          <w:cols w:space="425" w:num="1"/>
          <w:docGrid w:type="lines" w:linePitch="312" w:charSpace="0"/>
        </w:sectPr>
      </w:pPr>
    </w:p>
    <w:p w14:paraId="54424D41">
      <w:pPr>
        <w:keepNext w:val="0"/>
        <w:keepLines w:val="0"/>
        <w:widowControl/>
        <w:suppressLineNumbers w:val="0"/>
        <w:spacing w:before="0" w:beforeAutospacing="0" w:after="0" w:afterAutospacing="0" w:line="360" w:lineRule="exact"/>
        <w:ind w:left="0" w:right="0" w:firstLine="443" w:firstLineChars="147"/>
        <w:jc w:val="both"/>
        <w:rPr>
          <w:rFonts w:hint="eastAsia" w:ascii="宋体" w:hAnsi="宋体" w:eastAsia="宋体" w:cs="宋体"/>
          <w:b/>
          <w:bCs w:val="0"/>
          <w:sz w:val="30"/>
          <w:szCs w:val="30"/>
          <w:highlight w:val="none"/>
          <w:lang w:val="en-US"/>
        </w:rPr>
      </w:pPr>
    </w:p>
    <w:p w14:paraId="7B1CD580">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sz w:val="24"/>
          <w:szCs w:val="24"/>
          <w:highlight w:val="none"/>
          <w:lang w:val="en-US"/>
        </w:rPr>
      </w:pPr>
      <w:r>
        <w:rPr>
          <w:rFonts w:hint="eastAsia" w:ascii="宋体" w:hAnsi="宋体" w:eastAsia="宋体" w:cs="宋体"/>
          <w:b/>
          <w:bCs w:val="0"/>
          <w:color w:val="000000"/>
          <w:kern w:val="0"/>
          <w:sz w:val="36"/>
          <w:szCs w:val="36"/>
          <w:highlight w:val="none"/>
          <w:u w:color="000000"/>
          <w:lang w:val="en-US" w:eastAsia="zh-CN" w:bidi="ar"/>
        </w:rPr>
        <w:t>（2）投  标  函</w:t>
      </w:r>
    </w:p>
    <w:p w14:paraId="28FD246F">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致：</w:t>
      </w:r>
      <w:r>
        <w:rPr>
          <w:rFonts w:hint="eastAsia" w:ascii="宋体" w:hAnsi="宋体" w:eastAsia="宋体" w:cs="宋体"/>
          <w:color w:val="000000"/>
          <w:kern w:val="0"/>
          <w:sz w:val="24"/>
          <w:szCs w:val="24"/>
          <w:highlight w:val="none"/>
          <w:u w:val="single" w:color="000000"/>
          <w:lang w:val="en-US" w:eastAsia="zh-CN" w:bidi="ar"/>
        </w:rPr>
        <w:t xml:space="preserve">       (招标人)       </w:t>
      </w:r>
      <w:r>
        <w:rPr>
          <w:rFonts w:hint="eastAsia" w:ascii="宋体" w:hAnsi="宋体" w:eastAsia="宋体" w:cs="宋体"/>
          <w:color w:val="000000"/>
          <w:kern w:val="0"/>
          <w:sz w:val="24"/>
          <w:szCs w:val="24"/>
          <w:highlight w:val="none"/>
          <w:u w:color="000000"/>
          <w:lang w:val="en-US" w:eastAsia="zh-CN" w:bidi="ar"/>
        </w:rPr>
        <w:t xml:space="preserve"> </w:t>
      </w:r>
    </w:p>
    <w:p w14:paraId="759E66C0">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1.我们决定参加贵单位组织的“</w:t>
      </w:r>
      <w:r>
        <w:rPr>
          <w:rFonts w:hint="eastAsia" w:ascii="宋体" w:hAnsi="宋体" w:eastAsia="宋体" w:cs="宋体"/>
          <w:color w:val="000000"/>
          <w:kern w:val="0"/>
          <w:sz w:val="24"/>
          <w:szCs w:val="24"/>
          <w:highlight w:val="none"/>
          <w:u w:val="single" w:color="000000"/>
          <w:lang w:val="en-US" w:eastAsia="zh-CN" w:bidi="ar"/>
        </w:rPr>
        <w:t xml:space="preserve"> （项目名称）   </w:t>
      </w:r>
      <w:r>
        <w:rPr>
          <w:rFonts w:hint="eastAsia" w:ascii="宋体" w:hAnsi="宋体" w:eastAsia="宋体" w:cs="宋体"/>
          <w:color w:val="0000FF"/>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”的招标。我方授权 </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(姓名和职务)代表我方</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（投标单位的名称）全权处理本项目投标的有关事宜。</w:t>
      </w:r>
    </w:p>
    <w:p w14:paraId="6F6C2D0D">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2.我方愿意按照招标文件规定的各项要求，向招标人提供本项目的货物与服务，投标报价为人民币（大写）</w:t>
      </w:r>
      <w:r>
        <w:rPr>
          <w:rFonts w:hint="eastAsia" w:ascii="宋体" w:hAnsi="宋体" w:eastAsia="宋体" w:cs="宋体"/>
          <w:color w:val="000000"/>
          <w:kern w:val="0"/>
          <w:sz w:val="24"/>
          <w:szCs w:val="24"/>
          <w:highlight w:val="none"/>
          <w:u w:val="single" w:color="000000"/>
          <w:lang w:val="en-US" w:eastAsia="zh-CN" w:bidi="ar"/>
        </w:rPr>
        <w:t xml:space="preserve">                   （小写）         元</w:t>
      </w:r>
      <w:r>
        <w:rPr>
          <w:rFonts w:hint="eastAsia" w:ascii="宋体" w:hAnsi="宋体" w:eastAsia="宋体" w:cs="宋体"/>
          <w:color w:val="000000"/>
          <w:kern w:val="0"/>
          <w:sz w:val="24"/>
          <w:szCs w:val="24"/>
          <w:highlight w:val="none"/>
          <w:u w:color="000000"/>
          <w:lang w:val="en-US" w:eastAsia="zh-CN" w:bidi="ar"/>
        </w:rPr>
        <w:t>；</w:t>
      </w:r>
      <w:r>
        <w:rPr>
          <w:rFonts w:hint="eastAsia" w:ascii="宋体" w:hAnsi="宋体" w:eastAsia="宋体" w:cs="宋体"/>
          <w:color w:val="000000"/>
          <w:kern w:val="2"/>
          <w:sz w:val="24"/>
          <w:szCs w:val="24"/>
          <w:highlight w:val="none"/>
          <w:u w:color="000000"/>
          <w:lang w:val="en-US" w:eastAsia="zh-CN" w:bidi="ar"/>
        </w:rPr>
        <w:t>工期</w:t>
      </w:r>
      <w:r>
        <w:rPr>
          <w:rFonts w:hint="eastAsia" w:ascii="宋体" w:hAnsi="宋体" w:eastAsia="宋体" w:cs="宋体"/>
          <w:color w:val="000000"/>
          <w:kern w:val="0"/>
          <w:sz w:val="24"/>
          <w:szCs w:val="24"/>
          <w:highlight w:val="none"/>
          <w:u w:color="000000"/>
          <w:lang w:val="en-US" w:eastAsia="zh-CN" w:bidi="ar"/>
        </w:rPr>
        <w:t>：</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w:t>
      </w:r>
    </w:p>
    <w:p w14:paraId="0B76E31F">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3.一旦我方成为合同签字人，我方将严格履行合同规定的责任和义务。</w:t>
      </w:r>
    </w:p>
    <w:p w14:paraId="55DFB67B">
      <w:pPr>
        <w:keepNext w:val="0"/>
        <w:keepLines w:val="0"/>
        <w:widowControl/>
        <w:suppressLineNumbers w:val="0"/>
        <w:spacing w:before="0" w:beforeAutospacing="0" w:after="0" w:afterAutospacing="0" w:line="440" w:lineRule="exact"/>
        <w:ind w:left="0" w:right="0" w:firstLine="480" w:firstLineChars="200"/>
        <w:jc w:val="both"/>
        <w:rPr>
          <w:rFonts w:hint="default" w:ascii="宋体" w:hAnsi="宋体" w:eastAsia="宋体" w:cs="宋体"/>
          <w:color w:val="000000"/>
          <w:kern w:val="0"/>
          <w:sz w:val="24"/>
          <w:szCs w:val="24"/>
          <w:highlight w:val="none"/>
          <w:u w:color="000000"/>
          <w:lang w:val="en-US" w:eastAsia="zh-CN" w:bidi="ar"/>
        </w:rPr>
      </w:pPr>
      <w:r>
        <w:rPr>
          <w:rFonts w:hint="eastAsia" w:ascii="宋体" w:hAnsi="宋体" w:eastAsia="宋体" w:cs="宋体"/>
          <w:color w:val="000000"/>
          <w:kern w:val="0"/>
          <w:sz w:val="24"/>
          <w:szCs w:val="24"/>
          <w:highlight w:val="none"/>
          <w:u w:color="000000"/>
          <w:lang w:val="en-US" w:eastAsia="zh-CN" w:bidi="ar"/>
        </w:rPr>
        <w:t>4.投标有效期：为</w:t>
      </w:r>
      <w:r>
        <w:rPr>
          <w:rFonts w:hint="eastAsia" w:ascii="宋体" w:hAnsi="宋体" w:eastAsia="宋体" w:cs="宋体"/>
          <w:color w:val="000000"/>
          <w:kern w:val="0"/>
          <w:sz w:val="24"/>
          <w:szCs w:val="24"/>
          <w:highlight w:val="none"/>
          <w:u w:val="single" w:color="auto"/>
          <w:lang w:val="en-US" w:eastAsia="zh-CN" w:bidi="ar"/>
        </w:rPr>
        <w:t xml:space="preserve"> 60 </w:t>
      </w:r>
      <w:r>
        <w:rPr>
          <w:rFonts w:hint="eastAsia" w:ascii="宋体" w:hAnsi="宋体" w:eastAsia="宋体" w:cs="宋体"/>
          <w:color w:val="000000"/>
          <w:kern w:val="0"/>
          <w:sz w:val="24"/>
          <w:szCs w:val="24"/>
          <w:highlight w:val="none"/>
          <w:u w:color="000000"/>
          <w:lang w:val="en-US" w:eastAsia="zh-CN" w:bidi="ar"/>
        </w:rPr>
        <w:t>日历天（从投标截止之日算起）。</w:t>
      </w:r>
    </w:p>
    <w:p w14:paraId="5FD9C970">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5.我方愿意提供可能另外要求的、与投标有关的文件资料，并保证我方已提供和将要提供的文件是真实的、准确的。</w:t>
      </w:r>
    </w:p>
    <w:p w14:paraId="1B49AAA5">
      <w:pPr>
        <w:keepNext w:val="0"/>
        <w:keepLines w:val="0"/>
        <w:widowControl/>
        <w:suppressLineNumbers w:val="0"/>
        <w:spacing w:before="0" w:beforeAutospacing="0" w:after="0" w:afterAutospacing="0" w:line="440" w:lineRule="exact"/>
        <w:ind w:left="0" w:right="0" w:firstLine="480" w:firstLineChars="20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6.我单位提供如下通讯地址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，电子邮箱（地址）：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，确认本项目相关法律文书均通过提供的以上地址送达，相关文书只要发送至以上电子邮箱（地址）即视为送达，投标人愿意承担一切法律后果。</w:t>
      </w:r>
    </w:p>
    <w:p w14:paraId="58C6553C">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default" w:ascii="Times New Roman" w:hAnsi="Times New Roman" w:eastAsia="宋体" w:cs="Times New Roman"/>
          <w:color w:val="000000"/>
          <w:kern w:val="0"/>
          <w:sz w:val="24"/>
          <w:szCs w:val="24"/>
          <w:highlight w:val="none"/>
          <w:u w:color="000000"/>
          <w:lang w:val="en-US" w:eastAsia="zh-CN" w:bidi="ar"/>
        </w:rPr>
        <w:t xml:space="preserve"> </w:t>
      </w:r>
    </w:p>
    <w:p w14:paraId="720350C4">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投标单位名称</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（盖章）</w:t>
      </w:r>
    </w:p>
    <w:p w14:paraId="009180F0">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 xml:space="preserve"> </w:t>
      </w:r>
    </w:p>
    <w:p w14:paraId="6939C05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sz w:val="24"/>
          <w:szCs w:val="24"/>
          <w:highlight w:val="none"/>
          <w:u w:val="single"/>
          <w:lang w:val="en-US"/>
        </w:rPr>
      </w:pPr>
      <w:r>
        <w:rPr>
          <w:rFonts w:hint="eastAsia" w:ascii="宋体" w:hAnsi="宋体" w:eastAsia="宋体" w:cs="宋体"/>
          <w:color w:val="000000"/>
          <w:kern w:val="0"/>
          <w:sz w:val="24"/>
          <w:szCs w:val="24"/>
          <w:highlight w:val="none"/>
          <w:u w:color="000000"/>
          <w:lang w:val="en-US" w:eastAsia="zh-CN" w:bidi="ar"/>
        </w:rPr>
        <w:t xml:space="preserve"> 投标人法定代表人或授权委托人（签字或盖章）：</w:t>
      </w:r>
      <w:r>
        <w:rPr>
          <w:rFonts w:hint="eastAsia" w:ascii="宋体" w:hAnsi="宋体" w:eastAsia="宋体" w:cs="宋体"/>
          <w:color w:val="000000"/>
          <w:kern w:val="0"/>
          <w:sz w:val="24"/>
          <w:szCs w:val="24"/>
          <w:highlight w:val="none"/>
          <w:u w:val="single" w:color="000000"/>
          <w:lang w:val="en-US" w:eastAsia="zh-CN" w:bidi="ar"/>
        </w:rPr>
        <w:t xml:space="preserve">                  </w:t>
      </w:r>
    </w:p>
    <w:p w14:paraId="6F5AE68F">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日  期：</w:t>
      </w:r>
      <w:r>
        <w:rPr>
          <w:rFonts w:hint="eastAsia" w:ascii="宋体" w:hAnsi="宋体" w:eastAsia="宋体" w:cs="宋体"/>
          <w:color w:val="000000"/>
          <w:kern w:val="0"/>
          <w:sz w:val="24"/>
          <w:szCs w:val="24"/>
          <w:highlight w:val="none"/>
          <w:u w:val="single" w:color="000000"/>
          <w:lang w:val="en-US" w:eastAsia="zh-CN" w:bidi="ar"/>
        </w:rPr>
        <w:t xml:space="preserve">                   </w:t>
      </w:r>
    </w:p>
    <w:p w14:paraId="309EB380">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通讯地址：</w:t>
      </w:r>
      <w:r>
        <w:rPr>
          <w:rFonts w:hint="eastAsia" w:ascii="宋体" w:hAnsi="宋体" w:eastAsia="宋体" w:cs="宋体"/>
          <w:color w:val="000000"/>
          <w:kern w:val="0"/>
          <w:sz w:val="24"/>
          <w:szCs w:val="24"/>
          <w:highlight w:val="none"/>
          <w:u w:val="single" w:color="000000"/>
          <w:lang w:val="en-US" w:eastAsia="zh-CN" w:bidi="ar"/>
        </w:rPr>
        <w:t xml:space="preserve">                  </w:t>
      </w:r>
      <w:r>
        <w:rPr>
          <w:rFonts w:hint="eastAsia" w:ascii="宋体" w:hAnsi="宋体" w:eastAsia="宋体" w:cs="宋体"/>
          <w:color w:val="000000"/>
          <w:kern w:val="0"/>
          <w:sz w:val="24"/>
          <w:szCs w:val="24"/>
          <w:highlight w:val="none"/>
          <w:u w:color="000000"/>
          <w:lang w:val="en-US" w:eastAsia="zh-CN" w:bidi="ar"/>
        </w:rPr>
        <w:t xml:space="preserve">                </w:t>
      </w:r>
    </w:p>
    <w:p w14:paraId="1AC0D13B">
      <w:pPr>
        <w:keepNext w:val="0"/>
        <w:keepLines w:val="0"/>
        <w:widowControl/>
        <w:suppressLineNumbers w:val="0"/>
        <w:spacing w:before="0" w:beforeAutospacing="0" w:after="0" w:afterAutospacing="0" w:line="440" w:lineRule="exact"/>
        <w:ind w:left="0" w:right="0" w:firstLine="2520" w:firstLineChars="1050"/>
        <w:jc w:val="both"/>
        <w:rPr>
          <w:rFonts w:hint="eastAsia" w:ascii="宋体" w:hAnsi="宋体" w:eastAsia="宋体" w:cs="宋体"/>
          <w:sz w:val="24"/>
          <w:szCs w:val="24"/>
          <w:highlight w:val="none"/>
          <w:lang w:val="en-US"/>
        </w:rPr>
      </w:pPr>
      <w:r>
        <w:rPr>
          <w:rFonts w:hint="eastAsia" w:ascii="宋体" w:hAnsi="宋体" w:eastAsia="宋体" w:cs="宋体"/>
          <w:color w:val="000000"/>
          <w:kern w:val="0"/>
          <w:sz w:val="24"/>
          <w:szCs w:val="24"/>
          <w:highlight w:val="none"/>
          <w:u w:color="000000"/>
          <w:lang w:val="en-US" w:eastAsia="zh-CN" w:bidi="ar"/>
        </w:rPr>
        <w:t>联系电话：</w:t>
      </w:r>
      <w:r>
        <w:rPr>
          <w:rFonts w:hint="eastAsia" w:ascii="宋体" w:hAnsi="宋体" w:eastAsia="宋体" w:cs="宋体"/>
          <w:color w:val="000000"/>
          <w:kern w:val="0"/>
          <w:sz w:val="24"/>
          <w:szCs w:val="24"/>
          <w:highlight w:val="none"/>
          <w:u w:val="single" w:color="000000"/>
          <w:lang w:val="en-US" w:eastAsia="zh-CN" w:bidi="ar"/>
        </w:rPr>
        <w:t xml:space="preserve">                   </w:t>
      </w:r>
    </w:p>
    <w:p w14:paraId="5995D7D1">
      <w:pPr>
        <w:keepNext w:val="0"/>
        <w:keepLines w:val="0"/>
        <w:widowControl/>
        <w:suppressLineNumbers w:val="0"/>
        <w:spacing w:before="0" w:beforeAutospacing="0" w:after="0" w:afterAutospacing="0" w:line="357" w:lineRule="atLeast"/>
        <w:ind w:left="0" w:right="-178" w:rightChars="-85" w:firstLine="2520" w:firstLineChars="1050"/>
        <w:jc w:val="both"/>
        <w:rPr>
          <w:rFonts w:hint="eastAsia" w:ascii="宋体" w:hAnsi="宋体" w:eastAsia="宋体" w:cs="宋体"/>
          <w:color w:val="000000"/>
          <w:kern w:val="0"/>
          <w:sz w:val="24"/>
          <w:szCs w:val="24"/>
          <w:highlight w:val="none"/>
          <w:u w:val="single" w:color="000000"/>
          <w:lang w:val="en-US" w:eastAsia="zh-CN" w:bidi="ar"/>
        </w:rPr>
      </w:pPr>
      <w:r>
        <w:rPr>
          <w:rFonts w:hint="eastAsia" w:ascii="宋体" w:hAnsi="宋体" w:eastAsia="宋体" w:cs="宋体"/>
          <w:color w:val="000000"/>
          <w:kern w:val="0"/>
          <w:sz w:val="24"/>
          <w:szCs w:val="24"/>
          <w:highlight w:val="none"/>
          <w:u w:color="000000"/>
          <w:lang w:val="en-US" w:eastAsia="zh-CN" w:bidi="ar"/>
        </w:rPr>
        <w:t>传   真：</w:t>
      </w:r>
      <w:r>
        <w:rPr>
          <w:rFonts w:hint="eastAsia" w:ascii="宋体" w:hAnsi="宋体" w:eastAsia="宋体" w:cs="宋体"/>
          <w:color w:val="000000"/>
          <w:kern w:val="0"/>
          <w:sz w:val="24"/>
          <w:szCs w:val="24"/>
          <w:highlight w:val="none"/>
          <w:u w:val="single" w:color="000000"/>
          <w:lang w:val="en-US" w:eastAsia="zh-CN" w:bidi="ar"/>
        </w:rPr>
        <w:t xml:space="preserve">                   </w:t>
      </w:r>
    </w:p>
    <w:p w14:paraId="65758390">
      <w:pPr>
        <w:rPr>
          <w:rFonts w:hint="eastAsia" w:ascii="宋体" w:hAnsi="宋体" w:eastAsia="宋体" w:cs="宋体"/>
          <w:b/>
          <w:bCs w:val="0"/>
          <w:color w:val="000000"/>
          <w:kern w:val="0"/>
          <w:sz w:val="28"/>
          <w:szCs w:val="28"/>
          <w:highlight w:val="none"/>
          <w:u w:color="000000"/>
          <w:lang w:val="en-US" w:eastAsia="zh-CN" w:bidi="ar"/>
        </w:rPr>
      </w:pPr>
      <w:r>
        <w:rPr>
          <w:rFonts w:hint="eastAsia" w:ascii="宋体" w:hAnsi="宋体" w:eastAsia="宋体" w:cs="宋体"/>
          <w:b/>
          <w:bCs w:val="0"/>
          <w:color w:val="000000"/>
          <w:kern w:val="0"/>
          <w:sz w:val="28"/>
          <w:szCs w:val="28"/>
          <w:highlight w:val="none"/>
          <w:u w:color="000000"/>
          <w:lang w:val="en-US" w:eastAsia="zh-CN" w:bidi="ar"/>
        </w:rPr>
        <w:br w:type="page"/>
      </w:r>
    </w:p>
    <w:p w14:paraId="3EE128BA">
      <w:pPr>
        <w:pStyle w:val="3"/>
        <w:adjustRightInd w:val="0"/>
        <w:snapToGrid w:val="0"/>
        <w:spacing w:before="0" w:after="0" w:line="560" w:lineRule="exact"/>
        <w:jc w:val="center"/>
        <w:rPr>
          <w:color w:val="000000"/>
        </w:rPr>
      </w:pPr>
      <w:r>
        <w:rPr>
          <w:rFonts w:hint="eastAsia"/>
          <w:color w:val="000000"/>
        </w:rPr>
        <w:t>（3）</w:t>
      </w:r>
      <w:r>
        <w:rPr>
          <w:color w:val="000000"/>
        </w:rPr>
        <w:t>招标人推荐的材料品牌响应表</w:t>
      </w:r>
    </w:p>
    <w:p w14:paraId="63409B23">
      <w:pPr>
        <w:pStyle w:val="11"/>
        <w:tabs>
          <w:tab w:val="left" w:pos="6462"/>
          <w:tab w:val="left" w:pos="6988"/>
          <w:tab w:val="left" w:pos="7722"/>
        </w:tabs>
        <w:adjustRightInd w:val="0"/>
        <w:snapToGrid w:val="0"/>
        <w:spacing w:after="0" w:line="560" w:lineRule="exact"/>
        <w:jc w:val="center"/>
        <w:rPr>
          <w:b/>
          <w:color w:val="000000"/>
          <w:sz w:val="28"/>
        </w:rPr>
      </w:pPr>
    </w:p>
    <w:p w14:paraId="47B881B4">
      <w:pPr>
        <w:pStyle w:val="11"/>
        <w:tabs>
          <w:tab w:val="left" w:pos="6462"/>
          <w:tab w:val="left" w:pos="6988"/>
          <w:tab w:val="left" w:pos="7722"/>
        </w:tabs>
        <w:adjustRightInd w:val="0"/>
        <w:snapToGrid w:val="0"/>
        <w:spacing w:after="0" w:line="560" w:lineRule="exact"/>
        <w:jc w:val="center"/>
        <w:rPr>
          <w:b/>
          <w:color w:val="000000"/>
          <w:sz w:val="28"/>
        </w:rPr>
      </w:pPr>
      <w:r>
        <w:rPr>
          <w:b/>
          <w:color w:val="000000"/>
          <w:sz w:val="28"/>
        </w:rPr>
        <w:t>品牌推荐表（如要求）</w:t>
      </w:r>
    </w:p>
    <w:p w14:paraId="59633DF5">
      <w:pPr>
        <w:pStyle w:val="11"/>
        <w:adjustRightInd w:val="0"/>
        <w:snapToGrid w:val="0"/>
        <w:spacing w:after="0" w:line="560" w:lineRule="exact"/>
        <w:rPr>
          <w:b/>
          <w:color w:val="000000"/>
          <w:sz w:val="5"/>
        </w:rPr>
      </w:pPr>
    </w:p>
    <w:tbl>
      <w:tblPr>
        <w:tblStyle w:val="23"/>
        <w:tblW w:w="78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31D5C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36" w:type="dxa"/>
            <w:noWrap w:val="0"/>
            <w:vAlign w:val="top"/>
          </w:tcPr>
          <w:p w14:paraId="0434F20A">
            <w:pPr>
              <w:pStyle w:val="51"/>
              <w:keepNext w:val="0"/>
              <w:keepLines w:val="0"/>
              <w:suppressLineNumbers w:val="0"/>
              <w:adjustRightInd w:val="0"/>
              <w:snapToGrid w:val="0"/>
              <w:spacing w:before="0" w:beforeAutospacing="0" w:after="0" w:afterAutospacing="0" w:line="560" w:lineRule="exact"/>
              <w:ind w:left="0" w:right="0"/>
              <w:jc w:val="center"/>
              <w:rPr>
                <w:rFonts w:hint="eastAsia" w:ascii="黑体" w:eastAsia="黑体"/>
                <w:color w:val="000000"/>
              </w:rPr>
            </w:pPr>
            <w:r>
              <w:rPr>
                <w:rFonts w:hint="eastAsia" w:ascii="黑体" w:eastAsia="黑体"/>
                <w:color w:val="000000"/>
              </w:rPr>
              <w:t>序号</w:t>
            </w:r>
          </w:p>
        </w:tc>
        <w:tc>
          <w:tcPr>
            <w:tcW w:w="1685" w:type="dxa"/>
            <w:noWrap w:val="0"/>
            <w:vAlign w:val="top"/>
          </w:tcPr>
          <w:p w14:paraId="476F905E">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材料、设备名称</w:t>
            </w:r>
          </w:p>
        </w:tc>
        <w:tc>
          <w:tcPr>
            <w:tcW w:w="794" w:type="dxa"/>
            <w:noWrap w:val="0"/>
            <w:vAlign w:val="top"/>
          </w:tcPr>
          <w:p w14:paraId="0F48EA78">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品牌 1</w:t>
            </w:r>
          </w:p>
        </w:tc>
        <w:tc>
          <w:tcPr>
            <w:tcW w:w="794" w:type="dxa"/>
            <w:noWrap w:val="0"/>
            <w:vAlign w:val="top"/>
          </w:tcPr>
          <w:p w14:paraId="2A4572F2">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品牌 2</w:t>
            </w:r>
          </w:p>
        </w:tc>
        <w:tc>
          <w:tcPr>
            <w:tcW w:w="794" w:type="dxa"/>
            <w:noWrap w:val="0"/>
            <w:vAlign w:val="top"/>
          </w:tcPr>
          <w:p w14:paraId="36B63DDA">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品牌 3</w:t>
            </w:r>
          </w:p>
        </w:tc>
        <w:tc>
          <w:tcPr>
            <w:tcW w:w="791" w:type="dxa"/>
            <w:noWrap w:val="0"/>
            <w:vAlign w:val="top"/>
          </w:tcPr>
          <w:p w14:paraId="10668A76">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品牌 4</w:t>
            </w:r>
          </w:p>
        </w:tc>
        <w:tc>
          <w:tcPr>
            <w:tcW w:w="635" w:type="dxa"/>
            <w:noWrap w:val="0"/>
            <w:vAlign w:val="top"/>
          </w:tcPr>
          <w:p w14:paraId="6570F3F6">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备注</w:t>
            </w:r>
          </w:p>
        </w:tc>
        <w:tc>
          <w:tcPr>
            <w:tcW w:w="1687" w:type="dxa"/>
            <w:noWrap w:val="0"/>
            <w:vAlign w:val="top"/>
          </w:tcPr>
          <w:p w14:paraId="7F59B0FB">
            <w:pPr>
              <w:pStyle w:val="51"/>
              <w:keepNext w:val="0"/>
              <w:keepLines w:val="0"/>
              <w:suppressLineNumbers w:val="0"/>
              <w:adjustRightInd w:val="0"/>
              <w:snapToGrid w:val="0"/>
              <w:spacing w:before="0" w:beforeAutospacing="0" w:after="0" w:afterAutospacing="0" w:line="560" w:lineRule="exact"/>
              <w:ind w:left="0" w:right="0"/>
              <w:rPr>
                <w:rFonts w:hint="eastAsia" w:ascii="黑体" w:eastAsia="黑体"/>
                <w:color w:val="000000"/>
              </w:rPr>
            </w:pPr>
            <w:r>
              <w:rPr>
                <w:rFonts w:hint="eastAsia" w:ascii="黑体" w:eastAsia="黑体"/>
                <w:color w:val="000000"/>
              </w:rPr>
              <w:t>投标人选定品牌</w:t>
            </w:r>
          </w:p>
        </w:tc>
      </w:tr>
      <w:tr w14:paraId="7521A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center"/>
          </w:tcPr>
          <w:p w14:paraId="24A9ADE0">
            <w:pPr>
              <w:pStyle w:val="51"/>
              <w:keepNext w:val="0"/>
              <w:keepLines w:val="0"/>
              <w:suppressLineNumbers w:val="0"/>
              <w:adjustRightInd w:val="0"/>
              <w:snapToGrid w:val="0"/>
              <w:spacing w:before="0" w:beforeAutospacing="0" w:after="0" w:afterAutospacing="0" w:line="560" w:lineRule="exact"/>
              <w:ind w:left="0" w:right="0"/>
              <w:jc w:val="center"/>
              <w:rPr>
                <w:rFonts w:hint="default"/>
                <w:color w:val="000000"/>
              </w:rPr>
            </w:pPr>
            <w:r>
              <w:rPr>
                <w:rFonts w:hint="default"/>
                <w:color w:val="000000"/>
              </w:rPr>
              <w:t>1</w:t>
            </w:r>
          </w:p>
        </w:tc>
        <w:tc>
          <w:tcPr>
            <w:tcW w:w="1685" w:type="dxa"/>
            <w:noWrap w:val="0"/>
            <w:vAlign w:val="top"/>
          </w:tcPr>
          <w:p w14:paraId="3FDE5E3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5715428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5D8516C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02E2F62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4635DCAF">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1C89AA6B">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5273AF8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35407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center"/>
          </w:tcPr>
          <w:p w14:paraId="7189931C">
            <w:pPr>
              <w:pStyle w:val="51"/>
              <w:keepNext w:val="0"/>
              <w:keepLines w:val="0"/>
              <w:suppressLineNumbers w:val="0"/>
              <w:adjustRightInd w:val="0"/>
              <w:snapToGrid w:val="0"/>
              <w:spacing w:before="0" w:beforeAutospacing="0" w:after="0" w:afterAutospacing="0" w:line="560" w:lineRule="exact"/>
              <w:ind w:left="0" w:right="0"/>
              <w:jc w:val="center"/>
              <w:rPr>
                <w:rFonts w:hint="default"/>
                <w:color w:val="000000"/>
              </w:rPr>
            </w:pPr>
            <w:r>
              <w:rPr>
                <w:rFonts w:hint="default"/>
                <w:color w:val="000000"/>
              </w:rPr>
              <w:t>2</w:t>
            </w:r>
          </w:p>
        </w:tc>
        <w:tc>
          <w:tcPr>
            <w:tcW w:w="1685" w:type="dxa"/>
            <w:noWrap w:val="0"/>
            <w:vAlign w:val="top"/>
          </w:tcPr>
          <w:p w14:paraId="691FD84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08DFD3E6">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5DF822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4948F7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6DD71272">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29F9330B">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6A42F15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23130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bottom w:val="single" w:color="000000" w:sz="6" w:space="0"/>
            </w:tcBorders>
            <w:noWrap w:val="0"/>
            <w:vAlign w:val="center"/>
          </w:tcPr>
          <w:p w14:paraId="612CC4EF">
            <w:pPr>
              <w:pStyle w:val="51"/>
              <w:keepNext w:val="0"/>
              <w:keepLines w:val="0"/>
              <w:suppressLineNumbers w:val="0"/>
              <w:adjustRightInd w:val="0"/>
              <w:snapToGrid w:val="0"/>
              <w:spacing w:before="0" w:beforeAutospacing="0" w:after="0" w:afterAutospacing="0" w:line="560" w:lineRule="exact"/>
              <w:ind w:left="0" w:right="0"/>
              <w:jc w:val="center"/>
              <w:rPr>
                <w:rFonts w:hint="default"/>
                <w:color w:val="000000"/>
              </w:rPr>
            </w:pPr>
            <w:r>
              <w:rPr>
                <w:rFonts w:hint="default"/>
                <w:color w:val="000000"/>
              </w:rPr>
              <w:t>3</w:t>
            </w:r>
          </w:p>
        </w:tc>
        <w:tc>
          <w:tcPr>
            <w:tcW w:w="1685" w:type="dxa"/>
            <w:tcBorders>
              <w:bottom w:val="single" w:color="000000" w:sz="6" w:space="0"/>
            </w:tcBorders>
            <w:noWrap w:val="0"/>
            <w:vAlign w:val="top"/>
          </w:tcPr>
          <w:p w14:paraId="147FB5EA">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tcBorders>
              <w:bottom w:val="single" w:color="000000" w:sz="6" w:space="0"/>
            </w:tcBorders>
            <w:noWrap w:val="0"/>
            <w:vAlign w:val="top"/>
          </w:tcPr>
          <w:p w14:paraId="7DE3585B">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tcBorders>
              <w:bottom w:val="single" w:color="000000" w:sz="6" w:space="0"/>
            </w:tcBorders>
            <w:noWrap w:val="0"/>
            <w:vAlign w:val="top"/>
          </w:tcPr>
          <w:p w14:paraId="030704BA">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tcBorders>
              <w:bottom w:val="single" w:color="000000" w:sz="6" w:space="0"/>
            </w:tcBorders>
            <w:noWrap w:val="0"/>
            <w:vAlign w:val="top"/>
          </w:tcPr>
          <w:p w14:paraId="20DF2CB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tcBorders>
              <w:bottom w:val="single" w:color="000000" w:sz="6" w:space="0"/>
            </w:tcBorders>
            <w:noWrap w:val="0"/>
            <w:vAlign w:val="top"/>
          </w:tcPr>
          <w:p w14:paraId="3608EB8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tcBorders>
              <w:bottom w:val="single" w:color="000000" w:sz="6" w:space="0"/>
            </w:tcBorders>
            <w:noWrap w:val="0"/>
            <w:vAlign w:val="top"/>
          </w:tcPr>
          <w:p w14:paraId="7262FE22">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tcBorders>
              <w:bottom w:val="single" w:color="000000" w:sz="6" w:space="0"/>
            </w:tcBorders>
            <w:noWrap w:val="0"/>
            <w:vAlign w:val="top"/>
          </w:tcPr>
          <w:p w14:paraId="74ABDC5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33E9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top w:val="single" w:color="000000" w:sz="6" w:space="0"/>
            </w:tcBorders>
            <w:noWrap w:val="0"/>
            <w:vAlign w:val="center"/>
          </w:tcPr>
          <w:p w14:paraId="2F5AB4A9">
            <w:pPr>
              <w:pStyle w:val="51"/>
              <w:keepNext w:val="0"/>
              <w:keepLines w:val="0"/>
              <w:suppressLineNumbers w:val="0"/>
              <w:adjustRightInd w:val="0"/>
              <w:snapToGrid w:val="0"/>
              <w:spacing w:before="0" w:beforeAutospacing="0" w:after="0" w:afterAutospacing="0" w:line="560" w:lineRule="exact"/>
              <w:ind w:left="0" w:right="0"/>
              <w:jc w:val="center"/>
              <w:rPr>
                <w:rFonts w:hint="default"/>
                <w:color w:val="000000"/>
              </w:rPr>
            </w:pPr>
            <w:r>
              <w:rPr>
                <w:rFonts w:hint="default"/>
                <w:color w:val="000000"/>
              </w:rPr>
              <w:t>4</w:t>
            </w:r>
          </w:p>
        </w:tc>
        <w:tc>
          <w:tcPr>
            <w:tcW w:w="1685" w:type="dxa"/>
            <w:tcBorders>
              <w:top w:val="single" w:color="000000" w:sz="6" w:space="0"/>
            </w:tcBorders>
            <w:noWrap w:val="0"/>
            <w:vAlign w:val="top"/>
          </w:tcPr>
          <w:p w14:paraId="3CB1BEF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tcBorders>
              <w:top w:val="single" w:color="000000" w:sz="6" w:space="0"/>
            </w:tcBorders>
            <w:noWrap w:val="0"/>
            <w:vAlign w:val="top"/>
          </w:tcPr>
          <w:p w14:paraId="27D92F0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tcBorders>
              <w:top w:val="single" w:color="000000" w:sz="6" w:space="0"/>
            </w:tcBorders>
            <w:noWrap w:val="0"/>
            <w:vAlign w:val="top"/>
          </w:tcPr>
          <w:p w14:paraId="01F35FE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tcBorders>
              <w:top w:val="single" w:color="000000" w:sz="6" w:space="0"/>
            </w:tcBorders>
            <w:noWrap w:val="0"/>
            <w:vAlign w:val="top"/>
          </w:tcPr>
          <w:p w14:paraId="25ECD79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tcBorders>
              <w:top w:val="single" w:color="000000" w:sz="6" w:space="0"/>
            </w:tcBorders>
            <w:noWrap w:val="0"/>
            <w:vAlign w:val="top"/>
          </w:tcPr>
          <w:p w14:paraId="17FDCD7A">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tcBorders>
              <w:top w:val="single" w:color="000000" w:sz="6" w:space="0"/>
            </w:tcBorders>
            <w:noWrap w:val="0"/>
            <w:vAlign w:val="top"/>
          </w:tcPr>
          <w:p w14:paraId="1D95084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tcBorders>
              <w:top w:val="single" w:color="000000" w:sz="6" w:space="0"/>
            </w:tcBorders>
            <w:noWrap w:val="0"/>
            <w:vAlign w:val="top"/>
          </w:tcPr>
          <w:p w14:paraId="55454C98">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19007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center"/>
          </w:tcPr>
          <w:p w14:paraId="67B3C951">
            <w:pPr>
              <w:pStyle w:val="51"/>
              <w:keepNext w:val="0"/>
              <w:keepLines w:val="0"/>
              <w:suppressLineNumbers w:val="0"/>
              <w:adjustRightInd w:val="0"/>
              <w:snapToGrid w:val="0"/>
              <w:spacing w:before="0" w:beforeAutospacing="0" w:after="0" w:afterAutospacing="0" w:line="560" w:lineRule="exact"/>
              <w:ind w:left="0" w:right="0"/>
              <w:jc w:val="center"/>
              <w:rPr>
                <w:rFonts w:hint="default"/>
                <w:color w:val="000000"/>
              </w:rPr>
            </w:pPr>
            <w:r>
              <w:rPr>
                <w:rFonts w:hint="default"/>
                <w:color w:val="000000"/>
              </w:rPr>
              <w:t>5</w:t>
            </w:r>
          </w:p>
        </w:tc>
        <w:tc>
          <w:tcPr>
            <w:tcW w:w="1685" w:type="dxa"/>
            <w:noWrap w:val="0"/>
            <w:vAlign w:val="top"/>
          </w:tcPr>
          <w:p w14:paraId="0D0480EF">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502131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7259DFF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3577019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6886737B">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7B91F6D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7CFBA3C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3362B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center"/>
          </w:tcPr>
          <w:p w14:paraId="343B180B">
            <w:pPr>
              <w:pStyle w:val="51"/>
              <w:keepNext w:val="0"/>
              <w:keepLines w:val="0"/>
              <w:suppressLineNumbers w:val="0"/>
              <w:adjustRightInd w:val="0"/>
              <w:snapToGrid w:val="0"/>
              <w:spacing w:before="0" w:beforeAutospacing="0" w:after="0" w:afterAutospacing="0" w:line="560" w:lineRule="exact"/>
              <w:ind w:left="0" w:right="0"/>
              <w:jc w:val="center"/>
              <w:rPr>
                <w:rFonts w:hint="default"/>
                <w:color w:val="000000"/>
              </w:rPr>
            </w:pPr>
            <w:r>
              <w:rPr>
                <w:rFonts w:hint="default"/>
                <w:color w:val="000000"/>
              </w:rPr>
              <w:t>6</w:t>
            </w:r>
          </w:p>
        </w:tc>
        <w:tc>
          <w:tcPr>
            <w:tcW w:w="1685" w:type="dxa"/>
            <w:noWrap w:val="0"/>
            <w:vAlign w:val="top"/>
          </w:tcPr>
          <w:p w14:paraId="762DA60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6C05B10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707D55A6">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F27E50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2EAC8C6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71241EA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1D129632">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7BA38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7EAE9A6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102AA5D8">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3EC76E8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7E236F2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3942F2B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5D5BEB6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07E989A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3DC9730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72EF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55C7B96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5B35C17A">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5E2E6E2F">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45E55E3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EB8F04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7C7B171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7AC55CC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3A13281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476D2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57A51FF">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0F18A26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0E44A69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4BCBAFC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7794F3B6">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4705F60F">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7E4C8BF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4812EE8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17AEF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36" w:type="dxa"/>
            <w:noWrap w:val="0"/>
            <w:vAlign w:val="top"/>
          </w:tcPr>
          <w:p w14:paraId="7C0C325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39598E2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66F7811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473AE5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3B4B8CC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284ABBB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6D3422A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3631025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2460D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36" w:type="dxa"/>
            <w:noWrap w:val="0"/>
            <w:vAlign w:val="top"/>
          </w:tcPr>
          <w:p w14:paraId="17A3373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032FF073">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00B44B52">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1DD4E38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612B878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36C1F43D">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7AD9FC18">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1CACB03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2333F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2B76886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028B58F6">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2ADCDC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6BE18952">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5EF2F1A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6DAF06D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6BDD6060">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0F96E50B">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60FC0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686B28D">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6C9F9BB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1F38D7FD">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2F8E36A1">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099271C2">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5D452DCF">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303EDDC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0374B2D5">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r w14:paraId="23545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111EFA1E">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5" w:type="dxa"/>
            <w:noWrap w:val="0"/>
            <w:vAlign w:val="top"/>
          </w:tcPr>
          <w:p w14:paraId="283BBD27">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6F3804A4">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3DD3B479">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4" w:type="dxa"/>
            <w:noWrap w:val="0"/>
            <w:vAlign w:val="top"/>
          </w:tcPr>
          <w:p w14:paraId="4E6BF848">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791" w:type="dxa"/>
            <w:noWrap w:val="0"/>
            <w:vAlign w:val="top"/>
          </w:tcPr>
          <w:p w14:paraId="01E06AEC">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635" w:type="dxa"/>
            <w:noWrap w:val="0"/>
            <w:vAlign w:val="top"/>
          </w:tcPr>
          <w:p w14:paraId="61D1EA7D">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c>
          <w:tcPr>
            <w:tcW w:w="1687" w:type="dxa"/>
            <w:noWrap w:val="0"/>
            <w:vAlign w:val="top"/>
          </w:tcPr>
          <w:p w14:paraId="193BB186">
            <w:pPr>
              <w:pStyle w:val="51"/>
              <w:keepNext w:val="0"/>
              <w:keepLines w:val="0"/>
              <w:suppressLineNumbers w:val="0"/>
              <w:adjustRightInd w:val="0"/>
              <w:snapToGrid w:val="0"/>
              <w:spacing w:before="0" w:beforeAutospacing="0" w:after="0" w:afterAutospacing="0" w:line="560" w:lineRule="exact"/>
              <w:ind w:left="0" w:right="0"/>
              <w:rPr>
                <w:rFonts w:hint="default" w:ascii="Times New Roman"/>
                <w:color w:val="000000"/>
                <w:sz w:val="20"/>
              </w:rPr>
            </w:pPr>
          </w:p>
        </w:tc>
      </w:tr>
    </w:tbl>
    <w:p w14:paraId="72591D67">
      <w:pPr>
        <w:rPr>
          <w:rFonts w:hint="eastAsia"/>
        </w:rPr>
      </w:pPr>
      <w:r>
        <w:rPr>
          <w:rFonts w:hint="eastAsia"/>
        </w:rPr>
        <w:t>注：1、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75E35018">
      <w:pPr>
        <w:rPr>
          <w:rFonts w:hint="eastAsia"/>
          <w:lang w:val="en-US"/>
        </w:rPr>
      </w:pPr>
      <w:r>
        <w:rPr>
          <w:rFonts w:hint="eastAsia"/>
        </w:rPr>
        <w:t>2、对于招标人推荐品牌的材料、设备等，投标人如认为招标人推荐的品牌有限定性、唯一性、明显不在同一档次等级的或者其他疑问的，应在本项目异议提出的截止时间前通过电子交易系统向招标人提出。</w:t>
      </w:r>
      <w:r>
        <w:rPr>
          <w:rFonts w:hint="eastAsia"/>
          <w:lang w:val="en-US" w:eastAsia="zh-CN"/>
        </w:rPr>
        <w:t xml:space="preserve"> </w:t>
      </w:r>
    </w:p>
    <w:p w14:paraId="4F891CCD">
      <w:pPr>
        <w:rPr>
          <w:rFonts w:hint="eastAsia" w:ascii="宋体" w:hAnsi="宋体" w:eastAsia="宋体" w:cs="宋体"/>
          <w:b/>
          <w:bCs w:val="0"/>
          <w:color w:val="000000"/>
          <w:kern w:val="0"/>
          <w:sz w:val="36"/>
          <w:szCs w:val="36"/>
          <w:highlight w:val="none"/>
          <w:u w:color="000000"/>
          <w:lang w:val="en-US" w:eastAsia="zh-CN" w:bidi="ar"/>
        </w:rPr>
      </w:pPr>
      <w:r>
        <w:rPr>
          <w:rFonts w:hint="eastAsia" w:ascii="宋体" w:hAnsi="宋体" w:eastAsia="宋体" w:cs="宋体"/>
          <w:b/>
          <w:bCs w:val="0"/>
          <w:color w:val="000000"/>
          <w:kern w:val="0"/>
          <w:sz w:val="36"/>
          <w:szCs w:val="36"/>
          <w:highlight w:val="none"/>
          <w:u w:color="000000"/>
          <w:lang w:val="en-US" w:eastAsia="zh-CN" w:bidi="ar"/>
        </w:rPr>
        <w:br w:type="page"/>
      </w:r>
    </w:p>
    <w:p w14:paraId="13E76AE2">
      <w:pPr>
        <w:pStyle w:val="21"/>
        <w:widowControl/>
        <w:spacing w:before="0" w:beforeAutospacing="0" w:after="0" w:afterAutospacing="0" w:line="375" w:lineRule="atLeast"/>
        <w:ind w:left="0" w:right="0"/>
        <w:jc w:val="center"/>
        <w:outlineLvl w:val="0"/>
        <w:rPr>
          <w:b/>
          <w:bCs w:val="0"/>
          <w:sz w:val="32"/>
          <w:szCs w:val="32"/>
          <w:highlight w:val="none"/>
          <w:lang w:val="en-US"/>
        </w:rPr>
      </w:pPr>
      <w:bookmarkStart w:id="363" w:name="_Toc6275_WPSOffice_Level1"/>
      <w:bookmarkEnd w:id="363"/>
      <w:r>
        <w:rPr>
          <w:b/>
          <w:bCs w:val="0"/>
          <w:sz w:val="32"/>
          <w:szCs w:val="32"/>
          <w:highlight w:val="none"/>
          <w:lang w:eastAsia="zh-CN"/>
        </w:rPr>
        <w:t>第</w:t>
      </w:r>
      <w:r>
        <w:rPr>
          <w:rFonts w:hint="eastAsia"/>
          <w:b/>
          <w:bCs w:val="0"/>
          <w:sz w:val="32"/>
          <w:szCs w:val="32"/>
          <w:highlight w:val="none"/>
          <w:lang w:val="en-US" w:eastAsia="zh-CN"/>
        </w:rPr>
        <w:t>八</w:t>
      </w:r>
      <w:r>
        <w:rPr>
          <w:b/>
          <w:bCs w:val="0"/>
          <w:sz w:val="32"/>
          <w:szCs w:val="32"/>
          <w:highlight w:val="none"/>
          <w:lang w:eastAsia="zh-CN"/>
        </w:rPr>
        <w:t>章</w:t>
      </w:r>
      <w:r>
        <w:rPr>
          <w:b/>
          <w:bCs w:val="0"/>
          <w:sz w:val="32"/>
          <w:szCs w:val="32"/>
          <w:highlight w:val="none"/>
          <w:lang w:val="en-US"/>
        </w:rPr>
        <w:t xml:space="preserve">   </w:t>
      </w:r>
      <w:r>
        <w:rPr>
          <w:b/>
          <w:bCs w:val="0"/>
          <w:sz w:val="32"/>
          <w:szCs w:val="32"/>
          <w:highlight w:val="none"/>
          <w:lang w:eastAsia="zh-CN"/>
        </w:rPr>
        <w:t>招标人、招标代理机构对本招标文件的确认</w:t>
      </w:r>
    </w:p>
    <w:tbl>
      <w:tblPr>
        <w:tblStyle w:val="23"/>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1A3B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71D4B23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12D21BB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我单位对</w:t>
            </w:r>
            <w:r>
              <w:rPr>
                <w:rFonts w:hint="eastAsia" w:ascii="宋体" w:hAnsi="宋体" w:eastAsia="宋体" w:cs="宋体"/>
                <w:color w:val="000000"/>
                <w:kern w:val="2"/>
                <w:sz w:val="28"/>
                <w:szCs w:val="28"/>
                <w:highlight w:val="none"/>
                <w:u w:val="single" w:color="000000"/>
                <w:lang w:val="en-US" w:eastAsia="zh-CN" w:bidi="ar"/>
              </w:rPr>
              <w:t>滁州至南京城际铁路（滁州段）一期、二期全线监控CCTV补盲加装项目（二次）</w:t>
            </w:r>
            <w:r>
              <w:rPr>
                <w:rFonts w:hint="eastAsia" w:ascii="宋体" w:hAnsi="宋体" w:eastAsia="宋体" w:cs="宋体"/>
                <w:color w:val="000000"/>
                <w:kern w:val="2"/>
                <w:sz w:val="28"/>
                <w:szCs w:val="28"/>
                <w:highlight w:val="none"/>
                <w:u w:color="000000"/>
                <w:lang w:val="en-US" w:eastAsia="zh-CN" w:bidi="ar"/>
              </w:rPr>
              <w:t>招标文件进行确认。</w:t>
            </w:r>
          </w:p>
          <w:p w14:paraId="06DCC0E1">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招标人：滁州市滁宁城际铁路开发建设有限公司 </w:t>
            </w:r>
          </w:p>
          <w:p w14:paraId="422F30B2">
            <w:pPr>
              <w:keepNext w:val="0"/>
              <w:keepLines w:val="0"/>
              <w:widowControl/>
              <w:suppressLineNumbers w:val="0"/>
              <w:spacing w:before="0" w:beforeAutospacing="0" w:after="0" w:afterAutospacing="0" w:line="720" w:lineRule="exact"/>
              <w:ind w:left="0" w:right="0" w:firstLine="560" w:firstLineChars="200"/>
              <w:jc w:val="both"/>
              <w:rPr>
                <w:rFonts w:hint="default"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联系人：杨雅辰</w:t>
            </w:r>
          </w:p>
          <w:p w14:paraId="58B0E9E2">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kern w:val="2"/>
                <w:sz w:val="28"/>
                <w:szCs w:val="28"/>
                <w:highlight w:val="none"/>
                <w:u w:color="000000"/>
                <w:lang w:val="en-US" w:eastAsia="zh-CN" w:bidi="ar"/>
              </w:rPr>
            </w:pPr>
            <w:r>
              <w:rPr>
                <w:rFonts w:hint="eastAsia" w:ascii="宋体" w:hAnsi="宋体" w:eastAsia="宋体" w:cs="宋体"/>
                <w:color w:val="000000"/>
                <w:kern w:val="2"/>
                <w:sz w:val="28"/>
                <w:szCs w:val="28"/>
                <w:highlight w:val="none"/>
                <w:u w:color="000000"/>
                <w:lang w:val="en-US" w:eastAsia="zh-CN" w:bidi="ar"/>
              </w:rPr>
              <w:t>联系电话：13339207910</w:t>
            </w:r>
          </w:p>
          <w:p w14:paraId="113352A3">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 xml:space="preserve">  </w:t>
            </w:r>
          </w:p>
          <w:p w14:paraId="30212E6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4FEF71AD">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5EC6C013">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52F681E5">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2026年3月</w:t>
            </w:r>
          </w:p>
          <w:p w14:paraId="56DEE5B6">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kern w:val="2"/>
                <w:sz w:val="28"/>
                <w:szCs w:val="28"/>
                <w:highlight w:val="none"/>
                <w:lang w:val="en-US"/>
              </w:rPr>
            </w:pPr>
          </w:p>
        </w:tc>
      </w:tr>
      <w:tr w14:paraId="4A4A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23BB393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kern w:val="2"/>
                <w:sz w:val="28"/>
                <w:szCs w:val="28"/>
                <w:highlight w:val="none"/>
                <w:lang w:val="en-US"/>
              </w:rPr>
            </w:pPr>
          </w:p>
          <w:p w14:paraId="5FFB4BD4">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招标代理机构：滁州市城投工程咨询管理有限公司</w:t>
            </w:r>
          </w:p>
          <w:p w14:paraId="65F08E38">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经办人：周蓓蕾</w:t>
            </w:r>
          </w:p>
          <w:p w14:paraId="57C79F2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电话：0550-3519519、18005505728</w:t>
            </w:r>
          </w:p>
          <w:p w14:paraId="4C067E4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kern w:val="2"/>
                <w:sz w:val="28"/>
                <w:szCs w:val="28"/>
                <w:highlight w:val="none"/>
                <w:lang w:val="en-US"/>
              </w:rPr>
            </w:pPr>
          </w:p>
          <w:p w14:paraId="445B7223">
            <w:pPr>
              <w:pStyle w:val="6"/>
              <w:widowControl/>
              <w:spacing w:before="0" w:beforeAutospacing="0" w:after="120" w:afterAutospacing="0"/>
              <w:ind w:leftChars="200" w:right="0" w:firstLine="560"/>
              <w:rPr>
                <w:kern w:val="2"/>
                <w:sz w:val="28"/>
                <w:szCs w:val="28"/>
                <w:highlight w:val="none"/>
                <w:lang w:val="en-US"/>
              </w:rPr>
            </w:pPr>
          </w:p>
          <w:p w14:paraId="1F2F0EB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kern w:val="2"/>
                <w:highlight w:val="none"/>
                <w:lang w:val="en-US"/>
              </w:rPr>
            </w:pPr>
          </w:p>
          <w:p w14:paraId="72BE766B">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（单位盖章）</w:t>
            </w:r>
          </w:p>
          <w:p w14:paraId="6828CB58">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kern w:val="2"/>
                <w:sz w:val="28"/>
                <w:szCs w:val="28"/>
                <w:highlight w:val="none"/>
                <w:lang w:val="en-US"/>
              </w:rPr>
            </w:pPr>
          </w:p>
          <w:p w14:paraId="0C15B413">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FF0000"/>
                <w:kern w:val="2"/>
                <w:sz w:val="28"/>
                <w:szCs w:val="28"/>
                <w:highlight w:val="none"/>
                <w:lang w:val="en-US"/>
              </w:rPr>
            </w:pPr>
            <w:r>
              <w:rPr>
                <w:rFonts w:hint="eastAsia" w:ascii="宋体" w:hAnsi="宋体" w:eastAsia="宋体" w:cs="宋体"/>
                <w:color w:val="000000"/>
                <w:kern w:val="2"/>
                <w:sz w:val="28"/>
                <w:szCs w:val="28"/>
                <w:highlight w:val="none"/>
                <w:u w:color="000000"/>
                <w:lang w:val="en-US" w:eastAsia="zh-CN" w:bidi="ar"/>
              </w:rPr>
              <w:t>2026年3月</w:t>
            </w:r>
          </w:p>
        </w:tc>
      </w:tr>
    </w:tbl>
    <w:p w14:paraId="7C616BD9">
      <w:pPr>
        <w:rPr>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 w:name="宋体-18030">
    <w:altName w:val="宋体"/>
    <w:panose1 w:val="00000000000000000000"/>
    <w:charset w:val="86"/>
    <w:family w:val="modern"/>
    <w:pitch w:val="default"/>
    <w:sig w:usb0="00000000" w:usb1="00000000" w:usb2="00000010" w:usb3="00000000" w:csb0="00040000" w:csb1="00000000"/>
  </w:font>
  <w:font w:name="Times New Roman (正文 CS 字体)">
    <w:altName w:val="宋体"/>
    <w:panose1 w:val="00000000000000000000"/>
    <w:charset w:val="86"/>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ED0A">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B21BD2">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2B21BD2">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3AC41">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53ECB">
                          <w:pPr>
                            <w:pStyle w:val="15"/>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7D53ECB">
                    <w:pPr>
                      <w:pStyle w:val="15"/>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4F3AC"/>
    <w:multiLevelType w:val="singleLevel"/>
    <w:tmpl w:val="8F54F3AC"/>
    <w:lvl w:ilvl="0" w:tentative="0">
      <w:start w:val="2"/>
      <w:numFmt w:val="chineseCounting"/>
      <w:suff w:val="space"/>
      <w:lvlText w:val="第%1章"/>
      <w:lvlJc w:val="left"/>
      <w:rPr>
        <w:rFonts w:hint="eastAsia"/>
      </w:rPr>
    </w:lvl>
  </w:abstractNum>
  <w:abstractNum w:abstractNumId="1">
    <w:nsid w:val="C46C6862"/>
    <w:multiLevelType w:val="singleLevel"/>
    <w:tmpl w:val="C46C6862"/>
    <w:lvl w:ilvl="0" w:tentative="0">
      <w:start w:val="5"/>
      <w:numFmt w:val="chineseCounting"/>
      <w:suff w:val="space"/>
      <w:lvlText w:val="第%1章"/>
      <w:lvlJc w:val="left"/>
      <w:rPr>
        <w:rFonts w:hint="eastAsia"/>
      </w:rPr>
    </w:lvl>
  </w:abstractNum>
  <w:abstractNum w:abstractNumId="2">
    <w:nsid w:val="C51AEEB1"/>
    <w:multiLevelType w:val="singleLevel"/>
    <w:tmpl w:val="C51AEEB1"/>
    <w:lvl w:ilvl="0" w:tentative="0">
      <w:start w:val="1"/>
      <w:numFmt w:val="decimal"/>
      <w:suff w:val="nothing"/>
      <w:lvlText w:val="（%1）"/>
      <w:lvlJc w:val="left"/>
    </w:lvl>
  </w:abstractNum>
  <w:abstractNum w:abstractNumId="3">
    <w:nsid w:val="F4A311EA"/>
    <w:multiLevelType w:val="singleLevel"/>
    <w:tmpl w:val="F4A311EA"/>
    <w:lvl w:ilvl="0" w:tentative="0">
      <w:start w:val="3"/>
      <w:numFmt w:val="decimal"/>
      <w:suff w:val="nothing"/>
      <w:lvlText w:val="%1．"/>
      <w:lvlJc w:val="left"/>
    </w:lvl>
  </w:abstractNum>
  <w:abstractNum w:abstractNumId="4">
    <w:nsid w:val="2C0E891D"/>
    <w:multiLevelType w:val="multilevel"/>
    <w:tmpl w:val="2C0E891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4E8B8FD"/>
    <w:multiLevelType w:val="singleLevel"/>
    <w:tmpl w:val="44E8B8FD"/>
    <w:lvl w:ilvl="0" w:tentative="0">
      <w:start w:val="6"/>
      <w:numFmt w:val="chineseCounting"/>
      <w:suff w:val="space"/>
      <w:lvlText w:val="第%1章"/>
      <w:lvlJc w:val="left"/>
      <w:rPr>
        <w:rFonts w:hint="eastAsia"/>
      </w:rPr>
    </w:lvl>
  </w:abstractNum>
  <w:abstractNum w:abstractNumId="6">
    <w:nsid w:val="76057C8D"/>
    <w:multiLevelType w:val="multilevel"/>
    <w:tmpl w:val="76057C8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3"/>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0950983"/>
    <w:rsid w:val="01D118B5"/>
    <w:rsid w:val="01E872A1"/>
    <w:rsid w:val="032031D0"/>
    <w:rsid w:val="03471A81"/>
    <w:rsid w:val="06D54ED0"/>
    <w:rsid w:val="07C425FF"/>
    <w:rsid w:val="0AFF501E"/>
    <w:rsid w:val="0B8C2605"/>
    <w:rsid w:val="0CEF01A1"/>
    <w:rsid w:val="0D4228C9"/>
    <w:rsid w:val="0EBB3464"/>
    <w:rsid w:val="0F5A3543"/>
    <w:rsid w:val="0FC82D5D"/>
    <w:rsid w:val="101C4945"/>
    <w:rsid w:val="11273F56"/>
    <w:rsid w:val="12431559"/>
    <w:rsid w:val="14334ED5"/>
    <w:rsid w:val="147673EE"/>
    <w:rsid w:val="162403C8"/>
    <w:rsid w:val="1A2C0203"/>
    <w:rsid w:val="1B0B6A26"/>
    <w:rsid w:val="1CF617FA"/>
    <w:rsid w:val="1DD7722D"/>
    <w:rsid w:val="1E474369"/>
    <w:rsid w:val="1FBE5586"/>
    <w:rsid w:val="2035457B"/>
    <w:rsid w:val="204506D8"/>
    <w:rsid w:val="20F63292"/>
    <w:rsid w:val="21391D2B"/>
    <w:rsid w:val="21FC6157"/>
    <w:rsid w:val="222D5B93"/>
    <w:rsid w:val="239955A4"/>
    <w:rsid w:val="271F6EDF"/>
    <w:rsid w:val="27427F5F"/>
    <w:rsid w:val="287E4991"/>
    <w:rsid w:val="28FD1B10"/>
    <w:rsid w:val="29011C0D"/>
    <w:rsid w:val="2F997C9D"/>
    <w:rsid w:val="30F76170"/>
    <w:rsid w:val="32013042"/>
    <w:rsid w:val="323852C9"/>
    <w:rsid w:val="32812567"/>
    <w:rsid w:val="32AB6635"/>
    <w:rsid w:val="34B027D3"/>
    <w:rsid w:val="350F138C"/>
    <w:rsid w:val="39196E3A"/>
    <w:rsid w:val="3C7A035E"/>
    <w:rsid w:val="3D7F110E"/>
    <w:rsid w:val="3D8B68BD"/>
    <w:rsid w:val="3F3A5217"/>
    <w:rsid w:val="3FDC1609"/>
    <w:rsid w:val="40585B1F"/>
    <w:rsid w:val="41C76417"/>
    <w:rsid w:val="42AB7679"/>
    <w:rsid w:val="42F933B2"/>
    <w:rsid w:val="440F4D94"/>
    <w:rsid w:val="44121234"/>
    <w:rsid w:val="45132EF4"/>
    <w:rsid w:val="452F5B6D"/>
    <w:rsid w:val="45602117"/>
    <w:rsid w:val="46501639"/>
    <w:rsid w:val="474318BA"/>
    <w:rsid w:val="47DC16A5"/>
    <w:rsid w:val="491938C4"/>
    <w:rsid w:val="49560276"/>
    <w:rsid w:val="4B8A2C90"/>
    <w:rsid w:val="4C3857CB"/>
    <w:rsid w:val="4F522371"/>
    <w:rsid w:val="4FA1515E"/>
    <w:rsid w:val="507B4F46"/>
    <w:rsid w:val="50FA4465"/>
    <w:rsid w:val="510E11AC"/>
    <w:rsid w:val="5523352E"/>
    <w:rsid w:val="57D3727A"/>
    <w:rsid w:val="5AB972A9"/>
    <w:rsid w:val="5AC41FE9"/>
    <w:rsid w:val="5D2B5019"/>
    <w:rsid w:val="5D322B2E"/>
    <w:rsid w:val="5D7002D3"/>
    <w:rsid w:val="604D11B9"/>
    <w:rsid w:val="62C47C43"/>
    <w:rsid w:val="6509245E"/>
    <w:rsid w:val="668A652A"/>
    <w:rsid w:val="6EA934B6"/>
    <w:rsid w:val="706E041E"/>
    <w:rsid w:val="72A03324"/>
    <w:rsid w:val="746B63CF"/>
    <w:rsid w:val="746C0AE0"/>
    <w:rsid w:val="74C85615"/>
    <w:rsid w:val="75843174"/>
    <w:rsid w:val="75AE035E"/>
    <w:rsid w:val="760F0C92"/>
    <w:rsid w:val="76B7003F"/>
    <w:rsid w:val="79757E4E"/>
    <w:rsid w:val="7A2A6204"/>
    <w:rsid w:val="7AF5326F"/>
    <w:rsid w:val="7B583976"/>
    <w:rsid w:val="7D256A57"/>
    <w:rsid w:val="7E8D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34"/>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3">
    <w:name w:val="heading 3"/>
    <w:basedOn w:val="1"/>
    <w:next w:val="1"/>
    <w:qFormat/>
    <w:uiPriority w:val="0"/>
    <w:pPr>
      <w:keepNext/>
      <w:keepLines/>
      <w:outlineLvl w:val="2"/>
    </w:pPr>
    <w:rPr>
      <w:kern w:val="0"/>
      <w:sz w:val="28"/>
      <w:szCs w:val="20"/>
    </w:rPr>
  </w:style>
  <w:style w:type="character" w:default="1" w:styleId="25">
    <w:name w:val="Default Paragraph Font"/>
    <w:semiHidden/>
    <w:qFormat/>
    <w:uiPriority w:val="0"/>
  </w:style>
  <w:style w:type="table" w:default="1" w:styleId="2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4">
    <w:name w:val="toc 7"/>
    <w:basedOn w:val="1"/>
    <w:next w:val="1"/>
    <w:qFormat/>
    <w:uiPriority w:val="39"/>
    <w:pPr>
      <w:ind w:left="1260"/>
      <w:jc w:val="left"/>
    </w:pPr>
    <w:rPr>
      <w:sz w:val="18"/>
      <w:szCs w:val="18"/>
    </w:rPr>
  </w:style>
  <w:style w:type="paragraph" w:styleId="5">
    <w:name w:val="Normal Indent"/>
    <w:basedOn w:val="1"/>
    <w:next w:val="6"/>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6">
    <w:name w:val="Body Text First Indent 2"/>
    <w:basedOn w:val="7"/>
    <w:next w:val="1"/>
    <w:link w:val="32"/>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7">
    <w:name w:val="Body Text Indent"/>
    <w:basedOn w:val="1"/>
    <w:next w:val="8"/>
    <w:link w:val="31"/>
    <w:qFormat/>
    <w:uiPriority w:val="0"/>
    <w:pPr>
      <w:spacing w:after="120" w:afterLines="0" w:afterAutospacing="0"/>
      <w:ind w:left="420" w:leftChars="200"/>
    </w:pPr>
  </w:style>
  <w:style w:type="paragraph" w:styleId="8">
    <w:name w:val="envelope return"/>
    <w:basedOn w:val="1"/>
    <w:next w:val="4"/>
    <w:qFormat/>
    <w:uiPriority w:val="0"/>
    <w:pPr>
      <w:snapToGrid w:val="0"/>
    </w:pPr>
    <w:rPr>
      <w:rFonts w:ascii="Arial" w:hAnsi="Arial"/>
    </w:rPr>
  </w:style>
  <w:style w:type="paragraph" w:styleId="9">
    <w:name w:val="annotation text"/>
    <w:basedOn w:val="1"/>
    <w:qFormat/>
    <w:uiPriority w:val="0"/>
    <w:pPr>
      <w:jc w:val="left"/>
    </w:p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qFormat/>
    <w:uiPriority w:val="0"/>
    <w:pPr>
      <w:widowControl w:val="0"/>
      <w:snapToGrid w:val="0"/>
      <w:spacing w:line="360" w:lineRule="auto"/>
    </w:pPr>
    <w:rPr>
      <w:rFonts w:ascii="Arial" w:hAnsi="Arial" w:eastAsia="仿宋_GB2312"/>
      <w:sz w:val="31"/>
    </w:rPr>
  </w:style>
  <w:style w:type="paragraph" w:styleId="12">
    <w:name w:val="toc 3"/>
    <w:basedOn w:val="1"/>
    <w:next w:val="1"/>
    <w:qFormat/>
    <w:uiPriority w:val="39"/>
    <w:pPr>
      <w:jc w:val="left"/>
    </w:pPr>
    <w:rPr>
      <w:rFonts w:ascii="Calibri" w:hAnsi="Calibri"/>
      <w:smallCaps/>
      <w:sz w:val="22"/>
      <w:szCs w:val="22"/>
    </w:rPr>
  </w:style>
  <w:style w:type="paragraph" w:styleId="13">
    <w:name w:val="Plain Text"/>
    <w:basedOn w:val="1"/>
    <w:link w:val="36"/>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4">
    <w:name w:val="Date"/>
    <w:basedOn w:val="1"/>
    <w:next w:val="1"/>
    <w:link w:val="33"/>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5">
    <w:name w:val="footer"/>
    <w:basedOn w:val="1"/>
    <w:link w:val="37"/>
    <w:qFormat/>
    <w:uiPriority w:val="0"/>
    <w:pPr>
      <w:tabs>
        <w:tab w:val="center" w:pos="4153"/>
        <w:tab w:val="right" w:pos="8306"/>
      </w:tabs>
      <w:snapToGrid w:val="0"/>
      <w:jc w:val="left"/>
    </w:pPr>
    <w:rPr>
      <w:sz w:val="18"/>
    </w:rPr>
  </w:style>
  <w:style w:type="paragraph" w:styleId="16">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spacing w:before="120" w:after="120"/>
      <w:jc w:val="left"/>
    </w:pPr>
    <w:rPr>
      <w:b/>
      <w:bCs/>
      <w:caps/>
      <w:sz w:val="20"/>
    </w:rPr>
  </w:style>
  <w:style w:type="paragraph" w:styleId="18">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19">
    <w:name w:val="footnote text"/>
    <w:basedOn w:val="1"/>
    <w:semiHidden/>
    <w:unhideWhenUsed/>
    <w:qFormat/>
    <w:uiPriority w:val="99"/>
    <w:pPr>
      <w:snapToGrid w:val="0"/>
      <w:jc w:val="left"/>
    </w:pPr>
    <w:rPr>
      <w:sz w:val="18"/>
    </w:rPr>
  </w:style>
  <w:style w:type="paragraph" w:styleId="20">
    <w:name w:val="Body Text 2"/>
    <w:basedOn w:val="1"/>
    <w:qFormat/>
    <w:uiPriority w:val="0"/>
    <w:rPr>
      <w:kern w:val="0"/>
      <w:sz w:val="24"/>
    </w:rPr>
  </w:style>
  <w:style w:type="paragraph" w:styleId="21">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2">
    <w:name w:val="Body Text First Indent"/>
    <w:basedOn w:val="11"/>
    <w:qFormat/>
    <w:uiPriority w:val="0"/>
    <w:pPr>
      <w:adjustRightInd/>
      <w:spacing w:after="120" w:line="240" w:lineRule="auto"/>
      <w:ind w:firstLine="420" w:firstLineChars="100"/>
      <w:jc w:val="both"/>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99"/>
  </w:style>
  <w:style w:type="character" w:styleId="27">
    <w:name w:val="Hyperlink"/>
    <w:qFormat/>
    <w:uiPriority w:val="99"/>
    <w:rPr>
      <w:color w:val="0000FF"/>
      <w:u w:val="single"/>
    </w:rPr>
  </w:style>
  <w:style w:type="character" w:styleId="28">
    <w:name w:val="footnote reference"/>
    <w:basedOn w:val="25"/>
    <w:semiHidden/>
    <w:unhideWhenUsed/>
    <w:qFormat/>
    <w:uiPriority w:val="99"/>
    <w:rPr>
      <w:vertAlign w:val="superscript"/>
    </w:rPr>
  </w:style>
  <w:style w:type="paragraph" w:customStyle="1" w:styleId="29">
    <w:name w:val="正文文字 8"/>
    <w:basedOn w:val="1"/>
    <w:next w:val="1"/>
    <w:qFormat/>
    <w:uiPriority w:val="0"/>
    <w:pPr>
      <w:ind w:left="240"/>
    </w:pPr>
    <w:rPr>
      <w:sz w:val="16"/>
    </w:rPr>
  </w:style>
  <w:style w:type="paragraph" w:customStyle="1" w:styleId="30">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31">
    <w:name w:val="正文文本缩进 Char"/>
    <w:basedOn w:val="25"/>
    <w:link w:val="7"/>
    <w:qFormat/>
    <w:uiPriority w:val="0"/>
    <w:rPr>
      <w:rFonts w:hint="default" w:ascii="Times New Roman" w:hAnsi="Times New Roman" w:eastAsia="宋体" w:cs="Times New Roman"/>
      <w:color w:val="000000"/>
      <w:kern w:val="0"/>
      <w:szCs w:val="21"/>
      <w:u w:color="000000"/>
    </w:rPr>
  </w:style>
  <w:style w:type="character" w:customStyle="1" w:styleId="32">
    <w:name w:val="正文首行缩进 2 Char"/>
    <w:basedOn w:val="31"/>
    <w:link w:val="6"/>
    <w:qFormat/>
    <w:uiPriority w:val="0"/>
    <w:rPr>
      <w:rFonts w:hint="default" w:ascii="Times New Roman" w:hAnsi="Times New Roman" w:eastAsia="宋体" w:cs="Times New Roman"/>
      <w:color w:val="000000"/>
      <w:kern w:val="0"/>
      <w:szCs w:val="21"/>
      <w:u w:color="000000"/>
    </w:rPr>
  </w:style>
  <w:style w:type="character" w:customStyle="1" w:styleId="33">
    <w:name w:val="日期 Char"/>
    <w:basedOn w:val="25"/>
    <w:link w:val="14"/>
    <w:qFormat/>
    <w:uiPriority w:val="0"/>
    <w:rPr>
      <w:rFonts w:ascii="Arial" w:hAnsi="Arial" w:eastAsia="仿宋_GB2312" w:cs="Arial"/>
      <w:color w:val="000000"/>
      <w:sz w:val="32"/>
      <w:szCs w:val="32"/>
      <w:u w:color="000000"/>
    </w:rPr>
  </w:style>
  <w:style w:type="character" w:customStyle="1" w:styleId="34">
    <w:name w:val="标题 2 Char"/>
    <w:basedOn w:val="25"/>
    <w:link w:val="2"/>
    <w:qFormat/>
    <w:uiPriority w:val="0"/>
    <w:rPr>
      <w:rFonts w:hint="default" w:ascii="Times New Roman" w:hAnsi="Times New Roman" w:eastAsia="宋体" w:cs="Times New Roman"/>
      <w:kern w:val="0"/>
      <w:sz w:val="24"/>
      <w:szCs w:val="24"/>
    </w:rPr>
  </w:style>
  <w:style w:type="character" w:customStyle="1" w:styleId="35">
    <w:name w:val="页眉 Char"/>
    <w:basedOn w:val="25"/>
    <w:link w:val="16"/>
    <w:qFormat/>
    <w:uiPriority w:val="0"/>
    <w:rPr>
      <w:rFonts w:hint="default" w:ascii="Times New Roman" w:hAnsi="Times New Roman" w:eastAsia="宋体" w:cs="Times New Roman"/>
      <w:color w:val="000000"/>
      <w:kern w:val="0"/>
      <w:sz w:val="18"/>
      <w:szCs w:val="18"/>
      <w:u w:color="000000"/>
    </w:rPr>
  </w:style>
  <w:style w:type="character" w:customStyle="1" w:styleId="36">
    <w:name w:val="纯文本 Char"/>
    <w:basedOn w:val="25"/>
    <w:link w:val="13"/>
    <w:qFormat/>
    <w:uiPriority w:val="0"/>
    <w:rPr>
      <w:rFonts w:hint="eastAsia" w:ascii="宋体" w:hAnsi="宋体" w:eastAsia="宋体" w:cs="宋体"/>
      <w:szCs w:val="21"/>
    </w:rPr>
  </w:style>
  <w:style w:type="character" w:customStyle="1" w:styleId="37">
    <w:name w:val="页脚 Char"/>
    <w:basedOn w:val="25"/>
    <w:link w:val="15"/>
    <w:qFormat/>
    <w:uiPriority w:val="0"/>
    <w:rPr>
      <w:rFonts w:hint="default" w:ascii="Times New Roman" w:hAnsi="Times New Roman" w:eastAsia="宋体" w:cs="Times New Roman"/>
      <w:color w:val="000000"/>
      <w:kern w:val="0"/>
      <w:sz w:val="18"/>
      <w:szCs w:val="18"/>
      <w:u w:color="000000"/>
    </w:rPr>
  </w:style>
  <w:style w:type="paragraph" w:customStyle="1" w:styleId="38">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39">
    <w:name w:val="List Paragraph"/>
    <w:basedOn w:val="1"/>
    <w:qFormat/>
    <w:uiPriority w:val="0"/>
    <w:pPr>
      <w:widowControl w:val="0"/>
      <w:spacing w:line="240" w:lineRule="auto"/>
      <w:ind w:firstLine="200" w:firstLineChars="200"/>
      <w:textAlignment w:val="auto"/>
    </w:pPr>
    <w:rPr>
      <w:u w:val="none" w:color="000000"/>
    </w:rPr>
  </w:style>
  <w:style w:type="character" w:customStyle="1" w:styleId="40">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4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2">
    <w:name w:val="font51"/>
    <w:basedOn w:val="25"/>
    <w:qFormat/>
    <w:uiPriority w:val="0"/>
    <w:rPr>
      <w:rFonts w:hint="eastAsia" w:ascii="宋体" w:hAnsi="宋体" w:eastAsia="宋体" w:cs="宋体"/>
      <w:color w:val="000000"/>
      <w:sz w:val="22"/>
      <w:szCs w:val="22"/>
      <w:u w:val="none"/>
    </w:rPr>
  </w:style>
  <w:style w:type="character" w:customStyle="1" w:styleId="43">
    <w:name w:val="font31"/>
    <w:basedOn w:val="25"/>
    <w:qFormat/>
    <w:uiPriority w:val="0"/>
    <w:rPr>
      <w:rFonts w:hint="default" w:ascii="Times New Roman" w:hAnsi="Times New Roman" w:cs="Times New Roman"/>
      <w:color w:val="000000"/>
      <w:sz w:val="22"/>
      <w:szCs w:val="22"/>
      <w:u w:val="none"/>
    </w:rPr>
  </w:style>
  <w:style w:type="character" w:customStyle="1" w:styleId="44">
    <w:name w:val="font61"/>
    <w:basedOn w:val="25"/>
    <w:qFormat/>
    <w:uiPriority w:val="0"/>
    <w:rPr>
      <w:rFonts w:hint="default" w:ascii="Times New Roman" w:hAnsi="Times New Roman" w:cs="Times New Roman"/>
      <w:color w:val="000000"/>
      <w:sz w:val="21"/>
      <w:szCs w:val="21"/>
      <w:u w:val="none"/>
    </w:rPr>
  </w:style>
  <w:style w:type="character" w:customStyle="1" w:styleId="45">
    <w:name w:val="font71"/>
    <w:basedOn w:val="25"/>
    <w:qFormat/>
    <w:uiPriority w:val="0"/>
    <w:rPr>
      <w:rFonts w:hint="eastAsia" w:ascii="宋体" w:hAnsi="宋体" w:eastAsia="宋体" w:cs="宋体"/>
      <w:color w:val="000000"/>
      <w:sz w:val="21"/>
      <w:szCs w:val="21"/>
      <w:u w:val="none"/>
    </w:rPr>
  </w:style>
  <w:style w:type="character" w:customStyle="1" w:styleId="46">
    <w:name w:val="font01"/>
    <w:basedOn w:val="25"/>
    <w:qFormat/>
    <w:uiPriority w:val="0"/>
    <w:rPr>
      <w:rFonts w:hint="eastAsia" w:ascii="宋体" w:hAnsi="宋体" w:eastAsia="宋体" w:cs="宋体"/>
      <w:color w:val="000000"/>
      <w:sz w:val="22"/>
      <w:szCs w:val="22"/>
      <w:u w:val="none"/>
    </w:rPr>
  </w:style>
  <w:style w:type="character" w:customStyle="1" w:styleId="47">
    <w:name w:val="font11"/>
    <w:basedOn w:val="25"/>
    <w:qFormat/>
    <w:uiPriority w:val="0"/>
    <w:rPr>
      <w:rFonts w:hint="eastAsia" w:ascii="宋体" w:hAnsi="宋体" w:eastAsia="宋体" w:cs="宋体"/>
      <w:color w:val="000000"/>
      <w:sz w:val="21"/>
      <w:szCs w:val="21"/>
      <w:u w:val="none"/>
    </w:rPr>
  </w:style>
  <w:style w:type="character" w:customStyle="1" w:styleId="48">
    <w:name w:val="font41"/>
    <w:basedOn w:val="25"/>
    <w:qFormat/>
    <w:uiPriority w:val="0"/>
    <w:rPr>
      <w:rFonts w:hint="default" w:ascii="Times New Roman" w:hAnsi="Times New Roman" w:cs="Times New Roman"/>
      <w:color w:val="000000"/>
      <w:sz w:val="22"/>
      <w:szCs w:val="22"/>
      <w:u w:val="none"/>
    </w:rPr>
  </w:style>
  <w:style w:type="paragraph" w:customStyle="1" w:styleId="49">
    <w:name w:val="二级标题"/>
    <w:basedOn w:val="1"/>
    <w:next w:val="1"/>
    <w:qFormat/>
    <w:uiPriority w:val="0"/>
    <w:rPr>
      <w:rFonts w:hint="eastAsia" w:eastAsia="楷体"/>
    </w:rPr>
  </w:style>
  <w:style w:type="paragraph" w:customStyle="1" w:styleId="50">
    <w:name w:val="首行缩进"/>
    <w:basedOn w:val="1"/>
    <w:qFormat/>
    <w:uiPriority w:val="0"/>
    <w:pPr>
      <w:ind w:firstLine="480" w:firstLineChars="200"/>
    </w:pPr>
    <w:rPr>
      <w:rFonts w:eastAsia="楷体_GB2312"/>
      <w:lang w:val="zh-CN"/>
    </w:rPr>
  </w:style>
  <w:style w:type="paragraph" w:customStyle="1" w:styleId="5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19954</Words>
  <Characters>21680</Characters>
  <Lines>0</Lines>
  <Paragraphs>0</Paragraphs>
  <TotalTime>0</TotalTime>
  <ScaleCrop>false</ScaleCrop>
  <LinksUpToDate>false</LinksUpToDate>
  <CharactersWithSpaces>22218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傻傻一辈子</cp:lastModifiedBy>
  <cp:lastPrinted>2026-03-11T00:23:00Z</cp:lastPrinted>
  <dcterms:modified xsi:type="dcterms:W3CDTF">2026-03-12T09:40:50Z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6D9A791FE09F4AF69DC46F4A104A7358</vt:lpwstr>
  </property>
  <property fmtid="{D5CDD505-2E9C-101B-9397-08002B2CF9AE}" pid="4" name="KSOTemplateDocerSaveRecord">
    <vt:lpwstr>eyJoZGlkIjoiMTljMDcwYWJmYjExZWQzNTVmZDAzZTYwM2JlMzJmZDYiLCJ1c2VySWQiOiIzODU2Mzk2OTQifQ==</vt:lpwstr>
  </property>
</Properties>
</file>