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F4C33">
      <w:pPr>
        <w:pStyle w:val="12"/>
        <w:ind w:left="0" w:leftChars="0" w:firstLine="0" w:firstLineChars="0"/>
        <w:rPr>
          <w:rFonts w:ascii="新宋体" w:hAnsi="新宋体" w:eastAsia="新宋体"/>
          <w:b/>
          <w:color w:val="auto"/>
          <w:sz w:val="44"/>
          <w:szCs w:val="44"/>
          <w:highlight w:val="none"/>
        </w:rPr>
      </w:pPr>
      <w:bookmarkStart w:id="0" w:name="OLE_LINK1"/>
      <w:r>
        <w:rPr>
          <w:rFonts w:hint="eastAsia" w:ascii="新宋体" w:hAnsi="新宋体" w:eastAsia="新宋体"/>
          <w:b/>
          <w:color w:val="auto"/>
          <w:sz w:val="44"/>
          <w:szCs w:val="44"/>
          <w:highlight w:val="none"/>
        </w:rPr>
        <w:t xml:space="preserve"> </w:t>
      </w:r>
    </w:p>
    <w:p w14:paraId="69F87FE2">
      <w:pPr>
        <w:spacing w:line="312" w:lineRule="auto"/>
        <w:jc w:val="center"/>
        <w:rPr>
          <w:rFonts w:hint="eastAsia" w:ascii="宋体" w:hAnsi="宋体"/>
          <w:b/>
          <w:color w:val="auto"/>
          <w:sz w:val="84"/>
          <w:szCs w:val="84"/>
          <w:highlight w:val="none"/>
        </w:rPr>
      </w:pPr>
      <w:r>
        <w:rPr>
          <w:rFonts w:hint="eastAsia" w:ascii="新宋体" w:hAnsi="新宋体" w:eastAsia="新宋体"/>
          <w:b/>
          <w:color w:val="auto"/>
          <w:sz w:val="48"/>
          <w:szCs w:val="48"/>
          <w:highlight w:val="none"/>
          <w:lang w:eastAsia="zh-CN"/>
        </w:rPr>
        <w:t>中新苏滁高新区无人机智能巡检服务项目</w:t>
      </w:r>
    </w:p>
    <w:p w14:paraId="6C028F85">
      <w:pPr>
        <w:spacing w:line="312" w:lineRule="auto"/>
        <w:jc w:val="center"/>
        <w:rPr>
          <w:rFonts w:hint="eastAsia" w:ascii="宋体" w:hAnsi="宋体"/>
          <w:b/>
          <w:color w:val="auto"/>
          <w:sz w:val="84"/>
          <w:szCs w:val="84"/>
          <w:highlight w:val="none"/>
        </w:rPr>
      </w:pPr>
    </w:p>
    <w:p w14:paraId="67BEBC37">
      <w:pPr>
        <w:spacing w:line="312" w:lineRule="auto"/>
        <w:jc w:val="center"/>
        <w:rPr>
          <w:rFonts w:ascii="宋体" w:hAnsi="宋体"/>
          <w:b/>
          <w:color w:val="auto"/>
          <w:sz w:val="84"/>
          <w:szCs w:val="84"/>
          <w:highlight w:val="none"/>
        </w:rPr>
      </w:pPr>
      <w:r>
        <w:rPr>
          <w:rFonts w:hint="eastAsia" w:ascii="宋体" w:hAnsi="宋体"/>
          <w:b/>
          <w:color w:val="auto"/>
          <w:sz w:val="84"/>
          <w:szCs w:val="84"/>
          <w:highlight w:val="none"/>
        </w:rPr>
        <w:t>招 标 文 件</w:t>
      </w:r>
    </w:p>
    <w:p w14:paraId="057C7C72">
      <w:pPr>
        <w:spacing w:after="156" w:afterLines="50"/>
        <w:ind w:left="-850" w:leftChars="-405" w:right="-625"/>
        <w:jc w:val="center"/>
        <w:rPr>
          <w:rFonts w:hint="eastAsia" w:ascii="宋体" w:hAnsi="宋体"/>
          <w:color w:val="auto"/>
          <w:sz w:val="40"/>
          <w:szCs w:val="36"/>
          <w:highlight w:val="none"/>
        </w:rPr>
      </w:pPr>
    </w:p>
    <w:p w14:paraId="5E57C6CD">
      <w:pPr>
        <w:spacing w:after="156" w:afterLines="50"/>
        <w:ind w:left="-850" w:leftChars="-405" w:right="-625"/>
        <w:jc w:val="center"/>
        <w:rPr>
          <w:rFonts w:hint="eastAsia" w:ascii="宋体" w:hAnsi="宋体"/>
          <w:color w:val="auto"/>
          <w:sz w:val="40"/>
          <w:szCs w:val="36"/>
          <w:highlight w:val="none"/>
        </w:rPr>
      </w:pPr>
      <w:r>
        <w:rPr>
          <w:rFonts w:hint="eastAsia" w:ascii="宋体" w:hAnsi="宋体"/>
          <w:color w:val="auto"/>
          <w:sz w:val="40"/>
          <w:szCs w:val="36"/>
          <w:highlight w:val="none"/>
        </w:rPr>
        <w:t>（电子招标投标）</w:t>
      </w:r>
    </w:p>
    <w:p w14:paraId="337D32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jc w:val="center"/>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项目编号</w:t>
      </w:r>
      <w:r>
        <w:rPr>
          <w:rFonts w:hint="eastAsia" w:ascii="Times New Roman" w:hAnsi="Times New Roman" w:eastAsia="宋体" w:cs="Times New Roman"/>
          <w:color w:val="auto"/>
          <w:sz w:val="24"/>
          <w:highlight w:val="none"/>
          <w:lang w:eastAsia="zh-CN"/>
        </w:rPr>
        <w:t>：czsjqt202509-005</w:t>
      </w:r>
    </w:p>
    <w:p w14:paraId="01016D5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jc w:val="center"/>
        <w:rPr>
          <w:rFonts w:hint="eastAsia" w:ascii="Times New Roman" w:hAnsi="Times New Roman" w:eastAsia="宋体" w:cs="Times New Roman"/>
          <w:color w:val="auto"/>
          <w:sz w:val="24"/>
          <w:highlight w:val="none"/>
          <w:lang w:eastAsia="zh-CN"/>
        </w:rPr>
      </w:pPr>
    </w:p>
    <w:p w14:paraId="49AC8ED0">
      <w:pPr>
        <w:widowControl/>
        <w:wordWrap w:val="0"/>
        <w:rPr>
          <w:color w:val="auto"/>
          <w:sz w:val="24"/>
          <w:highlight w:val="none"/>
        </w:rPr>
      </w:pPr>
    </w:p>
    <w:p w14:paraId="459866CF">
      <w:pPr>
        <w:rPr>
          <w:rFonts w:hint="eastAsia" w:ascii="宋体"/>
          <w:bCs/>
          <w:color w:val="auto"/>
          <w:szCs w:val="21"/>
          <w:highlight w:val="none"/>
        </w:rPr>
      </w:pPr>
    </w:p>
    <w:p w14:paraId="15D0D38E">
      <w:pPr>
        <w:rPr>
          <w:rFonts w:hint="eastAsia" w:ascii="宋体"/>
          <w:bCs/>
          <w:color w:val="auto"/>
          <w:szCs w:val="21"/>
          <w:highlight w:val="none"/>
        </w:rPr>
      </w:pPr>
    </w:p>
    <w:p w14:paraId="59D028E1">
      <w:pPr>
        <w:rPr>
          <w:rFonts w:hint="eastAsia" w:ascii="宋体"/>
          <w:bCs/>
          <w:color w:val="auto"/>
          <w:szCs w:val="21"/>
          <w:highlight w:val="none"/>
        </w:rPr>
      </w:pPr>
    </w:p>
    <w:p w14:paraId="36A37610">
      <w:pPr>
        <w:pStyle w:val="11"/>
        <w:ind w:left="0" w:leftChars="0" w:firstLine="0" w:firstLineChars="0"/>
        <w:rPr>
          <w:rFonts w:hint="eastAsia" w:ascii="宋体"/>
          <w:bCs/>
          <w:color w:val="auto"/>
          <w:szCs w:val="21"/>
          <w:highlight w:val="none"/>
        </w:rPr>
      </w:pPr>
    </w:p>
    <w:p w14:paraId="46C2C520">
      <w:pPr>
        <w:pStyle w:val="11"/>
        <w:ind w:left="0" w:leftChars="0" w:firstLine="0" w:firstLineChars="0"/>
        <w:rPr>
          <w:rFonts w:hint="eastAsia" w:ascii="宋体"/>
          <w:bCs/>
          <w:color w:val="auto"/>
          <w:szCs w:val="21"/>
          <w:highlight w:val="none"/>
        </w:rPr>
      </w:pPr>
    </w:p>
    <w:p w14:paraId="73D042CF">
      <w:pPr>
        <w:pStyle w:val="11"/>
        <w:ind w:left="0" w:leftChars="0" w:firstLine="0" w:firstLineChars="0"/>
        <w:rPr>
          <w:rFonts w:hint="eastAsia" w:ascii="宋体"/>
          <w:bCs/>
          <w:color w:val="auto"/>
          <w:szCs w:val="21"/>
          <w:highlight w:val="none"/>
        </w:rPr>
      </w:pPr>
    </w:p>
    <w:p w14:paraId="6160D473">
      <w:pPr>
        <w:rPr>
          <w:rFonts w:hint="eastAsia" w:ascii="宋体"/>
          <w:bCs/>
          <w:color w:val="auto"/>
          <w:szCs w:val="21"/>
          <w:highlight w:val="none"/>
        </w:rPr>
      </w:pPr>
    </w:p>
    <w:p w14:paraId="726FA59B">
      <w:pPr>
        <w:keepNext w:val="0"/>
        <w:keepLines w:val="0"/>
        <w:pageBreakBefore w:val="0"/>
        <w:widowControl w:val="0"/>
        <w:kinsoku/>
        <w:wordWrap/>
        <w:overflowPunct/>
        <w:topLinePunct w:val="0"/>
        <w:autoSpaceDE/>
        <w:autoSpaceDN/>
        <w:bidi w:val="0"/>
        <w:adjustRightInd/>
        <w:snapToGrid/>
        <w:spacing w:line="800" w:lineRule="exact"/>
        <w:ind w:firstLine="602" w:firstLineChars="200"/>
        <w:textAlignment w:val="auto"/>
        <w:rPr>
          <w:rFonts w:hint="eastAsia" w:ascii="宋体"/>
          <w:b/>
          <w:color w:val="auto"/>
          <w:sz w:val="30"/>
          <w:szCs w:val="30"/>
          <w:highlight w:val="none"/>
          <w:u w:val="thick"/>
        </w:rPr>
      </w:pPr>
      <w:r>
        <w:rPr>
          <w:rFonts w:hint="eastAsia"/>
          <w:b/>
          <w:bCs/>
          <w:color w:val="auto"/>
          <w:sz w:val="30"/>
          <w:szCs w:val="30"/>
          <w:highlight w:val="none"/>
        </w:rPr>
        <w:t>招   标  人：</w:t>
      </w:r>
      <w:r>
        <w:rPr>
          <w:rFonts w:hint="eastAsia" w:ascii="宋体" w:hAnsi="Times New Roman" w:eastAsia="宋体" w:cs="Times New Roman"/>
          <w:b/>
          <w:color w:val="auto"/>
          <w:sz w:val="30"/>
          <w:szCs w:val="30"/>
          <w:highlight w:val="none"/>
          <w:u w:val="thick"/>
          <w:lang w:eastAsia="zh-CN"/>
        </w:rPr>
        <w:t>滁州市苏滁市政公用发展有限公司</w:t>
      </w:r>
      <w:r>
        <w:rPr>
          <w:rFonts w:hint="eastAsia" w:ascii="宋体"/>
          <w:b/>
          <w:color w:val="auto"/>
          <w:sz w:val="30"/>
          <w:szCs w:val="30"/>
          <w:highlight w:val="none"/>
          <w:u w:val="thick"/>
        </w:rPr>
        <w:t xml:space="preserve"> </w:t>
      </w:r>
      <w:r>
        <w:rPr>
          <w:rFonts w:hint="eastAsia" w:ascii="宋体"/>
          <w:b/>
          <w:color w:val="auto"/>
          <w:sz w:val="30"/>
          <w:szCs w:val="30"/>
          <w:highlight w:val="none"/>
          <w:u w:val="thick"/>
          <w:lang w:val="en-US" w:eastAsia="zh-CN"/>
        </w:rPr>
        <w:t xml:space="preserve"> </w:t>
      </w:r>
      <w:r>
        <w:rPr>
          <w:rFonts w:hint="eastAsia" w:ascii="宋体"/>
          <w:b/>
          <w:color w:val="auto"/>
          <w:sz w:val="30"/>
          <w:szCs w:val="30"/>
          <w:highlight w:val="none"/>
          <w:u w:val="thick"/>
        </w:rPr>
        <w:t>（盖章）</w:t>
      </w:r>
    </w:p>
    <w:p w14:paraId="10ABB446">
      <w:pPr>
        <w:keepNext w:val="0"/>
        <w:keepLines w:val="0"/>
        <w:pageBreakBefore w:val="0"/>
        <w:widowControl w:val="0"/>
        <w:kinsoku/>
        <w:wordWrap/>
        <w:overflowPunct/>
        <w:topLinePunct w:val="0"/>
        <w:autoSpaceDE/>
        <w:autoSpaceDN/>
        <w:bidi w:val="0"/>
        <w:adjustRightInd/>
        <w:snapToGrid/>
        <w:spacing w:line="800" w:lineRule="exact"/>
        <w:ind w:firstLine="602" w:firstLineChars="200"/>
        <w:textAlignment w:val="auto"/>
        <w:rPr>
          <w:rFonts w:hint="eastAsia" w:ascii="宋体" w:hAnsi="Times New Roman" w:eastAsia="宋体" w:cs="Times New Roman"/>
          <w:b/>
          <w:color w:val="auto"/>
          <w:sz w:val="30"/>
          <w:szCs w:val="30"/>
          <w:highlight w:val="none"/>
          <w:u w:val="thick"/>
          <w:lang w:val="en-US" w:eastAsia="zh-CN"/>
        </w:rPr>
      </w:pPr>
      <w:r>
        <w:rPr>
          <w:rFonts w:hint="eastAsia" w:ascii="Times New Roman" w:hAnsi="Times New Roman" w:eastAsia="宋体" w:cs="Times New Roman"/>
          <w:b/>
          <w:bCs/>
          <w:color w:val="auto"/>
          <w:sz w:val="30"/>
          <w:szCs w:val="30"/>
          <w:highlight w:val="none"/>
        </w:rPr>
        <w:t>招标代理机构：</w:t>
      </w:r>
      <w:r>
        <w:rPr>
          <w:rFonts w:hint="eastAsia" w:ascii="宋体" w:hAnsi="Times New Roman" w:eastAsia="宋体" w:cs="Times New Roman"/>
          <w:b/>
          <w:color w:val="auto"/>
          <w:sz w:val="30"/>
          <w:szCs w:val="30"/>
          <w:highlight w:val="none"/>
          <w:u w:val="thick"/>
          <w:lang w:val="en-US" w:eastAsia="zh-CN"/>
        </w:rPr>
        <w:t>滁州市城投工程咨询管理有限公司 （盖章）</w:t>
      </w:r>
    </w:p>
    <w:p w14:paraId="2D3BE159">
      <w:pPr>
        <w:keepNext w:val="0"/>
        <w:keepLines w:val="0"/>
        <w:pageBreakBefore w:val="0"/>
        <w:widowControl w:val="0"/>
        <w:kinsoku/>
        <w:wordWrap/>
        <w:overflowPunct/>
        <w:topLinePunct w:val="0"/>
        <w:autoSpaceDE/>
        <w:autoSpaceDN/>
        <w:bidi w:val="0"/>
        <w:adjustRightInd/>
        <w:snapToGrid/>
        <w:spacing w:line="900" w:lineRule="exact"/>
        <w:ind w:firstLine="563" w:firstLineChars="200"/>
        <w:textAlignment w:val="auto"/>
        <w:rPr>
          <w:bCs/>
          <w:color w:val="auto"/>
          <w:spacing w:val="60"/>
          <w:sz w:val="36"/>
          <w:highlight w:val="none"/>
        </w:rPr>
      </w:pPr>
      <w:r>
        <w:rPr>
          <w:rFonts w:hint="eastAsia"/>
          <w:b/>
          <w:bCs/>
          <w:color w:val="auto"/>
          <w:spacing w:val="-20"/>
          <w:sz w:val="32"/>
          <w:highlight w:val="none"/>
        </w:rPr>
        <w:t>发  布  日  期：</w:t>
      </w:r>
      <w:r>
        <w:rPr>
          <w:rFonts w:hint="eastAsia" w:ascii="宋体"/>
          <w:b/>
          <w:color w:val="auto"/>
          <w:sz w:val="30"/>
          <w:szCs w:val="30"/>
          <w:highlight w:val="none"/>
          <w:u w:val="thick"/>
        </w:rPr>
        <w:t xml:space="preserve">            </w:t>
      </w:r>
      <w:r>
        <w:rPr>
          <w:rFonts w:hint="eastAsia" w:ascii="宋体"/>
          <w:b/>
          <w:color w:val="auto"/>
          <w:sz w:val="30"/>
          <w:szCs w:val="30"/>
          <w:highlight w:val="none"/>
          <w:u w:val="thick"/>
          <w:lang w:eastAsia="zh-CN"/>
        </w:rPr>
        <w:t>2025年0</w:t>
      </w:r>
      <w:r>
        <w:rPr>
          <w:rFonts w:hint="eastAsia" w:ascii="宋体"/>
          <w:b/>
          <w:color w:val="auto"/>
          <w:sz w:val="30"/>
          <w:szCs w:val="30"/>
          <w:highlight w:val="none"/>
          <w:u w:val="thick"/>
          <w:lang w:val="en-US" w:eastAsia="zh-CN"/>
        </w:rPr>
        <w:t>9</w:t>
      </w:r>
      <w:r>
        <w:rPr>
          <w:rFonts w:hint="eastAsia" w:ascii="宋体"/>
          <w:b/>
          <w:color w:val="auto"/>
          <w:sz w:val="30"/>
          <w:szCs w:val="30"/>
          <w:highlight w:val="none"/>
          <w:u w:val="thick"/>
          <w:lang w:eastAsia="zh-CN"/>
        </w:rPr>
        <w:t>月</w:t>
      </w:r>
      <w:r>
        <w:rPr>
          <w:rFonts w:hint="eastAsia" w:ascii="宋体"/>
          <w:b/>
          <w:color w:val="auto"/>
          <w:sz w:val="30"/>
          <w:szCs w:val="30"/>
          <w:highlight w:val="none"/>
          <w:u w:val="thick"/>
        </w:rPr>
        <w:t xml:space="preserve">                </w:t>
      </w:r>
    </w:p>
    <w:p w14:paraId="4BDEA06F">
      <w:pPr>
        <w:keepNext w:val="0"/>
        <w:keepLines w:val="0"/>
        <w:pageBreakBefore w:val="0"/>
        <w:widowControl w:val="0"/>
        <w:kinsoku/>
        <w:wordWrap/>
        <w:overflowPunct/>
        <w:topLinePunct w:val="0"/>
        <w:autoSpaceDE/>
        <w:autoSpaceDN/>
        <w:bidi w:val="0"/>
        <w:adjustRightInd/>
        <w:snapToGrid/>
        <w:spacing w:line="700" w:lineRule="exact"/>
        <w:ind w:firstLine="963" w:firstLineChars="200"/>
        <w:textAlignment w:val="auto"/>
        <w:rPr>
          <w:b/>
          <w:bCs/>
          <w:color w:val="auto"/>
          <w:spacing w:val="60"/>
          <w:sz w:val="36"/>
          <w:highlight w:val="none"/>
          <w:u w:val="thick"/>
        </w:rPr>
        <w:sectPr>
          <w:headerReference r:id="rId5" w:type="first"/>
          <w:headerReference r:id="rId3" w:type="default"/>
          <w:footerReference r:id="rId6" w:type="default"/>
          <w:headerReference r:id="rId4" w:type="even"/>
          <w:footerReference r:id="rId7" w:type="even"/>
          <w:pgSz w:w="11905" w:h="16838"/>
          <w:pgMar w:top="1440" w:right="1080" w:bottom="1440" w:left="1080" w:header="851" w:footer="992" w:gutter="0"/>
          <w:pgNumType w:fmt="decimal" w:start="1"/>
          <w:cols w:space="720" w:num="1"/>
          <w:rtlGutter w:val="0"/>
          <w:docGrid w:type="lines" w:linePitch="325" w:charSpace="0"/>
        </w:sectPr>
      </w:pPr>
    </w:p>
    <w:p w14:paraId="2630819E">
      <w:pPr>
        <w:spacing w:line="360" w:lineRule="exact"/>
        <w:jc w:val="center"/>
        <w:rPr>
          <w:rFonts w:hint="eastAsia"/>
          <w:b/>
          <w:color w:val="auto"/>
          <w:sz w:val="36"/>
          <w:highlight w:val="none"/>
        </w:rPr>
      </w:pPr>
    </w:p>
    <w:p w14:paraId="00E8391F">
      <w:pPr>
        <w:spacing w:line="360" w:lineRule="exact"/>
        <w:jc w:val="center"/>
        <w:rPr>
          <w:rFonts w:hint="eastAsia"/>
          <w:b/>
          <w:color w:val="auto"/>
          <w:sz w:val="36"/>
          <w:highlight w:val="none"/>
        </w:rPr>
      </w:pPr>
      <w:r>
        <w:rPr>
          <w:rFonts w:hint="eastAsia"/>
          <w:b/>
          <w:color w:val="auto"/>
          <w:sz w:val="36"/>
          <w:highlight w:val="none"/>
        </w:rPr>
        <w:t>目  录</w:t>
      </w:r>
    </w:p>
    <w:p w14:paraId="2DFEA828">
      <w:pPr>
        <w:spacing w:line="720" w:lineRule="auto"/>
        <w:jc w:val="center"/>
        <w:rPr>
          <w:rFonts w:hint="eastAsia"/>
          <w:b/>
          <w:color w:val="auto"/>
          <w:sz w:val="36"/>
          <w:highlight w:val="none"/>
        </w:rPr>
      </w:pPr>
    </w:p>
    <w:p w14:paraId="146EDCC0">
      <w:pPr>
        <w:pStyle w:val="9"/>
        <w:tabs>
          <w:tab w:val="right" w:leader="dot" w:pos="8296"/>
        </w:tabs>
        <w:spacing w:line="480" w:lineRule="auto"/>
        <w:jc w:val="center"/>
        <w:rPr>
          <w:rFonts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sz w:val="24"/>
          <w:highlight w:val="none"/>
        </w:rPr>
        <w:fldChar w:fldCharType="begin"/>
      </w:r>
      <w:r>
        <w:rPr>
          <w:rStyle w:val="17"/>
          <w:rFonts w:ascii="宋体" w:hAnsi="宋体"/>
          <w:color w:val="auto"/>
          <w:sz w:val="24"/>
          <w:highlight w:val="none"/>
        </w:rPr>
        <w:instrText xml:space="preserve"> </w:instrText>
      </w:r>
      <w:r>
        <w:rPr>
          <w:rFonts w:ascii="宋体" w:hAnsi="宋体"/>
          <w:color w:val="auto"/>
          <w:sz w:val="24"/>
          <w:highlight w:val="none"/>
        </w:rPr>
        <w:instrText xml:space="preserve">HYPERLINK \l "_Toc58430304"</w:instrText>
      </w:r>
      <w:r>
        <w:rPr>
          <w:rStyle w:val="17"/>
          <w:rFonts w:ascii="宋体" w:hAnsi="宋体"/>
          <w:color w:val="auto"/>
          <w:sz w:val="24"/>
          <w:highlight w:val="none"/>
        </w:rPr>
        <w:instrText xml:space="preserve"> </w:instrText>
      </w:r>
      <w:r>
        <w:rPr>
          <w:rFonts w:ascii="宋体" w:hAnsi="宋体"/>
          <w:color w:val="auto"/>
          <w:sz w:val="24"/>
          <w:highlight w:val="none"/>
        </w:rPr>
        <w:fldChar w:fldCharType="separate"/>
      </w:r>
      <w:r>
        <w:rPr>
          <w:rStyle w:val="17"/>
          <w:rFonts w:hint="eastAsia" w:ascii="宋体" w:hAnsi="宋体"/>
          <w:b/>
          <w:color w:val="auto"/>
          <w:sz w:val="24"/>
          <w:highlight w:val="none"/>
        </w:rPr>
        <w:t>第一章</w:t>
      </w:r>
      <w:r>
        <w:rPr>
          <w:rStyle w:val="17"/>
          <w:rFonts w:ascii="宋体" w:hAnsi="宋体"/>
          <w:b/>
          <w:color w:val="auto"/>
          <w:sz w:val="24"/>
          <w:highlight w:val="none"/>
        </w:rPr>
        <w:t xml:space="preserve"> </w:t>
      </w:r>
      <w:r>
        <w:rPr>
          <w:rStyle w:val="17"/>
          <w:rFonts w:hint="eastAsia" w:ascii="宋体" w:hAnsi="宋体"/>
          <w:b/>
          <w:color w:val="auto"/>
          <w:sz w:val="24"/>
          <w:highlight w:val="none"/>
        </w:rPr>
        <w:t>招标公告</w:t>
      </w:r>
      <w:r>
        <w:rPr>
          <w:rFonts w:ascii="宋体" w:hAnsi="宋体"/>
          <w:b/>
          <w:color w:val="auto"/>
          <w:sz w:val="24"/>
          <w:highlight w:val="none"/>
        </w:rPr>
        <w:tab/>
      </w:r>
      <w:r>
        <w:rPr>
          <w:rFonts w:hint="eastAsia" w:ascii="宋体" w:hAnsi="宋体"/>
          <w:b/>
          <w:color w:val="auto"/>
          <w:sz w:val="24"/>
          <w:highlight w:val="none"/>
        </w:rPr>
        <w:t>1</w:t>
      </w:r>
      <w:r>
        <w:rPr>
          <w:rFonts w:ascii="宋体" w:hAnsi="宋体"/>
          <w:b/>
          <w:color w:val="auto"/>
          <w:sz w:val="24"/>
          <w:highlight w:val="none"/>
        </w:rPr>
        <w:fldChar w:fldCharType="end"/>
      </w:r>
    </w:p>
    <w:p w14:paraId="157D1D44">
      <w:pPr>
        <w:pStyle w:val="9"/>
        <w:tabs>
          <w:tab w:val="right" w:leader="dot" w:pos="8296"/>
        </w:tabs>
        <w:spacing w:line="480" w:lineRule="auto"/>
        <w:jc w:val="center"/>
        <w:rPr>
          <w:rFonts w:ascii="宋体" w:hAnsi="宋体"/>
          <w:b/>
          <w:color w:val="auto"/>
          <w:sz w:val="24"/>
          <w:highlight w:val="none"/>
        </w:rPr>
      </w:pPr>
      <w:r>
        <w:rPr>
          <w:rFonts w:ascii="宋体" w:hAnsi="宋体"/>
          <w:b/>
          <w:color w:val="auto"/>
          <w:sz w:val="24"/>
          <w:highlight w:val="none"/>
        </w:rPr>
        <w:fldChar w:fldCharType="begin"/>
      </w:r>
      <w:r>
        <w:rPr>
          <w:rStyle w:val="17"/>
          <w:rFonts w:ascii="宋体" w:hAnsi="宋体"/>
          <w:b/>
          <w:color w:val="auto"/>
          <w:sz w:val="24"/>
          <w:highlight w:val="none"/>
        </w:rPr>
        <w:instrText xml:space="preserve"> </w:instrText>
      </w:r>
      <w:r>
        <w:rPr>
          <w:rFonts w:ascii="宋体" w:hAnsi="宋体"/>
          <w:b/>
          <w:color w:val="auto"/>
          <w:sz w:val="24"/>
          <w:highlight w:val="none"/>
        </w:rPr>
        <w:instrText xml:space="preserve">HYPERLINK \l "_Toc58430313"</w:instrText>
      </w:r>
      <w:r>
        <w:rPr>
          <w:rStyle w:val="1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17"/>
          <w:rFonts w:hint="eastAsia" w:ascii="宋体" w:hAnsi="宋体"/>
          <w:b/>
          <w:color w:val="auto"/>
          <w:sz w:val="24"/>
          <w:highlight w:val="none"/>
        </w:rPr>
        <w:t>第二章</w:t>
      </w:r>
      <w:r>
        <w:rPr>
          <w:rStyle w:val="17"/>
          <w:rFonts w:ascii="宋体" w:hAnsi="宋体"/>
          <w:b/>
          <w:color w:val="auto"/>
          <w:sz w:val="24"/>
          <w:highlight w:val="none"/>
        </w:rPr>
        <w:t xml:space="preserve"> </w:t>
      </w:r>
      <w:r>
        <w:rPr>
          <w:rStyle w:val="17"/>
          <w:rFonts w:hint="eastAsia" w:ascii="宋体" w:hAnsi="宋体"/>
          <w:b/>
          <w:color w:val="auto"/>
          <w:sz w:val="24"/>
          <w:highlight w:val="none"/>
        </w:rPr>
        <w:t>投标人须知</w:t>
      </w:r>
      <w:r>
        <w:rPr>
          <w:rFonts w:ascii="宋体" w:hAnsi="宋体"/>
          <w:b/>
          <w:color w:val="auto"/>
          <w:sz w:val="24"/>
          <w:highlight w:val="none"/>
        </w:rPr>
        <w:tab/>
      </w:r>
      <w:r>
        <w:rPr>
          <w:rFonts w:hint="eastAsia" w:ascii="宋体" w:hAnsi="宋体"/>
          <w:b/>
          <w:color w:val="auto"/>
          <w:sz w:val="24"/>
          <w:highlight w:val="none"/>
          <w:lang w:val="en-US" w:eastAsia="zh-CN"/>
        </w:rPr>
        <w:t>4</w:t>
      </w:r>
      <w:r>
        <w:rPr>
          <w:rFonts w:ascii="宋体" w:hAnsi="宋体"/>
          <w:b/>
          <w:color w:val="auto"/>
          <w:sz w:val="24"/>
          <w:highlight w:val="none"/>
        </w:rPr>
        <w:fldChar w:fldCharType="end"/>
      </w:r>
    </w:p>
    <w:p w14:paraId="7D00C5EE">
      <w:pPr>
        <w:pStyle w:val="9"/>
        <w:tabs>
          <w:tab w:val="right" w:leader="dot" w:pos="8296"/>
        </w:tabs>
        <w:spacing w:line="480" w:lineRule="auto"/>
        <w:jc w:val="center"/>
        <w:rPr>
          <w:rFonts w:hint="default" w:ascii="宋体" w:hAnsi="宋体" w:eastAsia="宋体"/>
          <w:b/>
          <w:color w:val="auto"/>
          <w:sz w:val="24"/>
          <w:highlight w:val="none"/>
          <w:lang w:val="en-US" w:eastAsia="zh-CN"/>
        </w:rPr>
      </w:pPr>
      <w:r>
        <w:rPr>
          <w:rStyle w:val="17"/>
          <w:rFonts w:hint="eastAsia" w:ascii="宋体" w:hAnsi="宋体"/>
          <w:b/>
          <w:color w:val="auto"/>
          <w:sz w:val="24"/>
          <w:highlight w:val="none"/>
        </w:rPr>
        <w:t>第三章 资格审查办法</w:t>
      </w:r>
      <w:r>
        <w:rPr>
          <w:rFonts w:ascii="宋体" w:hAnsi="宋体"/>
          <w:b/>
          <w:color w:val="auto"/>
          <w:sz w:val="24"/>
          <w:highlight w:val="none"/>
        </w:rPr>
        <w:fldChar w:fldCharType="begin"/>
      </w:r>
      <w:r>
        <w:rPr>
          <w:rStyle w:val="17"/>
          <w:rFonts w:ascii="宋体" w:hAnsi="宋体"/>
          <w:b/>
          <w:color w:val="auto"/>
          <w:sz w:val="24"/>
          <w:highlight w:val="none"/>
        </w:rPr>
        <w:instrText xml:space="preserve"> </w:instrText>
      </w:r>
      <w:r>
        <w:rPr>
          <w:rFonts w:ascii="宋体" w:hAnsi="宋体"/>
          <w:b/>
          <w:color w:val="auto"/>
          <w:sz w:val="24"/>
          <w:highlight w:val="none"/>
        </w:rPr>
        <w:instrText xml:space="preserve">HYPERLINK \l "_Toc58430316"</w:instrText>
      </w:r>
      <w:r>
        <w:rPr>
          <w:rStyle w:val="17"/>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r>
        <w:rPr>
          <w:rFonts w:hint="eastAsia" w:ascii="宋体" w:hAnsi="宋体"/>
          <w:b/>
          <w:color w:val="auto"/>
          <w:sz w:val="24"/>
          <w:highlight w:val="none"/>
          <w:lang w:val="en-US" w:eastAsia="zh-CN"/>
        </w:rPr>
        <w:t>9</w:t>
      </w:r>
    </w:p>
    <w:p w14:paraId="54A013FE">
      <w:pPr>
        <w:pStyle w:val="9"/>
        <w:tabs>
          <w:tab w:val="right" w:leader="dot" w:pos="8296"/>
        </w:tabs>
        <w:spacing w:line="480" w:lineRule="auto"/>
        <w:jc w:val="center"/>
        <w:rPr>
          <w:rFonts w:hint="eastAsia" w:ascii="宋体" w:eastAsia="宋体"/>
          <w:b/>
          <w:color w:val="auto"/>
          <w:sz w:val="32"/>
          <w:szCs w:val="32"/>
          <w:highlight w:val="none"/>
          <w:lang w:eastAsia="zh-CN"/>
        </w:rPr>
      </w:pPr>
      <w:r>
        <w:rPr>
          <w:rStyle w:val="17"/>
          <w:rFonts w:hint="eastAsia" w:ascii="宋体" w:hAnsi="宋体"/>
          <w:b/>
          <w:color w:val="auto"/>
          <w:sz w:val="24"/>
          <w:highlight w:val="none"/>
        </w:rPr>
        <w:t>第四章</w:t>
      </w:r>
      <w:r>
        <w:rPr>
          <w:rStyle w:val="17"/>
          <w:rFonts w:ascii="宋体" w:hAnsi="宋体"/>
          <w:b/>
          <w:color w:val="auto"/>
          <w:sz w:val="24"/>
          <w:highlight w:val="none"/>
        </w:rPr>
        <w:t xml:space="preserve"> </w:t>
      </w:r>
      <w:r>
        <w:rPr>
          <w:rStyle w:val="17"/>
          <w:rFonts w:hint="eastAsia" w:ascii="宋体" w:hAnsi="宋体"/>
          <w:b/>
          <w:color w:val="auto"/>
          <w:sz w:val="24"/>
          <w:highlight w:val="none"/>
        </w:rPr>
        <w:t>评标办法</w:t>
      </w:r>
      <w:r>
        <w:rPr>
          <w:rFonts w:ascii="宋体" w:hAnsi="宋体"/>
          <w:b/>
          <w:color w:val="auto"/>
          <w:sz w:val="24"/>
          <w:highlight w:val="none"/>
        </w:rPr>
        <w:tab/>
      </w:r>
      <w:r>
        <w:rPr>
          <w:rFonts w:hint="eastAsia" w:ascii="宋体" w:hAnsi="宋体"/>
          <w:b/>
          <w:color w:val="auto"/>
          <w:sz w:val="24"/>
          <w:highlight w:val="none"/>
        </w:rPr>
        <w:t>2</w:t>
      </w:r>
      <w:r>
        <w:rPr>
          <w:rFonts w:hint="eastAsia" w:ascii="宋体" w:hAnsi="宋体"/>
          <w:b/>
          <w:color w:val="auto"/>
          <w:sz w:val="24"/>
          <w:highlight w:val="none"/>
          <w:lang w:val="en-US" w:eastAsia="zh-CN"/>
        </w:rPr>
        <w:t>1</w:t>
      </w:r>
    </w:p>
    <w:p w14:paraId="0257CAE3">
      <w:pPr>
        <w:pStyle w:val="9"/>
        <w:tabs>
          <w:tab w:val="right" w:leader="dot" w:pos="8296"/>
        </w:tabs>
        <w:spacing w:line="480" w:lineRule="auto"/>
        <w:jc w:val="center"/>
        <w:rPr>
          <w:rFonts w:hint="eastAsia" w:ascii="宋体" w:hAnsi="宋体" w:eastAsia="宋体"/>
          <w:b/>
          <w:color w:val="auto"/>
          <w:sz w:val="24"/>
          <w:highlight w:val="none"/>
          <w:lang w:eastAsia="zh-CN"/>
        </w:rPr>
      </w:pPr>
      <w:r>
        <w:rPr>
          <w:rFonts w:ascii="宋体" w:hAnsi="宋体"/>
          <w:b/>
          <w:color w:val="auto"/>
          <w:sz w:val="24"/>
          <w:highlight w:val="none"/>
        </w:rPr>
        <w:fldChar w:fldCharType="begin"/>
      </w:r>
      <w:r>
        <w:rPr>
          <w:rStyle w:val="17"/>
          <w:rFonts w:ascii="宋体" w:hAnsi="宋体"/>
          <w:b/>
          <w:color w:val="auto"/>
          <w:sz w:val="24"/>
          <w:highlight w:val="none"/>
        </w:rPr>
        <w:instrText xml:space="preserve"> </w:instrText>
      </w:r>
      <w:r>
        <w:rPr>
          <w:rFonts w:ascii="宋体" w:hAnsi="宋体"/>
          <w:b/>
          <w:color w:val="auto"/>
          <w:sz w:val="24"/>
          <w:highlight w:val="none"/>
        </w:rPr>
        <w:instrText xml:space="preserve">HYPERLINK \l "_Toc58430328"</w:instrText>
      </w:r>
      <w:r>
        <w:rPr>
          <w:rStyle w:val="1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17"/>
          <w:rFonts w:hint="eastAsia" w:ascii="宋体" w:hAnsi="宋体"/>
          <w:b/>
          <w:color w:val="auto"/>
          <w:sz w:val="24"/>
          <w:highlight w:val="none"/>
        </w:rPr>
        <w:t>第五章</w:t>
      </w:r>
      <w:r>
        <w:rPr>
          <w:rStyle w:val="17"/>
          <w:rFonts w:ascii="宋体" w:hAnsi="宋体"/>
          <w:b/>
          <w:color w:val="auto"/>
          <w:sz w:val="24"/>
          <w:highlight w:val="none"/>
        </w:rPr>
        <w:t xml:space="preserve"> </w:t>
      </w:r>
      <w:r>
        <w:rPr>
          <w:rStyle w:val="17"/>
          <w:rFonts w:hint="eastAsia" w:ascii="宋体" w:hAnsi="宋体"/>
          <w:b/>
          <w:color w:val="auto"/>
          <w:sz w:val="24"/>
          <w:highlight w:val="none"/>
          <w:lang w:val="en-US" w:eastAsia="zh-CN"/>
        </w:rPr>
        <w:t>采购需求</w:t>
      </w:r>
      <w:r>
        <w:rPr>
          <w:rFonts w:ascii="宋体" w:hAnsi="宋体"/>
          <w:b/>
          <w:color w:val="auto"/>
          <w:sz w:val="24"/>
          <w:highlight w:val="none"/>
        </w:rPr>
        <w:tab/>
      </w:r>
      <w:r>
        <w:rPr>
          <w:rFonts w:hint="eastAsia" w:ascii="宋体" w:hAnsi="宋体"/>
          <w:b/>
          <w:color w:val="auto"/>
          <w:sz w:val="24"/>
          <w:highlight w:val="none"/>
          <w:lang w:val="en-US" w:eastAsia="zh-CN"/>
        </w:rPr>
        <w:t>3</w:t>
      </w:r>
      <w:r>
        <w:rPr>
          <w:rFonts w:ascii="宋体" w:hAnsi="宋体"/>
          <w:b/>
          <w:color w:val="auto"/>
          <w:sz w:val="24"/>
          <w:highlight w:val="none"/>
        </w:rPr>
        <w:fldChar w:fldCharType="end"/>
      </w:r>
      <w:r>
        <w:rPr>
          <w:rFonts w:hint="eastAsia" w:ascii="宋体" w:hAnsi="宋体"/>
          <w:b/>
          <w:color w:val="auto"/>
          <w:sz w:val="24"/>
          <w:highlight w:val="none"/>
          <w:lang w:val="en-US" w:eastAsia="zh-CN"/>
        </w:rPr>
        <w:t>1</w:t>
      </w:r>
    </w:p>
    <w:p w14:paraId="6B8CF355">
      <w:pPr>
        <w:pStyle w:val="9"/>
        <w:tabs>
          <w:tab w:val="right" w:leader="dot" w:pos="8296"/>
        </w:tabs>
        <w:spacing w:line="480" w:lineRule="auto"/>
        <w:jc w:val="center"/>
        <w:rPr>
          <w:rFonts w:hint="eastAsia" w:ascii="宋体" w:hAnsi="宋体" w:eastAsia="宋体"/>
          <w:b/>
          <w:color w:val="auto"/>
          <w:sz w:val="24"/>
          <w:highlight w:val="none"/>
          <w:lang w:eastAsia="zh-CN"/>
        </w:rPr>
      </w:pPr>
      <w:r>
        <w:rPr>
          <w:rFonts w:ascii="宋体" w:hAnsi="宋体"/>
          <w:b/>
          <w:color w:val="auto"/>
          <w:sz w:val="24"/>
          <w:highlight w:val="none"/>
        </w:rPr>
        <w:fldChar w:fldCharType="begin"/>
      </w:r>
      <w:r>
        <w:rPr>
          <w:rStyle w:val="17"/>
          <w:rFonts w:ascii="宋体" w:hAnsi="宋体"/>
          <w:b/>
          <w:color w:val="auto"/>
          <w:sz w:val="24"/>
          <w:highlight w:val="none"/>
        </w:rPr>
        <w:instrText xml:space="preserve"> </w:instrText>
      </w:r>
      <w:r>
        <w:rPr>
          <w:rFonts w:ascii="宋体" w:hAnsi="宋体"/>
          <w:b/>
          <w:color w:val="auto"/>
          <w:sz w:val="24"/>
          <w:highlight w:val="none"/>
        </w:rPr>
        <w:instrText xml:space="preserve">HYPERLINK \l "_Toc58430329"</w:instrText>
      </w:r>
      <w:r>
        <w:rPr>
          <w:rStyle w:val="1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17"/>
          <w:rFonts w:hint="eastAsia" w:ascii="宋体" w:hAnsi="宋体"/>
          <w:b/>
          <w:color w:val="auto"/>
          <w:sz w:val="24"/>
          <w:highlight w:val="none"/>
        </w:rPr>
        <w:t>第六章</w:t>
      </w:r>
      <w:r>
        <w:rPr>
          <w:rStyle w:val="17"/>
          <w:rFonts w:ascii="宋体" w:hAnsi="宋体"/>
          <w:b/>
          <w:color w:val="auto"/>
          <w:sz w:val="24"/>
          <w:highlight w:val="none"/>
        </w:rPr>
        <w:t xml:space="preserve"> </w:t>
      </w:r>
      <w:r>
        <w:rPr>
          <w:rStyle w:val="17"/>
          <w:rFonts w:hint="eastAsia" w:ascii="宋体" w:hAnsi="宋体"/>
          <w:b/>
          <w:color w:val="auto"/>
          <w:sz w:val="24"/>
          <w:highlight w:val="none"/>
        </w:rPr>
        <w:t>合同条款及格式</w:t>
      </w:r>
      <w:r>
        <w:rPr>
          <w:rFonts w:ascii="宋体" w:hAnsi="宋体"/>
          <w:b/>
          <w:color w:val="auto"/>
          <w:sz w:val="24"/>
          <w:highlight w:val="none"/>
        </w:rPr>
        <w:tab/>
      </w:r>
      <w:r>
        <w:rPr>
          <w:rFonts w:hint="eastAsia" w:ascii="宋体" w:hAnsi="宋体"/>
          <w:b/>
          <w:color w:val="auto"/>
          <w:sz w:val="24"/>
          <w:highlight w:val="none"/>
          <w:lang w:val="en-US" w:eastAsia="zh-CN"/>
        </w:rPr>
        <w:t>5</w:t>
      </w:r>
      <w:r>
        <w:rPr>
          <w:rFonts w:ascii="宋体" w:hAnsi="宋体"/>
          <w:b/>
          <w:color w:val="auto"/>
          <w:sz w:val="24"/>
          <w:highlight w:val="none"/>
        </w:rPr>
        <w:fldChar w:fldCharType="end"/>
      </w:r>
      <w:r>
        <w:rPr>
          <w:rFonts w:hint="eastAsia" w:ascii="宋体" w:hAnsi="宋体"/>
          <w:b/>
          <w:color w:val="auto"/>
          <w:sz w:val="24"/>
          <w:highlight w:val="none"/>
          <w:lang w:val="en-US" w:eastAsia="zh-CN"/>
        </w:rPr>
        <w:t>0</w:t>
      </w:r>
    </w:p>
    <w:p w14:paraId="32738279">
      <w:pPr>
        <w:pStyle w:val="9"/>
        <w:tabs>
          <w:tab w:val="right" w:leader="dot" w:pos="8296"/>
        </w:tabs>
        <w:spacing w:line="480" w:lineRule="auto"/>
        <w:jc w:val="center"/>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17"/>
          <w:rFonts w:ascii="宋体" w:hAnsi="宋体"/>
          <w:b/>
          <w:color w:val="auto"/>
          <w:sz w:val="24"/>
          <w:highlight w:val="none"/>
        </w:rPr>
        <w:instrText xml:space="preserve"> </w:instrText>
      </w:r>
      <w:r>
        <w:rPr>
          <w:rFonts w:ascii="宋体" w:hAnsi="宋体"/>
          <w:b/>
          <w:color w:val="auto"/>
          <w:sz w:val="24"/>
          <w:highlight w:val="none"/>
        </w:rPr>
        <w:instrText xml:space="preserve">HYPERLINK \l "_Toc58430332"</w:instrText>
      </w:r>
      <w:r>
        <w:rPr>
          <w:rStyle w:val="17"/>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17"/>
          <w:rFonts w:hint="eastAsia" w:ascii="宋体" w:hAnsi="宋体"/>
          <w:b/>
          <w:color w:val="auto"/>
          <w:sz w:val="24"/>
          <w:highlight w:val="none"/>
        </w:rPr>
        <w:t>第七章</w:t>
      </w:r>
      <w:r>
        <w:rPr>
          <w:rStyle w:val="17"/>
          <w:rFonts w:ascii="宋体" w:hAnsi="宋体"/>
          <w:b/>
          <w:color w:val="auto"/>
          <w:sz w:val="24"/>
          <w:highlight w:val="none"/>
        </w:rPr>
        <w:t xml:space="preserve"> </w:t>
      </w:r>
      <w:r>
        <w:rPr>
          <w:rStyle w:val="17"/>
          <w:rFonts w:hint="eastAsia" w:ascii="宋体" w:hAnsi="宋体"/>
          <w:b/>
          <w:color w:val="auto"/>
          <w:sz w:val="24"/>
          <w:highlight w:val="none"/>
        </w:rPr>
        <w:t>投标文件格式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59</w:t>
      </w:r>
    </w:p>
    <w:p w14:paraId="7702A4D3">
      <w:pPr>
        <w:pStyle w:val="9"/>
        <w:tabs>
          <w:tab w:val="right" w:leader="dot" w:pos="8296"/>
        </w:tabs>
        <w:spacing w:line="480" w:lineRule="auto"/>
        <w:jc w:val="center"/>
        <w:rPr>
          <w:rStyle w:val="17"/>
          <w:rFonts w:hint="default" w:ascii="宋体" w:hAnsi="宋体" w:eastAsia="宋体"/>
          <w:b/>
          <w:color w:val="auto"/>
          <w:sz w:val="24"/>
          <w:highlight w:val="none"/>
          <w:lang w:val="en-US" w:eastAsia="zh-CN"/>
        </w:rPr>
      </w:pPr>
      <w:r>
        <w:rPr>
          <w:rStyle w:val="17"/>
          <w:rFonts w:hint="eastAsia" w:ascii="宋体" w:hAnsi="宋体"/>
          <w:b/>
          <w:color w:val="auto"/>
          <w:sz w:val="24"/>
          <w:highlight w:val="none"/>
        </w:rPr>
        <w:fldChar w:fldCharType="begin"/>
      </w:r>
      <w:r>
        <w:rPr>
          <w:rStyle w:val="17"/>
          <w:rFonts w:hint="eastAsia" w:ascii="宋体" w:hAnsi="宋体"/>
          <w:b/>
          <w:color w:val="auto"/>
          <w:sz w:val="24"/>
          <w:highlight w:val="none"/>
        </w:rPr>
        <w:instrText xml:space="preserve"> HYPERLINK \l "_Toc58430332" </w:instrText>
      </w:r>
      <w:r>
        <w:rPr>
          <w:rStyle w:val="17"/>
          <w:rFonts w:hint="eastAsia" w:ascii="宋体" w:hAnsi="宋体"/>
          <w:b/>
          <w:color w:val="auto"/>
          <w:sz w:val="24"/>
          <w:highlight w:val="none"/>
        </w:rPr>
        <w:fldChar w:fldCharType="separate"/>
      </w:r>
      <w:r>
        <w:rPr>
          <w:rStyle w:val="17"/>
          <w:rFonts w:hint="eastAsia" w:ascii="宋体" w:hAnsi="宋体"/>
          <w:b/>
          <w:color w:val="auto"/>
          <w:sz w:val="24"/>
          <w:highlight w:val="none"/>
        </w:rPr>
        <w:t>第八章 招标单位和招标代理机构对本招标文件的确认</w:t>
      </w:r>
      <w:r>
        <w:rPr>
          <w:rStyle w:val="17"/>
          <w:rFonts w:hint="eastAsia" w:ascii="宋体" w:hAnsi="宋体"/>
          <w:b/>
          <w:color w:val="auto"/>
          <w:sz w:val="24"/>
          <w:highlight w:val="none"/>
        </w:rPr>
        <w:tab/>
      </w:r>
      <w:r>
        <w:rPr>
          <w:rStyle w:val="17"/>
          <w:rFonts w:hint="eastAsia" w:ascii="宋体" w:hAnsi="宋体"/>
          <w:b/>
          <w:color w:val="auto"/>
          <w:sz w:val="24"/>
          <w:highlight w:val="none"/>
          <w:lang w:val="en-US" w:eastAsia="zh-CN"/>
        </w:rPr>
        <w:t>7</w:t>
      </w:r>
      <w:r>
        <w:rPr>
          <w:rStyle w:val="17"/>
          <w:rFonts w:hint="eastAsia" w:ascii="宋体" w:hAnsi="宋体"/>
          <w:b/>
          <w:color w:val="auto"/>
          <w:sz w:val="24"/>
          <w:highlight w:val="none"/>
        </w:rPr>
        <w:fldChar w:fldCharType="end"/>
      </w:r>
      <w:r>
        <w:rPr>
          <w:rStyle w:val="17"/>
          <w:rFonts w:hint="eastAsia" w:ascii="宋体" w:hAnsi="宋体"/>
          <w:b/>
          <w:color w:val="auto"/>
          <w:sz w:val="24"/>
          <w:highlight w:val="none"/>
          <w:lang w:val="en-US" w:eastAsia="zh-CN"/>
        </w:rPr>
        <w:t>7</w:t>
      </w:r>
    </w:p>
    <w:p w14:paraId="2BC9AD5E">
      <w:pPr>
        <w:pStyle w:val="9"/>
        <w:tabs>
          <w:tab w:val="right" w:leader="dot" w:pos="8296"/>
        </w:tabs>
        <w:adjustRightInd w:val="0"/>
        <w:snapToGrid w:val="0"/>
        <w:spacing w:line="480" w:lineRule="auto"/>
        <w:ind w:left="120" w:hanging="120" w:hangingChars="50"/>
        <w:jc w:val="center"/>
        <w:rPr>
          <w:rFonts w:hint="eastAsia" w:ascii="宋体"/>
          <w:b/>
          <w:bCs/>
          <w:color w:val="auto"/>
          <w:sz w:val="32"/>
          <w:szCs w:val="32"/>
          <w:highlight w:val="none"/>
        </w:rPr>
        <w:sectPr>
          <w:headerReference r:id="rId9" w:type="first"/>
          <w:footerReference r:id="rId11" w:type="first"/>
          <w:headerReference r:id="rId8" w:type="default"/>
          <w:footerReference r:id="rId10" w:type="default"/>
          <w:pgSz w:w="11905" w:h="16838"/>
          <w:pgMar w:top="1440" w:right="1080" w:bottom="1440" w:left="1080" w:header="851" w:footer="992" w:gutter="0"/>
          <w:pgNumType w:fmt="decimal" w:start="1"/>
          <w:cols w:space="720" w:num="1"/>
          <w:rtlGutter w:val="0"/>
          <w:docGrid w:type="lines" w:linePitch="325" w:charSpace="0"/>
        </w:sectPr>
      </w:pPr>
      <w:r>
        <w:rPr>
          <w:rFonts w:hint="eastAsia" w:ascii="宋体" w:hAnsi="宋体" w:cs="宋体"/>
          <w:color w:val="auto"/>
          <w:sz w:val="24"/>
          <w:highlight w:val="none"/>
        </w:rPr>
        <w:fldChar w:fldCharType="end"/>
      </w:r>
    </w:p>
    <w:p w14:paraId="4FDDBE60">
      <w:pPr>
        <w:pageBreakBefore w:val="0"/>
        <w:kinsoku/>
        <w:overflowPunct/>
        <w:topLinePunct w:val="0"/>
        <w:autoSpaceDE/>
        <w:autoSpaceDN/>
        <w:bidi w:val="0"/>
        <w:snapToGrid/>
        <w:spacing w:before="120" w:beforeLines="50" w:after="120" w:afterLines="50" w:line="400" w:lineRule="exact"/>
        <w:jc w:val="center"/>
        <w:outlineLvl w:val="0"/>
        <w:rPr>
          <w:rFonts w:hint="eastAsia" w:ascii="宋体"/>
          <w:b/>
          <w:color w:val="auto"/>
          <w:sz w:val="32"/>
          <w:szCs w:val="32"/>
          <w:highlight w:val="none"/>
        </w:rPr>
      </w:pPr>
      <w:bookmarkStart w:id="1" w:name="_Toc58430304"/>
      <w:r>
        <w:rPr>
          <w:rFonts w:hint="eastAsia" w:ascii="宋体"/>
          <w:b/>
          <w:color w:val="auto"/>
          <w:sz w:val="32"/>
          <w:szCs w:val="32"/>
          <w:highlight w:val="none"/>
        </w:rPr>
        <w:t xml:space="preserve">第一章  </w:t>
      </w:r>
      <w:bookmarkEnd w:id="1"/>
      <w:bookmarkStart w:id="2" w:name="_Toc58430313"/>
      <w:r>
        <w:rPr>
          <w:rFonts w:hint="eastAsia" w:ascii="宋体"/>
          <w:b/>
          <w:color w:val="auto"/>
          <w:sz w:val="32"/>
          <w:szCs w:val="32"/>
          <w:highlight w:val="none"/>
        </w:rPr>
        <w:t>招标公告</w:t>
      </w:r>
    </w:p>
    <w:p w14:paraId="3B68CEE3">
      <w:pPr>
        <w:pageBreakBefore w:val="0"/>
        <w:kinsoku/>
        <w:overflowPunct/>
        <w:topLinePunct w:val="0"/>
        <w:autoSpaceDE/>
        <w:autoSpaceDN/>
        <w:bidi w:val="0"/>
        <w:snapToGrid/>
        <w:spacing w:line="400" w:lineRule="exact"/>
        <w:ind w:firstLine="420" w:firstLineChars="200"/>
        <w:rPr>
          <w:rFonts w:hint="eastAsia" w:ascii="宋体" w:hAnsi="宋体" w:cs="宋体"/>
          <w:color w:val="auto"/>
          <w:szCs w:val="21"/>
          <w:highlight w:val="none"/>
        </w:rPr>
      </w:pPr>
      <w:bookmarkStart w:id="3" w:name="_Toc35393790"/>
      <w:bookmarkStart w:id="4" w:name="_Toc58430305"/>
      <w:bookmarkStart w:id="5" w:name="_Toc28359002"/>
      <w:bookmarkStart w:id="6" w:name="_Toc28359079"/>
      <w:bookmarkStart w:id="7" w:name="_Toc35393621"/>
      <w:bookmarkStart w:id="8" w:name="_Hlk24379207"/>
      <w:r>
        <w:rPr>
          <w:rFonts w:hint="eastAsia" w:ascii="宋体" w:hAnsi="宋体" w:cs="宋体"/>
          <w:color w:val="auto"/>
          <w:szCs w:val="21"/>
          <w:highlight w:val="none"/>
        </w:rPr>
        <w:t>项目概况</w:t>
      </w:r>
    </w:p>
    <w:p w14:paraId="0DA5D4A6">
      <w:pPr>
        <w:pageBreakBefore w:val="0"/>
        <w:kinsoku/>
        <w:overflowPunct/>
        <w:topLinePunct w:val="0"/>
        <w:autoSpaceDE/>
        <w:autoSpaceDN/>
        <w:bidi w:val="0"/>
        <w:snapToGrid/>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中新苏滁高新区无人机智能巡检服务项目</w:t>
      </w:r>
      <w:r>
        <w:rPr>
          <w:rFonts w:hint="eastAsia" w:ascii="宋体" w:hAnsi="宋体" w:cs="宋体"/>
          <w:color w:val="auto"/>
          <w:szCs w:val="21"/>
          <w:highlight w:val="none"/>
        </w:rPr>
        <w:t>的潜在投标人应在滁州市公共资源交易中心网（http://ggzy.chuzhou.gov.cn/）获取招标文件，并于</w:t>
      </w:r>
      <w:r>
        <w:rPr>
          <w:rFonts w:hint="eastAsia" w:ascii="宋体" w:hAnsi="宋体" w:cs="宋体"/>
          <w:color w:val="auto"/>
          <w:szCs w:val="21"/>
          <w:highlight w:val="none"/>
          <w:lang w:eastAsia="zh-CN"/>
        </w:rPr>
        <w:t>2025年9月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8点00分（北京时间）前递交投标文件。</w:t>
      </w:r>
    </w:p>
    <w:p w14:paraId="0AEBE6E5">
      <w:pPr>
        <w:pStyle w:val="2"/>
        <w:pageBreakBefore w:val="0"/>
        <w:numPr>
          <w:ilvl w:val="0"/>
          <w:numId w:val="0"/>
        </w:numPr>
        <w:kinsoku/>
        <w:overflowPunct/>
        <w:topLinePunct w:val="0"/>
        <w:autoSpaceDE/>
        <w:autoSpaceDN/>
        <w:bidi w:val="0"/>
        <w:snapToGrid/>
        <w:spacing w:line="400" w:lineRule="exact"/>
        <w:ind w:left="431"/>
        <w:rPr>
          <w:rFonts w:hint="eastAsia" w:ascii="宋体" w:hAnsi="宋体" w:cs="宋体"/>
          <w:color w:val="auto"/>
          <w:sz w:val="21"/>
          <w:szCs w:val="21"/>
          <w:highlight w:val="none"/>
        </w:rPr>
      </w:pPr>
      <w:r>
        <w:rPr>
          <w:rFonts w:hint="eastAsia" w:ascii="宋体" w:hAnsi="宋体" w:cs="宋体"/>
          <w:b/>
          <w:color w:val="auto"/>
          <w:sz w:val="21"/>
          <w:szCs w:val="21"/>
          <w:highlight w:val="none"/>
        </w:rPr>
        <w:t>一、项目基本情况</w:t>
      </w:r>
      <w:bookmarkEnd w:id="3"/>
      <w:bookmarkEnd w:id="4"/>
      <w:bookmarkEnd w:id="5"/>
      <w:bookmarkEnd w:id="6"/>
      <w:bookmarkEnd w:id="7"/>
    </w:p>
    <w:p w14:paraId="1067C079">
      <w:pPr>
        <w:pageBreakBefore w:val="0"/>
        <w:kinsoku/>
        <w:overflowPunct/>
        <w:topLinePunct w:val="0"/>
        <w:autoSpaceDE/>
        <w:autoSpaceDN/>
        <w:bidi w:val="0"/>
        <w:snapToGrid/>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目编号：czsjqt202509-005</w:t>
      </w:r>
    </w:p>
    <w:p w14:paraId="5C03BE40">
      <w:pPr>
        <w:pageBreakBefore w:val="0"/>
        <w:kinsoku/>
        <w:overflowPunct/>
        <w:topLinePunct w:val="0"/>
        <w:autoSpaceDE/>
        <w:autoSpaceDN/>
        <w:bidi w:val="0"/>
        <w:snapToGrid/>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bookmarkEnd w:id="8"/>
      <w:r>
        <w:rPr>
          <w:rFonts w:hint="eastAsia" w:ascii="宋体" w:hAnsi="宋体" w:eastAsia="宋体" w:cs="宋体"/>
          <w:color w:val="auto"/>
          <w:szCs w:val="21"/>
          <w:highlight w:val="none"/>
          <w:lang w:val="en-US" w:eastAsia="zh-CN"/>
        </w:rPr>
        <w:t>中新苏滁高新区无人机智能巡检服务项目</w:t>
      </w:r>
    </w:p>
    <w:p w14:paraId="7E7A80D5">
      <w:pPr>
        <w:pageBreakBefore w:val="0"/>
        <w:kinsoku/>
        <w:overflowPunct/>
        <w:topLinePunct w:val="0"/>
        <w:autoSpaceDE/>
        <w:autoSpaceDN/>
        <w:bidi w:val="0"/>
        <w:snapToGrid/>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w:t>
      </w:r>
      <w:r>
        <w:rPr>
          <w:rFonts w:hint="eastAsia" w:ascii="宋体" w:hAnsi="宋体" w:eastAsia="宋体" w:cs="宋体"/>
          <w:color w:val="auto"/>
          <w:szCs w:val="21"/>
          <w:highlight w:val="none"/>
          <w:lang w:val="en-US" w:eastAsia="zh-CN"/>
        </w:rPr>
        <w:t>60万元/年，300万元/五年</w:t>
      </w:r>
    </w:p>
    <w:p w14:paraId="4CC16C58">
      <w:pPr>
        <w:pageBreakBefore w:val="0"/>
        <w:kinsoku/>
        <w:overflowPunct/>
        <w:topLinePunct w:val="0"/>
        <w:autoSpaceDE/>
        <w:autoSpaceDN/>
        <w:bidi w:val="0"/>
        <w:snapToGrid/>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val="en-US" w:eastAsia="zh-CN"/>
        </w:rPr>
        <w:t>本项目最高投标限价60万元/年，300万元/五年，投标人投标报价不得高于最高限价，高于最高限价的，其投标文件按无效投标处理。</w:t>
      </w:r>
    </w:p>
    <w:p w14:paraId="621D07D0">
      <w:pPr>
        <w:pageBreakBefore w:val="0"/>
        <w:kinsoku/>
        <w:overflowPunct/>
        <w:topLinePunct w:val="0"/>
        <w:autoSpaceDE/>
        <w:autoSpaceDN/>
        <w:bidi w:val="0"/>
        <w:snapToGrid/>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lang w:val="en-US" w:eastAsia="zh-CN"/>
        </w:rPr>
        <w:t>内容</w:t>
      </w:r>
      <w:r>
        <w:rPr>
          <w:rFonts w:hint="eastAsia" w:ascii="宋体" w:hAnsi="宋体" w:eastAsia="宋体" w:cs="宋体"/>
          <w:color w:val="auto"/>
          <w:szCs w:val="21"/>
          <w:highlight w:val="none"/>
        </w:rPr>
        <w:t>：智能巡检服务。</w:t>
      </w:r>
      <w:r>
        <w:rPr>
          <w:rFonts w:hint="eastAsia" w:ascii="宋体" w:hAnsi="宋体" w:eastAsia="宋体" w:cs="宋体"/>
          <w:color w:val="auto"/>
          <w:szCs w:val="21"/>
          <w:highlight w:val="none"/>
          <w:lang w:val="en-US" w:eastAsia="zh-CN"/>
        </w:rPr>
        <w:t>具体详见采购需求。</w:t>
      </w:r>
    </w:p>
    <w:p w14:paraId="53628260">
      <w:pPr>
        <w:pageBreakBefore w:val="0"/>
        <w:kinsoku/>
        <w:overflowPunct/>
        <w:topLinePunct w:val="0"/>
        <w:autoSpaceDE/>
        <w:autoSpaceDN/>
        <w:bidi w:val="0"/>
        <w:snapToGrid/>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服务期：安装调试期3个月，自安装调试期结束之日起五年，合同一年一签（考核合格后）。</w:t>
      </w:r>
    </w:p>
    <w:p w14:paraId="1D38B31C">
      <w:pPr>
        <w:pageBreakBefore w:val="0"/>
        <w:kinsoku/>
        <w:overflowPunct/>
        <w:topLinePunct w:val="0"/>
        <w:autoSpaceDE/>
        <w:autoSpaceDN/>
        <w:bidi w:val="0"/>
        <w:snapToGrid/>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48B87130">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color w:val="auto"/>
          <w:sz w:val="21"/>
          <w:szCs w:val="21"/>
          <w:highlight w:val="none"/>
        </w:rPr>
      </w:pPr>
      <w:bookmarkStart w:id="9" w:name="_Toc35393622"/>
      <w:bookmarkStart w:id="10" w:name="_Toc35393791"/>
      <w:bookmarkStart w:id="11" w:name="_Toc28359003"/>
      <w:bookmarkStart w:id="12" w:name="_Toc28359080"/>
      <w:bookmarkStart w:id="13" w:name="_Toc58430306"/>
      <w:r>
        <w:rPr>
          <w:rFonts w:hint="eastAsia" w:ascii="宋体" w:hAnsi="宋体" w:cs="宋体"/>
          <w:b/>
          <w:color w:val="auto"/>
          <w:sz w:val="21"/>
          <w:szCs w:val="21"/>
          <w:highlight w:val="none"/>
        </w:rPr>
        <w:t>二、投标人要求</w:t>
      </w:r>
      <w:bookmarkEnd w:id="9"/>
      <w:bookmarkEnd w:id="10"/>
      <w:bookmarkEnd w:id="11"/>
      <w:bookmarkEnd w:id="12"/>
      <w:bookmarkEnd w:id="13"/>
    </w:p>
    <w:p w14:paraId="4C3C611D">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color w:val="auto"/>
          <w:szCs w:val="21"/>
          <w:highlight w:val="none"/>
          <w:lang w:val="en-US" w:eastAsia="zh-CN"/>
        </w:rPr>
      </w:pPr>
      <w:bookmarkStart w:id="14" w:name="_Toc28359004"/>
      <w:bookmarkStart w:id="15" w:name="_Toc28359081"/>
      <w:r>
        <w:rPr>
          <w:rFonts w:hint="eastAsia" w:ascii="宋体" w:hAnsi="宋体" w:eastAsia="宋体" w:cs="宋体"/>
          <w:color w:val="auto"/>
          <w:szCs w:val="21"/>
          <w:highlight w:val="none"/>
          <w:lang w:val="en-US" w:eastAsia="zh-CN"/>
        </w:rPr>
        <w:t>1.投标人须具备营业执照且具有相应的供货服务能力；</w:t>
      </w:r>
    </w:p>
    <w:p w14:paraId="2E2225ED">
      <w:pPr>
        <w:pageBreakBefore w:val="0"/>
        <w:widowControl/>
        <w:kinsoku/>
        <w:overflowPunct/>
        <w:topLinePunct w:val="0"/>
        <w:autoSpaceDE/>
        <w:autoSpaceDN/>
        <w:bidi w:val="0"/>
        <w:snapToGrid/>
        <w:spacing w:line="400" w:lineRule="exact"/>
        <w:ind w:firstLine="420" w:firstLineChars="200"/>
        <w:jc w:val="lef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rPr>
        <w:t>信誉要求：投标人不得存在以下情形：</w:t>
      </w:r>
    </w:p>
    <w:p w14:paraId="1A4C7A82">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p>
    <w:p w14:paraId="2994BAA7">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16781F89">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754BDAF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7580BE0C">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67136848">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09FCDC3">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00046F4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09806078">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79E0349B">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045A2E7">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.投标人所属分公司、办事处等分支机构存在第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条信誉要求①-</w:t>
      </w:r>
      <w:r>
        <w:rPr>
          <w:rFonts w:hint="eastAsia" w:ascii="宋体" w:hAnsi="宋体" w:eastAsia="宋体" w:cs="宋体"/>
          <w:color w:val="auto"/>
          <w:sz w:val="21"/>
          <w:szCs w:val="21"/>
          <w:highlight w:val="none"/>
          <w:lang w:val="en-US" w:eastAsia="zh-CN"/>
        </w:rPr>
        <w:t>⑩</w:t>
      </w:r>
      <w:r>
        <w:rPr>
          <w:rFonts w:hint="eastAsia" w:ascii="宋体" w:hAnsi="宋体" w:cs="宋体"/>
          <w:color w:val="auto"/>
          <w:szCs w:val="21"/>
          <w:highlight w:val="none"/>
        </w:rPr>
        <w:t>项情形之一的，</w:t>
      </w:r>
      <w:r>
        <w:rPr>
          <w:rFonts w:hint="eastAsia" w:ascii="宋体" w:hAnsi="宋体" w:eastAsia="宋体" w:cs="宋体"/>
          <w:color w:val="auto"/>
          <w:szCs w:val="21"/>
          <w:highlight w:val="none"/>
          <w:lang w:val="en-US" w:eastAsia="zh-CN"/>
        </w:rPr>
        <w:t>拒绝其被确定为中标人</w:t>
      </w:r>
      <w:r>
        <w:rPr>
          <w:rFonts w:hint="eastAsia" w:ascii="宋体" w:hAnsi="宋体" w:eastAsia="宋体" w:cs="宋体"/>
          <w:color w:val="auto"/>
          <w:szCs w:val="21"/>
          <w:highlight w:val="none"/>
        </w:rPr>
        <w:t>。</w:t>
      </w:r>
    </w:p>
    <w:p w14:paraId="17E1D400">
      <w:pPr>
        <w:pStyle w:val="12"/>
        <w:pageBreakBefore w:val="0"/>
        <w:kinsoku/>
        <w:overflowPunct/>
        <w:topLinePunct w:val="0"/>
        <w:autoSpaceDE/>
        <w:autoSpaceDN/>
        <w:bidi w:val="0"/>
        <w:snapToGrid/>
        <w:spacing w:line="400" w:lineRule="exact"/>
        <w:ind w:left="0" w:leftChars="0"/>
        <w:rPr>
          <w:rFonts w:hint="eastAsia" w:ascii="宋体" w:hAnsi="宋体" w:cs="宋体"/>
          <w:color w:val="auto"/>
          <w:szCs w:val="21"/>
          <w:highlight w:val="none"/>
        </w:rPr>
      </w:pPr>
      <w:r>
        <w:rPr>
          <w:rFonts w:hint="eastAsia" w:ascii="宋体" w:hAnsi="宋体" w:cs="宋体"/>
          <w:color w:val="auto"/>
          <w:szCs w:val="21"/>
          <w:highlight w:val="none"/>
        </w:rPr>
        <w:t>备注：第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条按照附件1“关于联合惩戒失信行为加强信用查询管理的通知”查询或承诺。</w:t>
      </w:r>
    </w:p>
    <w:p w14:paraId="34DDD2F1">
      <w:pPr>
        <w:pStyle w:val="2"/>
        <w:pageBreakBefore w:val="0"/>
        <w:numPr>
          <w:ilvl w:val="0"/>
          <w:numId w:val="0"/>
        </w:numPr>
        <w:kinsoku/>
        <w:overflowPunct/>
        <w:topLinePunct w:val="0"/>
        <w:autoSpaceDE/>
        <w:autoSpaceDN/>
        <w:bidi w:val="0"/>
        <w:snapToGrid/>
        <w:spacing w:line="400" w:lineRule="exact"/>
        <w:ind w:firstLine="422" w:firstLineChars="200"/>
        <w:rPr>
          <w:rFonts w:hint="eastAsia" w:ascii="宋体" w:hAnsi="宋体" w:cs="宋体"/>
          <w:color w:val="auto"/>
          <w:sz w:val="21"/>
          <w:szCs w:val="21"/>
          <w:highlight w:val="none"/>
        </w:rPr>
      </w:pPr>
      <w:bookmarkStart w:id="16" w:name="_Toc35393792"/>
      <w:bookmarkStart w:id="17" w:name="_Toc35393623"/>
      <w:bookmarkStart w:id="18" w:name="_Toc58430307"/>
      <w:r>
        <w:rPr>
          <w:rFonts w:hint="eastAsia" w:ascii="宋体" w:hAnsi="宋体" w:cs="宋体"/>
          <w:b/>
          <w:color w:val="auto"/>
          <w:sz w:val="21"/>
          <w:szCs w:val="21"/>
          <w:highlight w:val="none"/>
        </w:rPr>
        <w:t>三、获取招标文件</w:t>
      </w:r>
      <w:bookmarkEnd w:id="14"/>
      <w:bookmarkEnd w:id="15"/>
      <w:bookmarkEnd w:id="16"/>
      <w:bookmarkEnd w:id="17"/>
      <w:bookmarkEnd w:id="18"/>
    </w:p>
    <w:p w14:paraId="41F66FDA">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i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eastAsia="zh-CN"/>
        </w:rPr>
        <w:t>2025年9月</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2025年9月</w:t>
      </w:r>
      <w:r>
        <w:rPr>
          <w:rFonts w:hint="eastAsia" w:ascii="宋体" w:hAnsi="宋体" w:cs="宋体"/>
          <w:color w:val="auto"/>
          <w:szCs w:val="21"/>
          <w:highlight w:val="none"/>
          <w:u w:val="single"/>
          <w:lang w:val="en-US" w:eastAsia="zh-CN"/>
        </w:rPr>
        <w:t>26</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（提供期限自本公告发布之日起不得少于5个工作日）</w:t>
      </w:r>
    </w:p>
    <w:p w14:paraId="0D98406F">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color w:val="auto"/>
          <w:szCs w:val="21"/>
          <w:highlight w:val="none"/>
          <w:u w:val="single"/>
        </w:rPr>
      </w:pPr>
      <w:r>
        <w:rPr>
          <w:rFonts w:hint="eastAsia" w:ascii="宋体" w:hAnsi="宋体" w:cs="宋体"/>
          <w:color w:val="auto"/>
          <w:szCs w:val="21"/>
          <w:highlight w:val="none"/>
        </w:rPr>
        <w:t>地点：滁州市公共资源交易中心网</w:t>
      </w:r>
    </w:p>
    <w:p w14:paraId="78BF8DFD">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color w:val="auto"/>
          <w:szCs w:val="21"/>
          <w:highlight w:val="none"/>
          <w:u w:val="single"/>
        </w:rPr>
      </w:pPr>
      <w:r>
        <w:rPr>
          <w:rFonts w:hint="eastAsia" w:ascii="宋体" w:hAnsi="宋体" w:cs="宋体"/>
          <w:color w:val="auto"/>
          <w:szCs w:val="21"/>
          <w:highlight w:val="none"/>
        </w:rPr>
        <w:t>方式：网上下载</w:t>
      </w:r>
    </w:p>
    <w:p w14:paraId="266A3CA9">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售价：0元</w:t>
      </w:r>
    </w:p>
    <w:p w14:paraId="4A6A285F">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color w:val="auto"/>
          <w:sz w:val="21"/>
          <w:szCs w:val="21"/>
          <w:highlight w:val="none"/>
        </w:rPr>
      </w:pPr>
      <w:bookmarkStart w:id="19" w:name="_Toc28359082"/>
      <w:bookmarkStart w:id="20" w:name="_Toc28359005"/>
      <w:bookmarkStart w:id="21" w:name="_Toc35393624"/>
      <w:bookmarkStart w:id="22" w:name="_Toc58430308"/>
      <w:bookmarkStart w:id="23" w:name="_Toc35393793"/>
      <w:r>
        <w:rPr>
          <w:rFonts w:hint="eastAsia" w:ascii="宋体" w:hAnsi="宋体" w:cs="宋体"/>
          <w:b/>
          <w:color w:val="auto"/>
          <w:sz w:val="21"/>
          <w:szCs w:val="21"/>
          <w:highlight w:val="none"/>
        </w:rPr>
        <w:t>四、提交投标文件</w:t>
      </w:r>
      <w:bookmarkEnd w:id="19"/>
      <w:bookmarkEnd w:id="20"/>
      <w:r>
        <w:rPr>
          <w:rFonts w:hint="eastAsia" w:ascii="宋体" w:hAnsi="宋体" w:cs="宋体"/>
          <w:b/>
          <w:color w:val="auto"/>
          <w:sz w:val="21"/>
          <w:szCs w:val="21"/>
          <w:highlight w:val="none"/>
        </w:rPr>
        <w:t>截止时间、开标时间和地点</w:t>
      </w:r>
      <w:bookmarkEnd w:id="21"/>
      <w:bookmarkEnd w:id="22"/>
      <w:bookmarkEnd w:id="23"/>
    </w:p>
    <w:p w14:paraId="1145E229">
      <w:pPr>
        <w:pageBreakBefore w:val="0"/>
        <w:kinsoku/>
        <w:overflowPunct/>
        <w:topLinePunct w:val="0"/>
        <w:autoSpaceDE/>
        <w:autoSpaceDN/>
        <w:bidi w:val="0"/>
        <w:snapToGrid/>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eastAsia="zh-CN"/>
        </w:rPr>
        <w:t>2025年9月</w:t>
      </w:r>
      <w:r>
        <w:rPr>
          <w:rFonts w:hint="eastAsia" w:ascii="宋体" w:hAnsi="宋体" w:cs="宋体"/>
          <w:bCs/>
          <w:color w:val="auto"/>
          <w:szCs w:val="21"/>
          <w:highlight w:val="none"/>
          <w:u w:val="single"/>
          <w:lang w:val="en-US" w:eastAsia="zh-CN"/>
        </w:rPr>
        <w:t>26</w:t>
      </w:r>
      <w:r>
        <w:rPr>
          <w:rFonts w:hint="eastAsia" w:ascii="宋体" w:hAnsi="宋体" w:cs="宋体"/>
          <w:bCs/>
          <w:color w:val="auto"/>
          <w:szCs w:val="21"/>
          <w:highlight w:val="none"/>
          <w:u w:val="single"/>
          <w:lang w:eastAsia="zh-CN"/>
        </w:rPr>
        <w:t>日</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点00分</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（自招标文件开始发出之日起至投标人提交投标文件截止之日止，不得少于20日）</w:t>
      </w:r>
    </w:p>
    <w:p w14:paraId="0C60D79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地点：网上开标，投标人登录滁州市不见面开标系统参与网上开标（网址：</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"https://ggzy.chuzhou.gov.cn/BidOpening/bidopeninghallaction/hall/login）。操作手册见"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https://ggzy.chuzhou.gov.cn/BidOpening/bidopeninghallaction/hall/login）。操作手册见</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https://ggzy.chuzhou.gov.cn/fwzn/011006/20240510/f0637388-583d-4c69-8331-05b6adfcf24d.html。</w:t>
      </w:r>
    </w:p>
    <w:p w14:paraId="3A9DFD3B">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bCs/>
          <w:color w:val="auto"/>
          <w:sz w:val="21"/>
          <w:szCs w:val="21"/>
          <w:highlight w:val="none"/>
        </w:rPr>
      </w:pPr>
      <w:bookmarkStart w:id="24" w:name="_Toc58430309"/>
      <w:bookmarkStart w:id="25" w:name="_Toc35393625"/>
      <w:bookmarkStart w:id="26" w:name="_Toc35393794"/>
      <w:bookmarkStart w:id="27" w:name="_Toc28359084"/>
      <w:bookmarkStart w:id="28" w:name="_Toc28359007"/>
      <w:r>
        <w:rPr>
          <w:rFonts w:hint="eastAsia" w:ascii="宋体" w:hAnsi="宋体" w:cs="宋体"/>
          <w:b/>
          <w:color w:val="auto"/>
          <w:sz w:val="21"/>
          <w:szCs w:val="21"/>
          <w:highlight w:val="none"/>
        </w:rPr>
        <w:t>五、公告期限</w:t>
      </w:r>
      <w:bookmarkEnd w:id="24"/>
      <w:bookmarkEnd w:id="25"/>
      <w:bookmarkEnd w:id="26"/>
      <w:bookmarkEnd w:id="27"/>
      <w:bookmarkEnd w:id="28"/>
    </w:p>
    <w:p w14:paraId="18A21476">
      <w:pPr>
        <w:pageBreakBefore w:val="0"/>
        <w:kinsoku/>
        <w:overflowPunct/>
        <w:topLinePunct w:val="0"/>
        <w:autoSpaceDE/>
        <w:autoSpaceDN/>
        <w:bidi w:val="0"/>
        <w:snapToGrid/>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2C6F592">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b/>
          <w:color w:val="auto"/>
          <w:sz w:val="21"/>
          <w:szCs w:val="21"/>
          <w:highlight w:val="none"/>
        </w:rPr>
      </w:pPr>
      <w:bookmarkStart w:id="29" w:name="_Toc58430310"/>
      <w:r>
        <w:rPr>
          <w:rFonts w:hint="eastAsia" w:ascii="宋体" w:hAnsi="宋体" w:cs="宋体"/>
          <w:b/>
          <w:color w:val="auto"/>
          <w:sz w:val="21"/>
          <w:szCs w:val="21"/>
          <w:highlight w:val="none"/>
        </w:rPr>
        <w:t>六、投标保证金金额及缴纳账户</w:t>
      </w:r>
      <w:bookmarkEnd w:id="29"/>
    </w:p>
    <w:p w14:paraId="7396D2D5">
      <w:pPr>
        <w:pageBreakBefore w:val="0"/>
        <w:kinsoku/>
        <w:overflowPunct/>
        <w:topLinePunct w:val="0"/>
        <w:autoSpaceDE/>
        <w:autoSpaceDN/>
        <w:bidi w:val="0"/>
        <w:snapToGrid/>
        <w:spacing w:line="400" w:lineRule="exact"/>
        <w:ind w:firstLine="420" w:firstLineChars="200"/>
        <w:rPr>
          <w:rFonts w:hint="eastAsia" w:ascii="宋体" w:hAnsi="宋体" w:eastAsia="宋体" w:cs="宋体"/>
          <w:color w:val="auto"/>
          <w:kern w:val="0"/>
          <w:szCs w:val="21"/>
          <w:highlight w:val="none"/>
        </w:rPr>
      </w:pPr>
      <w:bookmarkStart w:id="30" w:name="_Toc35393626"/>
      <w:bookmarkStart w:id="31" w:name="_Toc35393795"/>
      <w:bookmarkStart w:id="32" w:name="_Toc58430311"/>
      <w:r>
        <w:rPr>
          <w:rFonts w:hint="eastAsia" w:ascii="宋体" w:hAnsi="宋体" w:eastAsia="宋体" w:cs="宋体"/>
          <w:color w:val="auto"/>
          <w:kern w:val="0"/>
          <w:szCs w:val="21"/>
          <w:highlight w:val="none"/>
        </w:rPr>
        <w:t>是否要求投标人提交投标保证金：不要求。</w:t>
      </w:r>
    </w:p>
    <w:p w14:paraId="4C3FEEF6">
      <w:pPr>
        <w:pageBreakBefore w:val="0"/>
        <w:kinsoku/>
        <w:overflowPunct/>
        <w:topLinePunct w:val="0"/>
        <w:autoSpaceDE/>
        <w:autoSpaceDN/>
        <w:bidi w:val="0"/>
        <w:snapToGrid/>
        <w:spacing w:line="400" w:lineRule="exact"/>
        <w:ind w:firstLine="422" w:firstLineChars="200"/>
        <w:rPr>
          <w:rFonts w:hint="eastAsia" w:ascii="宋体" w:hAnsi="宋体" w:cs="宋体"/>
          <w:i/>
          <w:color w:val="auto"/>
          <w:szCs w:val="21"/>
          <w:highlight w:val="none"/>
        </w:rPr>
      </w:pPr>
      <w:r>
        <w:rPr>
          <w:rFonts w:hint="eastAsia" w:ascii="宋体" w:hAnsi="宋体" w:cs="宋体"/>
          <w:b/>
          <w:color w:val="auto"/>
          <w:szCs w:val="21"/>
          <w:highlight w:val="none"/>
        </w:rPr>
        <w:t>七、其他补充事宜</w:t>
      </w:r>
      <w:bookmarkEnd w:id="30"/>
      <w:bookmarkEnd w:id="31"/>
      <w:bookmarkEnd w:id="32"/>
    </w:p>
    <w:p w14:paraId="05C4E3E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bookmarkStart w:id="33" w:name="_Toc58430312"/>
      <w:r>
        <w:rPr>
          <w:rFonts w:hint="eastAsia" w:ascii="宋体" w:hAnsi="宋体" w:cs="宋体"/>
          <w:color w:val="auto"/>
          <w:szCs w:val="21"/>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w:t>
      </w:r>
      <w:r>
        <w:rPr>
          <w:rFonts w:hint="eastAsia" w:ascii="宋体" w:hAnsi="宋体" w:cs="宋体"/>
          <w:color w:val="auto"/>
          <w:szCs w:val="21"/>
          <w:highlight w:val="none"/>
          <w:lang w:eastAsia="zh-CN"/>
        </w:rPr>
        <w:t>0512-58188516</w:t>
      </w:r>
      <w:r>
        <w:rPr>
          <w:rFonts w:hint="eastAsia" w:ascii="宋体" w:hAnsi="宋体" w:cs="宋体"/>
          <w:color w:val="auto"/>
          <w:szCs w:val="21"/>
          <w:highlight w:val="none"/>
        </w:rPr>
        <w:t>（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38EF30B">
      <w:pPr>
        <w:pageBreakBefore w:val="0"/>
        <w:kinsoku/>
        <w:overflowPunct/>
        <w:topLinePunct w:val="0"/>
        <w:autoSpaceDE/>
        <w:autoSpaceDN/>
        <w:bidi w:val="0"/>
        <w:snapToGrid/>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2、请投标人登录滁州市公共资源交易中心网站查看参加本项目的程序（具体操作步骤和程序请参见服务指南&gt;交易须知&gt;投标人填写投标信息、下载文件及网上提问操作手册）。</w:t>
      </w:r>
    </w:p>
    <w:p w14:paraId="2D77E5F6">
      <w:pPr>
        <w:pageBreakBefore w:val="0"/>
        <w:kinsoku/>
        <w:overflowPunct/>
        <w:topLinePunct w:val="0"/>
        <w:autoSpaceDE/>
        <w:autoSpaceDN/>
        <w:bidi w:val="0"/>
        <w:snapToGrid/>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488C6516">
      <w:pPr>
        <w:pageBreakBefore w:val="0"/>
        <w:widowControl/>
        <w:kinsoku/>
        <w:wordWrap w:val="0"/>
        <w:overflowPunct/>
        <w:topLinePunct w:val="0"/>
        <w:autoSpaceDE/>
        <w:autoSpaceDN/>
        <w:bidi w:val="0"/>
        <w:snapToGrid/>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4、投标文件格式、内容和制作要求以招标文件为准，投标文件制作工具中提供的相关格式及内容仅供参考，投标企业可根据招标文件要求自行调整。</w:t>
      </w:r>
    </w:p>
    <w:p w14:paraId="01695EAD">
      <w:pPr>
        <w:pageBreakBefore w:val="0"/>
        <w:widowControl/>
        <w:kinsoku/>
        <w:wordWrap w:val="0"/>
        <w:overflowPunct/>
        <w:topLinePunct w:val="0"/>
        <w:autoSpaceDE/>
        <w:autoSpaceDN/>
        <w:bidi w:val="0"/>
        <w:snapToGrid/>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5、投标人提出异议的截止时间及方式：如投标人对招标文件有异议，请于202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16</w:t>
      </w:r>
      <w:r>
        <w:rPr>
          <w:rFonts w:hint="eastAsia" w:ascii="宋体" w:hAnsi="宋体" w:eastAsia="宋体" w:cs="宋体"/>
          <w:color w:val="auto"/>
          <w:kern w:val="0"/>
          <w:szCs w:val="21"/>
          <w:highlight w:val="none"/>
        </w:rPr>
        <w:t>日8时（投标截止10日）前在滁州市公共资源交易中心网电子交易系统中进行异议，具体操作步骤和程序请参见服务指南&gt;交易须知&gt;在线异议、质疑和投诉操作手册。</w:t>
      </w:r>
    </w:p>
    <w:p w14:paraId="1C07EAFB">
      <w:pPr>
        <w:pageBreakBefore w:val="0"/>
        <w:widowControl/>
        <w:kinsoku/>
        <w:wordWrap w:val="0"/>
        <w:overflowPunct/>
        <w:topLinePunct w:val="0"/>
        <w:autoSpaceDE/>
        <w:autoSpaceDN/>
        <w:bidi w:val="0"/>
        <w:snapToGrid/>
        <w:spacing w:line="400" w:lineRule="exact"/>
        <w:ind w:firstLine="420" w:firstLineChars="200"/>
        <w:jc w:val="left"/>
        <w:rPr>
          <w:rFonts w:hint="eastAsia"/>
          <w:color w:val="auto"/>
          <w:highlight w:val="none"/>
        </w:rPr>
      </w:pPr>
      <w:r>
        <w:rPr>
          <w:rFonts w:hint="eastAsia" w:ascii="宋体" w:hAnsi="宋体" w:cs="宋体"/>
          <w:color w:val="auto"/>
          <w:szCs w:val="21"/>
          <w:highlight w:val="none"/>
        </w:rPr>
        <w:t>6、受理异议的联系人及联系方式：联系人：</w:t>
      </w:r>
      <w:r>
        <w:rPr>
          <w:rFonts w:hint="eastAsia" w:ascii="宋体" w:hAnsi="宋体" w:cs="宋体"/>
          <w:color w:val="auto"/>
          <w:szCs w:val="21"/>
          <w:highlight w:val="none"/>
          <w:lang w:eastAsia="zh-CN"/>
        </w:rPr>
        <w:t>李传旭</w:t>
      </w:r>
      <w:r>
        <w:rPr>
          <w:rFonts w:hint="eastAsia" w:ascii="宋体" w:hAnsi="宋体" w:cs="宋体"/>
          <w:color w:val="auto"/>
          <w:szCs w:val="21"/>
          <w:highlight w:val="none"/>
        </w:rPr>
        <w:t>、</w:t>
      </w:r>
      <w:r>
        <w:rPr>
          <w:rFonts w:hint="eastAsia" w:ascii="宋体" w:hAnsi="宋体" w:cs="宋体"/>
          <w:color w:val="auto"/>
          <w:szCs w:val="21"/>
          <w:highlight w:val="none"/>
          <w:lang w:eastAsia="zh-CN"/>
        </w:rPr>
        <w:t>曹思敏</w:t>
      </w: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18687820286</w:t>
      </w:r>
      <w:r>
        <w:rPr>
          <w:rFonts w:hint="eastAsia" w:ascii="宋体" w:hAnsi="宋体" w:cs="宋体"/>
          <w:color w:val="auto"/>
          <w:szCs w:val="21"/>
          <w:highlight w:val="none"/>
        </w:rPr>
        <w:t>、</w:t>
      </w:r>
      <w:r>
        <w:rPr>
          <w:rFonts w:hint="eastAsia" w:ascii="宋体" w:hAnsi="宋体" w:cs="宋体"/>
          <w:color w:val="auto"/>
          <w:szCs w:val="21"/>
          <w:highlight w:val="none"/>
          <w:lang w:eastAsia="zh-CN"/>
        </w:rPr>
        <w:t>0550-3519516、18712012204</w:t>
      </w:r>
      <w:r>
        <w:rPr>
          <w:rFonts w:hint="eastAsia" w:ascii="宋体" w:hAnsi="宋体" w:cs="宋体"/>
          <w:color w:val="auto"/>
          <w:szCs w:val="21"/>
          <w:highlight w:val="none"/>
        </w:rPr>
        <w:t>。</w:t>
      </w:r>
    </w:p>
    <w:p w14:paraId="3F0FE425">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color w:val="auto"/>
          <w:sz w:val="21"/>
          <w:szCs w:val="21"/>
          <w:highlight w:val="none"/>
        </w:rPr>
      </w:pPr>
      <w:r>
        <w:rPr>
          <w:rFonts w:hint="eastAsia" w:ascii="宋体" w:hAnsi="宋体" w:cs="宋体"/>
          <w:b/>
          <w:color w:val="auto"/>
          <w:sz w:val="21"/>
          <w:szCs w:val="21"/>
          <w:highlight w:val="none"/>
        </w:rPr>
        <w:t>八、对本次招标提出询问，请按以下方式联系</w:t>
      </w:r>
      <w:bookmarkEnd w:id="33"/>
    </w:p>
    <w:p w14:paraId="756EA44A">
      <w:pPr>
        <w:pageBreakBefore w:val="0"/>
        <w:kinsoku/>
        <w:overflowPunct/>
        <w:topLinePunct w:val="0"/>
        <w:autoSpaceDE/>
        <w:autoSpaceDN/>
        <w:bidi w:val="0"/>
        <w:snapToGrid/>
        <w:spacing w:line="4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1.招标人信息</w:t>
      </w:r>
    </w:p>
    <w:p w14:paraId="3854B275">
      <w:pPr>
        <w:pageBreakBefore w:val="0"/>
        <w:kinsoku/>
        <w:overflowPunct/>
        <w:topLinePunct w:val="0"/>
        <w:autoSpaceDE/>
        <w:autoSpaceDN/>
        <w:bidi w:val="0"/>
        <w:snapToGrid/>
        <w:spacing w:line="400" w:lineRule="exact"/>
        <w:ind w:firstLine="570"/>
        <w:rPr>
          <w:rFonts w:hint="eastAsia" w:ascii="宋体" w:hAnsi="宋体" w:eastAsia="宋体" w:cs="宋体"/>
          <w:color w:val="auto"/>
          <w:szCs w:val="21"/>
          <w:highlight w:val="none"/>
          <w:lang w:eastAsia="zh-CN"/>
        </w:rPr>
      </w:pPr>
      <w:bookmarkStart w:id="34" w:name="_Toc28359087"/>
      <w:bookmarkStart w:id="35" w:name="_Toc28359010"/>
      <w:r>
        <w:rPr>
          <w:rFonts w:hint="eastAsia" w:ascii="宋体" w:hAnsi="宋体" w:cs="宋体"/>
          <w:color w:val="auto"/>
          <w:szCs w:val="21"/>
          <w:highlight w:val="none"/>
        </w:rPr>
        <w:t>名称：</w:t>
      </w:r>
      <w:r>
        <w:rPr>
          <w:rFonts w:hint="eastAsia" w:ascii="宋体" w:hAnsi="宋体" w:cs="宋体"/>
          <w:color w:val="auto"/>
          <w:szCs w:val="21"/>
          <w:highlight w:val="none"/>
          <w:lang w:eastAsia="zh-CN"/>
        </w:rPr>
        <w:t>滁州市苏滁市政公用发展有限公司</w:t>
      </w:r>
    </w:p>
    <w:p w14:paraId="0B7F0E28">
      <w:pPr>
        <w:pageBreakBefore w:val="0"/>
        <w:kinsoku/>
        <w:overflowPunct/>
        <w:topLinePunct w:val="0"/>
        <w:autoSpaceDE/>
        <w:autoSpaceDN/>
        <w:bidi w:val="0"/>
        <w:snapToGrid/>
        <w:spacing w:line="400" w:lineRule="exact"/>
        <w:ind w:firstLine="5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中新苏滁高新区双城路66号3楼</w:t>
      </w:r>
    </w:p>
    <w:p w14:paraId="51F824DA">
      <w:pPr>
        <w:pageBreakBefore w:val="0"/>
        <w:kinsoku/>
        <w:overflowPunct/>
        <w:topLinePunct w:val="0"/>
        <w:autoSpaceDE/>
        <w:autoSpaceDN/>
        <w:bidi w:val="0"/>
        <w:snapToGrid/>
        <w:spacing w:line="4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18687820286</w:t>
      </w:r>
      <w:r>
        <w:rPr>
          <w:rFonts w:hint="eastAsia" w:ascii="宋体" w:hAnsi="宋体" w:cs="宋体"/>
          <w:color w:val="auto"/>
          <w:szCs w:val="21"/>
          <w:highlight w:val="none"/>
        </w:rPr>
        <w:t xml:space="preserve">  </w:t>
      </w:r>
      <w:bookmarkStart w:id="36" w:name="_Toc28359009"/>
      <w:bookmarkStart w:id="37" w:name="_Toc28359086"/>
    </w:p>
    <w:bookmarkEnd w:id="36"/>
    <w:bookmarkEnd w:id="37"/>
    <w:p w14:paraId="54B49D88">
      <w:pPr>
        <w:pageBreakBefore w:val="0"/>
        <w:kinsoku/>
        <w:overflowPunct/>
        <w:topLinePunct w:val="0"/>
        <w:autoSpaceDE/>
        <w:autoSpaceDN/>
        <w:bidi w:val="0"/>
        <w:snapToGrid/>
        <w:spacing w:line="4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2.代理机构信息</w:t>
      </w:r>
    </w:p>
    <w:p w14:paraId="557F0A0B">
      <w:pPr>
        <w:pageBreakBefore w:val="0"/>
        <w:kinsoku/>
        <w:overflowPunct/>
        <w:topLinePunct w:val="0"/>
        <w:autoSpaceDE/>
        <w:autoSpaceDN/>
        <w:bidi w:val="0"/>
        <w:snapToGrid/>
        <w:spacing w:line="4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名称：滁州市城投工程咨询管理有限公司</w:t>
      </w:r>
    </w:p>
    <w:p w14:paraId="357E0F4D">
      <w:pPr>
        <w:pageBreakBefore w:val="0"/>
        <w:kinsoku/>
        <w:overflowPunct/>
        <w:topLinePunct w:val="0"/>
        <w:autoSpaceDE/>
        <w:autoSpaceDN/>
        <w:bidi w:val="0"/>
        <w:snapToGrid/>
        <w:spacing w:line="4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地址：滁州市龙蟠大道109号房产大厦六楼</w:t>
      </w:r>
    </w:p>
    <w:p w14:paraId="1C1E864A">
      <w:pPr>
        <w:pageBreakBefore w:val="0"/>
        <w:kinsoku/>
        <w:overflowPunct/>
        <w:topLinePunct w:val="0"/>
        <w:autoSpaceDE/>
        <w:autoSpaceDN/>
        <w:bidi w:val="0"/>
        <w:snapToGrid/>
        <w:spacing w:line="400" w:lineRule="exact"/>
        <w:ind w:firstLine="5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0550-3519516、18712012204</w:t>
      </w:r>
    </w:p>
    <w:p w14:paraId="79B74545">
      <w:pPr>
        <w:pageBreakBefore w:val="0"/>
        <w:kinsoku/>
        <w:overflowPunct/>
        <w:topLinePunct w:val="0"/>
        <w:autoSpaceDE/>
        <w:autoSpaceDN/>
        <w:bidi w:val="0"/>
        <w:snapToGrid/>
        <w:spacing w:line="4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3.项目联系方式</w:t>
      </w:r>
      <w:bookmarkEnd w:id="34"/>
      <w:bookmarkEnd w:id="35"/>
      <w:r>
        <w:rPr>
          <w:rFonts w:hint="eastAsia" w:ascii="宋体" w:hAnsi="宋体" w:cs="宋体"/>
          <w:color w:val="auto"/>
          <w:szCs w:val="21"/>
          <w:highlight w:val="none"/>
        </w:rPr>
        <w:t xml:space="preserve"> </w:t>
      </w:r>
    </w:p>
    <w:p w14:paraId="30157407">
      <w:pPr>
        <w:pageBreakBefore w:val="0"/>
        <w:kinsoku/>
        <w:overflowPunct/>
        <w:topLinePunct w:val="0"/>
        <w:autoSpaceDE/>
        <w:autoSpaceDN/>
        <w:bidi w:val="0"/>
        <w:snapToGrid/>
        <w:spacing w:line="400" w:lineRule="exact"/>
        <w:ind w:firstLine="570"/>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李传旭</w:t>
      </w:r>
      <w:r>
        <w:rPr>
          <w:rFonts w:hint="eastAsia" w:ascii="宋体" w:hAnsi="宋体" w:cs="宋体"/>
          <w:color w:val="auto"/>
          <w:szCs w:val="21"/>
          <w:highlight w:val="none"/>
        </w:rPr>
        <w:t>、</w:t>
      </w:r>
      <w:r>
        <w:rPr>
          <w:rFonts w:hint="eastAsia" w:ascii="宋体" w:hAnsi="宋体" w:cs="宋体"/>
          <w:color w:val="auto"/>
          <w:szCs w:val="21"/>
          <w:highlight w:val="none"/>
          <w:lang w:eastAsia="zh-CN"/>
        </w:rPr>
        <w:t>曹思敏</w:t>
      </w:r>
      <w:r>
        <w:rPr>
          <w:rFonts w:hint="eastAsia" w:ascii="宋体" w:hAnsi="宋体" w:cs="宋体"/>
          <w:color w:val="auto"/>
          <w:szCs w:val="21"/>
          <w:highlight w:val="none"/>
        </w:rPr>
        <w:t xml:space="preserve">     </w:t>
      </w:r>
    </w:p>
    <w:p w14:paraId="7B3FDE58">
      <w:pPr>
        <w:pageBreakBefore w:val="0"/>
        <w:kinsoku/>
        <w:overflowPunct/>
        <w:topLinePunct w:val="0"/>
        <w:autoSpaceDE/>
        <w:autoSpaceDN/>
        <w:bidi w:val="0"/>
        <w:snapToGrid/>
        <w:spacing w:line="400" w:lineRule="exact"/>
        <w:ind w:firstLine="5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18687820286</w:t>
      </w:r>
      <w:r>
        <w:rPr>
          <w:rFonts w:hint="eastAsia" w:ascii="宋体" w:hAnsi="宋体" w:cs="宋体"/>
          <w:color w:val="auto"/>
          <w:szCs w:val="21"/>
          <w:highlight w:val="none"/>
        </w:rPr>
        <w:t>、</w:t>
      </w:r>
      <w:r>
        <w:rPr>
          <w:rFonts w:hint="eastAsia" w:ascii="宋体" w:hAnsi="宋体" w:cs="宋体"/>
          <w:color w:val="auto"/>
          <w:szCs w:val="21"/>
          <w:highlight w:val="none"/>
          <w:lang w:eastAsia="zh-CN"/>
        </w:rPr>
        <w:t>0550-3519516、18712012204</w:t>
      </w:r>
    </w:p>
    <w:p w14:paraId="57C9D6EE">
      <w:pPr>
        <w:spacing w:line="400" w:lineRule="exact"/>
        <w:jc w:val="center"/>
        <w:rPr>
          <w:rFonts w:hint="eastAsia" w:ascii="宋体"/>
          <w:b/>
          <w:color w:val="auto"/>
          <w:sz w:val="32"/>
          <w:szCs w:val="32"/>
          <w:highlight w:val="none"/>
        </w:rPr>
      </w:pPr>
      <w:r>
        <w:rPr>
          <w:rFonts w:hint="eastAsia" w:ascii="宋体"/>
          <w:b/>
          <w:color w:val="auto"/>
          <w:sz w:val="32"/>
          <w:szCs w:val="32"/>
          <w:highlight w:val="none"/>
        </w:rPr>
        <w:br w:type="page"/>
      </w:r>
      <w:r>
        <w:rPr>
          <w:rFonts w:hint="eastAsia" w:ascii="宋体"/>
          <w:b/>
          <w:color w:val="auto"/>
          <w:sz w:val="32"/>
          <w:szCs w:val="32"/>
          <w:highlight w:val="none"/>
        </w:rPr>
        <w:t>第二章 投标人须知</w:t>
      </w:r>
      <w:bookmarkEnd w:id="2"/>
    </w:p>
    <w:p w14:paraId="273EB70C">
      <w:pPr>
        <w:snapToGrid w:val="0"/>
        <w:spacing w:line="360" w:lineRule="exact"/>
        <w:jc w:val="center"/>
        <w:outlineLvl w:val="1"/>
        <w:rPr>
          <w:rFonts w:hint="eastAsia" w:ascii="宋体"/>
          <w:b/>
          <w:color w:val="auto"/>
          <w:sz w:val="28"/>
          <w:szCs w:val="28"/>
          <w:highlight w:val="none"/>
        </w:rPr>
      </w:pPr>
      <w:bookmarkStart w:id="38" w:name="_Toc449028865"/>
      <w:bookmarkStart w:id="39"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38"/>
      <w:bookmarkEnd w:id="39"/>
    </w:p>
    <w:tbl>
      <w:tblPr>
        <w:tblStyle w:val="13"/>
        <w:tblW w:w="981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36"/>
        <w:gridCol w:w="2151"/>
        <w:gridCol w:w="6626"/>
      </w:tblGrid>
      <w:tr w14:paraId="13C30E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36" w:type="dxa"/>
            <w:noWrap w:val="0"/>
            <w:vAlign w:val="center"/>
          </w:tcPr>
          <w:p w14:paraId="27054347">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151" w:type="dxa"/>
            <w:noWrap w:val="0"/>
            <w:vAlign w:val="center"/>
          </w:tcPr>
          <w:p w14:paraId="039F5FBC">
            <w:pPr>
              <w:jc w:val="center"/>
              <w:rPr>
                <w:rFonts w:hint="eastAsia" w:ascii="宋体" w:hAnsi="宋体" w:eastAsia="宋体" w:cs="宋体"/>
                <w:color w:val="auto"/>
                <w:highlight w:val="none"/>
              </w:rPr>
            </w:pPr>
            <w:r>
              <w:rPr>
                <w:rFonts w:hint="eastAsia" w:ascii="宋体" w:hAnsi="宋体" w:eastAsia="宋体" w:cs="宋体"/>
                <w:color w:val="auto"/>
                <w:highlight w:val="none"/>
              </w:rPr>
              <w:t>条款名称</w:t>
            </w:r>
          </w:p>
        </w:tc>
        <w:tc>
          <w:tcPr>
            <w:tcW w:w="6626" w:type="dxa"/>
            <w:noWrap w:val="0"/>
            <w:vAlign w:val="center"/>
          </w:tcPr>
          <w:p w14:paraId="581A60E6">
            <w:pPr>
              <w:jc w:val="center"/>
              <w:rPr>
                <w:rFonts w:hint="eastAsia" w:ascii="宋体" w:hAnsi="宋体" w:eastAsia="宋体" w:cs="宋体"/>
                <w:color w:val="auto"/>
                <w:highlight w:val="none"/>
              </w:rPr>
            </w:pPr>
            <w:r>
              <w:rPr>
                <w:rFonts w:hint="eastAsia" w:ascii="宋体" w:hAnsi="宋体" w:eastAsia="宋体" w:cs="宋体"/>
                <w:color w:val="auto"/>
                <w:highlight w:val="none"/>
              </w:rPr>
              <w:t>说明与要求</w:t>
            </w:r>
          </w:p>
        </w:tc>
      </w:tr>
      <w:tr w14:paraId="7383E1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36" w:type="dxa"/>
            <w:noWrap w:val="0"/>
            <w:vAlign w:val="center"/>
          </w:tcPr>
          <w:p w14:paraId="4817F4B0">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151" w:type="dxa"/>
            <w:noWrap w:val="0"/>
            <w:vAlign w:val="center"/>
          </w:tcPr>
          <w:p w14:paraId="09182B71">
            <w:pP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626" w:type="dxa"/>
            <w:noWrap w:val="0"/>
            <w:vAlign w:val="center"/>
          </w:tcPr>
          <w:p w14:paraId="1D1EC2B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中新苏滁高新区无人机智能巡检服务项目</w:t>
            </w:r>
          </w:p>
        </w:tc>
      </w:tr>
      <w:tr w14:paraId="614DF3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9" w:hRule="atLeast"/>
          <w:jc w:val="center"/>
        </w:trPr>
        <w:tc>
          <w:tcPr>
            <w:tcW w:w="1036" w:type="dxa"/>
            <w:noWrap w:val="0"/>
            <w:vAlign w:val="center"/>
          </w:tcPr>
          <w:p w14:paraId="255BD079">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151" w:type="dxa"/>
            <w:noWrap w:val="0"/>
            <w:vAlign w:val="center"/>
          </w:tcPr>
          <w:p w14:paraId="13F856AE">
            <w:pPr>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6626" w:type="dxa"/>
            <w:noWrap w:val="0"/>
            <w:vAlign w:val="center"/>
          </w:tcPr>
          <w:p w14:paraId="17BCAE3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czsjqt202509-005</w:t>
            </w:r>
          </w:p>
        </w:tc>
      </w:tr>
      <w:tr w14:paraId="74A495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1036" w:type="dxa"/>
            <w:noWrap w:val="0"/>
            <w:vAlign w:val="center"/>
          </w:tcPr>
          <w:p w14:paraId="2BAA02E2">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151" w:type="dxa"/>
            <w:noWrap w:val="0"/>
            <w:vAlign w:val="center"/>
          </w:tcPr>
          <w:p w14:paraId="2245789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服务期</w:t>
            </w:r>
          </w:p>
        </w:tc>
        <w:tc>
          <w:tcPr>
            <w:tcW w:w="6626" w:type="dxa"/>
            <w:noWrap w:val="0"/>
            <w:vAlign w:val="center"/>
          </w:tcPr>
          <w:p w14:paraId="7DDAA17F">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详见第一章“招标公告”</w:t>
            </w:r>
          </w:p>
        </w:tc>
      </w:tr>
      <w:tr w14:paraId="0EFDA2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1036" w:type="dxa"/>
            <w:noWrap w:val="0"/>
            <w:vAlign w:val="center"/>
          </w:tcPr>
          <w:p w14:paraId="4860F5C7">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151" w:type="dxa"/>
            <w:noWrap w:val="0"/>
            <w:vAlign w:val="center"/>
          </w:tcPr>
          <w:p w14:paraId="125481B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地点</w:t>
            </w:r>
          </w:p>
        </w:tc>
        <w:tc>
          <w:tcPr>
            <w:tcW w:w="6626" w:type="dxa"/>
            <w:noWrap w:val="0"/>
            <w:vAlign w:val="center"/>
          </w:tcPr>
          <w:p w14:paraId="49ECC0A9">
            <w:pPr>
              <w:rPr>
                <w:rFonts w:hint="eastAsia" w:ascii="宋体" w:hAnsi="宋体" w:eastAsia="宋体" w:cs="宋体"/>
                <w:color w:val="auto"/>
                <w:highlight w:val="none"/>
                <w:lang w:eastAsia="zh-CN"/>
              </w:rPr>
            </w:pPr>
            <w:r>
              <w:rPr>
                <w:rFonts w:hint="eastAsia" w:ascii="宋体" w:hAnsi="宋体" w:eastAsia="宋体" w:cs="宋体"/>
                <w:color w:val="auto"/>
                <w:highlight w:val="none"/>
              </w:rPr>
              <w:t>招标人指定地点</w:t>
            </w:r>
          </w:p>
        </w:tc>
      </w:tr>
      <w:tr w14:paraId="34C050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36" w:type="dxa"/>
            <w:noWrap w:val="0"/>
            <w:vAlign w:val="center"/>
          </w:tcPr>
          <w:p w14:paraId="7E0DC8E1">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2151" w:type="dxa"/>
            <w:noWrap w:val="0"/>
            <w:vAlign w:val="center"/>
          </w:tcPr>
          <w:p w14:paraId="2238B592">
            <w:pPr>
              <w:rPr>
                <w:rFonts w:hint="eastAsia" w:ascii="宋体" w:hAnsi="宋体" w:eastAsia="宋体" w:cs="宋体"/>
                <w:color w:val="auto"/>
                <w:highlight w:val="none"/>
              </w:rPr>
            </w:pPr>
            <w:r>
              <w:rPr>
                <w:rFonts w:hint="eastAsia" w:ascii="宋体" w:hAnsi="宋体" w:eastAsia="宋体" w:cs="宋体"/>
                <w:color w:val="auto"/>
                <w:highlight w:val="none"/>
              </w:rPr>
              <w:t>招标人联系人及电话</w:t>
            </w:r>
          </w:p>
        </w:tc>
        <w:tc>
          <w:tcPr>
            <w:tcW w:w="6626" w:type="dxa"/>
            <w:noWrap w:val="0"/>
            <w:vAlign w:val="center"/>
          </w:tcPr>
          <w:p w14:paraId="7E7C8698">
            <w:pPr>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李传旭</w:t>
            </w:r>
          </w:p>
          <w:p w14:paraId="242BE9CD">
            <w:pPr>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18687820286</w:t>
            </w:r>
          </w:p>
        </w:tc>
      </w:tr>
      <w:tr w14:paraId="22CE99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36" w:type="dxa"/>
            <w:noWrap w:val="0"/>
            <w:vAlign w:val="center"/>
          </w:tcPr>
          <w:p w14:paraId="54D5B761">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2151" w:type="dxa"/>
            <w:noWrap w:val="0"/>
            <w:vAlign w:val="center"/>
          </w:tcPr>
          <w:p w14:paraId="03E19D85">
            <w:pPr>
              <w:rPr>
                <w:rFonts w:hint="eastAsia" w:ascii="宋体" w:hAnsi="宋体" w:eastAsia="宋体" w:cs="宋体"/>
                <w:color w:val="auto"/>
                <w:highlight w:val="none"/>
              </w:rPr>
            </w:pPr>
            <w:r>
              <w:rPr>
                <w:rFonts w:hint="eastAsia" w:ascii="宋体" w:hAnsi="宋体" w:eastAsia="宋体" w:cs="宋体"/>
                <w:color w:val="auto"/>
                <w:highlight w:val="none"/>
              </w:rPr>
              <w:t>代理机构联系人及电话</w:t>
            </w:r>
          </w:p>
        </w:tc>
        <w:tc>
          <w:tcPr>
            <w:tcW w:w="6626" w:type="dxa"/>
            <w:noWrap w:val="0"/>
            <w:vAlign w:val="center"/>
          </w:tcPr>
          <w:p w14:paraId="1437D5D0">
            <w:pPr>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曹思敏</w:t>
            </w:r>
            <w:r>
              <w:rPr>
                <w:rFonts w:hint="eastAsia" w:ascii="宋体" w:hAnsi="宋体" w:eastAsia="宋体" w:cs="宋体"/>
                <w:color w:val="auto"/>
                <w:highlight w:val="none"/>
              </w:rPr>
              <w:t xml:space="preserve">               </w:t>
            </w:r>
          </w:p>
          <w:p w14:paraId="5DC66B93">
            <w:pPr>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0550-3519516</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18712012204</w:t>
            </w:r>
          </w:p>
        </w:tc>
      </w:tr>
      <w:tr w14:paraId="238406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1036" w:type="dxa"/>
            <w:noWrap w:val="0"/>
            <w:vAlign w:val="center"/>
          </w:tcPr>
          <w:p w14:paraId="7735E3AE">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2151" w:type="dxa"/>
            <w:noWrap w:val="0"/>
            <w:vAlign w:val="center"/>
          </w:tcPr>
          <w:p w14:paraId="14779B8B">
            <w:pPr>
              <w:rPr>
                <w:rFonts w:hint="eastAsia" w:ascii="宋体" w:hAnsi="宋体" w:eastAsia="宋体" w:cs="宋体"/>
                <w:color w:val="auto"/>
                <w:highlight w:val="none"/>
              </w:rPr>
            </w:pPr>
            <w:r>
              <w:rPr>
                <w:rFonts w:hint="eastAsia" w:ascii="宋体" w:hAnsi="宋体" w:eastAsia="宋体" w:cs="宋体"/>
                <w:color w:val="auto"/>
                <w:highlight w:val="none"/>
              </w:rPr>
              <w:t xml:space="preserve">资金来源                                                                                                                                                                 </w:t>
            </w:r>
          </w:p>
        </w:tc>
        <w:tc>
          <w:tcPr>
            <w:tcW w:w="6626" w:type="dxa"/>
            <w:noWrap w:val="0"/>
            <w:vAlign w:val="center"/>
          </w:tcPr>
          <w:p w14:paraId="2875DB5D">
            <w:pPr>
              <w:rPr>
                <w:rFonts w:hint="eastAsia" w:ascii="宋体" w:hAnsi="宋体" w:eastAsia="宋体" w:cs="宋体"/>
                <w:color w:val="auto"/>
                <w:highlight w:val="none"/>
              </w:rPr>
            </w:pPr>
            <w:r>
              <w:rPr>
                <w:rFonts w:hint="eastAsia" w:ascii="宋体" w:hAnsi="宋体" w:eastAsia="宋体" w:cs="宋体"/>
                <w:color w:val="auto"/>
                <w:highlight w:val="none"/>
              </w:rPr>
              <w:t>自筹资金</w:t>
            </w:r>
          </w:p>
        </w:tc>
      </w:tr>
      <w:tr w14:paraId="3743C4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1036" w:type="dxa"/>
            <w:noWrap w:val="0"/>
            <w:vAlign w:val="center"/>
          </w:tcPr>
          <w:p w14:paraId="543E18FA">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2151" w:type="dxa"/>
            <w:noWrap w:val="0"/>
            <w:vAlign w:val="center"/>
          </w:tcPr>
          <w:p w14:paraId="29965AA3">
            <w:pPr>
              <w:rPr>
                <w:rFonts w:hint="eastAsia" w:ascii="宋体" w:hAnsi="宋体" w:eastAsia="宋体" w:cs="宋体"/>
                <w:color w:val="auto"/>
                <w:highlight w:val="none"/>
              </w:rPr>
            </w:pPr>
            <w:r>
              <w:rPr>
                <w:rFonts w:hint="eastAsia" w:ascii="宋体" w:hAnsi="宋体" w:eastAsia="宋体" w:cs="宋体"/>
                <w:color w:val="auto"/>
                <w:highlight w:val="none"/>
              </w:rPr>
              <w:t>采购预算</w:t>
            </w:r>
          </w:p>
        </w:tc>
        <w:tc>
          <w:tcPr>
            <w:tcW w:w="6626" w:type="dxa"/>
            <w:noWrap w:val="0"/>
            <w:vAlign w:val="center"/>
          </w:tcPr>
          <w:p w14:paraId="2936799B">
            <w:pPr>
              <w:rPr>
                <w:rFonts w:hint="eastAsia" w:ascii="宋体" w:hAnsi="宋体" w:eastAsia="宋体" w:cs="宋体"/>
                <w:color w:val="auto"/>
                <w:highlight w:val="none"/>
              </w:rPr>
            </w:pPr>
            <w:r>
              <w:rPr>
                <w:rFonts w:hint="eastAsia" w:ascii="宋体" w:hAnsi="宋体" w:eastAsia="宋体" w:cs="宋体"/>
                <w:color w:val="auto"/>
                <w:highlight w:val="none"/>
              </w:rPr>
              <w:t>详见第一章“招标公告”</w:t>
            </w:r>
          </w:p>
        </w:tc>
      </w:tr>
      <w:tr w14:paraId="744C01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5" w:hRule="atLeast"/>
          <w:jc w:val="center"/>
        </w:trPr>
        <w:tc>
          <w:tcPr>
            <w:tcW w:w="1036" w:type="dxa"/>
            <w:noWrap w:val="0"/>
            <w:vAlign w:val="center"/>
          </w:tcPr>
          <w:p w14:paraId="6886C04E">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151" w:type="dxa"/>
            <w:noWrap w:val="0"/>
            <w:vAlign w:val="center"/>
          </w:tcPr>
          <w:p w14:paraId="7E95F115">
            <w:pPr>
              <w:rPr>
                <w:rFonts w:hint="eastAsia" w:ascii="宋体" w:hAnsi="宋体" w:eastAsia="宋体" w:cs="宋体"/>
                <w:color w:val="auto"/>
                <w:highlight w:val="none"/>
              </w:rPr>
            </w:pPr>
            <w:r>
              <w:rPr>
                <w:rFonts w:hint="eastAsia" w:ascii="宋体" w:hAnsi="宋体" w:eastAsia="宋体" w:cs="宋体"/>
                <w:color w:val="auto"/>
                <w:highlight w:val="none"/>
              </w:rPr>
              <w:t>最高限价</w:t>
            </w:r>
          </w:p>
        </w:tc>
        <w:tc>
          <w:tcPr>
            <w:tcW w:w="6626" w:type="dxa"/>
            <w:noWrap w:val="0"/>
            <w:vAlign w:val="center"/>
          </w:tcPr>
          <w:p w14:paraId="6811D46A">
            <w:pPr>
              <w:rPr>
                <w:rFonts w:hint="eastAsia" w:ascii="宋体" w:hAnsi="宋体" w:eastAsia="宋体" w:cs="宋体"/>
                <w:color w:val="auto"/>
                <w:highlight w:val="none"/>
              </w:rPr>
            </w:pPr>
            <w:r>
              <w:rPr>
                <w:rFonts w:hint="eastAsia" w:ascii="宋体" w:hAnsi="宋体" w:eastAsia="宋体" w:cs="宋体"/>
                <w:color w:val="auto"/>
                <w:highlight w:val="none"/>
              </w:rPr>
              <w:t>本项目最高投标限价60万元/年，300万元/五年，投标人投标报价不得高于最高限价，高于最高限价的，其投标文件按无效投标处理。</w:t>
            </w:r>
          </w:p>
        </w:tc>
      </w:tr>
      <w:tr w14:paraId="197422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36" w:type="dxa"/>
            <w:noWrap w:val="0"/>
            <w:vAlign w:val="center"/>
          </w:tcPr>
          <w:p w14:paraId="2A2F4EF3">
            <w:pP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2151" w:type="dxa"/>
            <w:noWrap w:val="0"/>
            <w:vAlign w:val="center"/>
          </w:tcPr>
          <w:p w14:paraId="2B2BEADF">
            <w:pPr>
              <w:rPr>
                <w:rFonts w:hint="eastAsia" w:ascii="宋体" w:hAnsi="宋体" w:eastAsia="宋体" w:cs="宋体"/>
                <w:color w:val="auto"/>
                <w:highlight w:val="none"/>
              </w:rPr>
            </w:pPr>
            <w:r>
              <w:rPr>
                <w:rFonts w:hint="eastAsia" w:ascii="宋体" w:hAnsi="宋体" w:eastAsia="宋体" w:cs="宋体"/>
                <w:color w:val="auto"/>
                <w:highlight w:val="none"/>
              </w:rPr>
              <w:t>采购内容</w:t>
            </w:r>
          </w:p>
        </w:tc>
        <w:tc>
          <w:tcPr>
            <w:tcW w:w="6626" w:type="dxa"/>
            <w:noWrap w:val="0"/>
            <w:vAlign w:val="center"/>
          </w:tcPr>
          <w:p w14:paraId="74B214A4">
            <w:pPr>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eastAsia="zh-CN"/>
              </w:rPr>
              <w:t>采购需求</w:t>
            </w:r>
            <w:r>
              <w:rPr>
                <w:rFonts w:hint="eastAsia" w:ascii="宋体" w:hAnsi="宋体" w:eastAsia="宋体" w:cs="宋体"/>
                <w:color w:val="auto"/>
                <w:highlight w:val="none"/>
              </w:rPr>
              <w:t>》</w:t>
            </w:r>
          </w:p>
        </w:tc>
      </w:tr>
      <w:tr w14:paraId="322E89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36" w:type="dxa"/>
            <w:noWrap w:val="0"/>
            <w:vAlign w:val="center"/>
          </w:tcPr>
          <w:p w14:paraId="526361D6">
            <w:pP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2151" w:type="dxa"/>
            <w:noWrap w:val="0"/>
            <w:vAlign w:val="center"/>
          </w:tcPr>
          <w:p w14:paraId="4DE7E657">
            <w:pPr>
              <w:rPr>
                <w:rFonts w:hint="eastAsia" w:ascii="宋体" w:hAnsi="宋体" w:eastAsia="宋体" w:cs="宋体"/>
                <w:color w:val="auto"/>
                <w:highlight w:val="none"/>
              </w:rPr>
            </w:pPr>
            <w:r>
              <w:rPr>
                <w:rFonts w:hint="eastAsia" w:ascii="宋体" w:hAnsi="宋体" w:eastAsia="宋体" w:cs="宋体"/>
                <w:color w:val="auto"/>
                <w:highlight w:val="none"/>
              </w:rPr>
              <w:t>标段划分</w:t>
            </w:r>
          </w:p>
        </w:tc>
        <w:tc>
          <w:tcPr>
            <w:tcW w:w="6626" w:type="dxa"/>
            <w:noWrap w:val="0"/>
            <w:vAlign w:val="center"/>
          </w:tcPr>
          <w:p w14:paraId="35CE4EED">
            <w:pPr>
              <w:rPr>
                <w:rFonts w:hint="eastAsia" w:ascii="宋体" w:hAnsi="宋体" w:eastAsia="宋体" w:cs="宋体"/>
                <w:color w:val="auto"/>
                <w:highlight w:val="none"/>
              </w:rPr>
            </w:pPr>
            <w:r>
              <w:rPr>
                <w:rFonts w:hint="eastAsia" w:ascii="宋体" w:hAnsi="宋体" w:eastAsia="宋体" w:cs="宋体"/>
                <w:color w:val="auto"/>
                <w:highlight w:val="none"/>
              </w:rPr>
              <w:t>本项目划分为 1 个标段</w:t>
            </w:r>
          </w:p>
        </w:tc>
      </w:tr>
      <w:tr w14:paraId="7E62E3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36" w:type="dxa"/>
            <w:noWrap w:val="0"/>
            <w:vAlign w:val="center"/>
          </w:tcPr>
          <w:p w14:paraId="1AD95783">
            <w:pP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2151" w:type="dxa"/>
            <w:noWrap w:val="0"/>
            <w:vAlign w:val="center"/>
          </w:tcPr>
          <w:p w14:paraId="268E6179">
            <w:pPr>
              <w:rPr>
                <w:rFonts w:hint="eastAsia" w:ascii="宋体" w:hAnsi="宋体" w:eastAsia="宋体" w:cs="宋体"/>
                <w:color w:val="auto"/>
                <w:highlight w:val="none"/>
              </w:rPr>
            </w:pPr>
            <w:r>
              <w:rPr>
                <w:rFonts w:hint="eastAsia" w:ascii="宋体" w:hAnsi="宋体" w:eastAsia="宋体" w:cs="宋体"/>
                <w:color w:val="auto"/>
                <w:highlight w:val="none"/>
              </w:rPr>
              <w:t>招标方式</w:t>
            </w:r>
          </w:p>
        </w:tc>
        <w:tc>
          <w:tcPr>
            <w:tcW w:w="6626" w:type="dxa"/>
            <w:noWrap w:val="0"/>
            <w:vAlign w:val="center"/>
          </w:tcPr>
          <w:p w14:paraId="13DD6C0A">
            <w:pPr>
              <w:rPr>
                <w:rFonts w:hint="eastAsia" w:ascii="宋体" w:hAnsi="宋体" w:eastAsia="宋体" w:cs="宋体"/>
                <w:color w:val="auto"/>
                <w:highlight w:val="none"/>
              </w:rPr>
            </w:pPr>
            <w:r>
              <w:rPr>
                <w:rFonts w:hint="eastAsia" w:ascii="宋体" w:hAnsi="宋体" w:eastAsia="宋体" w:cs="宋体"/>
                <w:color w:val="auto"/>
                <w:highlight w:val="none"/>
              </w:rPr>
              <w:t>公开招标(本项目采用网上电子招投标)</w:t>
            </w:r>
          </w:p>
        </w:tc>
      </w:tr>
      <w:tr w14:paraId="6CD654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36" w:type="dxa"/>
            <w:noWrap w:val="0"/>
            <w:vAlign w:val="center"/>
          </w:tcPr>
          <w:p w14:paraId="01B1DD9D">
            <w:pPr>
              <w:rPr>
                <w:rFonts w:hint="eastAsia" w:ascii="宋体" w:hAnsi="宋体" w:eastAsia="宋体" w:cs="宋体"/>
                <w:color w:val="auto"/>
                <w:highlight w:val="none"/>
              </w:rPr>
            </w:pPr>
            <w:r>
              <w:rPr>
                <w:rFonts w:hint="eastAsia" w:ascii="宋体" w:hAnsi="宋体" w:eastAsia="宋体" w:cs="宋体"/>
                <w:color w:val="auto"/>
                <w:highlight w:val="none"/>
              </w:rPr>
              <w:t>7.2</w:t>
            </w:r>
          </w:p>
        </w:tc>
        <w:tc>
          <w:tcPr>
            <w:tcW w:w="2151" w:type="dxa"/>
            <w:noWrap w:val="0"/>
            <w:vAlign w:val="center"/>
          </w:tcPr>
          <w:p w14:paraId="5B761E07">
            <w:pPr>
              <w:rPr>
                <w:rFonts w:hint="eastAsia" w:ascii="宋体" w:hAnsi="宋体" w:eastAsia="宋体" w:cs="宋体"/>
                <w:color w:val="auto"/>
                <w:highlight w:val="none"/>
              </w:rPr>
            </w:pPr>
            <w:r>
              <w:rPr>
                <w:rFonts w:hint="eastAsia" w:ascii="宋体" w:hAnsi="宋体" w:eastAsia="宋体" w:cs="宋体"/>
                <w:color w:val="auto"/>
                <w:highlight w:val="none"/>
              </w:rPr>
              <w:t>投标人资格条件及其他要求</w:t>
            </w:r>
          </w:p>
        </w:tc>
        <w:tc>
          <w:tcPr>
            <w:tcW w:w="6626" w:type="dxa"/>
            <w:noWrap w:val="0"/>
            <w:vAlign w:val="center"/>
          </w:tcPr>
          <w:p w14:paraId="7F89022C">
            <w:pPr>
              <w:rPr>
                <w:rFonts w:hint="eastAsia" w:ascii="宋体" w:hAnsi="宋体" w:eastAsia="宋体" w:cs="宋体"/>
                <w:color w:val="auto"/>
                <w:highlight w:val="none"/>
              </w:rPr>
            </w:pPr>
            <w:r>
              <w:rPr>
                <w:rFonts w:hint="eastAsia" w:ascii="宋体" w:hAnsi="宋体" w:eastAsia="宋体" w:cs="宋体"/>
                <w:color w:val="auto"/>
                <w:highlight w:val="none"/>
              </w:rPr>
              <w:t>详见第一章“招标公告”</w:t>
            </w:r>
          </w:p>
        </w:tc>
      </w:tr>
      <w:tr w14:paraId="1FCC7F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17FD16BD">
            <w:pPr>
              <w:rPr>
                <w:rFonts w:hint="eastAsia" w:ascii="宋体" w:hAnsi="宋体" w:eastAsia="宋体" w:cs="宋体"/>
                <w:color w:val="auto"/>
                <w:highlight w:val="none"/>
              </w:rPr>
            </w:pPr>
            <w:r>
              <w:rPr>
                <w:rFonts w:hint="eastAsia" w:ascii="宋体" w:hAnsi="宋体" w:eastAsia="宋体" w:cs="宋体"/>
                <w:color w:val="auto"/>
                <w:highlight w:val="none"/>
              </w:rPr>
              <w:t>9.1</w:t>
            </w:r>
          </w:p>
        </w:tc>
        <w:tc>
          <w:tcPr>
            <w:tcW w:w="2151" w:type="dxa"/>
            <w:noWrap w:val="0"/>
            <w:vAlign w:val="center"/>
          </w:tcPr>
          <w:p w14:paraId="086EBE8D">
            <w:pPr>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6626" w:type="dxa"/>
            <w:noWrap w:val="0"/>
            <w:vAlign w:val="center"/>
          </w:tcPr>
          <w:p w14:paraId="059F8D18">
            <w:pPr>
              <w:rPr>
                <w:rFonts w:hint="eastAsia" w:ascii="宋体" w:hAnsi="宋体" w:eastAsia="宋体" w:cs="宋体"/>
                <w:color w:val="auto"/>
                <w:highlight w:val="none"/>
              </w:rPr>
            </w:pPr>
            <w:r>
              <w:rPr>
                <w:rFonts w:hint="eastAsia" w:ascii="宋体" w:hAnsi="宋体" w:eastAsia="宋体" w:cs="宋体"/>
                <w:color w:val="auto"/>
                <w:highlight w:val="none"/>
              </w:rPr>
              <w:t>不组织,投标人自行踏勘现场</w:t>
            </w:r>
          </w:p>
        </w:tc>
      </w:tr>
      <w:tr w14:paraId="2BBD46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48EE0DC6">
            <w:pP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2151" w:type="dxa"/>
            <w:noWrap w:val="0"/>
            <w:vAlign w:val="center"/>
          </w:tcPr>
          <w:p w14:paraId="064F9AF4">
            <w:pPr>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6626" w:type="dxa"/>
            <w:noWrap w:val="0"/>
            <w:vAlign w:val="center"/>
          </w:tcPr>
          <w:p w14:paraId="2A36B4BD">
            <w:pPr>
              <w:rPr>
                <w:rFonts w:hint="eastAsia" w:ascii="宋体" w:hAnsi="宋体" w:eastAsia="宋体" w:cs="宋体"/>
                <w:color w:val="auto"/>
                <w:highlight w:val="none"/>
              </w:rPr>
            </w:pPr>
            <w:r>
              <w:rPr>
                <w:rFonts w:hint="eastAsia" w:ascii="宋体" w:hAnsi="宋体" w:eastAsia="宋体" w:cs="宋体"/>
                <w:color w:val="auto"/>
                <w:highlight w:val="none"/>
              </w:rPr>
              <w:t>不召开</w:t>
            </w:r>
          </w:p>
        </w:tc>
      </w:tr>
      <w:tr w14:paraId="666B6A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36" w:type="dxa"/>
            <w:noWrap w:val="0"/>
            <w:vAlign w:val="center"/>
          </w:tcPr>
          <w:p w14:paraId="75B755DE">
            <w:pPr>
              <w:rPr>
                <w:rFonts w:hint="eastAsia" w:ascii="宋体" w:hAnsi="宋体" w:eastAsia="宋体" w:cs="宋体"/>
                <w:color w:val="auto"/>
                <w:highlight w:val="none"/>
              </w:rPr>
            </w:pPr>
            <w:r>
              <w:rPr>
                <w:rFonts w:hint="eastAsia" w:ascii="宋体" w:hAnsi="宋体" w:eastAsia="宋体" w:cs="宋体"/>
                <w:color w:val="auto"/>
                <w:highlight w:val="none"/>
              </w:rPr>
              <w:t>11.1</w:t>
            </w:r>
          </w:p>
        </w:tc>
        <w:tc>
          <w:tcPr>
            <w:tcW w:w="2151" w:type="dxa"/>
            <w:noWrap w:val="0"/>
            <w:vAlign w:val="center"/>
          </w:tcPr>
          <w:p w14:paraId="7A8F9833">
            <w:pPr>
              <w:rPr>
                <w:rFonts w:hint="eastAsia" w:ascii="宋体" w:hAnsi="宋体" w:eastAsia="宋体" w:cs="宋体"/>
                <w:color w:val="auto"/>
                <w:highlight w:val="none"/>
              </w:rPr>
            </w:pPr>
            <w:r>
              <w:rPr>
                <w:rFonts w:hint="eastAsia" w:ascii="宋体" w:hAnsi="宋体" w:eastAsia="宋体" w:cs="宋体"/>
                <w:color w:val="auto"/>
                <w:highlight w:val="none"/>
              </w:rPr>
              <w:t>联合体投标</w:t>
            </w:r>
          </w:p>
        </w:tc>
        <w:tc>
          <w:tcPr>
            <w:tcW w:w="6626" w:type="dxa"/>
            <w:noWrap w:val="0"/>
            <w:vAlign w:val="center"/>
          </w:tcPr>
          <w:p w14:paraId="34594162">
            <w:pPr>
              <w:rPr>
                <w:rFonts w:hint="eastAsia" w:ascii="宋体" w:hAnsi="宋体" w:eastAsia="宋体" w:cs="宋体"/>
                <w:color w:val="auto"/>
                <w:highlight w:val="none"/>
              </w:rPr>
            </w:pPr>
            <w:r>
              <w:rPr>
                <w:rFonts w:hint="eastAsia" w:ascii="宋体" w:hAnsi="宋体" w:eastAsia="宋体" w:cs="宋体"/>
                <w:color w:val="auto"/>
                <w:highlight w:val="none"/>
              </w:rPr>
              <w:t xml:space="preserve">本次招标不接受联合体投标。 </w:t>
            </w:r>
          </w:p>
        </w:tc>
      </w:tr>
      <w:tr w14:paraId="58638C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36" w:type="dxa"/>
            <w:noWrap w:val="0"/>
            <w:vAlign w:val="center"/>
          </w:tcPr>
          <w:p w14:paraId="5795EDD1">
            <w:pP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2151" w:type="dxa"/>
            <w:noWrap w:val="0"/>
            <w:vAlign w:val="center"/>
          </w:tcPr>
          <w:p w14:paraId="2B2FD0C3">
            <w:pP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6626" w:type="dxa"/>
            <w:noWrap w:val="0"/>
            <w:vAlign w:val="center"/>
          </w:tcPr>
          <w:p w14:paraId="515F7BAB">
            <w:pPr>
              <w:rPr>
                <w:rFonts w:hint="eastAsia" w:ascii="宋体" w:hAnsi="宋体" w:eastAsia="宋体" w:cs="宋体"/>
                <w:color w:val="auto"/>
                <w:highlight w:val="none"/>
              </w:rPr>
            </w:pPr>
            <w:r>
              <w:rPr>
                <w:rFonts w:hint="eastAsia" w:ascii="宋体" w:hAnsi="宋体" w:eastAsia="宋体" w:cs="宋体"/>
                <w:color w:val="auto"/>
                <w:highlight w:val="none"/>
              </w:rPr>
              <w:t>代理服务费具体金额</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31000</w:t>
            </w:r>
            <w:r>
              <w:rPr>
                <w:rFonts w:hint="eastAsia" w:ascii="宋体" w:hAnsi="宋体" w:eastAsia="宋体" w:cs="宋体"/>
                <w:color w:val="auto"/>
                <w:highlight w:val="none"/>
              </w:rPr>
              <w:t>元；</w:t>
            </w:r>
          </w:p>
          <w:p w14:paraId="4441708F">
            <w:pPr>
              <w:rPr>
                <w:rFonts w:hint="eastAsia" w:ascii="宋体" w:hAnsi="宋体" w:eastAsia="宋体" w:cs="宋体"/>
                <w:color w:val="auto"/>
                <w:highlight w:val="none"/>
              </w:rPr>
            </w:pPr>
            <w:r>
              <w:rPr>
                <w:rFonts w:hint="eastAsia" w:ascii="宋体" w:hAnsi="宋体" w:eastAsia="宋体" w:cs="宋体"/>
                <w:color w:val="auto"/>
                <w:highlight w:val="none"/>
              </w:rPr>
              <w:t>代理服务费支付主体：中标单位，中标单位在获取中标通知书时一次性支付给代理机构</w:t>
            </w:r>
          </w:p>
        </w:tc>
      </w:tr>
      <w:tr w14:paraId="2D90E4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36" w:type="dxa"/>
            <w:noWrap w:val="0"/>
            <w:vAlign w:val="center"/>
          </w:tcPr>
          <w:p w14:paraId="13B15936">
            <w:pP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2151" w:type="dxa"/>
            <w:noWrap w:val="0"/>
            <w:vAlign w:val="center"/>
          </w:tcPr>
          <w:p w14:paraId="2ABF1927">
            <w:pPr>
              <w:rPr>
                <w:rFonts w:hint="eastAsia" w:ascii="宋体" w:hAnsi="宋体" w:eastAsia="宋体" w:cs="宋体"/>
                <w:color w:val="auto"/>
                <w:highlight w:val="none"/>
              </w:rPr>
            </w:pPr>
            <w:r>
              <w:rPr>
                <w:rFonts w:hint="eastAsia" w:ascii="宋体" w:hAnsi="宋体" w:eastAsia="宋体" w:cs="宋体"/>
                <w:color w:val="auto"/>
                <w:highlight w:val="none"/>
              </w:rPr>
              <w:t>专家评审劳务费</w:t>
            </w:r>
          </w:p>
        </w:tc>
        <w:tc>
          <w:tcPr>
            <w:tcW w:w="6626" w:type="dxa"/>
            <w:noWrap w:val="0"/>
            <w:vAlign w:val="center"/>
          </w:tcPr>
          <w:p w14:paraId="177BFF5E">
            <w:pPr>
              <w:rPr>
                <w:rFonts w:hint="eastAsia" w:ascii="宋体" w:hAnsi="宋体" w:eastAsia="宋体" w:cs="宋体"/>
                <w:color w:val="auto"/>
                <w:highlight w:val="none"/>
              </w:rPr>
            </w:pPr>
            <w:r>
              <w:rPr>
                <w:rFonts w:hint="eastAsia" w:ascii="宋体" w:hAnsi="宋体" w:eastAsia="宋体" w:cs="宋体"/>
                <w:color w:val="auto"/>
                <w:highlight w:val="none"/>
              </w:rPr>
              <w:t>费用或支付标准：按实结算；</w:t>
            </w:r>
          </w:p>
          <w:p w14:paraId="5462F0D7">
            <w:pPr>
              <w:rPr>
                <w:rFonts w:hint="eastAsia" w:ascii="宋体" w:hAnsi="宋体" w:eastAsia="宋体" w:cs="宋体"/>
                <w:color w:val="auto"/>
                <w:highlight w:val="none"/>
              </w:rPr>
            </w:pPr>
            <w:r>
              <w:rPr>
                <w:rFonts w:hint="eastAsia" w:ascii="宋体" w:hAnsi="宋体" w:eastAsia="宋体" w:cs="宋体"/>
                <w:color w:val="auto"/>
                <w:highlight w:val="none"/>
              </w:rPr>
              <w:t>支付主体：招标代理机构。</w:t>
            </w:r>
          </w:p>
        </w:tc>
      </w:tr>
      <w:tr w14:paraId="1CF95D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2390FE8A">
            <w:pPr>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2151" w:type="dxa"/>
            <w:noWrap w:val="0"/>
            <w:vAlign w:val="center"/>
          </w:tcPr>
          <w:p w14:paraId="180E9225">
            <w:pPr>
              <w:rPr>
                <w:rFonts w:hint="eastAsia" w:ascii="宋体" w:hAnsi="宋体" w:eastAsia="宋体" w:cs="宋体"/>
                <w:color w:val="auto"/>
                <w:highlight w:val="none"/>
              </w:rPr>
            </w:pPr>
            <w:r>
              <w:rPr>
                <w:rFonts w:hint="eastAsia" w:ascii="宋体" w:hAnsi="宋体" w:eastAsia="宋体" w:cs="宋体"/>
                <w:color w:val="auto"/>
                <w:highlight w:val="none"/>
              </w:rPr>
              <w:t>投标人提出异议的截止时间及方式</w:t>
            </w:r>
          </w:p>
        </w:tc>
        <w:tc>
          <w:tcPr>
            <w:tcW w:w="6626" w:type="dxa"/>
            <w:noWrap w:val="0"/>
            <w:vAlign w:val="center"/>
          </w:tcPr>
          <w:p w14:paraId="7D4DCCB1">
            <w:pPr>
              <w:rPr>
                <w:rFonts w:hint="eastAsia" w:ascii="宋体" w:hAnsi="宋体" w:eastAsia="宋体" w:cs="宋体"/>
                <w:color w:val="auto"/>
                <w:highlight w:val="none"/>
              </w:rPr>
            </w:pPr>
            <w:r>
              <w:rPr>
                <w:rFonts w:hint="eastAsia" w:ascii="宋体" w:hAnsi="宋体" w:eastAsia="宋体" w:cs="宋体"/>
                <w:color w:val="auto"/>
                <w:highlight w:val="none"/>
              </w:rPr>
              <w:t>如投标人对招标文件有异议，请于202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日8时（投标截止10日）前在滁州市公共资源交易中心网电子交易系统中进行异议，具体操作步骤和程序请参见服务指南&gt;交易须知&gt;在线异议、质疑和投诉操作手册。</w:t>
            </w:r>
          </w:p>
        </w:tc>
      </w:tr>
      <w:tr w14:paraId="09B234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2EF9CC33">
            <w:pPr>
              <w:rPr>
                <w:rFonts w:hint="eastAsia" w:ascii="宋体" w:hAnsi="宋体" w:eastAsia="宋体" w:cs="宋体"/>
                <w:color w:val="auto"/>
                <w:highlight w:val="none"/>
              </w:rPr>
            </w:pPr>
            <w:r>
              <w:rPr>
                <w:rFonts w:hint="eastAsia" w:ascii="宋体" w:hAnsi="宋体" w:eastAsia="宋体" w:cs="宋体"/>
                <w:color w:val="auto"/>
                <w:highlight w:val="none"/>
              </w:rPr>
              <w:t>17.2</w:t>
            </w:r>
          </w:p>
        </w:tc>
        <w:tc>
          <w:tcPr>
            <w:tcW w:w="2151" w:type="dxa"/>
            <w:noWrap w:val="0"/>
            <w:vAlign w:val="center"/>
          </w:tcPr>
          <w:p w14:paraId="722789B4">
            <w:pPr>
              <w:rPr>
                <w:rFonts w:hint="eastAsia" w:ascii="宋体" w:hAnsi="宋体" w:eastAsia="宋体" w:cs="宋体"/>
                <w:color w:val="auto"/>
                <w:highlight w:val="none"/>
              </w:rPr>
            </w:pPr>
            <w:r>
              <w:rPr>
                <w:rFonts w:hint="eastAsia" w:ascii="宋体" w:hAnsi="宋体" w:eastAsia="宋体" w:cs="宋体"/>
                <w:color w:val="auto"/>
                <w:highlight w:val="none"/>
              </w:rPr>
              <w:t>招标人澄清的时间及方式</w:t>
            </w:r>
          </w:p>
        </w:tc>
        <w:tc>
          <w:tcPr>
            <w:tcW w:w="6626" w:type="dxa"/>
            <w:noWrap w:val="0"/>
            <w:vAlign w:val="center"/>
          </w:tcPr>
          <w:p w14:paraId="2C604DE7">
            <w:pPr>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日17时前在滁州市公共资源交易中心网站 “答疑澄清文件”栏目予以公告。</w:t>
            </w:r>
          </w:p>
        </w:tc>
      </w:tr>
      <w:tr w14:paraId="351C2F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6B54017B">
            <w:pP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2151" w:type="dxa"/>
            <w:noWrap w:val="0"/>
            <w:vAlign w:val="center"/>
          </w:tcPr>
          <w:p w14:paraId="37439540">
            <w:pP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626" w:type="dxa"/>
            <w:noWrap w:val="0"/>
            <w:vAlign w:val="center"/>
          </w:tcPr>
          <w:p w14:paraId="29EB55AB">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自投标人递交投标文件截止之日起计算90日历天。在此期限内，凡符合本招标文件要求的投标文件均保持有效。</w:t>
            </w:r>
          </w:p>
        </w:tc>
      </w:tr>
      <w:tr w14:paraId="51B393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atLeast"/>
          <w:jc w:val="center"/>
        </w:trPr>
        <w:tc>
          <w:tcPr>
            <w:tcW w:w="1036" w:type="dxa"/>
            <w:noWrap w:val="0"/>
            <w:vAlign w:val="center"/>
          </w:tcPr>
          <w:p w14:paraId="464EA0D2">
            <w:pP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2151" w:type="dxa"/>
            <w:noWrap w:val="0"/>
            <w:vAlign w:val="center"/>
          </w:tcPr>
          <w:p w14:paraId="215D7B5E">
            <w:pPr>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6626" w:type="dxa"/>
            <w:noWrap w:val="0"/>
            <w:vAlign w:val="center"/>
          </w:tcPr>
          <w:p w14:paraId="6614DB8D">
            <w:pPr>
              <w:rPr>
                <w:rFonts w:hint="eastAsia" w:ascii="宋体" w:hAnsi="宋体" w:eastAsia="宋体" w:cs="宋体"/>
                <w:color w:val="auto"/>
                <w:highlight w:val="none"/>
              </w:rPr>
            </w:pPr>
            <w:r>
              <w:rPr>
                <w:rFonts w:hint="eastAsia" w:ascii="宋体" w:hAnsi="宋体" w:eastAsia="宋体" w:cs="宋体"/>
                <w:color w:val="auto"/>
                <w:highlight w:val="none"/>
              </w:rPr>
              <w:t>详见第一章“招标公告”</w:t>
            </w:r>
          </w:p>
        </w:tc>
      </w:tr>
      <w:tr w14:paraId="403074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36" w:type="dxa"/>
            <w:noWrap w:val="0"/>
            <w:vAlign w:val="center"/>
          </w:tcPr>
          <w:p w14:paraId="5D44596E">
            <w:pPr>
              <w:rPr>
                <w:rFonts w:hint="eastAsia" w:ascii="宋体" w:hAnsi="宋体" w:eastAsia="宋体" w:cs="宋体"/>
                <w:color w:val="auto"/>
                <w:highlight w:val="none"/>
              </w:rPr>
            </w:pPr>
            <w:r>
              <w:rPr>
                <w:rFonts w:hint="eastAsia" w:ascii="宋体" w:hAnsi="宋体" w:eastAsia="宋体" w:cs="宋体"/>
                <w:color w:val="auto"/>
                <w:highlight w:val="none"/>
              </w:rPr>
              <w:t>25.1</w:t>
            </w:r>
          </w:p>
        </w:tc>
        <w:tc>
          <w:tcPr>
            <w:tcW w:w="2151" w:type="dxa"/>
            <w:noWrap w:val="0"/>
            <w:vAlign w:val="center"/>
          </w:tcPr>
          <w:p w14:paraId="2AD360E1">
            <w:pP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6626" w:type="dxa"/>
            <w:noWrap w:val="0"/>
            <w:vAlign w:val="center"/>
          </w:tcPr>
          <w:p w14:paraId="357683CC">
            <w:pPr>
              <w:rPr>
                <w:rFonts w:hint="eastAsia" w:ascii="宋体" w:hAnsi="宋体" w:eastAsia="宋体" w:cs="宋体"/>
                <w:color w:val="auto"/>
                <w:highlight w:val="none"/>
              </w:rPr>
            </w:pPr>
            <w:r>
              <w:rPr>
                <w:rFonts w:hint="eastAsia" w:ascii="宋体" w:hAnsi="宋体" w:eastAsia="宋体" w:cs="宋体"/>
                <w:color w:val="auto"/>
                <w:highlight w:val="none"/>
              </w:rPr>
              <w:t>加密电子投标文件应在投标截止时间前通过交易中心电子交易系统上传。</w:t>
            </w:r>
          </w:p>
          <w:p w14:paraId="383687D2">
            <w:pPr>
              <w:rPr>
                <w:rFonts w:hint="eastAsia" w:ascii="宋体" w:hAnsi="宋体" w:eastAsia="宋体" w:cs="宋体"/>
                <w:color w:val="auto"/>
                <w:highlight w:val="none"/>
              </w:rPr>
            </w:pPr>
            <w:r>
              <w:rPr>
                <w:rFonts w:hint="eastAsia" w:ascii="宋体" w:hAnsi="宋体" w:eastAsia="宋体" w:cs="宋体"/>
                <w:color w:val="auto"/>
                <w:highlight w:val="none"/>
              </w:rPr>
              <w:t>（投标人中标后须递交与网上电子投标文件完全一致的纸质版投标文件，并按要求加盖单位章；份数：正本1份，副本2份；中标单位领取中标通知书时，一并递交给代理机构）</w:t>
            </w:r>
          </w:p>
        </w:tc>
      </w:tr>
      <w:tr w14:paraId="777B09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657EA491">
            <w:pPr>
              <w:rPr>
                <w:rFonts w:hint="eastAsia" w:ascii="宋体" w:hAnsi="宋体" w:eastAsia="宋体" w:cs="宋体"/>
                <w:color w:val="auto"/>
                <w:highlight w:val="none"/>
              </w:rPr>
            </w:pPr>
            <w:r>
              <w:rPr>
                <w:rFonts w:hint="eastAsia" w:ascii="宋体" w:hAnsi="宋体" w:eastAsia="宋体" w:cs="宋体"/>
                <w:color w:val="auto"/>
                <w:highlight w:val="none"/>
              </w:rPr>
              <w:t>26.1</w:t>
            </w:r>
          </w:p>
        </w:tc>
        <w:tc>
          <w:tcPr>
            <w:tcW w:w="2151" w:type="dxa"/>
            <w:noWrap w:val="0"/>
            <w:vAlign w:val="center"/>
          </w:tcPr>
          <w:p w14:paraId="317C7D8C">
            <w:pPr>
              <w:rPr>
                <w:rFonts w:hint="eastAsia" w:ascii="宋体" w:hAnsi="宋体" w:eastAsia="宋体" w:cs="宋体"/>
                <w:color w:val="auto"/>
                <w:highlight w:val="none"/>
              </w:rPr>
            </w:pPr>
            <w:r>
              <w:rPr>
                <w:rFonts w:hint="eastAsia" w:ascii="宋体" w:hAnsi="宋体" w:eastAsia="宋体" w:cs="宋体"/>
                <w:color w:val="auto"/>
                <w:highlight w:val="none"/>
              </w:rPr>
              <w:t>投标文件提交截止时间</w:t>
            </w:r>
          </w:p>
        </w:tc>
        <w:tc>
          <w:tcPr>
            <w:tcW w:w="6626" w:type="dxa"/>
            <w:noWrap w:val="0"/>
            <w:vAlign w:val="center"/>
          </w:tcPr>
          <w:p w14:paraId="51486862">
            <w:pPr>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网上递交投标文件截止时间：</w:t>
            </w:r>
            <w:r>
              <w:rPr>
                <w:rFonts w:hint="eastAsia" w:ascii="宋体" w:hAnsi="宋体" w:eastAsia="宋体" w:cs="宋体"/>
                <w:b/>
                <w:bCs/>
                <w:color w:val="auto"/>
                <w:highlight w:val="none"/>
                <w:lang w:eastAsia="zh-CN"/>
              </w:rPr>
              <w:t>2025年9月</w:t>
            </w:r>
            <w:r>
              <w:rPr>
                <w:rFonts w:hint="eastAsia" w:ascii="宋体" w:hAnsi="宋体" w:eastAsia="宋体" w:cs="宋体"/>
                <w:b/>
                <w:bCs/>
                <w:color w:val="auto"/>
                <w:highlight w:val="none"/>
                <w:lang w:val="en-US" w:eastAsia="zh-CN"/>
              </w:rPr>
              <w:t>26</w:t>
            </w:r>
            <w:r>
              <w:rPr>
                <w:rFonts w:hint="eastAsia" w:ascii="宋体" w:hAnsi="宋体" w:eastAsia="宋体" w:cs="宋体"/>
                <w:b/>
                <w:bCs/>
                <w:color w:val="auto"/>
                <w:highlight w:val="none"/>
                <w:lang w:eastAsia="zh-CN"/>
              </w:rPr>
              <w:t>日</w:t>
            </w:r>
            <w:r>
              <w:rPr>
                <w:rFonts w:hint="eastAsia" w:ascii="宋体" w:hAnsi="宋体" w:eastAsia="宋体" w:cs="宋体"/>
                <w:b/>
                <w:bCs/>
                <w:color w:val="auto"/>
                <w:highlight w:val="none"/>
              </w:rPr>
              <w:t>8点00分（北京时间）</w:t>
            </w:r>
          </w:p>
          <w:p w14:paraId="20392D4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注：以投标人在投标截止时间前网上递交的电子投标文件为准，逾期提交的，投标文件将被拒绝。</w:t>
            </w:r>
          </w:p>
        </w:tc>
      </w:tr>
      <w:tr w14:paraId="149283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36" w:type="dxa"/>
            <w:noWrap w:val="0"/>
            <w:vAlign w:val="center"/>
          </w:tcPr>
          <w:p w14:paraId="7C2D4788">
            <w:pPr>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2151" w:type="dxa"/>
            <w:noWrap w:val="0"/>
            <w:vAlign w:val="center"/>
          </w:tcPr>
          <w:p w14:paraId="265C529C">
            <w:pPr>
              <w:rPr>
                <w:rFonts w:hint="eastAsia" w:ascii="宋体" w:hAnsi="宋体" w:eastAsia="宋体" w:cs="宋体"/>
                <w:color w:val="auto"/>
                <w:highlight w:val="none"/>
              </w:rPr>
            </w:pPr>
            <w:r>
              <w:rPr>
                <w:rFonts w:hint="eastAsia" w:ascii="宋体" w:hAnsi="宋体" w:eastAsia="宋体" w:cs="宋体"/>
                <w:color w:val="auto"/>
                <w:highlight w:val="none"/>
              </w:rPr>
              <w:t>是否退还投标文件</w:t>
            </w:r>
          </w:p>
        </w:tc>
        <w:tc>
          <w:tcPr>
            <w:tcW w:w="6626" w:type="dxa"/>
            <w:noWrap w:val="0"/>
            <w:vAlign w:val="center"/>
          </w:tcPr>
          <w:p w14:paraId="4FB88F13">
            <w:pPr>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5BDE54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367F508E">
            <w:pPr>
              <w:rPr>
                <w:rFonts w:hint="eastAsia" w:ascii="宋体" w:hAnsi="宋体" w:eastAsia="宋体" w:cs="宋体"/>
                <w:color w:val="auto"/>
                <w:highlight w:val="none"/>
              </w:rPr>
            </w:pPr>
            <w:r>
              <w:rPr>
                <w:rFonts w:hint="eastAsia" w:ascii="宋体" w:hAnsi="宋体" w:eastAsia="宋体" w:cs="宋体"/>
                <w:color w:val="auto"/>
                <w:highlight w:val="none"/>
              </w:rPr>
              <w:t>29.1</w:t>
            </w:r>
          </w:p>
        </w:tc>
        <w:tc>
          <w:tcPr>
            <w:tcW w:w="2151" w:type="dxa"/>
            <w:noWrap w:val="0"/>
            <w:vAlign w:val="center"/>
          </w:tcPr>
          <w:p w14:paraId="4AAC3FE9">
            <w:pPr>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6626" w:type="dxa"/>
            <w:noWrap w:val="0"/>
            <w:vAlign w:val="center"/>
          </w:tcPr>
          <w:p w14:paraId="380429C1">
            <w:pPr>
              <w:rPr>
                <w:rFonts w:hint="eastAsia" w:ascii="宋体" w:hAnsi="宋体" w:eastAsia="宋体" w:cs="宋体"/>
                <w:color w:val="auto"/>
                <w:highlight w:val="none"/>
              </w:rPr>
            </w:pPr>
            <w:r>
              <w:rPr>
                <w:rFonts w:hint="eastAsia" w:ascii="宋体" w:hAnsi="宋体" w:eastAsia="宋体" w:cs="宋体"/>
                <w:color w:val="auto"/>
                <w:highlight w:val="none"/>
              </w:rPr>
              <w:t>开标时间：同投标截止时间</w:t>
            </w:r>
          </w:p>
          <w:p w14:paraId="1355F244">
            <w:pPr>
              <w:rPr>
                <w:rFonts w:hint="eastAsia" w:ascii="宋体" w:hAnsi="宋体" w:eastAsia="宋体" w:cs="宋体"/>
                <w:color w:val="auto"/>
                <w:highlight w:val="none"/>
              </w:rPr>
            </w:pPr>
            <w:r>
              <w:rPr>
                <w:rFonts w:hint="eastAsia" w:ascii="宋体" w:hAnsi="宋体" w:eastAsia="宋体" w:cs="宋体"/>
                <w:color w:val="auto"/>
                <w:highlight w:val="none"/>
              </w:rPr>
              <w:t>开标地点：详见第一章“招标公告”</w:t>
            </w:r>
          </w:p>
        </w:tc>
      </w:tr>
      <w:tr w14:paraId="3E1995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73F77824">
            <w:pPr>
              <w:rPr>
                <w:rFonts w:hint="eastAsia" w:ascii="宋体" w:hAnsi="宋体" w:eastAsia="宋体" w:cs="宋体"/>
                <w:color w:val="auto"/>
                <w:highlight w:val="none"/>
              </w:rPr>
            </w:pPr>
            <w:r>
              <w:rPr>
                <w:rFonts w:hint="eastAsia" w:ascii="宋体" w:hAnsi="宋体" w:eastAsia="宋体" w:cs="宋体"/>
                <w:color w:val="auto"/>
                <w:highlight w:val="none"/>
              </w:rPr>
              <w:t>29.3</w:t>
            </w:r>
          </w:p>
        </w:tc>
        <w:tc>
          <w:tcPr>
            <w:tcW w:w="2151" w:type="dxa"/>
            <w:noWrap w:val="0"/>
            <w:vAlign w:val="center"/>
          </w:tcPr>
          <w:p w14:paraId="6816A5CB">
            <w:pPr>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6626" w:type="dxa"/>
            <w:noWrap w:val="0"/>
            <w:vAlign w:val="center"/>
          </w:tcPr>
          <w:p w14:paraId="58FE6DE5">
            <w:pPr>
              <w:rPr>
                <w:rFonts w:hint="eastAsia" w:ascii="宋体" w:hAnsi="宋体" w:eastAsia="宋体" w:cs="宋体"/>
                <w:color w:val="auto"/>
                <w:highlight w:val="none"/>
              </w:rPr>
            </w:pPr>
            <w:r>
              <w:rPr>
                <w:rFonts w:hint="eastAsia" w:ascii="宋体" w:hAnsi="宋体" w:eastAsia="宋体" w:cs="宋体"/>
                <w:color w:val="auto"/>
                <w:highlight w:val="none"/>
              </w:rPr>
              <w:t>（1）解密时间：解密程序开始后60分钟内（以电子交易系统解密倒计时为准），解密时间为</w:t>
            </w:r>
            <w:r>
              <w:rPr>
                <w:rFonts w:hint="eastAsia" w:ascii="宋体" w:hAnsi="宋体" w:eastAsia="宋体" w:cs="宋体"/>
                <w:color w:val="auto"/>
                <w:highlight w:val="none"/>
                <w:lang w:eastAsia="zh-CN"/>
              </w:rPr>
              <w:t>2025年9月</w:t>
            </w: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lang w:eastAsia="zh-CN"/>
              </w:rPr>
              <w:t>日</w:t>
            </w:r>
            <w:r>
              <w:rPr>
                <w:rFonts w:hint="eastAsia" w:ascii="宋体" w:hAnsi="宋体" w:eastAsia="宋体" w:cs="宋体"/>
                <w:color w:val="auto"/>
                <w:highlight w:val="none"/>
              </w:rPr>
              <w:t>8时00分至</w:t>
            </w:r>
            <w:r>
              <w:rPr>
                <w:rFonts w:hint="eastAsia" w:ascii="宋体" w:hAnsi="宋体" w:eastAsia="宋体" w:cs="宋体"/>
                <w:color w:val="auto"/>
                <w:highlight w:val="none"/>
                <w:lang w:eastAsia="zh-CN"/>
              </w:rPr>
              <w:t>2025年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日9时00分。</w:t>
            </w:r>
          </w:p>
          <w:p w14:paraId="7D10952B">
            <w:pPr>
              <w:rPr>
                <w:rFonts w:hint="eastAsia" w:ascii="宋体" w:hAnsi="宋体" w:eastAsia="宋体" w:cs="宋体"/>
                <w:color w:val="auto"/>
                <w:highlight w:val="none"/>
              </w:rPr>
            </w:pPr>
            <w:r>
              <w:rPr>
                <w:rFonts w:hint="eastAsia" w:ascii="宋体" w:hAnsi="宋体" w:eastAsia="宋体" w:cs="宋体"/>
                <w:color w:val="auto"/>
                <w:highlight w:val="none"/>
              </w:rPr>
              <w:t>（2）开标顺序：解密电子投标文件后，由评标委员会评审。</w:t>
            </w:r>
          </w:p>
        </w:tc>
      </w:tr>
      <w:tr w14:paraId="12C3CB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36" w:type="dxa"/>
            <w:noWrap w:val="0"/>
            <w:vAlign w:val="center"/>
          </w:tcPr>
          <w:p w14:paraId="7019EC04">
            <w:pPr>
              <w:rPr>
                <w:rFonts w:hint="eastAsia" w:ascii="宋体" w:hAnsi="宋体" w:eastAsia="宋体" w:cs="宋体"/>
                <w:color w:val="auto"/>
                <w:highlight w:val="none"/>
              </w:rPr>
            </w:pPr>
            <w:r>
              <w:rPr>
                <w:rFonts w:hint="eastAsia" w:ascii="宋体" w:hAnsi="宋体" w:eastAsia="宋体" w:cs="宋体"/>
                <w:color w:val="auto"/>
                <w:highlight w:val="none"/>
              </w:rPr>
              <w:t>30.1</w:t>
            </w:r>
          </w:p>
        </w:tc>
        <w:tc>
          <w:tcPr>
            <w:tcW w:w="2151" w:type="dxa"/>
            <w:noWrap w:val="0"/>
            <w:vAlign w:val="center"/>
          </w:tcPr>
          <w:p w14:paraId="112FD8B6">
            <w:pPr>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6626" w:type="dxa"/>
            <w:noWrap w:val="0"/>
            <w:vAlign w:val="top"/>
          </w:tcPr>
          <w:p w14:paraId="08CD9E1F">
            <w:pPr>
              <w:rPr>
                <w:rFonts w:hint="eastAsia" w:ascii="宋体" w:hAnsi="宋体" w:eastAsia="宋体" w:cs="宋体"/>
                <w:color w:val="auto"/>
                <w:highlight w:val="none"/>
              </w:rPr>
            </w:pPr>
            <w:r>
              <w:rPr>
                <w:rFonts w:hint="eastAsia" w:ascii="宋体" w:hAnsi="宋体" w:eastAsia="宋体" w:cs="宋体"/>
                <w:color w:val="auto"/>
                <w:highlight w:val="none"/>
              </w:rPr>
              <w:t>评标委员会构成：</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人，其中招标人代表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人，评标专家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人。</w:t>
            </w:r>
          </w:p>
          <w:p w14:paraId="77E0FC07">
            <w:pPr>
              <w:rPr>
                <w:rFonts w:hint="eastAsia" w:ascii="宋体" w:hAnsi="宋体" w:eastAsia="宋体" w:cs="宋体"/>
                <w:color w:val="auto"/>
                <w:highlight w:val="none"/>
              </w:rPr>
            </w:pPr>
            <w:r>
              <w:rPr>
                <w:rFonts w:hint="eastAsia" w:ascii="宋体" w:hAnsi="宋体" w:eastAsia="宋体" w:cs="宋体"/>
                <w:color w:val="auto"/>
                <w:highlight w:val="none"/>
              </w:rPr>
              <w:t>评标专家确定方式：评标专家由招标人在开标前从专家库中随机抽取。</w:t>
            </w:r>
          </w:p>
        </w:tc>
      </w:tr>
      <w:tr w14:paraId="391612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36" w:type="dxa"/>
            <w:noWrap w:val="0"/>
            <w:vAlign w:val="center"/>
          </w:tcPr>
          <w:p w14:paraId="0510A429">
            <w:pPr>
              <w:rPr>
                <w:rFonts w:hint="eastAsia" w:ascii="宋体" w:hAnsi="宋体" w:eastAsia="宋体" w:cs="宋体"/>
                <w:color w:val="auto"/>
                <w:highlight w:val="none"/>
              </w:rPr>
            </w:pPr>
            <w:r>
              <w:rPr>
                <w:rFonts w:hint="eastAsia" w:ascii="宋体" w:hAnsi="宋体" w:eastAsia="宋体" w:cs="宋体"/>
                <w:color w:val="auto"/>
                <w:highlight w:val="none"/>
              </w:rPr>
              <w:t>32.1.1</w:t>
            </w:r>
          </w:p>
        </w:tc>
        <w:tc>
          <w:tcPr>
            <w:tcW w:w="2151" w:type="dxa"/>
            <w:noWrap w:val="0"/>
            <w:vAlign w:val="center"/>
          </w:tcPr>
          <w:p w14:paraId="5D5E5043">
            <w:pPr>
              <w:rPr>
                <w:rFonts w:hint="eastAsia" w:ascii="宋体" w:hAnsi="宋体" w:eastAsia="宋体" w:cs="宋体"/>
                <w:color w:val="auto"/>
                <w:highlight w:val="none"/>
              </w:rPr>
            </w:pPr>
            <w:r>
              <w:rPr>
                <w:rFonts w:hint="eastAsia" w:ascii="宋体" w:hAnsi="宋体" w:eastAsia="宋体" w:cs="宋体"/>
                <w:color w:val="auto"/>
                <w:highlight w:val="none"/>
              </w:rPr>
              <w:t>评标委员会确定中标候选人的人数</w:t>
            </w:r>
          </w:p>
        </w:tc>
        <w:tc>
          <w:tcPr>
            <w:tcW w:w="6626" w:type="dxa"/>
            <w:noWrap w:val="0"/>
            <w:vAlign w:val="center"/>
          </w:tcPr>
          <w:p w14:paraId="2100E31C">
            <w:pPr>
              <w:rPr>
                <w:rFonts w:hint="eastAsia" w:ascii="宋体" w:hAnsi="宋体" w:eastAsia="宋体" w:cs="宋体"/>
                <w:color w:val="auto"/>
                <w:highlight w:val="none"/>
              </w:rPr>
            </w:pPr>
            <w:r>
              <w:rPr>
                <w:rFonts w:hint="eastAsia" w:ascii="宋体" w:hAnsi="宋体" w:eastAsia="宋体" w:cs="宋体"/>
                <w:color w:val="auto"/>
                <w:highlight w:val="none"/>
              </w:rPr>
              <w:t>3名，并标明排序。</w:t>
            </w:r>
          </w:p>
        </w:tc>
      </w:tr>
      <w:tr w14:paraId="5ED288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36" w:type="dxa"/>
            <w:noWrap w:val="0"/>
            <w:vAlign w:val="center"/>
          </w:tcPr>
          <w:p w14:paraId="21D4BFEA">
            <w:pPr>
              <w:rPr>
                <w:rFonts w:hint="eastAsia" w:ascii="宋体" w:hAnsi="宋体" w:eastAsia="宋体" w:cs="宋体"/>
                <w:color w:val="auto"/>
                <w:highlight w:val="none"/>
              </w:rPr>
            </w:pPr>
            <w:r>
              <w:rPr>
                <w:rFonts w:hint="eastAsia" w:ascii="宋体" w:hAnsi="宋体" w:eastAsia="宋体" w:cs="宋体"/>
                <w:color w:val="auto"/>
                <w:highlight w:val="none"/>
              </w:rPr>
              <w:t>32.1.2</w:t>
            </w:r>
          </w:p>
        </w:tc>
        <w:tc>
          <w:tcPr>
            <w:tcW w:w="2151" w:type="dxa"/>
            <w:noWrap w:val="0"/>
            <w:vAlign w:val="center"/>
          </w:tcPr>
          <w:p w14:paraId="6504C4E9">
            <w:pPr>
              <w:rPr>
                <w:rFonts w:hint="eastAsia" w:ascii="宋体" w:hAnsi="宋体" w:eastAsia="宋体" w:cs="宋体"/>
                <w:color w:val="auto"/>
                <w:highlight w:val="none"/>
              </w:rPr>
            </w:pPr>
            <w:r>
              <w:rPr>
                <w:rFonts w:hint="eastAsia" w:ascii="宋体" w:hAnsi="宋体" w:eastAsia="宋体" w:cs="宋体"/>
                <w:color w:val="auto"/>
                <w:highlight w:val="none"/>
              </w:rPr>
              <w:t>中标结果公告媒介</w:t>
            </w:r>
          </w:p>
        </w:tc>
        <w:tc>
          <w:tcPr>
            <w:tcW w:w="6626" w:type="dxa"/>
            <w:noWrap w:val="0"/>
            <w:vAlign w:val="top"/>
          </w:tcPr>
          <w:p w14:paraId="63A3256A">
            <w:pPr>
              <w:rPr>
                <w:rFonts w:hint="eastAsia" w:ascii="宋体" w:hAnsi="宋体" w:eastAsia="宋体" w:cs="宋体"/>
                <w:color w:val="auto"/>
                <w:highlight w:val="none"/>
              </w:rPr>
            </w:pPr>
            <w:r>
              <w:rPr>
                <w:rFonts w:hint="eastAsia" w:ascii="宋体" w:hAnsi="宋体" w:eastAsia="宋体" w:cs="宋体"/>
                <w:color w:val="auto"/>
                <w:highlight w:val="none"/>
              </w:rPr>
              <w:t>公示媒介：同招标公告发布媒介</w:t>
            </w:r>
          </w:p>
          <w:p w14:paraId="5465CA11">
            <w:pPr>
              <w:rPr>
                <w:rFonts w:hint="eastAsia" w:ascii="宋体" w:hAnsi="宋体" w:eastAsia="宋体" w:cs="宋体"/>
                <w:color w:val="auto"/>
                <w:highlight w:val="none"/>
              </w:rPr>
            </w:pPr>
            <w:r>
              <w:rPr>
                <w:rFonts w:hint="eastAsia" w:ascii="宋体" w:hAnsi="宋体" w:eastAsia="宋体" w:cs="宋体"/>
                <w:color w:val="auto"/>
                <w:highlight w:val="none"/>
              </w:rPr>
              <w:t>公示期限：公示发布次日起3日（如公示第三日为休息日或节假日，则顺延至休息日或节假日后第一个工作日）</w:t>
            </w:r>
          </w:p>
        </w:tc>
      </w:tr>
      <w:tr w14:paraId="2820C1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36" w:type="dxa"/>
            <w:noWrap w:val="0"/>
            <w:vAlign w:val="center"/>
          </w:tcPr>
          <w:p w14:paraId="7CE509AE">
            <w:pPr>
              <w:rPr>
                <w:rFonts w:hint="eastAsia" w:ascii="宋体" w:hAnsi="宋体" w:eastAsia="宋体" w:cs="宋体"/>
                <w:color w:val="auto"/>
                <w:highlight w:val="none"/>
              </w:rPr>
            </w:pPr>
            <w:r>
              <w:rPr>
                <w:rFonts w:hint="eastAsia" w:ascii="宋体" w:hAnsi="宋体" w:eastAsia="宋体" w:cs="宋体"/>
                <w:color w:val="auto"/>
                <w:highlight w:val="none"/>
              </w:rPr>
              <w:t>32.2</w:t>
            </w:r>
          </w:p>
        </w:tc>
        <w:tc>
          <w:tcPr>
            <w:tcW w:w="2151" w:type="dxa"/>
            <w:noWrap w:val="0"/>
            <w:vAlign w:val="center"/>
          </w:tcPr>
          <w:p w14:paraId="72962C4E">
            <w:pPr>
              <w:rPr>
                <w:rFonts w:hint="eastAsia" w:ascii="宋体" w:hAnsi="宋体" w:eastAsia="宋体" w:cs="宋体"/>
                <w:color w:val="auto"/>
                <w:highlight w:val="none"/>
              </w:rPr>
            </w:pPr>
            <w:r>
              <w:rPr>
                <w:rFonts w:hint="eastAsia" w:ascii="宋体" w:hAnsi="宋体" w:eastAsia="宋体" w:cs="宋体"/>
                <w:color w:val="auto"/>
                <w:highlight w:val="none"/>
              </w:rPr>
              <w:t>中标通知书发出形式</w:t>
            </w:r>
          </w:p>
        </w:tc>
        <w:tc>
          <w:tcPr>
            <w:tcW w:w="6626" w:type="dxa"/>
            <w:noWrap w:val="0"/>
            <w:vAlign w:val="center"/>
          </w:tcPr>
          <w:p w14:paraId="2CE19F76">
            <w:pPr>
              <w:rPr>
                <w:rFonts w:hint="eastAsia" w:ascii="宋体" w:hAnsi="宋体" w:eastAsia="宋体" w:cs="宋体"/>
                <w:color w:val="auto"/>
                <w:highlight w:val="none"/>
              </w:rPr>
            </w:pPr>
            <w:r>
              <w:rPr>
                <w:rFonts w:hint="eastAsia" w:ascii="宋体" w:hAnsi="宋体" w:eastAsia="宋体" w:cs="宋体"/>
                <w:color w:val="auto"/>
                <w:highlight w:val="none"/>
              </w:rPr>
              <w:t>数据电文。</w:t>
            </w:r>
          </w:p>
        </w:tc>
      </w:tr>
      <w:tr w14:paraId="58C037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0F1B3A7E">
            <w:pP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2151" w:type="dxa"/>
            <w:noWrap w:val="0"/>
            <w:vAlign w:val="center"/>
          </w:tcPr>
          <w:p w14:paraId="0D109557">
            <w:pPr>
              <w:rPr>
                <w:rFonts w:hint="eastAsia" w:ascii="宋体" w:hAnsi="宋体" w:eastAsia="宋体" w:cs="宋体"/>
                <w:color w:val="auto"/>
                <w:highlight w:val="none"/>
              </w:rPr>
            </w:pPr>
            <w:r>
              <w:rPr>
                <w:rFonts w:hint="eastAsia" w:ascii="宋体" w:hAnsi="宋体" w:eastAsia="宋体" w:cs="宋体"/>
                <w:color w:val="auto"/>
                <w:highlight w:val="none"/>
              </w:rPr>
              <w:t>履约担保</w:t>
            </w:r>
          </w:p>
        </w:tc>
        <w:tc>
          <w:tcPr>
            <w:tcW w:w="6626" w:type="dxa"/>
            <w:noWrap w:val="0"/>
            <w:vAlign w:val="center"/>
          </w:tcPr>
          <w:p w14:paraId="535E1146">
            <w:pPr>
              <w:rPr>
                <w:rFonts w:hint="eastAsia" w:ascii="宋体" w:hAnsi="宋体" w:eastAsia="宋体" w:cs="宋体"/>
                <w:color w:val="auto"/>
                <w:highlight w:val="none"/>
              </w:rPr>
            </w:pPr>
            <w:r>
              <w:rPr>
                <w:rFonts w:hint="eastAsia" w:ascii="宋体" w:hAnsi="宋体" w:eastAsia="宋体" w:cs="宋体"/>
                <w:color w:val="auto"/>
                <w:highlight w:val="none"/>
              </w:rPr>
              <w:t>要求中标人提交履约</w:t>
            </w:r>
            <w:r>
              <w:rPr>
                <w:rFonts w:hint="eastAsia" w:ascii="宋体" w:hAnsi="宋体" w:eastAsia="宋体" w:cs="宋体"/>
                <w:color w:val="auto"/>
                <w:highlight w:val="none"/>
                <w:lang w:val="en-US" w:eastAsia="zh-CN"/>
              </w:rPr>
              <w:t>担保</w:t>
            </w:r>
            <w:r>
              <w:rPr>
                <w:rFonts w:hint="eastAsia" w:ascii="宋体" w:hAnsi="宋体" w:eastAsia="宋体" w:cs="宋体"/>
                <w:color w:val="auto"/>
                <w:highlight w:val="none"/>
              </w:rPr>
              <w:t>。</w:t>
            </w:r>
          </w:p>
          <w:p w14:paraId="13459C14">
            <w:pPr>
              <w:rPr>
                <w:rFonts w:hint="eastAsia" w:ascii="宋体" w:hAnsi="宋体" w:eastAsia="宋体" w:cs="宋体"/>
                <w:color w:val="auto"/>
                <w:highlight w:val="none"/>
              </w:rPr>
            </w:pPr>
            <w:r>
              <w:rPr>
                <w:rFonts w:hint="eastAsia" w:ascii="宋体" w:hAnsi="宋体" w:eastAsia="宋体" w:cs="宋体"/>
                <w:color w:val="auto"/>
                <w:highlight w:val="none"/>
              </w:rPr>
              <w:t>形式：支持银行转账、银行电汇、银行保函、担保机构担保、保证保险使用。</w:t>
            </w:r>
          </w:p>
          <w:p w14:paraId="7339BFD6">
            <w:pPr>
              <w:rPr>
                <w:rFonts w:hint="eastAsia" w:ascii="宋体" w:hAnsi="宋体" w:eastAsia="宋体" w:cs="宋体"/>
                <w:color w:val="auto"/>
                <w:highlight w:val="none"/>
              </w:rPr>
            </w:pPr>
            <w:r>
              <w:rPr>
                <w:rFonts w:hint="eastAsia" w:ascii="宋体" w:hAnsi="宋体" w:eastAsia="宋体" w:cs="宋体"/>
                <w:color w:val="auto"/>
                <w:highlight w:val="none"/>
              </w:rPr>
              <w:t>金额：</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rPr>
              <w:t>合同金额×</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%，取整到千位；</w:t>
            </w:r>
          </w:p>
          <w:p w14:paraId="7D51BF65">
            <w:pPr>
              <w:rPr>
                <w:rFonts w:hint="eastAsia" w:ascii="宋体" w:hAnsi="宋体" w:eastAsia="宋体" w:cs="宋体"/>
                <w:color w:val="auto"/>
                <w:highlight w:val="none"/>
              </w:rPr>
            </w:pPr>
            <w:r>
              <w:rPr>
                <w:rFonts w:hint="eastAsia" w:ascii="宋体" w:hAnsi="宋体" w:eastAsia="宋体" w:cs="宋体"/>
                <w:color w:val="auto"/>
                <w:highlight w:val="none"/>
              </w:rPr>
              <w:t xml:space="preserve">收款单位：另行通知                  </w:t>
            </w:r>
          </w:p>
          <w:p w14:paraId="0DCA3E93">
            <w:pPr>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开户银行：另行通知                 </w:t>
            </w:r>
          </w:p>
          <w:p w14:paraId="5901DDC6">
            <w:pPr>
              <w:rPr>
                <w:rFonts w:hint="eastAsia" w:ascii="宋体" w:hAnsi="宋体" w:eastAsia="宋体" w:cs="宋体"/>
                <w:color w:val="auto"/>
                <w:highlight w:val="none"/>
              </w:rPr>
            </w:pPr>
            <w:r>
              <w:rPr>
                <w:rFonts w:hint="eastAsia" w:ascii="宋体" w:hAnsi="宋体" w:eastAsia="宋体" w:cs="宋体"/>
                <w:color w:val="auto"/>
                <w:highlight w:val="none"/>
              </w:rPr>
              <w:t xml:space="preserve">银行账号：另行通知  </w:t>
            </w:r>
          </w:p>
          <w:p w14:paraId="5B6F74C2">
            <w:pPr>
              <w:rPr>
                <w:rFonts w:hint="eastAsia" w:ascii="宋体" w:hAnsi="宋体" w:eastAsia="宋体" w:cs="宋体"/>
                <w:color w:val="auto"/>
                <w:highlight w:val="none"/>
              </w:rPr>
            </w:pPr>
            <w:r>
              <w:rPr>
                <w:rFonts w:hint="eastAsia" w:ascii="宋体" w:hAnsi="宋体" w:eastAsia="宋体" w:cs="宋体"/>
                <w:color w:val="auto"/>
                <w:highlight w:val="none"/>
              </w:rPr>
              <w:t>缴纳时限：中标人须在中标通知书发出后30日内完成履约</w:t>
            </w:r>
            <w:r>
              <w:rPr>
                <w:rFonts w:hint="eastAsia" w:ascii="宋体" w:hAnsi="宋体" w:eastAsia="宋体" w:cs="宋体"/>
                <w:color w:val="auto"/>
                <w:highlight w:val="none"/>
                <w:lang w:val="en-US" w:eastAsia="zh-CN"/>
              </w:rPr>
              <w:t>担保</w:t>
            </w:r>
            <w:r>
              <w:rPr>
                <w:rFonts w:hint="eastAsia" w:ascii="宋体" w:hAnsi="宋体" w:eastAsia="宋体" w:cs="宋体"/>
                <w:color w:val="auto"/>
                <w:highlight w:val="none"/>
              </w:rPr>
              <w:t xml:space="preserve">缴纳及合同签订，如未按期交齐履约保证金或未按期签订合同的，视同放弃中标资格，招标人将扣除投标保证金。履约保证金按要求缴纳的，自合同签订之日起5个工作日内退还中标人的投标保证金。 </w:t>
            </w:r>
          </w:p>
          <w:p w14:paraId="0F213F98">
            <w:pPr>
              <w:rPr>
                <w:rFonts w:hint="eastAsia" w:ascii="宋体" w:hAnsi="宋体" w:eastAsia="宋体" w:cs="宋体"/>
                <w:color w:val="auto"/>
                <w:highlight w:val="none"/>
              </w:rPr>
            </w:pPr>
            <w:r>
              <w:rPr>
                <w:rFonts w:hint="eastAsia" w:ascii="宋体" w:hAnsi="宋体" w:eastAsia="宋体" w:cs="宋体"/>
                <w:color w:val="auto"/>
                <w:highlight w:val="none"/>
              </w:rPr>
              <w:t>退还时限：履约保证金有效期满30个工作日内。</w:t>
            </w:r>
          </w:p>
          <w:p w14:paraId="1E0146FF">
            <w:pPr>
              <w:rPr>
                <w:rFonts w:hint="eastAsia" w:ascii="宋体" w:hAnsi="宋体" w:eastAsia="宋体" w:cs="宋体"/>
                <w:color w:val="auto"/>
                <w:highlight w:val="none"/>
              </w:rPr>
            </w:pPr>
            <w:r>
              <w:rPr>
                <w:rFonts w:hint="eastAsia" w:ascii="宋体" w:hAnsi="宋体" w:eastAsia="宋体" w:cs="宋体"/>
                <w:color w:val="auto"/>
                <w:highlight w:val="none"/>
              </w:rPr>
              <w:t>其他相关要求：</w:t>
            </w:r>
          </w:p>
          <w:p w14:paraId="56B7102A">
            <w:pPr>
              <w:rPr>
                <w:rFonts w:hint="eastAsia" w:ascii="宋体" w:hAnsi="宋体" w:eastAsia="宋体" w:cs="宋体"/>
                <w:color w:val="auto"/>
                <w:highlight w:val="none"/>
              </w:rPr>
            </w:pPr>
            <w:r>
              <w:rPr>
                <w:rFonts w:hint="eastAsia" w:ascii="宋体" w:hAnsi="宋体" w:eastAsia="宋体" w:cs="宋体"/>
                <w:color w:val="auto"/>
                <w:highlight w:val="none"/>
              </w:rPr>
              <w:t>1、采用银行保函的具体要求</w:t>
            </w:r>
          </w:p>
          <w:p w14:paraId="0E2BEE98">
            <w:pPr>
              <w:rPr>
                <w:rFonts w:hint="eastAsia" w:ascii="宋体" w:hAnsi="宋体" w:eastAsia="宋体" w:cs="宋体"/>
                <w:color w:val="auto"/>
                <w:highlight w:val="none"/>
              </w:rPr>
            </w:pPr>
            <w:r>
              <w:rPr>
                <w:rFonts w:hint="eastAsia" w:ascii="宋体" w:hAnsi="宋体" w:eastAsia="宋体" w:cs="宋体"/>
                <w:color w:val="auto"/>
                <w:highlight w:val="none"/>
              </w:rPr>
              <w:t>①保函形式须为见索即付型（无条件保函）；</w:t>
            </w:r>
          </w:p>
          <w:p w14:paraId="1EA3E930">
            <w:pPr>
              <w:rPr>
                <w:rFonts w:hint="eastAsia" w:ascii="宋体" w:hAnsi="宋体" w:eastAsia="宋体" w:cs="宋体"/>
                <w:color w:val="auto"/>
                <w:highlight w:val="none"/>
              </w:rPr>
            </w:pPr>
            <w:r>
              <w:rPr>
                <w:rFonts w:hint="eastAsia" w:ascii="宋体" w:hAnsi="宋体" w:eastAsia="宋体" w:cs="宋体"/>
                <w:color w:val="auto"/>
                <w:highlight w:val="none"/>
              </w:rPr>
              <w:t>②须经招标人认可。</w:t>
            </w:r>
          </w:p>
          <w:p w14:paraId="44DE7EA0">
            <w:pPr>
              <w:rPr>
                <w:rFonts w:hint="eastAsia" w:ascii="宋体" w:hAnsi="宋体" w:eastAsia="宋体" w:cs="宋体"/>
                <w:color w:val="auto"/>
                <w:highlight w:val="none"/>
              </w:rPr>
            </w:pPr>
            <w:r>
              <w:rPr>
                <w:rFonts w:hint="eastAsia" w:ascii="宋体" w:hAnsi="宋体" w:eastAsia="宋体" w:cs="宋体"/>
                <w:color w:val="auto"/>
                <w:highlight w:val="none"/>
              </w:rPr>
              <w:t>2、采用担保保函的具体要求：须经招标人认可。</w:t>
            </w:r>
          </w:p>
          <w:p w14:paraId="4E0B71D7">
            <w:pPr>
              <w:rPr>
                <w:rFonts w:hint="eastAsia" w:ascii="宋体" w:hAnsi="宋体" w:eastAsia="宋体" w:cs="宋体"/>
                <w:color w:val="auto"/>
                <w:highlight w:val="none"/>
              </w:rPr>
            </w:pPr>
            <w:r>
              <w:rPr>
                <w:rFonts w:hint="eastAsia" w:ascii="宋体" w:hAnsi="宋体" w:eastAsia="宋体" w:cs="宋体"/>
                <w:color w:val="auto"/>
                <w:highlight w:val="none"/>
              </w:rPr>
              <w:t>3、采用商业保险的具体要求：须经招标人认可。</w:t>
            </w:r>
          </w:p>
          <w:p w14:paraId="0DE108AE">
            <w:pPr>
              <w:rPr>
                <w:rFonts w:hint="eastAsia" w:ascii="宋体" w:hAnsi="宋体" w:eastAsia="宋体" w:cs="宋体"/>
                <w:color w:val="auto"/>
                <w:highlight w:val="none"/>
              </w:rPr>
            </w:pPr>
            <w:r>
              <w:rPr>
                <w:rFonts w:hint="eastAsia" w:ascii="宋体" w:hAnsi="宋体" w:eastAsia="宋体" w:cs="宋体"/>
                <w:color w:val="auto"/>
                <w:highlight w:val="none"/>
              </w:rPr>
              <w:t>4、采用第三方担保的具体要求：须经招标人认可。</w:t>
            </w:r>
          </w:p>
        </w:tc>
      </w:tr>
      <w:tr w14:paraId="61EB3B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50D2B05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37</w:t>
            </w:r>
          </w:p>
        </w:tc>
        <w:tc>
          <w:tcPr>
            <w:tcW w:w="2151" w:type="dxa"/>
            <w:noWrap w:val="0"/>
            <w:vAlign w:val="center"/>
          </w:tcPr>
          <w:p w14:paraId="791625D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签订合同</w:t>
            </w:r>
          </w:p>
        </w:tc>
        <w:tc>
          <w:tcPr>
            <w:tcW w:w="6626" w:type="dxa"/>
            <w:noWrap w:val="0"/>
            <w:vAlign w:val="center"/>
          </w:tcPr>
          <w:p w14:paraId="7630261E">
            <w:pPr>
              <w:rPr>
                <w:rFonts w:hint="eastAsia" w:ascii="宋体" w:hAnsi="宋体" w:eastAsia="宋体" w:cs="宋体"/>
                <w:color w:val="auto"/>
                <w:highlight w:val="none"/>
              </w:rPr>
            </w:pPr>
            <w:r>
              <w:rPr>
                <w:rFonts w:hint="eastAsia" w:ascii="宋体" w:hAnsi="宋体" w:eastAsia="宋体" w:cs="宋体"/>
                <w:color w:val="auto"/>
                <w:highlight w:val="none"/>
              </w:rPr>
              <w:t>中标通知书发出之日起</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日内，应委派代表与招标人联系并商讨书面合同签订事宜。中标人和招标人应在投标有效期内以及中标通知书发出之日起30日内，根据招标文件和中标人的投标文件订立书面合同。</w:t>
            </w:r>
          </w:p>
        </w:tc>
      </w:tr>
      <w:tr w14:paraId="6B0538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0" w:hRule="atLeast"/>
          <w:jc w:val="center"/>
        </w:trPr>
        <w:tc>
          <w:tcPr>
            <w:tcW w:w="3187" w:type="dxa"/>
            <w:gridSpan w:val="2"/>
            <w:noWrap w:val="0"/>
            <w:vAlign w:val="center"/>
          </w:tcPr>
          <w:p w14:paraId="04793CF5">
            <w:pPr>
              <w:rPr>
                <w:rFonts w:hint="eastAsia" w:ascii="宋体" w:hAnsi="宋体" w:eastAsia="宋体" w:cs="宋体"/>
                <w:color w:val="auto"/>
                <w:highlight w:val="none"/>
              </w:rPr>
            </w:pPr>
            <w:r>
              <w:rPr>
                <w:rFonts w:hint="eastAsia" w:ascii="宋体" w:hAnsi="宋体" w:eastAsia="宋体" w:cs="宋体"/>
                <w:color w:val="auto"/>
                <w:highlight w:val="none"/>
              </w:rPr>
              <w:t>付款方式、时间、条件</w:t>
            </w:r>
          </w:p>
        </w:tc>
        <w:tc>
          <w:tcPr>
            <w:tcW w:w="6626" w:type="dxa"/>
            <w:noWrap w:val="0"/>
            <w:vAlign w:val="center"/>
          </w:tcPr>
          <w:p w14:paraId="77B1C4BC">
            <w:pPr>
              <w:keepNext w:val="0"/>
              <w:keepLines w:val="0"/>
              <w:widowControl/>
              <w:suppressLineNumbers w:val="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项目合同签订生效并具备实施条件后采购人</w:t>
            </w:r>
            <w:r>
              <w:rPr>
                <w:rFonts w:hint="eastAsia" w:ascii="宋体" w:hAnsi="宋体" w:eastAsia="宋体" w:cs="宋体"/>
                <w:color w:val="auto"/>
                <w:highlight w:val="none"/>
                <w:lang w:val="en-US" w:eastAsia="zh-CN"/>
              </w:rPr>
              <w:t>每季度</w:t>
            </w:r>
            <w:r>
              <w:rPr>
                <w:rFonts w:hint="eastAsia" w:ascii="宋体" w:hAnsi="宋体" w:eastAsia="宋体" w:cs="宋体"/>
                <w:color w:val="auto"/>
                <w:highlight w:val="none"/>
                <w:lang w:eastAsia="zh-CN"/>
              </w:rPr>
              <w:t>支付</w:t>
            </w:r>
            <w:r>
              <w:rPr>
                <w:rFonts w:hint="eastAsia" w:ascii="宋体" w:hAnsi="宋体" w:eastAsia="宋体" w:cs="宋体"/>
                <w:color w:val="auto"/>
                <w:highlight w:val="none"/>
                <w:lang w:val="en-US" w:eastAsia="zh-CN"/>
              </w:rPr>
              <w:t>当季服务</w:t>
            </w:r>
            <w:r>
              <w:rPr>
                <w:rFonts w:hint="eastAsia" w:ascii="宋体" w:hAnsi="宋体" w:eastAsia="宋体" w:cs="宋体"/>
                <w:color w:val="auto"/>
                <w:highlight w:val="none"/>
                <w:lang w:eastAsia="zh-CN"/>
              </w:rPr>
              <w:t>价款的</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季度款=年中标价/4-考核扣除金额。</w:t>
            </w:r>
          </w:p>
        </w:tc>
      </w:tr>
      <w:tr w14:paraId="7C180B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187" w:type="dxa"/>
            <w:gridSpan w:val="2"/>
            <w:noWrap w:val="0"/>
            <w:vAlign w:val="center"/>
          </w:tcPr>
          <w:p w14:paraId="003C05B7">
            <w:pPr>
              <w:rPr>
                <w:rFonts w:hint="eastAsia" w:ascii="宋体" w:hAnsi="宋体" w:eastAsia="宋体" w:cs="宋体"/>
                <w:color w:val="auto"/>
                <w:highlight w:val="none"/>
              </w:rPr>
            </w:pPr>
            <w:r>
              <w:rPr>
                <w:rFonts w:hint="eastAsia" w:ascii="宋体" w:hAnsi="宋体" w:eastAsia="宋体" w:cs="宋体"/>
                <w:color w:val="auto"/>
                <w:highlight w:val="none"/>
              </w:rPr>
              <w:t>电子招投标</w:t>
            </w:r>
          </w:p>
        </w:tc>
        <w:tc>
          <w:tcPr>
            <w:tcW w:w="6626" w:type="dxa"/>
            <w:noWrap w:val="0"/>
            <w:vAlign w:val="center"/>
          </w:tcPr>
          <w:p w14:paraId="09D5E5DA">
            <w:pPr>
              <w:rPr>
                <w:rFonts w:hint="eastAsia" w:ascii="宋体" w:hAnsi="宋体" w:eastAsia="宋体" w:cs="宋体"/>
                <w:color w:val="auto"/>
                <w:highlight w:val="none"/>
              </w:rPr>
            </w:pPr>
            <w:r>
              <w:rPr>
                <w:rFonts w:hint="eastAsia" w:ascii="宋体" w:hAnsi="宋体" w:eastAsia="宋体" w:cs="宋体"/>
                <w:color w:val="auto"/>
                <w:highlight w:val="none"/>
              </w:rPr>
              <w:t>本项目采用电子招标投标方式。</w:t>
            </w:r>
          </w:p>
        </w:tc>
      </w:tr>
      <w:tr w14:paraId="3A93E8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187" w:type="dxa"/>
            <w:gridSpan w:val="2"/>
            <w:noWrap w:val="0"/>
            <w:vAlign w:val="center"/>
          </w:tcPr>
          <w:p w14:paraId="4D17433E">
            <w:pPr>
              <w:rPr>
                <w:rFonts w:hint="eastAsia" w:ascii="宋体" w:hAnsi="宋体" w:eastAsia="宋体" w:cs="宋体"/>
                <w:color w:val="auto"/>
                <w:highlight w:val="none"/>
              </w:rPr>
            </w:pPr>
            <w:r>
              <w:rPr>
                <w:rFonts w:hint="eastAsia" w:ascii="宋体" w:hAnsi="宋体" w:eastAsia="宋体" w:cs="宋体"/>
                <w:color w:val="auto"/>
                <w:highlight w:val="none"/>
              </w:rPr>
              <w:t>获取与查看通知</w:t>
            </w:r>
          </w:p>
        </w:tc>
        <w:tc>
          <w:tcPr>
            <w:tcW w:w="6626" w:type="dxa"/>
            <w:noWrap w:val="0"/>
            <w:vAlign w:val="center"/>
          </w:tcPr>
          <w:p w14:paraId="17C264DB">
            <w:pPr>
              <w:rPr>
                <w:rFonts w:hint="eastAsia" w:ascii="宋体" w:hAnsi="宋体" w:eastAsia="宋体" w:cs="宋体"/>
                <w:color w:val="auto"/>
                <w:highlight w:val="none"/>
              </w:rPr>
            </w:pPr>
            <w:r>
              <w:rPr>
                <w:rFonts w:hint="eastAsia" w:ascii="宋体" w:hAnsi="宋体" w:eastAsia="宋体" w:cs="宋体"/>
                <w:color w:val="auto"/>
                <w:highlight w:val="none"/>
              </w:rPr>
              <w:t>本项目的招标文件等相关资料均通过滁州市公共资源交易中心网站发布，投标人应自行下载。投标人应当及时登录滁州市公共资源交易中心交易系统查看。</w:t>
            </w:r>
          </w:p>
        </w:tc>
      </w:tr>
      <w:tr w14:paraId="002DB3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41" w:hRule="atLeast"/>
          <w:jc w:val="center"/>
        </w:trPr>
        <w:tc>
          <w:tcPr>
            <w:tcW w:w="3187" w:type="dxa"/>
            <w:gridSpan w:val="2"/>
            <w:noWrap w:val="0"/>
            <w:vAlign w:val="center"/>
          </w:tcPr>
          <w:p w14:paraId="1DF35684">
            <w:pPr>
              <w:rPr>
                <w:rFonts w:hint="eastAsia" w:ascii="宋体" w:hAnsi="宋体" w:eastAsia="宋体" w:cs="宋体"/>
                <w:color w:val="auto"/>
                <w:highlight w:val="none"/>
              </w:rPr>
            </w:pPr>
            <w:bookmarkStart w:id="40" w:name="_Toc58430315"/>
            <w:bookmarkStart w:id="41" w:name="_Toc449028866"/>
            <w:r>
              <w:rPr>
                <w:rFonts w:hint="eastAsia" w:ascii="宋体" w:hAnsi="宋体" w:eastAsia="宋体" w:cs="宋体"/>
                <w:color w:val="auto"/>
                <w:highlight w:val="none"/>
              </w:rPr>
              <w:t>相关要求</w:t>
            </w:r>
          </w:p>
        </w:tc>
        <w:tc>
          <w:tcPr>
            <w:tcW w:w="6626" w:type="dxa"/>
            <w:noWrap w:val="0"/>
            <w:vAlign w:val="center"/>
          </w:tcPr>
          <w:p w14:paraId="4DFD8779">
            <w:pPr>
              <w:rPr>
                <w:rFonts w:hint="eastAsia" w:ascii="宋体" w:hAnsi="宋体" w:eastAsia="宋体" w:cs="宋体"/>
                <w:color w:val="auto"/>
                <w:highlight w:val="none"/>
              </w:rPr>
            </w:pPr>
            <w:r>
              <w:rPr>
                <w:rFonts w:hint="eastAsia" w:ascii="宋体" w:hAnsi="宋体" w:eastAsia="宋体" w:cs="宋体"/>
                <w:color w:val="auto"/>
                <w:highlight w:val="none"/>
              </w:rPr>
              <w:t xml:space="preserve">1、本项目投标保证金、履约保证金、工程质量保证金、农民工工资保证金均支持保函使用。以现金形式提交保证金的，应当同时退还保证金本金和银行同期存款利息。 </w:t>
            </w:r>
          </w:p>
          <w:p w14:paraId="3E608B91">
            <w:pPr>
              <w:rPr>
                <w:rFonts w:hint="eastAsia" w:ascii="宋体" w:hAnsi="宋体" w:eastAsia="宋体" w:cs="宋体"/>
                <w:color w:val="auto"/>
                <w:highlight w:val="none"/>
              </w:rPr>
            </w:pPr>
            <w:r>
              <w:rPr>
                <w:rFonts w:hint="eastAsia" w:ascii="宋体" w:hAnsi="宋体" w:eastAsia="宋体" w:cs="宋体"/>
                <w:color w:val="auto"/>
                <w:highlight w:val="none"/>
              </w:rPr>
              <w:t>2、保证保险产品应按《中国银保监会办公厅关于进一步加强和改进财产保险公司产品监管有关问题的通知》执行。</w:t>
            </w:r>
          </w:p>
        </w:tc>
      </w:tr>
      <w:tr w14:paraId="379231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233" w:hRule="atLeast"/>
          <w:jc w:val="center"/>
        </w:trPr>
        <w:tc>
          <w:tcPr>
            <w:tcW w:w="3187" w:type="dxa"/>
            <w:gridSpan w:val="2"/>
            <w:noWrap w:val="0"/>
            <w:vAlign w:val="center"/>
          </w:tcPr>
          <w:p w14:paraId="0C7D1651">
            <w:pPr>
              <w:rPr>
                <w:rFonts w:hint="eastAsia" w:ascii="宋体" w:hAnsi="宋体" w:eastAsia="宋体" w:cs="宋体"/>
                <w:color w:val="auto"/>
                <w:highlight w:val="none"/>
              </w:rPr>
            </w:pPr>
            <w:r>
              <w:rPr>
                <w:rFonts w:hint="eastAsia" w:ascii="宋体" w:hAnsi="宋体" w:eastAsia="宋体" w:cs="宋体"/>
                <w:color w:val="auto"/>
                <w:highlight w:val="none"/>
              </w:rPr>
              <w:t>评标过程中的澄清、说明或补正</w:t>
            </w:r>
          </w:p>
        </w:tc>
        <w:tc>
          <w:tcPr>
            <w:tcW w:w="6626" w:type="dxa"/>
            <w:noWrap w:val="0"/>
            <w:vAlign w:val="center"/>
          </w:tcPr>
          <w:p w14:paraId="0261D883">
            <w:pPr>
              <w:rPr>
                <w:rFonts w:hint="eastAsia" w:ascii="宋体" w:hAnsi="宋体" w:eastAsia="宋体" w:cs="宋体"/>
                <w:color w:val="auto"/>
                <w:highlight w:val="none"/>
              </w:rPr>
            </w:pPr>
            <w:r>
              <w:rPr>
                <w:rFonts w:hint="eastAsia" w:ascii="宋体" w:hAnsi="宋体" w:eastAsia="宋体" w:cs="宋体"/>
                <w:color w:val="auto"/>
                <w:highlight w:val="none"/>
              </w:rPr>
              <w:t>1、评标委员会通过网上招投标系统将需要澄清、说明或补正的内容以询标函的形式发送给投标人，投标人应安排专人登录网上招投标系统并保持在线状态，并确保联系方式有效，以便及时接收评标委员会可能发出的询标函。</w:t>
            </w:r>
          </w:p>
          <w:p w14:paraId="68590910">
            <w:pPr>
              <w:rPr>
                <w:rFonts w:hint="eastAsia" w:ascii="宋体" w:hAnsi="宋体" w:eastAsia="宋体" w:cs="宋体"/>
                <w:color w:val="auto"/>
                <w:highlight w:val="none"/>
              </w:rPr>
            </w:pPr>
            <w:r>
              <w:rPr>
                <w:rFonts w:hint="eastAsia" w:ascii="宋体" w:hAnsi="宋体" w:eastAsia="宋体" w:cs="宋体"/>
                <w:color w:val="auto"/>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76ABF2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270" w:hRule="atLeast"/>
          <w:jc w:val="center"/>
        </w:trPr>
        <w:tc>
          <w:tcPr>
            <w:tcW w:w="3187" w:type="dxa"/>
            <w:gridSpan w:val="2"/>
            <w:noWrap w:val="0"/>
            <w:vAlign w:val="center"/>
          </w:tcPr>
          <w:p w14:paraId="0FD95A70">
            <w:pPr>
              <w:rPr>
                <w:rFonts w:hint="eastAsia" w:ascii="宋体" w:hAnsi="宋体" w:eastAsia="宋体" w:cs="宋体"/>
                <w:color w:val="auto"/>
                <w:highlight w:val="none"/>
              </w:rPr>
            </w:pPr>
            <w:r>
              <w:rPr>
                <w:rFonts w:hint="eastAsia" w:ascii="宋体" w:hAnsi="宋体" w:eastAsia="宋体" w:cs="宋体"/>
                <w:color w:val="auto"/>
                <w:highlight w:val="none"/>
              </w:rPr>
              <w:t>解释权</w:t>
            </w:r>
          </w:p>
        </w:tc>
        <w:tc>
          <w:tcPr>
            <w:tcW w:w="6626" w:type="dxa"/>
            <w:noWrap w:val="0"/>
            <w:vAlign w:val="center"/>
          </w:tcPr>
          <w:p w14:paraId="12046DC9">
            <w:pPr>
              <w:rPr>
                <w:rFonts w:hint="eastAsia" w:ascii="宋体" w:hAnsi="宋体" w:eastAsia="宋体" w:cs="宋体"/>
                <w:color w:val="auto"/>
                <w:highlight w:val="none"/>
              </w:rPr>
            </w:pPr>
            <w:r>
              <w:rPr>
                <w:rFonts w:hint="eastAsia" w:ascii="宋体" w:hAnsi="宋体" w:eastAsia="宋体" w:cs="宋体"/>
                <w:color w:val="auto"/>
                <w:highlight w:val="none"/>
              </w:rPr>
              <w:t>1、构成本招标文件的各个组成文件应互为解释，互为说明；</w:t>
            </w:r>
          </w:p>
          <w:p w14:paraId="5DDDB9BD">
            <w:pPr>
              <w:rPr>
                <w:rFonts w:hint="eastAsia" w:ascii="宋体" w:hAnsi="宋体" w:eastAsia="宋体" w:cs="宋体"/>
                <w:color w:val="auto"/>
                <w:highlight w:val="none"/>
              </w:rPr>
            </w:pPr>
            <w:r>
              <w:rPr>
                <w:rFonts w:hint="eastAsia" w:ascii="宋体" w:hAnsi="宋体" w:eastAsia="宋体" w:cs="宋体"/>
                <w:color w:val="auto"/>
                <w:highlight w:val="none"/>
              </w:rPr>
              <w:t>2、同一组成文件中就同一事项的规定或约定不一致的，以编排顺序在后者为准；</w:t>
            </w:r>
          </w:p>
          <w:p w14:paraId="1106D2D0">
            <w:pPr>
              <w:rPr>
                <w:rFonts w:hint="eastAsia" w:ascii="宋体" w:hAnsi="宋体" w:eastAsia="宋体" w:cs="宋体"/>
                <w:color w:val="auto"/>
                <w:highlight w:val="none"/>
              </w:rPr>
            </w:pPr>
            <w:r>
              <w:rPr>
                <w:rFonts w:hint="eastAsia" w:ascii="宋体" w:hAnsi="宋体" w:eastAsia="宋体" w:cs="宋体"/>
                <w:color w:val="auto"/>
                <w:highlight w:val="none"/>
              </w:rPr>
              <w:t>3、如有不明确或不一致，构成合同文件组成内容的，以合同文件约定内容为准，且以专用合同条款约定的合同文件优先顺序解释；</w:t>
            </w:r>
          </w:p>
          <w:p w14:paraId="5016CE60">
            <w:pPr>
              <w:rPr>
                <w:rFonts w:hint="eastAsia" w:ascii="宋体" w:hAnsi="宋体" w:eastAsia="宋体" w:cs="宋体"/>
                <w:color w:val="auto"/>
                <w:highlight w:val="none"/>
              </w:rPr>
            </w:pPr>
            <w:r>
              <w:rPr>
                <w:rFonts w:hint="eastAsia" w:ascii="宋体" w:hAnsi="宋体" w:eastAsia="宋体" w:cs="宋体"/>
                <w:color w:val="auto"/>
                <w:highlight w:val="none"/>
              </w:rPr>
              <w:t>4、系统中提供的表格（或格式文件）与招标文件中不一致时，以招标文件中提供的为准；</w:t>
            </w:r>
          </w:p>
          <w:p w14:paraId="0CF221D6">
            <w:pPr>
              <w:rPr>
                <w:rFonts w:hint="eastAsia" w:ascii="宋体" w:hAnsi="宋体" w:eastAsia="宋体" w:cs="宋体"/>
                <w:color w:val="auto"/>
                <w:highlight w:val="none"/>
              </w:rPr>
            </w:pPr>
            <w:r>
              <w:rPr>
                <w:rFonts w:hint="eastAsia" w:ascii="宋体" w:hAnsi="宋体" w:eastAsia="宋体" w:cs="宋体"/>
                <w:color w:val="auto"/>
                <w:highlight w:val="none"/>
              </w:rPr>
              <w:t>5、按本款前述规定仍不能形成结论的，由招标人负责解释。</w:t>
            </w:r>
          </w:p>
        </w:tc>
      </w:tr>
      <w:tr w14:paraId="1B5316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59" w:hRule="atLeast"/>
          <w:jc w:val="center"/>
        </w:trPr>
        <w:tc>
          <w:tcPr>
            <w:tcW w:w="3187" w:type="dxa"/>
            <w:gridSpan w:val="2"/>
            <w:noWrap w:val="0"/>
            <w:vAlign w:val="center"/>
          </w:tcPr>
          <w:p w14:paraId="4119DD36">
            <w:pPr>
              <w:rPr>
                <w:rFonts w:hint="eastAsia" w:ascii="宋体" w:hAnsi="宋体" w:eastAsia="宋体" w:cs="宋体"/>
                <w:color w:val="auto"/>
                <w:highlight w:val="none"/>
              </w:rPr>
            </w:pPr>
            <w:r>
              <w:rPr>
                <w:rFonts w:hint="eastAsia" w:ascii="宋体" w:hAnsi="宋体" w:eastAsia="宋体" w:cs="宋体"/>
                <w:color w:val="auto"/>
                <w:highlight w:val="none"/>
              </w:rPr>
              <w:t>同义词语</w:t>
            </w:r>
          </w:p>
        </w:tc>
        <w:tc>
          <w:tcPr>
            <w:tcW w:w="6626" w:type="dxa"/>
            <w:noWrap w:val="0"/>
            <w:vAlign w:val="center"/>
          </w:tcPr>
          <w:p w14:paraId="0CD3A1F2">
            <w:pPr>
              <w:rPr>
                <w:rFonts w:hint="eastAsia" w:ascii="宋体" w:hAnsi="宋体" w:eastAsia="宋体" w:cs="宋体"/>
                <w:color w:val="auto"/>
                <w:highlight w:val="none"/>
              </w:rPr>
            </w:pPr>
            <w:r>
              <w:rPr>
                <w:rFonts w:hint="eastAsia" w:ascii="宋体" w:hAnsi="宋体" w:eastAsia="宋体" w:cs="宋体"/>
                <w:color w:val="auto"/>
                <w:highlight w:val="none"/>
              </w:rPr>
              <w:t>构成招标文件组成部分的“通用合同条款”、“专用合同条款”、“技术标准和要求”等章节中 “发包人”和“承包人”，等同于招标投标阶段的“招标人”和“投标人/中标人”。</w:t>
            </w:r>
          </w:p>
        </w:tc>
      </w:tr>
      <w:tr w14:paraId="2F852C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2" w:hRule="atLeast"/>
          <w:jc w:val="center"/>
        </w:trPr>
        <w:tc>
          <w:tcPr>
            <w:tcW w:w="3187" w:type="dxa"/>
            <w:gridSpan w:val="2"/>
            <w:noWrap w:val="0"/>
            <w:vAlign w:val="center"/>
          </w:tcPr>
          <w:p w14:paraId="1B260480">
            <w:pPr>
              <w:rPr>
                <w:rFonts w:hint="eastAsia" w:ascii="宋体" w:hAnsi="宋体" w:eastAsia="宋体" w:cs="宋体"/>
                <w:color w:val="auto"/>
                <w:highlight w:val="none"/>
              </w:rPr>
            </w:pPr>
            <w:r>
              <w:rPr>
                <w:rFonts w:hint="eastAsia" w:ascii="宋体" w:hAnsi="宋体" w:eastAsia="宋体" w:cs="宋体"/>
                <w:color w:val="auto"/>
                <w:highlight w:val="none"/>
              </w:rPr>
              <w:t>变更招标方式</w:t>
            </w:r>
          </w:p>
        </w:tc>
        <w:tc>
          <w:tcPr>
            <w:tcW w:w="6626" w:type="dxa"/>
            <w:noWrap w:val="0"/>
            <w:vAlign w:val="center"/>
          </w:tcPr>
          <w:p w14:paraId="4BF5B542">
            <w:pPr>
              <w:rPr>
                <w:rFonts w:hint="eastAsia" w:ascii="宋体" w:hAnsi="宋体" w:eastAsia="宋体" w:cs="宋体"/>
                <w:color w:val="auto"/>
                <w:highlight w:val="none"/>
              </w:rPr>
            </w:pPr>
            <w:r>
              <w:rPr>
                <w:rFonts w:hint="eastAsia" w:ascii="宋体" w:hAnsi="宋体" w:eastAsia="宋体" w:cs="宋体"/>
                <w:color w:val="auto"/>
                <w:highlight w:val="none"/>
              </w:rPr>
              <w:t>按照滁州市公共资源交易监督管理局现行规定执行。</w:t>
            </w:r>
          </w:p>
        </w:tc>
      </w:tr>
      <w:tr w14:paraId="132CFE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19" w:hRule="atLeast"/>
          <w:jc w:val="center"/>
        </w:trPr>
        <w:tc>
          <w:tcPr>
            <w:tcW w:w="3187" w:type="dxa"/>
            <w:gridSpan w:val="2"/>
            <w:noWrap w:val="0"/>
            <w:vAlign w:val="center"/>
          </w:tcPr>
          <w:p w14:paraId="1D666CE4">
            <w:pP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26" w:type="dxa"/>
            <w:noWrap w:val="0"/>
            <w:vAlign w:val="center"/>
          </w:tcPr>
          <w:p w14:paraId="7412097A">
            <w:pPr>
              <w:rPr>
                <w:rFonts w:hint="eastAsia" w:ascii="宋体" w:hAnsi="宋体" w:eastAsia="宋体" w:cs="宋体"/>
                <w:color w:val="auto"/>
                <w:highlight w:val="none"/>
              </w:rPr>
            </w:pPr>
            <w:r>
              <w:rPr>
                <w:rFonts w:hint="eastAsia" w:ascii="宋体" w:hAnsi="宋体" w:eastAsia="宋体" w:cs="宋体"/>
                <w:color w:val="auto"/>
                <w:highlight w:val="none"/>
              </w:rPr>
              <w:t>1、投标人对所提交的投标人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66AEA161">
            <w:pPr>
              <w:rPr>
                <w:rFonts w:hint="eastAsia" w:ascii="宋体" w:hAnsi="宋体" w:eastAsia="宋体" w:cs="宋体"/>
                <w:color w:val="auto"/>
                <w:highlight w:val="none"/>
              </w:rPr>
            </w:pPr>
            <w:r>
              <w:rPr>
                <w:rFonts w:hint="eastAsia" w:ascii="宋体" w:hAnsi="宋体" w:eastAsia="宋体" w:cs="宋体"/>
                <w:color w:val="auto"/>
                <w:highlight w:val="none"/>
              </w:rPr>
              <w:t>2、中标人未履行下述义务的，</w:t>
            </w:r>
            <w:r>
              <w:rPr>
                <w:rFonts w:hint="eastAsia" w:ascii="宋体" w:hAnsi="宋体" w:eastAsia="宋体" w:cs="宋体"/>
                <w:color w:val="auto"/>
                <w:highlight w:val="none"/>
                <w:lang w:val="en-US"/>
              </w:rPr>
              <w:t>滁州市</w:t>
            </w:r>
            <w:r>
              <w:rPr>
                <w:rFonts w:hint="eastAsia" w:ascii="宋体" w:hAnsi="宋体" w:eastAsia="宋体" w:cs="宋体"/>
                <w:color w:val="auto"/>
                <w:highlight w:val="none"/>
              </w:rPr>
              <w:t>公共资源交易监督管理局或各县（市、区）公管局）将依法对中标人进行处理，追究相关责任：</w:t>
            </w:r>
          </w:p>
          <w:p w14:paraId="57B75F32">
            <w:pPr>
              <w:rPr>
                <w:rFonts w:hint="eastAsia" w:ascii="宋体" w:hAnsi="宋体" w:eastAsia="宋体" w:cs="宋体"/>
                <w:color w:val="auto"/>
                <w:highlight w:val="none"/>
              </w:rPr>
            </w:pPr>
            <w:r>
              <w:rPr>
                <w:rFonts w:hint="eastAsia" w:ascii="宋体" w:hAnsi="宋体" w:eastAsia="宋体" w:cs="宋体"/>
                <w:color w:val="auto"/>
                <w:highlight w:val="none"/>
              </w:rPr>
              <w:t>①中标人无正当理由不与招标人订立合同，在签订合同时向招标人提出附加条件，或者不按照招标文件要求提交履约保证金的，招标人有权取消中标人中标资格，并将相关违约行为报送监管部门处理；</w:t>
            </w:r>
          </w:p>
          <w:p w14:paraId="7673E0DD">
            <w:pPr>
              <w:rPr>
                <w:rFonts w:hint="eastAsia" w:ascii="宋体" w:hAnsi="宋体" w:eastAsia="宋体" w:cs="宋体"/>
                <w:color w:val="auto"/>
                <w:highlight w:val="none"/>
              </w:rPr>
            </w:pPr>
            <w:r>
              <w:rPr>
                <w:rFonts w:hint="eastAsia" w:ascii="宋体" w:hAnsi="宋体" w:eastAsia="宋体" w:cs="宋体"/>
                <w:color w:val="auto"/>
                <w:highlight w:val="none"/>
              </w:rPr>
              <w:t>②合同签订后，中标人存在规定时间内不组织人员进场开工、不履行供货安装义务等情况，招标人有权解除合同，并追究违约责任，同时将相关违约行为报送监管部门，记不良行为记录， 实施信用惩戒。</w:t>
            </w:r>
          </w:p>
          <w:p w14:paraId="2F176B37">
            <w:pPr>
              <w:rPr>
                <w:rFonts w:hint="eastAsia" w:ascii="宋体" w:hAnsi="宋体" w:eastAsia="宋体" w:cs="宋体"/>
                <w:color w:val="auto"/>
                <w:highlight w:val="none"/>
              </w:rPr>
            </w:pPr>
            <w:r>
              <w:rPr>
                <w:rFonts w:hint="eastAsia" w:ascii="宋体" w:hAnsi="宋体" w:eastAsia="宋体" w:cs="宋体"/>
                <w:color w:val="auto"/>
                <w:highlight w:val="none"/>
              </w:rPr>
              <w:t>3、本项目严禁非法转包，一经发现，招标人依法处理。</w:t>
            </w:r>
          </w:p>
        </w:tc>
      </w:tr>
      <w:tr w14:paraId="5E9FDA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187" w:type="dxa"/>
            <w:gridSpan w:val="2"/>
            <w:noWrap w:val="0"/>
            <w:vAlign w:val="center"/>
          </w:tcPr>
          <w:p w14:paraId="769B2D80">
            <w:pPr>
              <w:rPr>
                <w:rFonts w:hint="eastAsia" w:ascii="宋体" w:hAnsi="宋体" w:eastAsia="宋体" w:cs="宋体"/>
                <w:color w:val="auto"/>
                <w:highlight w:val="none"/>
              </w:rPr>
            </w:pPr>
            <w:r>
              <w:rPr>
                <w:rFonts w:hint="eastAsia" w:ascii="宋体" w:hAnsi="宋体" w:eastAsia="宋体" w:cs="宋体"/>
                <w:color w:val="auto"/>
                <w:highlight w:val="none"/>
              </w:rPr>
              <w:t>特别提示</w:t>
            </w:r>
          </w:p>
        </w:tc>
        <w:tc>
          <w:tcPr>
            <w:tcW w:w="6626" w:type="dxa"/>
            <w:noWrap w:val="0"/>
            <w:vAlign w:val="center"/>
          </w:tcPr>
          <w:p w14:paraId="4518AC5D">
            <w:pPr>
              <w:rPr>
                <w:rFonts w:hint="eastAsia" w:ascii="宋体" w:hAnsi="宋体" w:eastAsia="宋体" w:cs="宋体"/>
                <w:color w:val="auto"/>
                <w:highlight w:val="none"/>
              </w:rPr>
            </w:pPr>
            <w:r>
              <w:rPr>
                <w:rFonts w:hint="eastAsia" w:ascii="宋体" w:hAnsi="宋体" w:eastAsia="宋体" w:cs="宋体"/>
                <w:color w:val="auto"/>
                <w:highlight w:val="none"/>
              </w:rPr>
              <w:t>1.本项目投标保证金、履约保证金、工程质量保证金、农民工工资保证金均支持保函使用。以现金形式提交保证金的，应当同时退还保证金本金和银行同期存款利息。</w:t>
            </w:r>
          </w:p>
          <w:p w14:paraId="76ABFB7B">
            <w:pPr>
              <w:rPr>
                <w:rFonts w:hint="eastAsia" w:ascii="宋体" w:hAnsi="宋体" w:eastAsia="宋体" w:cs="宋体"/>
                <w:color w:val="auto"/>
                <w:highlight w:val="none"/>
              </w:rPr>
            </w:pPr>
            <w:r>
              <w:rPr>
                <w:rFonts w:hint="eastAsia" w:ascii="宋体" w:hAnsi="宋体" w:eastAsia="宋体" w:cs="宋体"/>
                <w:color w:val="auto"/>
                <w:highlight w:val="none"/>
              </w:rPr>
              <w:t>2.投标人应填写投标信息并下载招标文件，否则无法上传投标文件。</w:t>
            </w:r>
          </w:p>
          <w:p w14:paraId="74CCCD4B">
            <w:pPr>
              <w:rPr>
                <w:rFonts w:hint="eastAsia" w:ascii="宋体" w:hAnsi="宋体" w:eastAsia="宋体" w:cs="宋体"/>
                <w:color w:val="auto"/>
                <w:highlight w:val="none"/>
              </w:rPr>
            </w:pPr>
            <w:r>
              <w:rPr>
                <w:rFonts w:hint="eastAsia" w:ascii="宋体" w:hAnsi="宋体" w:eastAsia="宋体" w:cs="宋体"/>
                <w:color w:val="auto"/>
                <w:highlight w:val="none"/>
              </w:rPr>
              <w:t>注：投标人如为联合体的，牵头人必须完善投标人信息，并在上传投标文件环节添加联合体投标信息。</w:t>
            </w:r>
          </w:p>
          <w:p w14:paraId="67568BAB">
            <w:pPr>
              <w:rPr>
                <w:rFonts w:hint="eastAsia" w:ascii="宋体" w:hAnsi="宋体" w:eastAsia="宋体" w:cs="宋体"/>
                <w:color w:val="auto"/>
                <w:highlight w:val="none"/>
              </w:rPr>
            </w:pPr>
            <w:r>
              <w:rPr>
                <w:rFonts w:hint="eastAsia" w:ascii="宋体" w:hAnsi="宋体" w:eastAsia="宋体" w:cs="宋体"/>
                <w:color w:val="auto"/>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w:t>
            </w:r>
            <w:r>
              <w:rPr>
                <w:rFonts w:hint="eastAsia" w:ascii="宋体" w:hAnsi="宋体" w:eastAsia="宋体" w:cs="宋体"/>
                <w:color w:val="auto"/>
                <w:highlight w:val="none"/>
                <w:lang w:eastAsia="zh-CN"/>
              </w:rPr>
              <w:t>0512-58188516</w:t>
            </w:r>
            <w:r>
              <w:rPr>
                <w:rFonts w:hint="eastAsia" w:ascii="宋体" w:hAnsi="宋体" w:eastAsia="宋体" w:cs="宋体"/>
                <w:color w:val="auto"/>
                <w:highlight w:val="none"/>
              </w:rPr>
              <w:t>。</w:t>
            </w:r>
          </w:p>
          <w:p w14:paraId="22EC0297">
            <w:pPr>
              <w:rPr>
                <w:rFonts w:hint="eastAsia" w:ascii="宋体" w:hAnsi="宋体" w:eastAsia="宋体" w:cs="宋体"/>
                <w:color w:val="auto"/>
                <w:highlight w:val="none"/>
              </w:rPr>
            </w:pPr>
            <w:r>
              <w:rPr>
                <w:rFonts w:hint="eastAsia" w:ascii="宋体" w:hAnsi="宋体" w:eastAsia="宋体" w:cs="宋体"/>
                <w:color w:val="auto"/>
                <w:highlight w:val="none"/>
              </w:rPr>
              <w:t>4.如果过程中出现招标文件更改，应以最后发布的招标答疑澄清文件中的模板制作本项目最新投标文件。</w:t>
            </w:r>
          </w:p>
          <w:p w14:paraId="5AB905BD">
            <w:pPr>
              <w:rPr>
                <w:rFonts w:hint="eastAsia" w:ascii="宋体" w:hAnsi="宋体" w:eastAsia="宋体" w:cs="宋体"/>
                <w:color w:val="auto"/>
                <w:highlight w:val="none"/>
              </w:rPr>
            </w:pPr>
            <w:r>
              <w:rPr>
                <w:rFonts w:hint="eastAsia" w:ascii="宋体" w:hAnsi="宋体" w:eastAsia="宋体" w:cs="宋体"/>
                <w:color w:val="auto"/>
                <w:highlight w:val="none"/>
              </w:rPr>
              <w:t xml:space="preserve">5.投标人应当用本单位CA数字证书制作投标文件，制作成功后进行投标文件上传。 </w:t>
            </w:r>
          </w:p>
          <w:p w14:paraId="6C9C12E9">
            <w:pPr>
              <w:rPr>
                <w:rFonts w:hint="eastAsia" w:ascii="宋体" w:hAnsi="宋体" w:eastAsia="宋体" w:cs="宋体"/>
                <w:color w:val="auto"/>
                <w:highlight w:val="none"/>
              </w:rPr>
            </w:pPr>
            <w:r>
              <w:rPr>
                <w:rFonts w:hint="eastAsia" w:ascii="宋体" w:hAnsi="宋体" w:eastAsia="宋体" w:cs="宋体"/>
                <w:color w:val="auto"/>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0C125595">
            <w:pPr>
              <w:rPr>
                <w:rFonts w:hint="eastAsia" w:ascii="宋体" w:hAnsi="宋体" w:eastAsia="宋体" w:cs="宋体"/>
                <w:color w:val="auto"/>
                <w:highlight w:val="none"/>
              </w:rPr>
            </w:pPr>
            <w:r>
              <w:rPr>
                <w:rFonts w:hint="eastAsia" w:ascii="宋体" w:hAnsi="宋体" w:eastAsia="宋体" w:cs="宋体"/>
                <w:color w:val="auto"/>
                <w:highlight w:val="none"/>
              </w:rPr>
              <w:t>7.请投标人注意加密投标文件CA数字证书的有效期，不在有效期的CA数字证书无法解密投标文件。</w:t>
            </w:r>
          </w:p>
          <w:p w14:paraId="3964C8B1">
            <w:pPr>
              <w:rPr>
                <w:rFonts w:hint="eastAsia" w:ascii="宋体" w:hAnsi="宋体" w:eastAsia="宋体" w:cs="宋体"/>
                <w:color w:val="auto"/>
                <w:highlight w:val="none"/>
              </w:rPr>
            </w:pPr>
            <w:r>
              <w:rPr>
                <w:rFonts w:hint="eastAsia" w:ascii="宋体" w:hAnsi="宋体" w:eastAsia="宋体" w:cs="宋体"/>
                <w:color w:val="auto"/>
                <w:highlight w:val="none"/>
              </w:rPr>
              <w:t>8.投标人投标MAC地址一致或申请开具电子保函MAC地址一致的，由评标委员会否决其投标。</w:t>
            </w:r>
          </w:p>
          <w:p w14:paraId="200EF356">
            <w:pPr>
              <w:rPr>
                <w:rFonts w:hint="eastAsia" w:ascii="宋体" w:hAnsi="宋体" w:eastAsia="宋体" w:cs="宋体"/>
                <w:color w:val="auto"/>
                <w:highlight w:val="none"/>
              </w:rPr>
            </w:pPr>
            <w:r>
              <w:rPr>
                <w:rFonts w:hint="eastAsia" w:ascii="宋体" w:hAnsi="宋体" w:eastAsia="宋体" w:cs="宋体"/>
                <w:color w:val="auto"/>
                <w:highlight w:val="none"/>
              </w:rPr>
              <w:t>9.投标人投标文件中单方面出现其他投标人材料的（依法组成联合体投标的除外），由评标委员会否决其投标。</w:t>
            </w:r>
          </w:p>
          <w:p w14:paraId="12BB2175">
            <w:pPr>
              <w:rPr>
                <w:rFonts w:hint="eastAsia" w:ascii="宋体" w:hAnsi="宋体" w:eastAsia="宋体" w:cs="宋体"/>
                <w:color w:val="auto"/>
                <w:highlight w:val="none"/>
              </w:rPr>
            </w:pPr>
            <w:r>
              <w:rPr>
                <w:rFonts w:hint="eastAsia" w:ascii="宋体" w:hAnsi="宋体" w:eastAsia="宋体" w:cs="宋体"/>
                <w:color w:val="auto"/>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615E5083">
            <w:pPr>
              <w:rPr>
                <w:rFonts w:hint="eastAsia" w:ascii="宋体" w:hAnsi="宋体" w:eastAsia="宋体" w:cs="宋体"/>
                <w:color w:val="auto"/>
                <w:highlight w:val="none"/>
              </w:rPr>
            </w:pPr>
            <w:r>
              <w:rPr>
                <w:rFonts w:hint="eastAsia" w:ascii="宋体" w:hAnsi="宋体" w:eastAsia="宋体" w:cs="宋体"/>
                <w:color w:val="auto"/>
                <w:highlight w:val="none"/>
              </w:rPr>
              <w:t>11.若存在不予退还投标人投标保证金的情形，银行转账的，由公共资源交易中心代为收缴，递交保函的，由招标人予以追缴。</w:t>
            </w:r>
          </w:p>
          <w:p w14:paraId="0485DF8A">
            <w:pPr>
              <w:rPr>
                <w:rFonts w:hint="eastAsia" w:ascii="宋体" w:hAnsi="宋体" w:eastAsia="宋体" w:cs="宋体"/>
                <w:color w:val="auto"/>
                <w:highlight w:val="none"/>
              </w:rPr>
            </w:pPr>
            <w:r>
              <w:rPr>
                <w:rFonts w:hint="eastAsia" w:ascii="宋体" w:hAnsi="宋体" w:eastAsia="宋体" w:cs="宋体"/>
                <w:color w:val="auto"/>
                <w:highlight w:val="none"/>
              </w:rPr>
              <w:t>12.投标人以联合体名义投标的，其异议投诉应当由联合体全体成员共同提出。联合体成员单独进行异议投诉的，应当书面征得联合体其他成员同意，联合体成员之间投诉的除外。</w:t>
            </w:r>
          </w:p>
          <w:p w14:paraId="7F81ED15">
            <w:pPr>
              <w:rPr>
                <w:rFonts w:hint="eastAsia" w:ascii="宋体" w:hAnsi="宋体" w:eastAsia="宋体" w:cs="宋体"/>
                <w:color w:val="auto"/>
                <w:highlight w:val="none"/>
              </w:rPr>
            </w:pPr>
            <w:r>
              <w:rPr>
                <w:rFonts w:hint="eastAsia" w:ascii="宋体" w:hAnsi="宋体" w:eastAsia="宋体" w:cs="宋体"/>
                <w:color w:val="auto"/>
                <w:highlight w:val="none"/>
              </w:rPr>
              <w:t>13.投标人联系人或联系电话相同的，由评标委员会否决其投标，并报告监管部门作不良行为处理和进一步调查。</w:t>
            </w:r>
          </w:p>
          <w:p w14:paraId="1F44AED9">
            <w:pPr>
              <w:rPr>
                <w:rFonts w:hint="eastAsia" w:ascii="宋体" w:hAnsi="宋体" w:eastAsia="宋体" w:cs="宋体"/>
                <w:color w:val="auto"/>
                <w:highlight w:val="none"/>
              </w:rPr>
            </w:pPr>
            <w:r>
              <w:rPr>
                <w:rFonts w:hint="eastAsia" w:ascii="宋体" w:hAnsi="宋体" w:eastAsia="宋体" w:cs="宋体"/>
                <w:color w:val="auto"/>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bl>
    <w:p w14:paraId="22146AD6">
      <w:pPr>
        <w:pageBreakBefore/>
        <w:spacing w:before="240" w:beforeLines="100" w:after="240"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bookmarkEnd w:id="40"/>
      <w:bookmarkEnd w:id="41"/>
    </w:p>
    <w:p w14:paraId="12FA2D56">
      <w:pPr>
        <w:spacing w:line="440" w:lineRule="exact"/>
        <w:jc w:val="center"/>
        <w:rPr>
          <w:rFonts w:hint="eastAsia" w:ascii="宋体"/>
          <w:color w:val="auto"/>
          <w:sz w:val="28"/>
          <w:szCs w:val="28"/>
          <w:highlight w:val="none"/>
        </w:rPr>
      </w:pPr>
      <w:bookmarkStart w:id="42" w:name="_Toc449028867"/>
      <w:r>
        <w:rPr>
          <w:rFonts w:hint="eastAsia" w:ascii="宋体"/>
          <w:b/>
          <w:color w:val="auto"/>
          <w:sz w:val="28"/>
          <w:szCs w:val="28"/>
          <w:highlight w:val="none"/>
        </w:rPr>
        <w:t>（一）</w:t>
      </w:r>
      <w:r>
        <w:rPr>
          <w:rFonts w:hint="eastAsia" w:ascii="宋体"/>
          <w:b/>
          <w:color w:val="auto"/>
          <w:sz w:val="28"/>
          <w:szCs w:val="32"/>
          <w:highlight w:val="none"/>
        </w:rPr>
        <w:t>总  则</w:t>
      </w:r>
      <w:bookmarkEnd w:id="42"/>
    </w:p>
    <w:p w14:paraId="567AAC37">
      <w:pPr>
        <w:snapToGrid w:val="0"/>
        <w:spacing w:line="440" w:lineRule="exact"/>
        <w:ind w:firstLine="422" w:firstLineChars="200"/>
        <w:rPr>
          <w:rFonts w:hint="eastAsia" w:ascii="宋体"/>
          <w:b/>
          <w:color w:val="auto"/>
          <w:szCs w:val="21"/>
          <w:highlight w:val="none"/>
        </w:rPr>
      </w:pPr>
      <w:r>
        <w:rPr>
          <w:rFonts w:hint="eastAsia" w:ascii="宋体"/>
          <w:b/>
          <w:color w:val="auto"/>
          <w:szCs w:val="21"/>
          <w:highlight w:val="none"/>
        </w:rPr>
        <w:t>1.项目概况</w:t>
      </w:r>
    </w:p>
    <w:p w14:paraId="1460B382">
      <w:pPr>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1.1本次招标项目名称：见投标人须知前附表。</w:t>
      </w:r>
    </w:p>
    <w:p w14:paraId="5A499029">
      <w:pPr>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14:paraId="0007F6ED">
      <w:pPr>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14:paraId="796333E8">
      <w:pPr>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w:t>
      </w:r>
      <w:r>
        <w:rPr>
          <w:rFonts w:hint="eastAsia" w:ascii="宋体"/>
          <w:color w:val="auto"/>
          <w:szCs w:val="21"/>
          <w:highlight w:val="none"/>
          <w:lang w:val="en-US" w:eastAsia="zh-CN"/>
        </w:rPr>
        <w:t>服务期</w:t>
      </w:r>
      <w:r>
        <w:rPr>
          <w:rFonts w:hint="eastAsia" w:ascii="宋体"/>
          <w:color w:val="auto"/>
          <w:szCs w:val="21"/>
          <w:highlight w:val="none"/>
        </w:rPr>
        <w:t>：见投标人须知前附表。</w:t>
      </w:r>
    </w:p>
    <w:p w14:paraId="1B7A495A">
      <w:pPr>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w:t>
      </w:r>
      <w:r>
        <w:rPr>
          <w:rFonts w:hint="eastAsia" w:ascii="宋体"/>
          <w:color w:val="auto"/>
          <w:szCs w:val="21"/>
          <w:highlight w:val="none"/>
          <w:lang w:val="en-US" w:eastAsia="zh-CN"/>
        </w:rPr>
        <w:t xml:space="preserve"> </w:t>
      </w:r>
      <w:r>
        <w:rPr>
          <w:rFonts w:hint="eastAsia"/>
          <w:color w:val="auto"/>
          <w:spacing w:val="-6"/>
          <w:szCs w:val="21"/>
          <w:highlight w:val="none"/>
          <w:lang w:val="en-US" w:eastAsia="zh-CN"/>
        </w:rPr>
        <w:t>服务</w:t>
      </w:r>
      <w:r>
        <w:rPr>
          <w:rFonts w:hint="eastAsia"/>
          <w:color w:val="auto"/>
          <w:spacing w:val="-6"/>
          <w:szCs w:val="21"/>
          <w:highlight w:val="none"/>
        </w:rPr>
        <w:t>地点</w:t>
      </w:r>
      <w:r>
        <w:rPr>
          <w:rFonts w:hint="eastAsia" w:ascii="宋体"/>
          <w:color w:val="auto"/>
          <w:szCs w:val="21"/>
          <w:highlight w:val="none"/>
        </w:rPr>
        <w:t>：见投标人须知前附表。</w:t>
      </w:r>
    </w:p>
    <w:p w14:paraId="418AD2DA">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1.2招标人及联系人: 见投标人须知前附表。</w:t>
      </w:r>
    </w:p>
    <w:p w14:paraId="716A5188">
      <w:pPr>
        <w:snapToGrid w:val="0"/>
        <w:spacing w:line="440" w:lineRule="exact"/>
        <w:ind w:firstLine="630" w:firstLineChars="300"/>
        <w:rPr>
          <w:rFonts w:hint="eastAsia" w:ascii="宋体"/>
          <w:color w:val="auto"/>
          <w:szCs w:val="21"/>
          <w:highlight w:val="none"/>
        </w:rPr>
      </w:pPr>
      <w:r>
        <w:rPr>
          <w:rFonts w:hint="eastAsia" w:ascii="宋体"/>
          <w:color w:val="auto"/>
          <w:szCs w:val="21"/>
          <w:highlight w:val="none"/>
        </w:rPr>
        <w:t>代理机构及联系人：见投标人须知前附表。</w:t>
      </w:r>
    </w:p>
    <w:p w14:paraId="71C5020F">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14:paraId="6BECB8D7">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14:paraId="5D8893D8">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1.5本项目最高限价：见投标人须知前附表。</w:t>
      </w:r>
    </w:p>
    <w:p w14:paraId="5DE23EC0">
      <w:pPr>
        <w:snapToGrid w:val="0"/>
        <w:spacing w:line="440" w:lineRule="exact"/>
        <w:ind w:firstLine="422" w:firstLineChars="200"/>
        <w:rPr>
          <w:rFonts w:hint="eastAsia" w:ascii="宋体"/>
          <w:b/>
          <w:color w:val="auto"/>
          <w:szCs w:val="21"/>
          <w:highlight w:val="none"/>
        </w:rPr>
      </w:pPr>
      <w:r>
        <w:rPr>
          <w:rFonts w:hint="eastAsia" w:ascii="宋体"/>
          <w:b/>
          <w:color w:val="auto"/>
          <w:szCs w:val="21"/>
          <w:highlight w:val="none"/>
        </w:rPr>
        <w:t>2.招标范围：</w:t>
      </w:r>
    </w:p>
    <w:p w14:paraId="1428809A">
      <w:pPr>
        <w:snapToGrid w:val="0"/>
        <w:spacing w:line="440" w:lineRule="exact"/>
        <w:ind w:firstLine="420" w:firstLineChars="200"/>
        <w:rPr>
          <w:rFonts w:ascii="宋体"/>
          <w:color w:val="auto"/>
          <w:szCs w:val="21"/>
          <w:highlight w:val="none"/>
          <w:u w:val="single"/>
        </w:rPr>
      </w:pPr>
      <w:r>
        <w:rPr>
          <w:rFonts w:hint="eastAsia" w:ascii="宋体"/>
          <w:color w:val="auto"/>
          <w:szCs w:val="21"/>
          <w:highlight w:val="none"/>
        </w:rPr>
        <w:t>2.1 采购内容：</w:t>
      </w:r>
      <w:r>
        <w:rPr>
          <w:rFonts w:hint="eastAsia"/>
          <w:color w:val="auto"/>
          <w:highlight w:val="none"/>
        </w:rPr>
        <w:t>详见《</w:t>
      </w:r>
      <w:r>
        <w:rPr>
          <w:rFonts w:hint="eastAsia" w:ascii="宋体" w:hAnsi="宋体" w:cs="宋体"/>
          <w:color w:val="auto"/>
          <w:szCs w:val="21"/>
          <w:highlight w:val="none"/>
          <w:lang w:val="en-US" w:eastAsia="zh-CN"/>
        </w:rPr>
        <w:t>采购需求</w:t>
      </w:r>
      <w:r>
        <w:rPr>
          <w:rFonts w:hint="eastAsia"/>
          <w:color w:val="auto"/>
          <w:highlight w:val="none"/>
        </w:rPr>
        <w:t>》</w:t>
      </w:r>
      <w:r>
        <w:rPr>
          <w:rFonts w:hint="eastAsia" w:ascii="宋体"/>
          <w:color w:val="auto"/>
          <w:szCs w:val="21"/>
          <w:highlight w:val="none"/>
        </w:rPr>
        <w:t>。</w:t>
      </w:r>
    </w:p>
    <w:p w14:paraId="54327639">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w:t>
      </w:r>
      <w:r>
        <w:rPr>
          <w:rFonts w:hint="eastAsia"/>
          <w:color w:val="auto"/>
          <w:highlight w:val="none"/>
        </w:rPr>
        <w:t>详见《</w:t>
      </w:r>
      <w:r>
        <w:rPr>
          <w:rFonts w:hint="eastAsia" w:ascii="宋体" w:hAnsi="宋体" w:cs="宋体"/>
          <w:color w:val="auto"/>
          <w:szCs w:val="21"/>
          <w:highlight w:val="none"/>
          <w:lang w:eastAsia="zh-CN"/>
        </w:rPr>
        <w:t>采购需求</w:t>
      </w:r>
      <w:r>
        <w:rPr>
          <w:rFonts w:hint="eastAsia"/>
          <w:color w:val="auto"/>
          <w:highlight w:val="none"/>
        </w:rPr>
        <w:t>》</w:t>
      </w:r>
      <w:r>
        <w:rPr>
          <w:rFonts w:hint="eastAsia" w:ascii="宋体"/>
          <w:color w:val="auto"/>
          <w:szCs w:val="21"/>
          <w:highlight w:val="none"/>
        </w:rPr>
        <w:t>。</w:t>
      </w:r>
    </w:p>
    <w:p w14:paraId="1D924AD3">
      <w:pPr>
        <w:snapToGrid w:val="0"/>
        <w:spacing w:line="440" w:lineRule="exact"/>
        <w:ind w:firstLine="422" w:firstLineChars="200"/>
        <w:rPr>
          <w:rFonts w:hint="eastAsia" w:ascii="宋体"/>
          <w:b/>
          <w:color w:val="auto"/>
          <w:szCs w:val="21"/>
          <w:highlight w:val="none"/>
        </w:rPr>
      </w:pPr>
      <w:r>
        <w:rPr>
          <w:rFonts w:hint="eastAsia" w:ascii="宋体"/>
          <w:b/>
          <w:color w:val="auto"/>
          <w:szCs w:val="21"/>
          <w:highlight w:val="none"/>
        </w:rPr>
        <w:t>3.标包划分：</w:t>
      </w:r>
    </w:p>
    <w:p w14:paraId="6069DD8D">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3.1本项目划分：见投标人须知前附表。</w:t>
      </w:r>
    </w:p>
    <w:p w14:paraId="0D0ABED7">
      <w:pPr>
        <w:snapToGrid w:val="0"/>
        <w:spacing w:line="440" w:lineRule="exact"/>
        <w:ind w:firstLine="422" w:firstLineChars="200"/>
        <w:rPr>
          <w:rFonts w:hint="eastAsia" w:ascii="宋体"/>
          <w:b/>
          <w:color w:val="auto"/>
          <w:szCs w:val="21"/>
          <w:highlight w:val="none"/>
        </w:rPr>
      </w:pPr>
      <w:r>
        <w:rPr>
          <w:rFonts w:hint="eastAsia" w:ascii="宋体"/>
          <w:b/>
          <w:color w:val="auto"/>
          <w:szCs w:val="21"/>
          <w:highlight w:val="none"/>
        </w:rPr>
        <w:t>4.招标方式：</w:t>
      </w:r>
    </w:p>
    <w:p w14:paraId="7B613D3F">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14:paraId="496E6C3D">
      <w:pPr>
        <w:snapToGrid w:val="0"/>
        <w:spacing w:line="440" w:lineRule="exact"/>
        <w:ind w:firstLine="422" w:firstLineChars="200"/>
        <w:rPr>
          <w:rFonts w:hint="eastAsia" w:ascii="宋体"/>
          <w:b/>
          <w:color w:val="auto"/>
          <w:szCs w:val="21"/>
          <w:highlight w:val="none"/>
        </w:rPr>
      </w:pPr>
      <w:r>
        <w:rPr>
          <w:rFonts w:hint="eastAsia" w:ascii="宋体"/>
          <w:b/>
          <w:color w:val="auto"/>
          <w:szCs w:val="21"/>
          <w:highlight w:val="none"/>
        </w:rPr>
        <w:t>5.计价方式：</w:t>
      </w:r>
    </w:p>
    <w:p w14:paraId="6E9595F6">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固定</w:t>
      </w:r>
      <w:r>
        <w:rPr>
          <w:rFonts w:hint="eastAsia" w:ascii="宋体"/>
          <w:color w:val="auto"/>
          <w:szCs w:val="21"/>
          <w:highlight w:val="none"/>
          <w:u w:val="single"/>
          <w:lang w:val="en-US" w:eastAsia="zh-CN"/>
        </w:rPr>
        <w:t>总价</w:t>
      </w:r>
      <w:r>
        <w:rPr>
          <w:rFonts w:hint="eastAsia" w:ascii="宋体"/>
          <w:color w:val="auto"/>
          <w:szCs w:val="21"/>
          <w:highlight w:val="none"/>
          <w:u w:val="single"/>
        </w:rPr>
        <w:t xml:space="preserve"> </w:t>
      </w:r>
      <w:r>
        <w:rPr>
          <w:rFonts w:hint="eastAsia" w:ascii="宋体"/>
          <w:color w:val="auto"/>
          <w:szCs w:val="21"/>
          <w:highlight w:val="none"/>
        </w:rPr>
        <w:t>。</w:t>
      </w:r>
    </w:p>
    <w:p w14:paraId="0B9B79C1">
      <w:pPr>
        <w:snapToGrid w:val="0"/>
        <w:spacing w:line="440" w:lineRule="exact"/>
        <w:ind w:firstLine="422" w:firstLineChars="200"/>
        <w:rPr>
          <w:rFonts w:hint="eastAsia" w:ascii="宋体"/>
          <w:b/>
          <w:color w:val="auto"/>
          <w:szCs w:val="21"/>
          <w:highlight w:val="none"/>
        </w:rPr>
      </w:pPr>
      <w:r>
        <w:rPr>
          <w:rFonts w:hint="eastAsia" w:ascii="宋体"/>
          <w:b/>
          <w:color w:val="auto"/>
          <w:szCs w:val="21"/>
          <w:highlight w:val="none"/>
        </w:rPr>
        <w:t>6.评标办法：</w:t>
      </w:r>
    </w:p>
    <w:p w14:paraId="3F4BDF79">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综合评估法</w:t>
      </w:r>
      <w:r>
        <w:rPr>
          <w:rFonts w:hint="eastAsia" w:ascii="宋体"/>
          <w:color w:val="auto"/>
          <w:szCs w:val="21"/>
          <w:highlight w:val="none"/>
          <w:u w:val="single"/>
        </w:rPr>
        <w:t xml:space="preserve"> 。</w:t>
      </w:r>
      <w:r>
        <w:rPr>
          <w:rFonts w:hint="eastAsia" w:ascii="宋体"/>
          <w:color w:val="auto"/>
          <w:szCs w:val="21"/>
          <w:highlight w:val="none"/>
        </w:rPr>
        <w:t>（详见第四章评标办法）</w:t>
      </w:r>
    </w:p>
    <w:p w14:paraId="3EFC6811">
      <w:pPr>
        <w:snapToGrid w:val="0"/>
        <w:spacing w:line="440" w:lineRule="exact"/>
        <w:ind w:firstLine="422" w:firstLineChars="200"/>
        <w:rPr>
          <w:rFonts w:hint="eastAsia" w:ascii="宋体"/>
          <w:b/>
          <w:color w:val="auto"/>
          <w:szCs w:val="21"/>
          <w:highlight w:val="none"/>
        </w:rPr>
      </w:pPr>
      <w:r>
        <w:rPr>
          <w:rFonts w:hint="eastAsia" w:ascii="宋体"/>
          <w:b/>
          <w:color w:val="auto"/>
          <w:szCs w:val="21"/>
          <w:highlight w:val="none"/>
        </w:rPr>
        <w:t>7.投标人资格：</w:t>
      </w:r>
    </w:p>
    <w:p w14:paraId="731D9EDA">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7.1详见投标人须知前附表。</w:t>
      </w:r>
    </w:p>
    <w:p w14:paraId="5E79C9D1">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7.2</w:t>
      </w:r>
      <w:r>
        <w:rPr>
          <w:rFonts w:hint="eastAsia" w:ascii="宋体" w:hAnsi="Times New Roman" w:eastAsia="宋体" w:cs="Times New Roman"/>
          <w:color w:val="auto"/>
          <w:szCs w:val="21"/>
          <w:highlight w:val="none"/>
        </w:rPr>
        <w:t>投标人须知前附表规定接受联合体投标的，除应符合本章第</w:t>
      </w:r>
      <w:r>
        <w:rPr>
          <w:rFonts w:hint="eastAsia" w:ascii="宋体" w:hAnsi="Times New Roman" w:eastAsia="宋体" w:cs="Times New Roman"/>
          <w:color w:val="auto"/>
          <w:szCs w:val="21"/>
          <w:highlight w:val="none"/>
          <w:lang w:val="en-US" w:eastAsia="zh-CN"/>
        </w:rPr>
        <w:t>7</w:t>
      </w:r>
      <w:r>
        <w:rPr>
          <w:rFonts w:hint="eastAsia" w:ascii="宋体" w:hAnsi="Times New Roman" w:eastAsia="宋体" w:cs="Times New Roman"/>
          <w:color w:val="auto"/>
          <w:szCs w:val="21"/>
          <w:highlight w:val="none"/>
        </w:rPr>
        <w:t xml:space="preserve">.1项和投标人须知前附表的要求外，还应遵守以下规定： </w:t>
      </w:r>
    </w:p>
    <w:p w14:paraId="14E03CBE">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（1）联合体各方应按招标文件提供的格式签订联合体协议书，明确联合体各方权利义务，并承诺就中标项目向招标人承担连带责任；</w:t>
      </w:r>
    </w:p>
    <w:p w14:paraId="048B7D29">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（2）联合体各方不得再以自己名义单独或参加其他联合体在同一标段中投标。</w:t>
      </w:r>
    </w:p>
    <w:p w14:paraId="416901CD">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7.3</w:t>
      </w:r>
      <w:r>
        <w:rPr>
          <w:rFonts w:hint="eastAsia" w:ascii="宋体" w:hAnsi="Times New Roman" w:eastAsia="宋体" w:cs="Times New Roman"/>
          <w:color w:val="auto"/>
          <w:szCs w:val="21"/>
          <w:highlight w:val="none"/>
        </w:rPr>
        <w:t>投标人（包括联合体各成员）不得与本标段相关单位存在下列关联关系：</w:t>
      </w:r>
    </w:p>
    <w:p w14:paraId="13D646BE">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（1）为招标人不具有独立法人资格的附属机构（单位）；</w:t>
      </w:r>
    </w:p>
    <w:p w14:paraId="662AE453">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（2）与招标人存在利害关系且可能影响招标公正性；</w:t>
      </w:r>
    </w:p>
    <w:p w14:paraId="1ACB0E5C">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（3）与本标段的其他投标人同为一个单位负责人；</w:t>
      </w:r>
    </w:p>
    <w:p w14:paraId="426243DF">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（4）与本标段的其他投标人存在控股、管理关系；</w:t>
      </w:r>
    </w:p>
    <w:p w14:paraId="20963C22">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（5）为本标段前期准备提供设计或咨询服务的法人或其任何附属机构（单位）；</w:t>
      </w:r>
    </w:p>
    <w:p w14:paraId="5B7C4A6D">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（6）为本标段的监理人；</w:t>
      </w:r>
    </w:p>
    <w:p w14:paraId="24150B72">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（7）为本标段的代建人；</w:t>
      </w:r>
    </w:p>
    <w:p w14:paraId="67313199">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（8）为本标段的招标代理机构；</w:t>
      </w:r>
    </w:p>
    <w:p w14:paraId="142898EE">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（9）与本标段的监理人或代建人或招标代理机构同为一个法定代表人；</w:t>
      </w:r>
    </w:p>
    <w:p w14:paraId="61E2E486">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（10）与本标段的监理人或代建人或招标代理机构存在控股或参股关系；</w:t>
      </w:r>
    </w:p>
    <w:p w14:paraId="22A5DB93">
      <w:pPr>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（11）法律法规或投标人须知前附表规定的其他情形。</w:t>
      </w:r>
    </w:p>
    <w:p w14:paraId="42B06D38">
      <w:pPr>
        <w:spacing w:line="440" w:lineRule="exact"/>
        <w:ind w:firstLine="422" w:firstLineChars="200"/>
        <w:rPr>
          <w:rFonts w:hint="eastAsia"/>
          <w:b/>
          <w:color w:val="auto"/>
          <w:szCs w:val="21"/>
          <w:highlight w:val="none"/>
        </w:rPr>
      </w:pPr>
      <w:r>
        <w:rPr>
          <w:rFonts w:hint="eastAsia"/>
          <w:b/>
          <w:color w:val="auto"/>
          <w:szCs w:val="21"/>
          <w:highlight w:val="none"/>
        </w:rPr>
        <w:t>8. 投标费用</w:t>
      </w:r>
    </w:p>
    <w:p w14:paraId="65FBCEDA">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14:paraId="2251296E">
      <w:pPr>
        <w:spacing w:line="440" w:lineRule="exact"/>
        <w:ind w:firstLine="422" w:firstLineChars="200"/>
        <w:rPr>
          <w:rFonts w:hint="eastAsia"/>
          <w:b/>
          <w:color w:val="auto"/>
          <w:szCs w:val="21"/>
          <w:highlight w:val="none"/>
        </w:rPr>
      </w:pPr>
      <w:r>
        <w:rPr>
          <w:rFonts w:hint="eastAsia"/>
          <w:b/>
          <w:color w:val="auto"/>
          <w:szCs w:val="21"/>
          <w:highlight w:val="none"/>
        </w:rPr>
        <w:t>9.</w:t>
      </w:r>
      <w:bookmarkStart w:id="43" w:name="_Toc247513962"/>
      <w:bookmarkStart w:id="44" w:name="_Toc247592876"/>
      <w:bookmarkStart w:id="45" w:name="_Toc144974507"/>
      <w:bookmarkStart w:id="46" w:name="_Toc247527563"/>
      <w:bookmarkStart w:id="47" w:name="_Toc296602429"/>
      <w:bookmarkStart w:id="48" w:name="_Toc152042315"/>
      <w:bookmarkStart w:id="49" w:name="_Toc152045539"/>
      <w:r>
        <w:rPr>
          <w:rFonts w:hint="eastAsia"/>
          <w:b/>
          <w:color w:val="auto"/>
          <w:szCs w:val="21"/>
          <w:highlight w:val="none"/>
        </w:rPr>
        <w:t xml:space="preserve"> 踏勘现场</w:t>
      </w:r>
      <w:bookmarkEnd w:id="43"/>
      <w:bookmarkEnd w:id="44"/>
      <w:bookmarkEnd w:id="45"/>
      <w:bookmarkEnd w:id="46"/>
      <w:bookmarkEnd w:id="47"/>
      <w:bookmarkEnd w:id="48"/>
      <w:bookmarkEnd w:id="49"/>
    </w:p>
    <w:p w14:paraId="633D8FA3">
      <w:pPr>
        <w:spacing w:line="440" w:lineRule="exact"/>
        <w:ind w:firstLine="409" w:firstLineChars="195"/>
        <w:rPr>
          <w:rFonts w:hint="eastAsia" w:ascii="宋体"/>
          <w:color w:val="auto"/>
          <w:szCs w:val="21"/>
          <w:highlight w:val="none"/>
        </w:rPr>
      </w:pPr>
      <w:r>
        <w:rPr>
          <w:rFonts w:hint="eastAsia" w:ascii="宋体"/>
          <w:color w:val="auto"/>
          <w:szCs w:val="21"/>
          <w:highlight w:val="none"/>
        </w:rPr>
        <w:t xml:space="preserve">9.1 投标人须知前附表规定组织踏勘现场的，招标人按投标人须知前附表规定的时间、地点组织投标人踏勘项目现场。 </w:t>
      </w:r>
    </w:p>
    <w:p w14:paraId="30986479">
      <w:pPr>
        <w:spacing w:line="440" w:lineRule="exact"/>
        <w:ind w:firstLine="409" w:firstLineChars="195"/>
        <w:rPr>
          <w:rFonts w:hint="eastAsia" w:ascii="宋体"/>
          <w:color w:val="auto"/>
          <w:szCs w:val="21"/>
          <w:highlight w:val="none"/>
        </w:rPr>
      </w:pPr>
      <w:r>
        <w:rPr>
          <w:rFonts w:hint="eastAsia" w:ascii="宋体"/>
          <w:color w:val="auto"/>
          <w:szCs w:val="21"/>
          <w:highlight w:val="none"/>
        </w:rPr>
        <w:t>9.2 投标人踏勘现场发生的费用自理。</w:t>
      </w:r>
    </w:p>
    <w:p w14:paraId="5C87051C">
      <w:pPr>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547516EF">
      <w:pPr>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50" w:name="_Toc152042316"/>
      <w:bookmarkStart w:id="51" w:name="_Toc247592877"/>
      <w:bookmarkStart w:id="52" w:name="_Toc247527564"/>
      <w:bookmarkStart w:id="53" w:name="_Toc247513963"/>
      <w:bookmarkStart w:id="54" w:name="_Toc296602430"/>
      <w:bookmarkStart w:id="55" w:name="_Toc152045540"/>
      <w:bookmarkStart w:id="56" w:name="_Toc144974508"/>
    </w:p>
    <w:p w14:paraId="60C0D97F">
      <w:pPr>
        <w:spacing w:line="440" w:lineRule="exact"/>
        <w:ind w:firstLine="409" w:firstLineChars="195"/>
        <w:rPr>
          <w:rFonts w:hint="eastAsia" w:ascii="宋体"/>
          <w:color w:val="auto"/>
          <w:szCs w:val="21"/>
          <w:highlight w:val="none"/>
        </w:rPr>
      </w:pPr>
      <w:r>
        <w:rPr>
          <w:rFonts w:hint="eastAsia" w:ascii="宋体"/>
          <w:color w:val="auto"/>
          <w:szCs w:val="21"/>
          <w:highlight w:val="none"/>
        </w:rPr>
        <w:t>9.5无论投标人是否到施工现场实地踏勘，中标后签订合同时和履约过程中，投标人不得以不完全了解现场情况或现场情况与招标文件描述不一致等为由，提出任何形式的增加工程造价或索赔的要求。</w:t>
      </w:r>
    </w:p>
    <w:p w14:paraId="68CB7A70">
      <w:pPr>
        <w:spacing w:line="440" w:lineRule="exact"/>
        <w:ind w:firstLine="422" w:firstLineChars="200"/>
        <w:rPr>
          <w:rFonts w:hint="eastAsia"/>
          <w:b/>
          <w:color w:val="auto"/>
          <w:szCs w:val="21"/>
          <w:highlight w:val="none"/>
        </w:rPr>
      </w:pPr>
      <w:r>
        <w:rPr>
          <w:rFonts w:hint="eastAsia"/>
          <w:b/>
          <w:color w:val="auto"/>
          <w:szCs w:val="21"/>
          <w:highlight w:val="none"/>
        </w:rPr>
        <w:t>10. 投标预备会</w:t>
      </w:r>
      <w:bookmarkEnd w:id="50"/>
      <w:bookmarkEnd w:id="51"/>
      <w:bookmarkEnd w:id="52"/>
      <w:bookmarkEnd w:id="53"/>
      <w:bookmarkEnd w:id="54"/>
      <w:bookmarkEnd w:id="55"/>
      <w:bookmarkEnd w:id="56"/>
      <w:r>
        <w:rPr>
          <w:rFonts w:hint="eastAsia"/>
          <w:b/>
          <w:color w:val="auto"/>
          <w:szCs w:val="21"/>
          <w:highlight w:val="none"/>
        </w:rPr>
        <w:t>（本项目不采用）</w:t>
      </w:r>
    </w:p>
    <w:p w14:paraId="5F77BE93">
      <w:pPr>
        <w:spacing w:line="440" w:lineRule="exact"/>
        <w:ind w:firstLine="420" w:firstLineChars="200"/>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7CC8F8BB">
      <w:pPr>
        <w:spacing w:line="440" w:lineRule="exact"/>
        <w:ind w:firstLine="422" w:firstLineChars="200"/>
        <w:rPr>
          <w:rFonts w:hint="eastAsia"/>
          <w:b/>
          <w:color w:val="auto"/>
          <w:szCs w:val="21"/>
          <w:highlight w:val="none"/>
        </w:rPr>
      </w:pPr>
      <w:r>
        <w:rPr>
          <w:rFonts w:hint="eastAsia"/>
          <w:b/>
          <w:color w:val="auto"/>
          <w:szCs w:val="21"/>
          <w:highlight w:val="none"/>
        </w:rPr>
        <w:t>11. 联合投标</w:t>
      </w:r>
    </w:p>
    <w:p w14:paraId="384B9977">
      <w:pPr>
        <w:pStyle w:val="4"/>
        <w:spacing w:after="0" w:line="400" w:lineRule="exact"/>
        <w:ind w:left="0" w:leftChars="0" w:firstLine="424" w:firstLineChars="202"/>
        <w:rPr>
          <w:rFonts w:hint="eastAsia"/>
          <w:bCs/>
          <w:color w:val="auto"/>
          <w:szCs w:val="21"/>
          <w:highlight w:val="none"/>
        </w:rPr>
      </w:pPr>
      <w:r>
        <w:rPr>
          <w:rFonts w:hint="eastAsia" w:ascii="宋体"/>
          <w:bCs/>
          <w:color w:val="auto"/>
          <w:szCs w:val="21"/>
          <w:highlight w:val="none"/>
        </w:rPr>
        <w:t>11.1本项</w:t>
      </w:r>
      <w:r>
        <w:rPr>
          <w:rFonts w:hint="eastAsia"/>
          <w:bCs/>
          <w:color w:val="auto"/>
          <w:szCs w:val="21"/>
          <w:highlight w:val="none"/>
        </w:rPr>
        <w:t xml:space="preserve">目不接受联合体投标。 </w:t>
      </w:r>
    </w:p>
    <w:p w14:paraId="5B856D0D">
      <w:pPr>
        <w:spacing w:line="440" w:lineRule="exact"/>
        <w:ind w:firstLine="413" w:firstLineChars="196"/>
        <w:jc w:val="left"/>
        <w:rPr>
          <w:rFonts w:hint="eastAsia" w:ascii="宋体"/>
          <w:b/>
          <w:color w:val="auto"/>
          <w:szCs w:val="21"/>
          <w:highlight w:val="none"/>
        </w:rPr>
      </w:pPr>
      <w:r>
        <w:rPr>
          <w:rFonts w:hint="eastAsia" w:ascii="宋体"/>
          <w:b/>
          <w:color w:val="auto"/>
          <w:szCs w:val="21"/>
          <w:highlight w:val="none"/>
        </w:rPr>
        <w:t>12.招标代理服务费和专家评审劳务费</w:t>
      </w:r>
    </w:p>
    <w:p w14:paraId="32DE4CAA">
      <w:pPr>
        <w:spacing w:line="440" w:lineRule="exact"/>
        <w:ind w:firstLine="420" w:firstLineChars="200"/>
        <w:rPr>
          <w:rFonts w:hint="eastAsia" w:ascii="宋体"/>
          <w:color w:val="auto"/>
          <w:szCs w:val="21"/>
          <w:highlight w:val="none"/>
        </w:rPr>
      </w:pPr>
      <w:r>
        <w:rPr>
          <w:rFonts w:hint="eastAsia" w:ascii="宋体"/>
          <w:color w:val="auto"/>
          <w:szCs w:val="21"/>
          <w:highlight w:val="none"/>
        </w:rPr>
        <w:t>12.1 本项目的招标代理服务费详见投标人须知前附表。</w:t>
      </w:r>
    </w:p>
    <w:p w14:paraId="3147BBC1">
      <w:pPr>
        <w:spacing w:line="440" w:lineRule="exact"/>
        <w:ind w:firstLine="420" w:firstLineChars="200"/>
        <w:rPr>
          <w:rFonts w:hint="eastAsia" w:ascii="宋体"/>
          <w:color w:val="auto"/>
          <w:szCs w:val="21"/>
          <w:highlight w:val="none"/>
        </w:rPr>
      </w:pPr>
      <w:r>
        <w:rPr>
          <w:rFonts w:hint="eastAsia" w:ascii="宋体"/>
          <w:color w:val="auto"/>
          <w:szCs w:val="21"/>
          <w:highlight w:val="none"/>
        </w:rPr>
        <w:t>12.2本项目的专家评审劳务费详见投标人须知前附表。</w:t>
      </w:r>
    </w:p>
    <w:p w14:paraId="453B3FBD">
      <w:pPr>
        <w:spacing w:line="380" w:lineRule="exact"/>
        <w:ind w:firstLine="422" w:firstLineChars="200"/>
        <w:rPr>
          <w:rFonts w:hint="eastAsia" w:ascii="宋体"/>
          <w:b/>
          <w:color w:val="auto"/>
          <w:szCs w:val="21"/>
          <w:highlight w:val="none"/>
        </w:rPr>
      </w:pPr>
      <w:r>
        <w:rPr>
          <w:rFonts w:hint="eastAsia" w:ascii="宋体"/>
          <w:b/>
          <w:color w:val="auto"/>
          <w:szCs w:val="21"/>
          <w:highlight w:val="none"/>
        </w:rPr>
        <w:t>13.投标人应注意的事项</w:t>
      </w:r>
    </w:p>
    <w:p w14:paraId="3177D25F">
      <w:pPr>
        <w:spacing w:line="360" w:lineRule="auto"/>
        <w:ind w:firstLine="420" w:firstLineChars="200"/>
        <w:rPr>
          <w:rFonts w:hint="eastAsia" w:ascii="宋体"/>
          <w:color w:val="auto"/>
          <w:szCs w:val="21"/>
          <w:highlight w:val="none"/>
        </w:rPr>
      </w:pPr>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420E9159">
      <w:pPr>
        <w:spacing w:line="360" w:lineRule="auto"/>
        <w:ind w:firstLine="420" w:firstLineChars="200"/>
        <w:rPr>
          <w:rFonts w:hint="eastAsia" w:ascii="宋体"/>
          <w:color w:val="auto"/>
          <w:szCs w:val="21"/>
          <w:highlight w:val="none"/>
        </w:rPr>
      </w:pPr>
      <w:r>
        <w:rPr>
          <w:rFonts w:hint="eastAsia" w:ascii="宋体"/>
          <w:color w:val="auto"/>
          <w:szCs w:val="21"/>
          <w:highlight w:val="none"/>
        </w:rPr>
        <w:t>13.2投标人对采购内容中规定的</w:t>
      </w:r>
      <w:r>
        <w:rPr>
          <w:rFonts w:hint="eastAsia" w:ascii="宋体"/>
          <w:color w:val="auto"/>
          <w:szCs w:val="21"/>
          <w:highlight w:val="none"/>
          <w:lang w:eastAsia="zh-CN"/>
        </w:rPr>
        <w:t>采购需求</w:t>
      </w:r>
      <w:r>
        <w:rPr>
          <w:rFonts w:hint="eastAsia" w:ascii="宋体"/>
          <w:color w:val="auto"/>
          <w:szCs w:val="21"/>
          <w:highlight w:val="none"/>
        </w:rPr>
        <w:t>要求等必须满足招标文件的相关要求。</w:t>
      </w:r>
    </w:p>
    <w:p w14:paraId="5B725A25">
      <w:pPr>
        <w:spacing w:line="440" w:lineRule="exact"/>
        <w:ind w:firstLine="411" w:firstLineChars="196"/>
        <w:rPr>
          <w:rFonts w:ascii="宋体"/>
          <w:bCs/>
          <w:color w:val="auto"/>
          <w:szCs w:val="21"/>
          <w:highlight w:val="none"/>
        </w:rPr>
      </w:pPr>
      <w:r>
        <w:rPr>
          <w:rFonts w:hint="eastAsia" w:ascii="宋体"/>
          <w:bCs/>
          <w:color w:val="auto"/>
          <w:szCs w:val="21"/>
          <w:highlight w:val="none"/>
        </w:rPr>
        <w:t>13.3 所有投标人的投标保证金都应在招标文件规定的投标保证金缴纳截止日期前缴纳，银行转账形式的以资金到账时间为准。</w:t>
      </w:r>
    </w:p>
    <w:p w14:paraId="285A8EDF">
      <w:pPr>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13.4 </w:t>
      </w:r>
      <w:r>
        <w:rPr>
          <w:rFonts w:ascii="宋体"/>
          <w:bCs/>
          <w:color w:val="auto"/>
          <w:szCs w:val="21"/>
          <w:highlight w:val="none"/>
        </w:rPr>
        <w:t>单位负责人为同一人或者存在直接控股、管理关系的不同</w:t>
      </w:r>
      <w:r>
        <w:rPr>
          <w:rFonts w:hint="eastAsia" w:ascii="宋体"/>
          <w:bCs/>
          <w:color w:val="auto"/>
          <w:szCs w:val="21"/>
          <w:highlight w:val="none"/>
        </w:rPr>
        <w:t>投标人</w:t>
      </w:r>
      <w:r>
        <w:rPr>
          <w:rFonts w:ascii="宋体"/>
          <w:bCs/>
          <w:color w:val="auto"/>
          <w:szCs w:val="21"/>
          <w:highlight w:val="none"/>
        </w:rPr>
        <w:t>，不得参加同一合同项下的采购活动。</w:t>
      </w:r>
      <w:r>
        <w:rPr>
          <w:rFonts w:ascii="宋体" w:hAnsi="宋体" w:cs="宋体"/>
          <w:color w:val="auto"/>
          <w:szCs w:val="21"/>
          <w:highlight w:val="none"/>
        </w:rPr>
        <w:t>为项目提供整体设计、规范编制或者项目管理、监理、检测等服务的</w:t>
      </w:r>
      <w:r>
        <w:rPr>
          <w:rFonts w:hint="eastAsia" w:ascii="宋体" w:hAnsi="宋体" w:cs="宋体"/>
          <w:color w:val="auto"/>
          <w:szCs w:val="21"/>
          <w:highlight w:val="none"/>
        </w:rPr>
        <w:t>投标人</w:t>
      </w:r>
      <w:r>
        <w:rPr>
          <w:rFonts w:ascii="宋体" w:hAnsi="宋体" w:cs="宋体"/>
          <w:color w:val="auto"/>
          <w:szCs w:val="21"/>
          <w:highlight w:val="none"/>
        </w:rPr>
        <w:t>，不得再参加该采购项目的其他采购活动。</w:t>
      </w:r>
    </w:p>
    <w:p w14:paraId="3CAAE385">
      <w:pPr>
        <w:spacing w:line="400" w:lineRule="exact"/>
        <w:ind w:firstLine="417" w:firstLineChars="199"/>
        <w:jc w:val="left"/>
        <w:rPr>
          <w:rFonts w:hint="eastAsia" w:ascii="宋体"/>
          <w:color w:val="auto"/>
          <w:szCs w:val="21"/>
          <w:highlight w:val="none"/>
        </w:rPr>
      </w:pPr>
      <w:r>
        <w:rPr>
          <w:rFonts w:hint="eastAsia" w:ascii="宋体"/>
          <w:color w:val="auto"/>
          <w:szCs w:val="21"/>
          <w:highlight w:val="none"/>
        </w:rPr>
        <w:t>13.5投标人被视为充分熟悉本招标项目所在地的与履行合同有关的各种情况，包括但不限于：</w:t>
      </w:r>
    </w:p>
    <w:p w14:paraId="7E496D2D">
      <w:pPr>
        <w:spacing w:line="400" w:lineRule="exact"/>
        <w:ind w:firstLine="315" w:firstLineChars="150"/>
        <w:rPr>
          <w:rFonts w:hint="eastAsia" w:ascii="宋体"/>
          <w:color w:val="auto"/>
          <w:szCs w:val="21"/>
          <w:highlight w:val="none"/>
        </w:rPr>
      </w:pPr>
      <w:r>
        <w:rPr>
          <w:rFonts w:hint="eastAsia" w:ascii="宋体"/>
          <w:color w:val="auto"/>
          <w:szCs w:val="21"/>
          <w:highlight w:val="none"/>
        </w:rPr>
        <w:t>（1）国家对本次投标货物和服务的生产、安装调试、验收、维修等有关法律、法规及行业管理标准；</w:t>
      </w:r>
    </w:p>
    <w:p w14:paraId="64D90542">
      <w:pPr>
        <w:spacing w:line="400" w:lineRule="exact"/>
        <w:ind w:firstLine="315" w:firstLineChars="150"/>
        <w:rPr>
          <w:rFonts w:hint="eastAsia" w:ascii="宋体"/>
          <w:color w:val="auto"/>
          <w:szCs w:val="21"/>
          <w:highlight w:val="none"/>
        </w:rPr>
      </w:pPr>
      <w:r>
        <w:rPr>
          <w:rFonts w:hint="eastAsia" w:ascii="宋体"/>
          <w:color w:val="auto"/>
          <w:szCs w:val="21"/>
          <w:highlight w:val="none"/>
        </w:rPr>
        <w:t>（2）安徽省及滁州市等有关管理部门的相关规定；</w:t>
      </w:r>
    </w:p>
    <w:p w14:paraId="728ED116">
      <w:pPr>
        <w:spacing w:line="400" w:lineRule="exact"/>
        <w:ind w:firstLine="315" w:firstLineChars="150"/>
        <w:rPr>
          <w:rFonts w:hint="eastAsia" w:ascii="宋体"/>
          <w:color w:val="auto"/>
          <w:szCs w:val="21"/>
          <w:highlight w:val="none"/>
        </w:rPr>
      </w:pPr>
      <w:r>
        <w:rPr>
          <w:rFonts w:hint="eastAsia" w:ascii="宋体"/>
          <w:color w:val="auto"/>
          <w:szCs w:val="21"/>
          <w:highlight w:val="none"/>
        </w:rPr>
        <w:t>（3）招标人的相关场地情况、基础建设、电力供应情况及相关设计标准。</w:t>
      </w:r>
    </w:p>
    <w:p w14:paraId="53918995">
      <w:pPr>
        <w:spacing w:line="400" w:lineRule="exact"/>
        <w:ind w:firstLine="315" w:firstLineChars="150"/>
        <w:rPr>
          <w:rFonts w:ascii="宋体"/>
          <w:color w:val="auto"/>
          <w:szCs w:val="21"/>
          <w:highlight w:val="none"/>
        </w:rPr>
      </w:pPr>
      <w:r>
        <w:rPr>
          <w:rFonts w:hint="eastAsia" w:ascii="宋体"/>
          <w:color w:val="auto"/>
          <w:szCs w:val="21"/>
          <w:highlight w:val="none"/>
        </w:rPr>
        <w:t>本招标文件不再对上述情况进行描述。</w:t>
      </w:r>
    </w:p>
    <w:p w14:paraId="4E932FB5">
      <w:pPr>
        <w:spacing w:line="400" w:lineRule="exact"/>
        <w:ind w:firstLine="420" w:firstLineChars="200"/>
        <w:rPr>
          <w:rFonts w:hint="eastAsia" w:ascii="宋体"/>
          <w:color w:val="auto"/>
          <w:szCs w:val="21"/>
          <w:highlight w:val="none"/>
        </w:rPr>
      </w:pPr>
      <w:r>
        <w:rPr>
          <w:rFonts w:hint="eastAsia" w:ascii="宋体"/>
          <w:color w:val="auto"/>
          <w:szCs w:val="21"/>
          <w:highlight w:val="none"/>
        </w:rPr>
        <w:t>13.6 凡投标人在我市公共资源交易活动中出现违法违规、破坏市场秩序等不良行为且被监管部门处罚的，一律在滁州市公共资源交易网等相关网站曝光。</w:t>
      </w:r>
    </w:p>
    <w:p w14:paraId="04E5E7F7">
      <w:pPr>
        <w:spacing w:line="400" w:lineRule="exact"/>
        <w:ind w:firstLine="420" w:firstLineChars="200"/>
        <w:rPr>
          <w:rFonts w:hint="eastAsia" w:ascii="宋体"/>
          <w:color w:val="auto"/>
          <w:szCs w:val="21"/>
          <w:highlight w:val="none"/>
        </w:rPr>
      </w:pPr>
      <w:r>
        <w:rPr>
          <w:rFonts w:hint="eastAsia" w:ascii="宋体"/>
          <w:color w:val="auto"/>
          <w:szCs w:val="21"/>
          <w:highlight w:val="none"/>
        </w:rPr>
        <w:t>13.7 投标人的不良行为、失信行为及行政处罚等效力不因企业名称的变更而改变。</w:t>
      </w:r>
    </w:p>
    <w:p w14:paraId="06D76147">
      <w:pPr>
        <w:spacing w:line="440" w:lineRule="exact"/>
        <w:ind w:firstLine="527" w:firstLineChars="250"/>
        <w:rPr>
          <w:rFonts w:ascii="宋体"/>
          <w:bCs/>
          <w:color w:val="auto"/>
          <w:szCs w:val="21"/>
          <w:highlight w:val="none"/>
        </w:rPr>
      </w:pPr>
      <w:r>
        <w:rPr>
          <w:rFonts w:hint="eastAsia" w:ascii="宋体"/>
          <w:b/>
          <w:color w:val="auto"/>
          <w:szCs w:val="21"/>
          <w:highlight w:val="none"/>
        </w:rPr>
        <w:t>14.保密</w:t>
      </w:r>
    </w:p>
    <w:p w14:paraId="0B02D917">
      <w:pPr>
        <w:spacing w:line="440" w:lineRule="exact"/>
        <w:ind w:firstLine="525" w:firstLineChars="250"/>
        <w:rPr>
          <w:rFonts w:ascii="宋体"/>
          <w:bCs/>
          <w:color w:val="auto"/>
          <w:szCs w:val="21"/>
          <w:highlight w:val="none"/>
        </w:rPr>
      </w:pPr>
      <w:r>
        <w:rPr>
          <w:rFonts w:hint="eastAsia" w:ascii="宋体"/>
          <w:bCs/>
          <w:color w:val="auto"/>
          <w:szCs w:val="21"/>
          <w:highlight w:val="none"/>
        </w:rPr>
        <w:t xml:space="preserve">参与招标投标活动的各方应对招标文件和投标文件中的商业和技术等秘密保密，违者应对由此造成的后果承担法律责任。 </w:t>
      </w:r>
    </w:p>
    <w:p w14:paraId="7FA546CF">
      <w:pPr>
        <w:spacing w:before="240" w:beforeLines="100" w:after="240" w:afterLines="100" w:line="440" w:lineRule="exact"/>
        <w:jc w:val="center"/>
        <w:rPr>
          <w:rFonts w:hint="eastAsia" w:ascii="宋体"/>
          <w:b/>
          <w:color w:val="auto"/>
          <w:sz w:val="28"/>
          <w:szCs w:val="28"/>
          <w:highlight w:val="none"/>
        </w:rPr>
      </w:pPr>
      <w:bookmarkStart w:id="57" w:name="_Toc449028868"/>
      <w:r>
        <w:rPr>
          <w:rFonts w:hint="eastAsia" w:ascii="宋体"/>
          <w:b/>
          <w:color w:val="auto"/>
          <w:sz w:val="28"/>
          <w:szCs w:val="28"/>
          <w:highlight w:val="none"/>
        </w:rPr>
        <w:t>（二）</w:t>
      </w:r>
      <w:bookmarkEnd w:id="57"/>
      <w:r>
        <w:rPr>
          <w:rFonts w:hint="eastAsia" w:ascii="宋体"/>
          <w:b/>
          <w:color w:val="auto"/>
          <w:sz w:val="28"/>
          <w:szCs w:val="28"/>
          <w:highlight w:val="none"/>
        </w:rPr>
        <w:t>招标文件</w:t>
      </w:r>
    </w:p>
    <w:p w14:paraId="101999F8">
      <w:pPr>
        <w:spacing w:line="440" w:lineRule="exact"/>
        <w:ind w:firstLine="422" w:firstLineChars="200"/>
        <w:rPr>
          <w:rFonts w:hint="eastAsia"/>
          <w:b/>
          <w:color w:val="auto"/>
          <w:szCs w:val="21"/>
          <w:highlight w:val="none"/>
        </w:rPr>
      </w:pPr>
      <w:r>
        <w:rPr>
          <w:rFonts w:hint="eastAsia"/>
          <w:b/>
          <w:color w:val="auto"/>
          <w:szCs w:val="21"/>
          <w:highlight w:val="none"/>
        </w:rPr>
        <w:t>15. 招标文件的编制依据</w:t>
      </w:r>
    </w:p>
    <w:p w14:paraId="4714884E">
      <w:pPr>
        <w:spacing w:line="440" w:lineRule="exact"/>
        <w:ind w:firstLine="420" w:firstLineChars="200"/>
        <w:rPr>
          <w:rFonts w:hint="eastAsia" w:ascii="宋体"/>
          <w:color w:val="auto"/>
          <w:szCs w:val="21"/>
          <w:highlight w:val="none"/>
        </w:rPr>
      </w:pPr>
      <w:r>
        <w:rPr>
          <w:rFonts w:hint="eastAsia" w:ascii="宋体"/>
          <w:color w:val="auto"/>
          <w:szCs w:val="21"/>
          <w:highlight w:val="none"/>
        </w:rPr>
        <w:t>根据</w:t>
      </w:r>
      <w:r>
        <w:rPr>
          <w:rFonts w:hint="eastAsia"/>
          <w:color w:val="auto"/>
          <w:highlight w:val="none"/>
        </w:rPr>
        <w:t>《中华人民共和国招标投标法》、《中华人民共和国招标投标法实施条例》</w:t>
      </w:r>
      <w:r>
        <w:rPr>
          <w:rFonts w:hint="eastAsia" w:ascii="宋体"/>
          <w:color w:val="auto"/>
          <w:szCs w:val="21"/>
          <w:highlight w:val="none"/>
        </w:rPr>
        <w:t>和</w:t>
      </w:r>
      <w:r>
        <w:rPr>
          <w:rFonts w:hint="eastAsia"/>
          <w:color w:val="auto"/>
          <w:highlight w:val="none"/>
        </w:rPr>
        <w:t>《中华人民共和国民法典》</w:t>
      </w:r>
      <w:r>
        <w:rPr>
          <w:rFonts w:hint="eastAsia" w:ascii="宋体"/>
          <w:color w:val="auto"/>
          <w:spacing w:val="-2"/>
          <w:szCs w:val="21"/>
          <w:highlight w:val="none"/>
        </w:rPr>
        <w:t>等相关法律法规和规章及部、省、市级规范性文件的规定，编制本招标文件。</w:t>
      </w:r>
    </w:p>
    <w:p w14:paraId="5339F9F8">
      <w:pPr>
        <w:spacing w:line="440" w:lineRule="exact"/>
        <w:ind w:firstLine="422" w:firstLineChars="200"/>
        <w:rPr>
          <w:rFonts w:hint="eastAsia"/>
          <w:b/>
          <w:color w:val="auto"/>
          <w:szCs w:val="21"/>
          <w:highlight w:val="none"/>
        </w:rPr>
      </w:pPr>
      <w:r>
        <w:rPr>
          <w:rFonts w:hint="eastAsia"/>
          <w:b/>
          <w:color w:val="auto"/>
          <w:szCs w:val="21"/>
          <w:highlight w:val="none"/>
        </w:rPr>
        <w:t>16. 招标文件的组成</w:t>
      </w:r>
    </w:p>
    <w:p w14:paraId="60AD73C7">
      <w:pPr>
        <w:spacing w:line="440" w:lineRule="exact"/>
        <w:ind w:firstLine="420" w:firstLineChars="200"/>
        <w:rPr>
          <w:rFonts w:hint="eastAsia" w:ascii="宋体"/>
          <w:color w:val="auto"/>
          <w:szCs w:val="21"/>
          <w:highlight w:val="none"/>
        </w:rPr>
      </w:pPr>
      <w:r>
        <w:rPr>
          <w:rFonts w:hint="eastAsia" w:ascii="宋体"/>
          <w:color w:val="auto"/>
          <w:szCs w:val="21"/>
          <w:highlight w:val="none"/>
        </w:rPr>
        <w:t>16.1 招标文件包括内容：</w:t>
      </w:r>
    </w:p>
    <w:p w14:paraId="1D313085">
      <w:pPr>
        <w:spacing w:line="440" w:lineRule="exact"/>
        <w:ind w:firstLine="1470" w:firstLineChars="700"/>
        <w:rPr>
          <w:rFonts w:hint="eastAsia" w:ascii="宋体"/>
          <w:color w:val="auto"/>
          <w:szCs w:val="21"/>
          <w:highlight w:val="none"/>
        </w:rPr>
      </w:pPr>
      <w:r>
        <w:rPr>
          <w:rFonts w:hint="eastAsia" w:ascii="宋体"/>
          <w:color w:val="auto"/>
          <w:szCs w:val="21"/>
          <w:highlight w:val="none"/>
        </w:rPr>
        <w:t>第一章  招标公告</w:t>
      </w:r>
    </w:p>
    <w:p w14:paraId="0C8A3C9C">
      <w:pPr>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投标人须知</w:t>
      </w:r>
    </w:p>
    <w:p w14:paraId="11338340">
      <w:pPr>
        <w:spacing w:line="440" w:lineRule="exact"/>
        <w:ind w:firstLine="1470" w:firstLineChars="700"/>
        <w:rPr>
          <w:rFonts w:hint="eastAsia" w:ascii="宋体"/>
          <w:color w:val="auto"/>
          <w:szCs w:val="21"/>
          <w:highlight w:val="none"/>
        </w:rPr>
      </w:pPr>
      <w:r>
        <w:rPr>
          <w:rFonts w:hint="eastAsia" w:ascii="宋体"/>
          <w:color w:val="auto"/>
          <w:szCs w:val="21"/>
          <w:highlight w:val="none"/>
        </w:rPr>
        <w:t>第三章  资格审查办法</w:t>
      </w:r>
    </w:p>
    <w:p w14:paraId="691B5376">
      <w:pPr>
        <w:spacing w:line="440" w:lineRule="exact"/>
        <w:ind w:firstLine="1470" w:firstLineChars="700"/>
        <w:rPr>
          <w:rFonts w:hint="eastAsia" w:ascii="宋体"/>
          <w:color w:val="auto"/>
          <w:szCs w:val="21"/>
          <w:highlight w:val="none"/>
        </w:rPr>
      </w:pPr>
      <w:r>
        <w:rPr>
          <w:rFonts w:hint="eastAsia" w:ascii="宋体"/>
          <w:color w:val="auto"/>
          <w:szCs w:val="21"/>
          <w:highlight w:val="none"/>
        </w:rPr>
        <w:t>第四章  评标办法</w:t>
      </w:r>
    </w:p>
    <w:p w14:paraId="38283D54">
      <w:pPr>
        <w:spacing w:line="440" w:lineRule="exact"/>
        <w:ind w:firstLine="1470" w:firstLineChars="700"/>
        <w:rPr>
          <w:rFonts w:hint="eastAsia" w:ascii="宋体" w:eastAsia="宋体"/>
          <w:color w:val="auto"/>
          <w:szCs w:val="21"/>
          <w:highlight w:val="none"/>
          <w:lang w:eastAsia="zh-CN"/>
        </w:rPr>
      </w:pPr>
      <w:r>
        <w:rPr>
          <w:rFonts w:hint="eastAsia" w:ascii="宋体"/>
          <w:color w:val="auto"/>
          <w:szCs w:val="21"/>
          <w:highlight w:val="none"/>
        </w:rPr>
        <w:t xml:space="preserve">第五章  </w:t>
      </w:r>
      <w:r>
        <w:rPr>
          <w:rFonts w:hint="eastAsia" w:ascii="宋体" w:hAnsi="宋体" w:cs="宋体"/>
          <w:color w:val="auto"/>
          <w:szCs w:val="21"/>
          <w:highlight w:val="none"/>
          <w:lang w:eastAsia="zh-CN"/>
        </w:rPr>
        <w:t>采购需求</w:t>
      </w:r>
    </w:p>
    <w:p w14:paraId="6DB202B1">
      <w:pPr>
        <w:spacing w:line="440" w:lineRule="exact"/>
        <w:ind w:firstLine="1470" w:firstLineChars="700"/>
        <w:rPr>
          <w:rFonts w:hint="eastAsia" w:ascii="宋体"/>
          <w:color w:val="auto"/>
          <w:szCs w:val="21"/>
          <w:highlight w:val="none"/>
        </w:rPr>
      </w:pPr>
      <w:r>
        <w:rPr>
          <w:rFonts w:hint="eastAsia" w:ascii="宋体"/>
          <w:color w:val="auto"/>
          <w:szCs w:val="21"/>
          <w:highlight w:val="none"/>
        </w:rPr>
        <w:t>第六章  合同条款及格式</w:t>
      </w:r>
    </w:p>
    <w:p w14:paraId="65213DA1">
      <w:pPr>
        <w:spacing w:line="440" w:lineRule="exact"/>
        <w:ind w:firstLine="1470" w:firstLineChars="700"/>
        <w:rPr>
          <w:rFonts w:hint="eastAsia" w:ascii="宋体"/>
          <w:color w:val="auto"/>
          <w:szCs w:val="21"/>
          <w:highlight w:val="none"/>
        </w:rPr>
      </w:pPr>
      <w:r>
        <w:rPr>
          <w:rFonts w:hint="eastAsia" w:ascii="宋体"/>
          <w:color w:val="auto"/>
          <w:szCs w:val="21"/>
          <w:highlight w:val="none"/>
        </w:rPr>
        <w:t>第七章  投标文件格式</w:t>
      </w:r>
    </w:p>
    <w:p w14:paraId="3AD5B1F6">
      <w:pPr>
        <w:spacing w:line="440" w:lineRule="exact"/>
        <w:ind w:firstLine="1470" w:firstLineChars="700"/>
        <w:rPr>
          <w:rFonts w:hint="eastAsia"/>
          <w:color w:val="auto"/>
          <w:highlight w:val="none"/>
        </w:rPr>
      </w:pPr>
      <w:r>
        <w:rPr>
          <w:rFonts w:hint="eastAsia" w:ascii="宋体"/>
          <w:color w:val="auto"/>
          <w:szCs w:val="21"/>
          <w:highlight w:val="none"/>
        </w:rPr>
        <w:t>第八章  招标单位、招标代理机构对本招标文件的确认</w:t>
      </w:r>
    </w:p>
    <w:p w14:paraId="6698495D">
      <w:pPr>
        <w:spacing w:line="440" w:lineRule="exact"/>
        <w:ind w:firstLine="420" w:firstLineChars="200"/>
        <w:rPr>
          <w:rFonts w:hint="eastAsia" w:ascii="宋体"/>
          <w:color w:val="auto"/>
          <w:szCs w:val="21"/>
          <w:highlight w:val="none"/>
        </w:rPr>
      </w:pPr>
      <w:r>
        <w:rPr>
          <w:rFonts w:hint="eastAsia" w:ascii="宋体"/>
          <w:color w:val="auto"/>
          <w:szCs w:val="21"/>
          <w:highlight w:val="none"/>
        </w:rPr>
        <w:t>16.2 除16.1款内容外，招标答疑亦为招标文件的组成部分，对招标人和投标人起约束作用。</w:t>
      </w:r>
    </w:p>
    <w:p w14:paraId="67AAACCE">
      <w:pPr>
        <w:spacing w:line="440" w:lineRule="exact"/>
        <w:ind w:firstLine="420" w:firstLineChars="200"/>
        <w:rPr>
          <w:rFonts w:hint="eastAsia" w:ascii="宋体"/>
          <w:color w:val="auto"/>
          <w:szCs w:val="21"/>
          <w:highlight w:val="none"/>
        </w:rPr>
      </w:pPr>
      <w:r>
        <w:rPr>
          <w:rFonts w:hint="eastAsia" w:ascii="宋体"/>
          <w:color w:val="auto"/>
          <w:szCs w:val="21"/>
          <w:highlight w:val="none"/>
        </w:rPr>
        <w:t>16.3投标人应仔细阅读和检查招标文件的全部内容。如发现缺页或附件不全，应及时向招标人提出，以便补齐。</w:t>
      </w:r>
    </w:p>
    <w:p w14:paraId="153274BB">
      <w:pPr>
        <w:spacing w:line="440" w:lineRule="exact"/>
        <w:ind w:firstLine="420" w:firstLineChars="200"/>
        <w:rPr>
          <w:rFonts w:hint="eastAsia" w:ascii="宋体"/>
          <w:color w:val="auto"/>
          <w:szCs w:val="21"/>
          <w:highlight w:val="none"/>
        </w:rPr>
      </w:pPr>
      <w:r>
        <w:rPr>
          <w:rFonts w:hint="eastAsia" w:ascii="宋体"/>
          <w:color w:val="auto"/>
          <w:szCs w:val="21"/>
          <w:highlight w:val="none"/>
        </w:rPr>
        <w:t>16.4 当招标文件、招标文件的澄清或修改等在同一内容的表述上不一致时，以最后发出的文件为准。</w:t>
      </w:r>
    </w:p>
    <w:p w14:paraId="169F4B8A">
      <w:pPr>
        <w:spacing w:line="440" w:lineRule="exact"/>
        <w:ind w:firstLine="422" w:firstLineChars="200"/>
        <w:rPr>
          <w:rFonts w:ascii="宋体"/>
          <w:b/>
          <w:bCs/>
          <w:color w:val="auto"/>
          <w:szCs w:val="21"/>
          <w:highlight w:val="none"/>
        </w:rPr>
      </w:pPr>
      <w:r>
        <w:rPr>
          <w:rFonts w:hint="eastAsia" w:ascii="宋体"/>
          <w:b/>
          <w:bCs/>
          <w:color w:val="auto"/>
          <w:szCs w:val="21"/>
          <w:highlight w:val="none"/>
        </w:rPr>
        <w:t>17.招标文件的异议、澄清</w:t>
      </w:r>
    </w:p>
    <w:p w14:paraId="174AEA86">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17.1投标人或其他利害关系人投标人应仔细阅读和检查招标文件的全部内容，对招标文件有异议的，应在投标截止时间10日前以以投标人须知前附表规定的网上留言或书面形式提出。招标人将在收到异议之日起3日内作出答复；作出答复前，将暂停招标投标活动。</w:t>
      </w:r>
    </w:p>
    <w:p w14:paraId="419DC40C">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17.2 招标人可以澄清招标文件，并以以投标人须知前附表规定澄清的方式在滁州市公共资源交易中心网站发布。但如果修改招标文件的时间距投标截止时间不足15天，并且修改内容影响投标文件编制的，将相应延长投标截止时间。</w:t>
      </w:r>
    </w:p>
    <w:p w14:paraId="03A8DDCD">
      <w:pPr>
        <w:spacing w:line="440" w:lineRule="exact"/>
        <w:rPr>
          <w:rFonts w:hint="eastAsia" w:ascii="宋体"/>
          <w:b/>
          <w:color w:val="auto"/>
          <w:szCs w:val="21"/>
          <w:highlight w:val="none"/>
        </w:rPr>
      </w:pPr>
      <w:r>
        <w:rPr>
          <w:rFonts w:hint="eastAsia" w:ascii="宋体" w:cs="宋体"/>
          <w:b/>
          <w:color w:val="auto"/>
          <w:szCs w:val="21"/>
          <w:highlight w:val="none"/>
        </w:rPr>
        <w:t xml:space="preserve">    </w:t>
      </w:r>
      <w:r>
        <w:rPr>
          <w:rFonts w:hint="eastAsia"/>
          <w:b/>
          <w:color w:val="auto"/>
          <w:szCs w:val="21"/>
          <w:highlight w:val="none"/>
        </w:rPr>
        <w:t xml:space="preserve">18. </w:t>
      </w:r>
      <w:r>
        <w:rPr>
          <w:rFonts w:hint="eastAsia" w:ascii="宋体"/>
          <w:b/>
          <w:color w:val="auto"/>
          <w:szCs w:val="21"/>
          <w:highlight w:val="none"/>
        </w:rPr>
        <w:t>招标文件的发出</w:t>
      </w:r>
    </w:p>
    <w:p w14:paraId="0BDA96CF">
      <w:pPr>
        <w:spacing w:line="440" w:lineRule="exact"/>
        <w:ind w:firstLine="420" w:firstLineChars="200"/>
        <w:rPr>
          <w:rFonts w:hint="eastAsia" w:ascii="宋体"/>
          <w:color w:val="auto"/>
          <w:szCs w:val="21"/>
          <w:highlight w:val="none"/>
        </w:rPr>
      </w:pPr>
      <w:r>
        <w:rPr>
          <w:rFonts w:hint="eastAsia" w:ascii="宋体"/>
          <w:color w:val="auto"/>
          <w:szCs w:val="21"/>
          <w:highlight w:val="none"/>
        </w:rPr>
        <w:t>18.1招标文件、招标文件的澄清、修改、补充及招标答疑等均应报公共资源交易监督管理机构备案后，方可发出。</w:t>
      </w:r>
    </w:p>
    <w:p w14:paraId="0FF58D94">
      <w:pPr>
        <w:spacing w:line="440" w:lineRule="exact"/>
        <w:ind w:firstLine="422" w:firstLineChars="200"/>
        <w:outlineLvl w:val="3"/>
        <w:rPr>
          <w:rFonts w:ascii="宋体"/>
          <w:b/>
          <w:bCs/>
          <w:color w:val="auto"/>
          <w:szCs w:val="21"/>
          <w:highlight w:val="none"/>
        </w:rPr>
      </w:pPr>
      <w:r>
        <w:rPr>
          <w:rFonts w:hint="eastAsia" w:ascii="宋体"/>
          <w:b/>
          <w:bCs/>
          <w:color w:val="auto"/>
          <w:szCs w:val="21"/>
          <w:highlight w:val="none"/>
        </w:rPr>
        <w:t>19. 样品（本项目不采用）</w:t>
      </w:r>
    </w:p>
    <w:p w14:paraId="39248F8A">
      <w:pPr>
        <w:spacing w:line="440" w:lineRule="exact"/>
        <w:ind w:firstLine="420" w:firstLineChars="200"/>
        <w:rPr>
          <w:rFonts w:hint="eastAsia" w:ascii="宋体"/>
          <w:color w:val="auto"/>
          <w:szCs w:val="21"/>
          <w:highlight w:val="none"/>
        </w:rPr>
      </w:pPr>
      <w:r>
        <w:rPr>
          <w:rFonts w:hint="eastAsia" w:ascii="宋体"/>
          <w:color w:val="auto"/>
          <w:szCs w:val="21"/>
          <w:highlight w:val="none"/>
        </w:rPr>
        <w:t>19.1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招标人或代理机构发布中标（成交）结果公告。</w:t>
      </w:r>
    </w:p>
    <w:p w14:paraId="3E824F40">
      <w:pPr>
        <w:spacing w:line="440" w:lineRule="exact"/>
        <w:ind w:firstLine="420" w:firstLineChars="200"/>
        <w:rPr>
          <w:rFonts w:hint="eastAsia" w:ascii="宋体"/>
          <w:color w:val="auto"/>
          <w:szCs w:val="21"/>
          <w:highlight w:val="none"/>
        </w:rPr>
      </w:pPr>
      <w:r>
        <w:rPr>
          <w:rFonts w:hint="eastAsia" w:ascii="宋体"/>
          <w:color w:val="auto"/>
          <w:szCs w:val="21"/>
          <w:highlight w:val="none"/>
        </w:rPr>
        <w:t>19.2招标文件中应明确样品送检方式、检测费用支付方法、投标人在规定时间内无法提供第三方权威检测机构检测报告的处理方式。</w:t>
      </w:r>
    </w:p>
    <w:p w14:paraId="75AFBB5A">
      <w:pPr>
        <w:spacing w:before="240" w:beforeLines="100" w:after="240" w:afterLines="100" w:line="440" w:lineRule="exact"/>
        <w:jc w:val="center"/>
        <w:rPr>
          <w:rFonts w:hint="eastAsia" w:ascii="宋体"/>
          <w:b/>
          <w:color w:val="auto"/>
          <w:sz w:val="28"/>
          <w:szCs w:val="28"/>
          <w:highlight w:val="none"/>
        </w:rPr>
      </w:pPr>
      <w:bookmarkStart w:id="58" w:name="_Toc449028869"/>
      <w:r>
        <w:rPr>
          <w:rFonts w:hint="eastAsia" w:ascii="宋体"/>
          <w:b/>
          <w:color w:val="auto"/>
          <w:sz w:val="28"/>
          <w:szCs w:val="28"/>
          <w:highlight w:val="none"/>
        </w:rPr>
        <w:t>（三）投标文件的编制</w:t>
      </w:r>
      <w:bookmarkEnd w:id="58"/>
    </w:p>
    <w:p w14:paraId="403405EB">
      <w:pPr>
        <w:spacing w:line="440" w:lineRule="exact"/>
        <w:ind w:firstLine="422" w:firstLineChars="200"/>
        <w:rPr>
          <w:rFonts w:hint="eastAsia" w:ascii="宋体"/>
          <w:b/>
          <w:bCs/>
          <w:color w:val="auto"/>
          <w:szCs w:val="21"/>
          <w:highlight w:val="none"/>
        </w:rPr>
      </w:pPr>
      <w:r>
        <w:rPr>
          <w:rFonts w:hint="eastAsia" w:ascii="宋体"/>
          <w:b/>
          <w:bCs/>
          <w:color w:val="auto"/>
          <w:szCs w:val="21"/>
          <w:highlight w:val="none"/>
        </w:rPr>
        <w:t>20. 投标的语言及度量衡单位</w:t>
      </w:r>
    </w:p>
    <w:p w14:paraId="02F8706E">
      <w:pPr>
        <w:spacing w:line="440" w:lineRule="exact"/>
        <w:ind w:firstLine="420" w:firstLineChars="200"/>
        <w:rPr>
          <w:rFonts w:hint="eastAsia" w:ascii="宋体"/>
          <w:color w:val="auto"/>
          <w:szCs w:val="21"/>
          <w:highlight w:val="none"/>
        </w:rPr>
      </w:pPr>
      <w:r>
        <w:rPr>
          <w:rFonts w:hint="eastAsia" w:ascii="宋体"/>
          <w:color w:val="auto"/>
          <w:szCs w:val="21"/>
          <w:highlight w:val="none"/>
        </w:rPr>
        <w:t>20.1投标人的投标文件、以及投标人与招标人就投标的所有往来函电，均须使用简体中文。</w:t>
      </w:r>
    </w:p>
    <w:p w14:paraId="2927665B">
      <w:pPr>
        <w:spacing w:line="440" w:lineRule="exact"/>
        <w:ind w:firstLine="420" w:firstLineChars="200"/>
        <w:rPr>
          <w:rFonts w:hint="eastAsia" w:ascii="宋体"/>
          <w:color w:val="auto"/>
          <w:szCs w:val="21"/>
          <w:highlight w:val="none"/>
        </w:rPr>
      </w:pPr>
      <w:r>
        <w:rPr>
          <w:rFonts w:hint="eastAsia" w:ascii="宋体"/>
          <w:color w:val="auto"/>
          <w:szCs w:val="21"/>
          <w:highlight w:val="none"/>
        </w:rPr>
        <w:t>20.2除招标文件中另有规定外，投标书所使用的度量衡均须采用法定计量单位。</w:t>
      </w:r>
    </w:p>
    <w:p w14:paraId="634A4062">
      <w:pPr>
        <w:numPr>
          <w:ilvl w:val="0"/>
          <w:numId w:val="2"/>
        </w:numPr>
        <w:spacing w:line="440" w:lineRule="exact"/>
        <w:ind w:firstLine="422" w:firstLineChars="200"/>
        <w:rPr>
          <w:rFonts w:hint="eastAsia" w:ascii="宋体"/>
          <w:b/>
          <w:bCs/>
          <w:color w:val="auto"/>
          <w:szCs w:val="21"/>
          <w:highlight w:val="none"/>
        </w:rPr>
      </w:pPr>
      <w:r>
        <w:rPr>
          <w:rFonts w:hint="eastAsia" w:ascii="宋体"/>
          <w:b/>
          <w:bCs/>
          <w:color w:val="auto"/>
          <w:szCs w:val="21"/>
          <w:highlight w:val="none"/>
        </w:rPr>
        <w:t>投标文件的组成、编制</w:t>
      </w:r>
    </w:p>
    <w:p w14:paraId="2F79F749">
      <w:pPr>
        <w:spacing w:line="440" w:lineRule="exact"/>
        <w:ind w:firstLine="422" w:firstLineChars="200"/>
        <w:rPr>
          <w:rFonts w:hint="eastAsia" w:ascii="宋体"/>
          <w:b/>
          <w:bCs/>
          <w:color w:val="auto"/>
          <w:szCs w:val="21"/>
          <w:highlight w:val="none"/>
        </w:rPr>
      </w:pPr>
      <w:r>
        <w:rPr>
          <w:rFonts w:hint="eastAsia" w:ascii="宋体"/>
          <w:b/>
          <w:bCs/>
          <w:color w:val="auto"/>
          <w:szCs w:val="21"/>
          <w:highlight w:val="none"/>
        </w:rPr>
        <w:t>21.1投标文件的组成</w:t>
      </w:r>
    </w:p>
    <w:p w14:paraId="40D2DEDE">
      <w:pPr>
        <w:spacing w:line="400" w:lineRule="exact"/>
        <w:ind w:firstLine="420" w:firstLineChars="200"/>
        <w:rPr>
          <w:rFonts w:hint="eastAsia" w:ascii="宋体" w:hAnsi="宋体"/>
          <w:b/>
          <w:bCs/>
          <w:color w:val="auto"/>
          <w:szCs w:val="21"/>
          <w:highlight w:val="none"/>
        </w:rPr>
      </w:pPr>
      <w:r>
        <w:rPr>
          <w:rFonts w:hint="eastAsia" w:ascii="宋体" w:hAnsi="宋体"/>
          <w:color w:val="auto"/>
          <w:szCs w:val="21"/>
          <w:highlight w:val="none"/>
        </w:rPr>
        <w:t>投标文件由投标文件一（资信证明文件）、投标文件二（技术标）和投标文件三（商务标）三部分组成。</w:t>
      </w:r>
      <w:r>
        <w:rPr>
          <w:rFonts w:hint="eastAsia" w:ascii="宋体" w:hAnsi="宋体"/>
          <w:b/>
          <w:bCs/>
          <w:color w:val="auto"/>
          <w:szCs w:val="21"/>
          <w:highlight w:val="none"/>
        </w:rPr>
        <w:t>具体详见第七章投标文件格式内容。</w:t>
      </w:r>
    </w:p>
    <w:p w14:paraId="259188D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21.2投标文件的编制</w:t>
      </w:r>
    </w:p>
    <w:p w14:paraId="129838C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21.2.1投标文件应按第七章“投标文件格式”进行编写，如有必要，可以增加附页，作为投标文件的组成部分。其中，投标函在满足招标文件实质性要求的基础上，可以提出比招标文件要求更有利于招标人的承诺。</w:t>
      </w:r>
    </w:p>
    <w:p w14:paraId="75605B2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21.2.2本次投标不需要提供纸质投标文件，投标人应按照电子招标投标的要求，在投标人的电子系统中制作、签章、上传加密的电子投标文件。</w:t>
      </w:r>
    </w:p>
    <w:p w14:paraId="59DBB82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21.2.3投标文件应当对招标文件有关工期、投标有效期、质量要求、技术标准和要求、招标范围等实质性内容作出响应。</w:t>
      </w:r>
    </w:p>
    <w:p w14:paraId="7AF4AEF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21.2.4招标人有权核查投标人在投标文件中提供的资料，若在评标期间发现投标人提供了虚假资料，其投标将被否决；若在签订合同前发现作为中标候选人的投标人提供了虚假资料，招标人有权取消其中标资格；如果签订合同后发现中标人提供了虚假材料，招标人有权解除合同。同时招标人将投标人上述弄虚作假行为上报公共资源交易监督管理部门处理。</w:t>
      </w:r>
    </w:p>
    <w:p w14:paraId="475E2E5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21.2.5投标文件的制作应满足以下规定：</w:t>
      </w:r>
    </w:p>
    <w:p w14:paraId="63473AC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（1）投标文件由投标人使用电子交易系统提供的“投标文件制作工具”制作生成。“投标文件制作工具”可以通过电子交易系统下载。</w:t>
      </w:r>
    </w:p>
    <w:p w14:paraId="7DF5A5C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招标文件中“签章”是指签字或盖章。在第七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4FAB38A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4C792F8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（4）投标文件制作的具体方法详见“投标文件制作工具”中的帮助文档。</w:t>
      </w:r>
    </w:p>
    <w:p w14:paraId="55CEB0F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21.2.6 因投标人自身原因而导致投标文件无法导入电子交易系统电子开标、评标系统，该投标视为无效投标，投标人自行承担由此导致的全部责任。</w:t>
      </w:r>
    </w:p>
    <w:p w14:paraId="1EA550E4">
      <w:pPr>
        <w:spacing w:line="400" w:lineRule="exact"/>
        <w:ind w:firstLine="420" w:firstLineChars="200"/>
        <w:rPr>
          <w:rFonts w:ascii="宋体"/>
          <w:b/>
          <w:color w:val="auto"/>
          <w:szCs w:val="21"/>
          <w:highlight w:val="none"/>
        </w:rPr>
      </w:pPr>
      <w:r>
        <w:rPr>
          <w:rFonts w:hint="eastAsia" w:ascii="宋体" w:hAnsi="宋体"/>
          <w:color w:val="auto"/>
          <w:szCs w:val="21"/>
          <w:highlight w:val="none"/>
        </w:rPr>
        <w:t>21.2.7 投标人中标后须递交与网上电子投标文件完全一致的纸质版投标文件，在领取中标通知书时，一并递交给招标代理机构。</w:t>
      </w:r>
    </w:p>
    <w:p w14:paraId="459BF1BC">
      <w:pPr>
        <w:spacing w:line="440" w:lineRule="exact"/>
        <w:ind w:firstLine="422" w:firstLineChars="200"/>
        <w:rPr>
          <w:rFonts w:hint="eastAsia" w:ascii="宋体"/>
          <w:color w:val="auto"/>
          <w:szCs w:val="21"/>
          <w:highlight w:val="none"/>
        </w:rPr>
      </w:pPr>
      <w:r>
        <w:rPr>
          <w:rFonts w:hint="eastAsia" w:ascii="宋体"/>
          <w:b/>
          <w:color w:val="auto"/>
          <w:szCs w:val="21"/>
          <w:highlight w:val="none"/>
        </w:rPr>
        <w:t>22</w:t>
      </w:r>
      <w:r>
        <w:rPr>
          <w:rFonts w:hint="eastAsia" w:ascii="宋体"/>
          <w:color w:val="auto"/>
          <w:szCs w:val="21"/>
          <w:highlight w:val="none"/>
        </w:rPr>
        <w:t>.</w:t>
      </w:r>
      <w:r>
        <w:rPr>
          <w:rFonts w:hint="eastAsia" w:ascii="宋体"/>
          <w:b/>
          <w:color w:val="auto"/>
          <w:szCs w:val="21"/>
          <w:highlight w:val="none"/>
        </w:rPr>
        <w:t>投标报价</w:t>
      </w:r>
    </w:p>
    <w:p w14:paraId="41C52AFE">
      <w:pPr>
        <w:spacing w:line="400" w:lineRule="exact"/>
        <w:ind w:firstLine="403" w:firstLineChars="192"/>
        <w:rPr>
          <w:rFonts w:hint="eastAsia" w:ascii="宋体"/>
          <w:color w:val="auto"/>
          <w:szCs w:val="21"/>
          <w:highlight w:val="none"/>
        </w:rPr>
      </w:pPr>
      <w:r>
        <w:rPr>
          <w:rFonts w:hint="eastAsia" w:ascii="宋体"/>
          <w:color w:val="auto"/>
          <w:szCs w:val="21"/>
          <w:highlight w:val="none"/>
        </w:rPr>
        <w:t>22.1投标报价文件中的单价和总价全部采用人民币表示。投标人的报价应含有</w:t>
      </w:r>
      <w:r>
        <w:rPr>
          <w:rFonts w:hint="eastAsia" w:ascii="宋体"/>
          <w:color w:val="auto"/>
          <w:szCs w:val="21"/>
          <w:highlight w:val="none"/>
          <w:lang w:val="en-US" w:eastAsia="zh-CN"/>
        </w:rPr>
        <w:t>服务</w:t>
      </w:r>
      <w:r>
        <w:rPr>
          <w:rFonts w:hint="eastAsia" w:ascii="宋体"/>
          <w:color w:val="auto"/>
          <w:szCs w:val="21"/>
          <w:highlight w:val="none"/>
        </w:rPr>
        <w:t>、利润、税金、政策性文件规定及合同包含的所有风险、责任、义务等，即为完成招标文件要求的</w:t>
      </w:r>
      <w:r>
        <w:rPr>
          <w:rFonts w:hint="eastAsia" w:ascii="宋体"/>
          <w:color w:val="auto"/>
          <w:szCs w:val="21"/>
          <w:highlight w:val="none"/>
          <w:lang w:val="en-US" w:eastAsia="zh-CN"/>
        </w:rPr>
        <w:t>服务</w:t>
      </w:r>
      <w:r>
        <w:rPr>
          <w:rFonts w:hint="eastAsia" w:ascii="宋体"/>
          <w:color w:val="auto"/>
          <w:szCs w:val="21"/>
          <w:highlight w:val="none"/>
        </w:rPr>
        <w:t>内容所包含的一切应有费用，</w:t>
      </w:r>
      <w:r>
        <w:rPr>
          <w:rFonts w:hint="eastAsia" w:ascii="宋体" w:hAnsi="宋体" w:eastAsia="宋体" w:cs="Times New Roman"/>
          <w:color w:val="auto"/>
          <w:szCs w:val="21"/>
          <w:highlight w:val="none"/>
          <w:lang w:val="en-US" w:eastAsia="zh-CN"/>
        </w:rPr>
        <w:t>中标价格除合同约定调整内容以外的</w:t>
      </w:r>
      <w:r>
        <w:rPr>
          <w:rFonts w:hint="eastAsia" w:ascii="宋体" w:hAnsi="宋体" w:eastAsia="宋体" w:cs="Times New Roman"/>
          <w:color w:val="auto"/>
          <w:szCs w:val="21"/>
          <w:highlight w:val="none"/>
        </w:rPr>
        <w:t>今后将不作任何调整</w:t>
      </w:r>
      <w:r>
        <w:rPr>
          <w:rFonts w:hint="eastAsia" w:ascii="宋体" w:hAnsi="宋体" w:eastAsia="宋体" w:cs="Times New Roman"/>
          <w:color w:val="auto"/>
          <w:szCs w:val="21"/>
          <w:highlight w:val="none"/>
          <w:lang w:eastAsia="zh-CN"/>
        </w:rPr>
        <w:t>，</w:t>
      </w:r>
      <w:r>
        <w:rPr>
          <w:rFonts w:hint="eastAsia" w:ascii="宋体" w:eastAsia="宋体"/>
          <w:color w:val="auto"/>
          <w:szCs w:val="21"/>
          <w:highlight w:val="none"/>
          <w:lang w:val="en-US" w:eastAsia="zh-CN"/>
        </w:rPr>
        <w:t>招标人</w:t>
      </w:r>
      <w:r>
        <w:rPr>
          <w:rFonts w:hint="eastAsia" w:ascii="宋体"/>
          <w:color w:val="auto"/>
          <w:szCs w:val="21"/>
          <w:highlight w:val="none"/>
        </w:rPr>
        <w:t>后期不再追加费用，投标</w:t>
      </w:r>
      <w:r>
        <w:rPr>
          <w:rFonts w:hint="eastAsia" w:ascii="宋体"/>
          <w:color w:val="auto"/>
          <w:szCs w:val="21"/>
          <w:highlight w:val="none"/>
          <w:lang w:val="en-US" w:eastAsia="zh-CN"/>
        </w:rPr>
        <w:t>人</w:t>
      </w:r>
      <w:r>
        <w:rPr>
          <w:rFonts w:hint="eastAsia" w:ascii="宋体"/>
          <w:color w:val="auto"/>
          <w:szCs w:val="21"/>
          <w:highlight w:val="none"/>
        </w:rPr>
        <w:t>自行考虑投标风险。</w:t>
      </w:r>
    </w:p>
    <w:p w14:paraId="602654D3">
      <w:pPr>
        <w:spacing w:line="440" w:lineRule="exact"/>
        <w:ind w:firstLine="420" w:firstLineChars="200"/>
        <w:rPr>
          <w:rFonts w:hint="eastAsia" w:ascii="宋体"/>
          <w:color w:val="auto"/>
          <w:szCs w:val="21"/>
          <w:highlight w:val="none"/>
        </w:rPr>
      </w:pPr>
      <w:r>
        <w:rPr>
          <w:rFonts w:hint="eastAsia" w:ascii="宋体"/>
          <w:color w:val="auto"/>
          <w:szCs w:val="21"/>
          <w:highlight w:val="none"/>
        </w:rPr>
        <w:t>22.2投标人只允许有一个方案、一个报价。</w:t>
      </w:r>
    </w:p>
    <w:p w14:paraId="00986FA1">
      <w:pPr>
        <w:spacing w:line="360" w:lineRule="auto"/>
        <w:ind w:firstLine="420" w:firstLineChars="200"/>
        <w:jc w:val="left"/>
        <w:rPr>
          <w:rFonts w:hint="eastAsia"/>
          <w:color w:val="auto"/>
          <w:highlight w:val="none"/>
        </w:rPr>
      </w:pPr>
      <w:r>
        <w:rPr>
          <w:rFonts w:hint="eastAsia" w:ascii="宋体"/>
          <w:color w:val="auto"/>
          <w:szCs w:val="21"/>
          <w:highlight w:val="none"/>
        </w:rPr>
        <w:t>22.3投标报价是完成项目全部内容（包括后期的相关服务）交付验收的</w:t>
      </w:r>
      <w:r>
        <w:rPr>
          <w:rFonts w:hint="eastAsia" w:ascii="宋体"/>
          <w:color w:val="auto"/>
          <w:szCs w:val="21"/>
          <w:highlight w:val="none"/>
          <w:lang w:val="en-US" w:eastAsia="zh-CN"/>
        </w:rPr>
        <w:t>价格</w:t>
      </w:r>
      <w:r>
        <w:rPr>
          <w:rFonts w:hint="eastAsia" w:ascii="宋体"/>
          <w:color w:val="auto"/>
          <w:szCs w:val="21"/>
          <w:highlight w:val="none"/>
        </w:rPr>
        <w:t>，其</w:t>
      </w:r>
      <w:r>
        <w:rPr>
          <w:rFonts w:hint="eastAsia" w:ascii="宋体"/>
          <w:color w:val="auto"/>
          <w:szCs w:val="21"/>
          <w:highlight w:val="none"/>
          <w:lang w:val="en-US" w:eastAsia="zh-CN"/>
        </w:rPr>
        <w:t>总</w:t>
      </w:r>
      <w:r>
        <w:rPr>
          <w:rFonts w:hint="eastAsia" w:ascii="宋体"/>
          <w:color w:val="auto"/>
          <w:szCs w:val="21"/>
          <w:highlight w:val="none"/>
        </w:rPr>
        <w:t>价即为履行合同的固定</w:t>
      </w:r>
      <w:r>
        <w:rPr>
          <w:rFonts w:hint="eastAsia" w:ascii="宋体"/>
          <w:color w:val="auto"/>
          <w:szCs w:val="21"/>
          <w:highlight w:val="none"/>
          <w:lang w:val="en-US" w:eastAsia="zh-CN"/>
        </w:rPr>
        <w:t>总价</w:t>
      </w:r>
      <w:r>
        <w:rPr>
          <w:rFonts w:hint="eastAsia" w:ascii="宋体"/>
          <w:color w:val="auto"/>
          <w:szCs w:val="21"/>
          <w:highlight w:val="none"/>
        </w:rPr>
        <w:t>。</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所报费用为含税费用，在合同履行期间，遇国家税收政策调整</w:t>
      </w:r>
      <w:r>
        <w:rPr>
          <w:rFonts w:hint="eastAsia" w:ascii="宋体" w:hAnsi="宋体" w:cs="宋体"/>
          <w:color w:val="auto"/>
          <w:szCs w:val="21"/>
          <w:highlight w:val="none"/>
          <w:lang w:eastAsia="zh-CN"/>
        </w:rPr>
        <w:t>，税率随变化而变化，</w:t>
      </w:r>
      <w:r>
        <w:rPr>
          <w:rFonts w:hint="eastAsia" w:ascii="宋体" w:hAnsi="宋体" w:cs="宋体"/>
          <w:color w:val="auto"/>
          <w:szCs w:val="21"/>
          <w:highlight w:val="none"/>
          <w:lang w:val="en-US" w:eastAsia="zh-CN"/>
        </w:rPr>
        <w:t>则合同价款及综合单价金额不做调整</w:t>
      </w:r>
      <w:r>
        <w:rPr>
          <w:rFonts w:hint="eastAsia" w:ascii="宋体" w:hAnsi="宋体" w:cs="宋体"/>
          <w:color w:val="auto"/>
          <w:szCs w:val="21"/>
          <w:highlight w:val="none"/>
        </w:rPr>
        <w:t>。</w:t>
      </w:r>
    </w:p>
    <w:p w14:paraId="19E411DA">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22.4</w:t>
      </w:r>
      <w:r>
        <w:rPr>
          <w:rFonts w:hint="eastAsia" w:ascii="宋体"/>
          <w:color w:val="auto"/>
          <w:szCs w:val="21"/>
          <w:highlight w:val="none"/>
        </w:rPr>
        <w:t>投标报价应由法定代表人或被授权人签署。</w:t>
      </w:r>
    </w:p>
    <w:p w14:paraId="4A9CAB71">
      <w:pPr>
        <w:spacing w:line="440" w:lineRule="exact"/>
        <w:ind w:firstLine="420" w:firstLineChars="200"/>
        <w:rPr>
          <w:rFonts w:hint="eastAsia" w:ascii="宋体"/>
          <w:color w:val="auto"/>
          <w:szCs w:val="21"/>
          <w:highlight w:val="none"/>
        </w:rPr>
      </w:pPr>
      <w:r>
        <w:rPr>
          <w:rFonts w:hint="eastAsia" w:ascii="宋体"/>
          <w:color w:val="auto"/>
          <w:szCs w:val="21"/>
          <w:highlight w:val="none"/>
        </w:rPr>
        <w:t>22.5</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5BE35DAC">
      <w:pPr>
        <w:spacing w:line="440" w:lineRule="exact"/>
        <w:ind w:firstLine="420" w:firstLineChars="200"/>
        <w:rPr>
          <w:rFonts w:hint="eastAsia" w:ascii="宋体"/>
          <w:color w:val="auto"/>
          <w:szCs w:val="21"/>
          <w:highlight w:val="none"/>
        </w:rPr>
      </w:pPr>
      <w:r>
        <w:rPr>
          <w:rFonts w:hint="eastAsia" w:ascii="宋体"/>
          <w:color w:val="auto"/>
          <w:szCs w:val="21"/>
          <w:highlight w:val="none"/>
        </w:rPr>
        <w:t>22.6如投标文件中未列明全面实现投标货物功能而必须配置的配套或辅助设施及相应技术措施的费用，这些费用将被视为已包含在总投标价中。</w:t>
      </w:r>
    </w:p>
    <w:p w14:paraId="3BF135BF">
      <w:pPr>
        <w:spacing w:line="440" w:lineRule="exact"/>
        <w:ind w:firstLine="420" w:firstLineChars="200"/>
        <w:rPr>
          <w:rFonts w:hint="eastAsia" w:ascii="宋体"/>
          <w:color w:val="auto"/>
          <w:szCs w:val="21"/>
          <w:highlight w:val="none"/>
        </w:rPr>
      </w:pPr>
      <w:r>
        <w:rPr>
          <w:rFonts w:hint="eastAsia" w:ascii="宋体"/>
          <w:color w:val="auto"/>
          <w:szCs w:val="21"/>
          <w:highlight w:val="none"/>
        </w:rPr>
        <w:t>22.7投标价中不得包含招标文件要求以外的内容，否则，在评标时不予核减，但在授予合同时，招标人有权将这部分价格从其中标价格中扣除。</w:t>
      </w:r>
    </w:p>
    <w:p w14:paraId="34E8769F">
      <w:pPr>
        <w:spacing w:line="440" w:lineRule="exact"/>
        <w:ind w:firstLine="403" w:firstLineChars="192"/>
        <w:rPr>
          <w:rFonts w:hint="eastAsia" w:ascii="宋体"/>
          <w:color w:val="auto"/>
          <w:szCs w:val="21"/>
          <w:highlight w:val="none"/>
        </w:rPr>
      </w:pPr>
      <w:r>
        <w:rPr>
          <w:rFonts w:hint="eastAsia" w:ascii="宋体"/>
          <w:color w:val="auto"/>
          <w:szCs w:val="21"/>
          <w:highlight w:val="none"/>
        </w:rPr>
        <w:t>22.8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4B522088">
      <w:pPr>
        <w:spacing w:line="440" w:lineRule="exact"/>
        <w:ind w:firstLine="422" w:firstLineChars="200"/>
        <w:rPr>
          <w:rFonts w:hint="eastAsia" w:ascii="宋体"/>
          <w:b/>
          <w:color w:val="auto"/>
          <w:szCs w:val="21"/>
          <w:highlight w:val="none"/>
        </w:rPr>
      </w:pPr>
      <w:r>
        <w:rPr>
          <w:rFonts w:hint="eastAsia" w:ascii="宋体"/>
          <w:b/>
          <w:color w:val="auto"/>
          <w:szCs w:val="21"/>
          <w:highlight w:val="none"/>
        </w:rPr>
        <w:t>23. 投标有效期</w:t>
      </w:r>
    </w:p>
    <w:p w14:paraId="7471A23D">
      <w:pPr>
        <w:spacing w:line="440" w:lineRule="exact"/>
        <w:ind w:firstLine="420" w:firstLineChars="200"/>
        <w:rPr>
          <w:rFonts w:hint="eastAsia" w:ascii="宋体"/>
          <w:color w:val="auto"/>
          <w:szCs w:val="21"/>
          <w:highlight w:val="none"/>
        </w:rPr>
      </w:pPr>
      <w:r>
        <w:rPr>
          <w:rFonts w:hint="eastAsia" w:ascii="宋体"/>
          <w:color w:val="auto"/>
          <w:szCs w:val="21"/>
          <w:highlight w:val="none"/>
        </w:rPr>
        <w:t>23.1 投标有效期见投标人须知前附表。</w:t>
      </w:r>
    </w:p>
    <w:p w14:paraId="7033F714">
      <w:pPr>
        <w:spacing w:line="440" w:lineRule="exact"/>
        <w:ind w:firstLine="420" w:firstLineChars="200"/>
        <w:rPr>
          <w:rFonts w:hint="eastAsia" w:ascii="宋体"/>
          <w:color w:val="auto"/>
          <w:szCs w:val="21"/>
          <w:highlight w:val="none"/>
        </w:rPr>
      </w:pPr>
      <w:r>
        <w:rPr>
          <w:rFonts w:hint="eastAsia" w:ascii="宋体"/>
          <w:color w:val="auto"/>
          <w:szCs w:val="21"/>
          <w:highlight w:val="none"/>
        </w:rPr>
        <w:t>23.2在投标有效期内，投标人撤销或修改其投标文件的，应承担招标文件和法律规定的责任。</w:t>
      </w:r>
    </w:p>
    <w:p w14:paraId="0BED8B08">
      <w:pPr>
        <w:spacing w:line="440" w:lineRule="exact"/>
        <w:ind w:firstLine="420" w:firstLineChars="200"/>
        <w:rPr>
          <w:rFonts w:ascii="宋体"/>
          <w:color w:val="auto"/>
          <w:szCs w:val="21"/>
          <w:highlight w:val="none"/>
        </w:rPr>
      </w:pPr>
      <w:r>
        <w:rPr>
          <w:rFonts w:hint="eastAsia" w:ascii="宋体"/>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EB6936F">
      <w:pPr>
        <w:spacing w:line="440" w:lineRule="exact"/>
        <w:ind w:firstLine="405" w:firstLineChars="192"/>
        <w:rPr>
          <w:rFonts w:hint="eastAsia" w:ascii="宋体"/>
          <w:b/>
          <w:color w:val="auto"/>
          <w:szCs w:val="21"/>
          <w:highlight w:val="none"/>
        </w:rPr>
      </w:pPr>
      <w:r>
        <w:rPr>
          <w:rFonts w:hint="eastAsia" w:ascii="宋体"/>
          <w:b/>
          <w:color w:val="auto"/>
          <w:szCs w:val="21"/>
          <w:highlight w:val="none"/>
        </w:rPr>
        <w:t>24. 投标保证金</w:t>
      </w:r>
    </w:p>
    <w:p w14:paraId="4A262CB3">
      <w:pPr>
        <w:spacing w:line="440" w:lineRule="exact"/>
        <w:ind w:firstLine="420" w:firstLineChars="200"/>
        <w:rPr>
          <w:rFonts w:hint="eastAsia" w:ascii="宋体"/>
          <w:color w:val="auto"/>
          <w:szCs w:val="21"/>
          <w:highlight w:val="none"/>
        </w:rPr>
      </w:pPr>
      <w:bookmarkStart w:id="59" w:name="_Toc449028870"/>
      <w:r>
        <w:rPr>
          <w:rFonts w:hint="eastAsia" w:ascii="宋体"/>
          <w:color w:val="auto"/>
          <w:szCs w:val="21"/>
          <w:highlight w:val="none"/>
        </w:rPr>
        <w:t>24.1投标人须知前附表规定递交投标保证金的，投标人在递交投标文件的同时，应按投标人须知前附表规定的金额、担保形式和第七章“投标文件格式”规定的或者事先经过招标人认可的保证金格式递交保证金，并作为其投标文件的组成部分。联合体投标的，其投标保证金由牵头人递交，并应符合投标人须知前附表的规定。</w:t>
      </w:r>
    </w:p>
    <w:p w14:paraId="447B7794">
      <w:pPr>
        <w:spacing w:line="440" w:lineRule="exact"/>
        <w:ind w:firstLine="420" w:firstLineChars="200"/>
        <w:rPr>
          <w:rFonts w:hint="eastAsia" w:ascii="宋体"/>
          <w:color w:val="auto"/>
          <w:szCs w:val="21"/>
          <w:highlight w:val="none"/>
        </w:rPr>
      </w:pPr>
      <w:r>
        <w:rPr>
          <w:rFonts w:hint="eastAsia" w:ascii="宋体"/>
          <w:color w:val="auto"/>
          <w:szCs w:val="21"/>
          <w:highlight w:val="none"/>
        </w:rPr>
        <w:t>无论采取何种形式的投标保证金，投标保证金有效期均应与投标有效期一致（采用投标电子保函的保证期截止时间不得早于该项目投标有效期的截止时间）。招标人如果按本章第23.3 项的规定延长了投标有效期，则投标保证金的有效期也相应延长。</w:t>
      </w:r>
    </w:p>
    <w:p w14:paraId="038948C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24.2投标人不按本章第24.1项要求提交投标保证金的，评标委员会将否决其投标。</w:t>
      </w:r>
    </w:p>
    <w:p w14:paraId="71C8FF00">
      <w:pPr>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24.3</w:t>
      </w:r>
      <w:r>
        <w:rPr>
          <w:rFonts w:hint="eastAsia" w:ascii="宋体" w:hAnsi="宋体" w:cs="宋体"/>
          <w:color w:val="auto"/>
          <w:szCs w:val="21"/>
          <w:highlight w:val="none"/>
          <w:lang w:eastAsia="zh-CN"/>
        </w:rPr>
        <w:t>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6DCF542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24.4有下列情形之一的，投标保证金将不予退还： </w:t>
      </w:r>
    </w:p>
    <w:p w14:paraId="1988F74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（1）投标截止后投标人撤销投标文件的；</w:t>
      </w:r>
    </w:p>
    <w:p w14:paraId="1B3AE40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（2）中标人无正当理由不与招标人订立合同，在签订合同时向招标人提出附加条件，或者不按照招标文件要求提交履约保证金的。</w:t>
      </w:r>
    </w:p>
    <w:p w14:paraId="6C744DB5">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24.5投标保证金按《</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"https://www.chuzhou.gov.cn/group1/M00/12/83/CpYI8mGDiKqAD_IkAAEIAMLVghw186.doc" \t "_blank"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滁州市公共资源交易投标保证金管理规定</w:t>
      </w:r>
      <w:r>
        <w:rPr>
          <w:rFonts w:hint="eastAsia" w:ascii="宋体" w:hAnsi="宋体" w:cs="宋体"/>
          <w:color w:val="auto"/>
          <w:szCs w:val="21"/>
          <w:highlight w:val="none"/>
        </w:rPr>
        <w:fldChar w:fldCharType="end"/>
      </w:r>
      <w:r>
        <w:rPr>
          <w:rFonts w:hint="eastAsia" w:ascii="宋体" w:hAnsi="宋体" w:cs="宋体"/>
          <w:color w:val="auto"/>
          <w:szCs w:val="21"/>
          <w:highlight w:val="none"/>
        </w:rPr>
        <w:t>》（滁公管〔2021〕7号）规定执行。</w:t>
      </w:r>
    </w:p>
    <w:p w14:paraId="37D60DC5">
      <w:pPr>
        <w:spacing w:before="240" w:beforeLines="100" w:after="240" w:afterLines="100" w:line="400" w:lineRule="exact"/>
        <w:jc w:val="center"/>
        <w:rPr>
          <w:rFonts w:hint="eastAsia" w:ascii="宋体"/>
          <w:b/>
          <w:color w:val="auto"/>
          <w:sz w:val="28"/>
          <w:szCs w:val="28"/>
          <w:highlight w:val="none"/>
        </w:rPr>
      </w:pPr>
      <w:r>
        <w:rPr>
          <w:rFonts w:hint="eastAsia" w:ascii="宋体"/>
          <w:b/>
          <w:color w:val="auto"/>
          <w:sz w:val="28"/>
          <w:szCs w:val="28"/>
          <w:highlight w:val="none"/>
        </w:rPr>
        <w:t>（四）投标文件的递交</w:t>
      </w:r>
      <w:bookmarkEnd w:id="59"/>
    </w:p>
    <w:p w14:paraId="66A3DA9A">
      <w:pPr>
        <w:spacing w:line="440" w:lineRule="exact"/>
        <w:rPr>
          <w:rFonts w:hint="eastAsia" w:ascii="宋体" w:hAnsi="Times New Roman" w:eastAsia="宋体" w:cs="Times New Roman"/>
          <w:b/>
          <w:color w:val="auto"/>
          <w:szCs w:val="21"/>
          <w:highlight w:val="none"/>
        </w:rPr>
      </w:pPr>
      <w:bookmarkStart w:id="60" w:name="_Toc449028871"/>
      <w:r>
        <w:rPr>
          <w:rFonts w:hint="eastAsia" w:ascii="黑体" w:eastAsia="黑体"/>
          <w:b/>
          <w:color w:val="auto"/>
          <w:szCs w:val="21"/>
          <w:highlight w:val="none"/>
        </w:rPr>
        <w:t xml:space="preserve"> </w:t>
      </w:r>
      <w:r>
        <w:rPr>
          <w:rFonts w:hint="eastAsia" w:ascii="宋体" w:hAnsi="Times New Roman" w:eastAsia="宋体" w:cs="Times New Roman"/>
          <w:b/>
          <w:color w:val="auto"/>
          <w:szCs w:val="21"/>
          <w:highlight w:val="none"/>
        </w:rPr>
        <w:t xml:space="preserve"> </w:t>
      </w:r>
      <w:r>
        <w:rPr>
          <w:rFonts w:hint="eastAsia" w:ascii="宋体" w:hAnsi="Times New Roman" w:eastAsia="宋体" w:cs="Times New Roman"/>
          <w:b/>
          <w:color w:val="auto"/>
          <w:szCs w:val="21"/>
          <w:highlight w:val="none"/>
          <w:lang w:val="en-US" w:eastAsia="zh-CN"/>
        </w:rPr>
        <w:t xml:space="preserve"> </w:t>
      </w:r>
      <w:r>
        <w:rPr>
          <w:rFonts w:hint="eastAsia" w:ascii="宋体" w:hAnsi="Times New Roman" w:eastAsia="宋体" w:cs="Times New Roman"/>
          <w:b/>
          <w:color w:val="auto"/>
          <w:szCs w:val="21"/>
          <w:highlight w:val="none"/>
        </w:rPr>
        <w:t>25.投标文件的密封和标记</w:t>
      </w:r>
    </w:p>
    <w:p w14:paraId="55B85679">
      <w:pPr>
        <w:spacing w:line="440" w:lineRule="exact"/>
        <w:ind w:firstLine="315" w:firstLineChars="150"/>
        <w:jc w:val="left"/>
        <w:rPr>
          <w:rFonts w:hint="eastAsia" w:ascii="宋体" w:hAnsi="宋体" w:cs="宋体"/>
          <w:color w:val="auto"/>
          <w:szCs w:val="21"/>
          <w:highlight w:val="none"/>
        </w:rPr>
      </w:pPr>
      <w:r>
        <w:rPr>
          <w:rFonts w:hint="eastAsia" w:ascii="宋体" w:hAnsi="宋体"/>
          <w:color w:val="auto"/>
          <w:szCs w:val="21"/>
          <w:highlight w:val="none"/>
        </w:rPr>
        <w:t>25.1投标文件应按照本章第21.2.5项要求制作并加密，未按要求加密的投标文件将被拒绝接收。以投标人在投标截止时间前网上递交的电子投标文件为准。</w:t>
      </w:r>
    </w:p>
    <w:p w14:paraId="5CF0B6CE">
      <w:pPr>
        <w:spacing w:line="440" w:lineRule="exact"/>
        <w:ind w:firstLine="314" w:firstLineChars="149"/>
        <w:rPr>
          <w:rFonts w:hint="eastAsia" w:ascii="宋体"/>
          <w:b/>
          <w:color w:val="auto"/>
          <w:szCs w:val="21"/>
          <w:highlight w:val="none"/>
        </w:rPr>
      </w:pPr>
      <w:r>
        <w:rPr>
          <w:rFonts w:hint="eastAsia" w:ascii="宋体"/>
          <w:b/>
          <w:color w:val="auto"/>
          <w:szCs w:val="21"/>
          <w:highlight w:val="none"/>
        </w:rPr>
        <w:t>26.投标文件上传</w:t>
      </w:r>
    </w:p>
    <w:p w14:paraId="1A836896">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26.1请投标人通过系统下载投标工具制作投标文件，并利用CA数字证书进行上传投标文件，上传已加密的投标文件，务必通过此方式上传投标文件。</w:t>
      </w:r>
    </w:p>
    <w:p w14:paraId="1405B0E1">
      <w:pPr>
        <w:spacing w:line="440" w:lineRule="exact"/>
        <w:ind w:firstLine="315" w:firstLineChars="150"/>
        <w:jc w:val="left"/>
        <w:rPr>
          <w:color w:val="auto"/>
          <w:highlight w:val="none"/>
        </w:rPr>
      </w:pPr>
      <w:r>
        <w:rPr>
          <w:rFonts w:hint="eastAsia" w:ascii="宋体" w:hAnsi="宋体" w:cs="宋体"/>
          <w:color w:val="auto"/>
          <w:szCs w:val="21"/>
          <w:highlight w:val="none"/>
        </w:rPr>
        <w:t>26.2投标人在投标文件编制、签章、上传过程中如有任何操作的疑问请及时联系技术支持，电话：0550-3801701。</w:t>
      </w:r>
    </w:p>
    <w:p w14:paraId="20CB36C8">
      <w:pPr>
        <w:spacing w:line="440" w:lineRule="exact"/>
        <w:ind w:firstLine="314" w:firstLineChars="149"/>
        <w:rPr>
          <w:rFonts w:hint="eastAsia" w:ascii="宋体"/>
          <w:b/>
          <w:color w:val="auto"/>
          <w:szCs w:val="21"/>
          <w:highlight w:val="none"/>
        </w:rPr>
      </w:pPr>
      <w:r>
        <w:rPr>
          <w:rFonts w:hint="eastAsia" w:ascii="宋体"/>
          <w:b/>
          <w:color w:val="auto"/>
          <w:szCs w:val="21"/>
          <w:highlight w:val="none"/>
        </w:rPr>
        <w:t>27.投标文件的递交</w:t>
      </w:r>
    </w:p>
    <w:p w14:paraId="4F7E00AF">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 投标人应当在第一章“招标公告”规定的投标截止时间前，将加密投标文件上传至电子交易系统。</w:t>
      </w:r>
    </w:p>
    <w:p w14:paraId="2969DD17">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 除投标人须知前附表另有规定外，投标人所递交的投标文件不予退还。</w:t>
      </w:r>
    </w:p>
    <w:p w14:paraId="7926A35C">
      <w:pPr>
        <w:spacing w:line="440" w:lineRule="exact"/>
        <w:ind w:firstLine="315" w:firstLineChars="150"/>
        <w:jc w:val="left"/>
        <w:rPr>
          <w:rFonts w:hint="eastAsia"/>
          <w:color w:val="auto"/>
          <w:highlight w:val="none"/>
        </w:rPr>
      </w:pPr>
      <w:r>
        <w:rPr>
          <w:rFonts w:hint="eastAsia" w:ascii="宋体" w:hAnsi="宋体" w:cs="宋体"/>
          <w:color w:val="auto"/>
          <w:szCs w:val="21"/>
          <w:highlight w:val="none"/>
        </w:rPr>
        <w:t>27.3 投标人应当在投标截止时间前完成投标文件的网上递交，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697AD88A">
      <w:pPr>
        <w:spacing w:line="440" w:lineRule="exact"/>
        <w:ind w:firstLine="314" w:firstLineChars="149"/>
        <w:rPr>
          <w:rFonts w:hint="eastAsia" w:ascii="宋体"/>
          <w:b/>
          <w:color w:val="auto"/>
          <w:szCs w:val="21"/>
          <w:highlight w:val="none"/>
        </w:rPr>
      </w:pPr>
      <w:r>
        <w:rPr>
          <w:rFonts w:hint="eastAsia" w:ascii="宋体"/>
          <w:b/>
          <w:color w:val="auto"/>
          <w:szCs w:val="21"/>
          <w:highlight w:val="none"/>
        </w:rPr>
        <w:t>28.投标文件的修改与撤回</w:t>
      </w:r>
    </w:p>
    <w:p w14:paraId="578F155E">
      <w:pPr>
        <w:spacing w:line="440" w:lineRule="exact"/>
        <w:ind w:firstLine="315" w:firstLineChars="150"/>
        <w:jc w:val="left"/>
        <w:rPr>
          <w:rFonts w:hint="eastAsia" w:ascii="宋体" w:hAnsi="宋体"/>
          <w:bCs/>
          <w:color w:val="auto"/>
          <w:szCs w:val="21"/>
          <w:highlight w:val="none"/>
        </w:rPr>
      </w:pPr>
      <w:r>
        <w:rPr>
          <w:rFonts w:hint="eastAsia" w:ascii="宋体" w:hAnsi="宋体" w:cs="宋体"/>
          <w:color w:val="auto"/>
          <w:szCs w:val="21"/>
          <w:highlight w:val="none"/>
        </w:rPr>
        <w:t>28.1在第一章“招标公告”规定的投标截止时间前，投标人可以自行从网上招投标系统撤回已递交的投标文件，并可修改后重新加密上传，开标时以投标截止时间前投标人最终上传的投标文件为准。</w:t>
      </w:r>
    </w:p>
    <w:p w14:paraId="59EF3124">
      <w:pPr>
        <w:spacing w:line="440" w:lineRule="exact"/>
        <w:ind w:firstLine="314" w:firstLineChars="149"/>
        <w:rPr>
          <w:rFonts w:hint="eastAsia" w:ascii="宋体"/>
          <w:b/>
          <w:color w:val="auto"/>
          <w:szCs w:val="21"/>
          <w:highlight w:val="none"/>
        </w:rPr>
      </w:pPr>
      <w:r>
        <w:rPr>
          <w:rFonts w:hint="eastAsia" w:ascii="宋体"/>
          <w:b/>
          <w:color w:val="auto"/>
          <w:szCs w:val="21"/>
          <w:highlight w:val="none"/>
        </w:rPr>
        <w:t>29.偏离</w:t>
      </w:r>
    </w:p>
    <w:p w14:paraId="1AA5BA5F">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29.1投标文件偏离招标文件某些要求，视为投标文件存在偏差。偏差包括重大偏差和细微偏差。</w:t>
      </w:r>
    </w:p>
    <w:p w14:paraId="32661248">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29.1.1投标文件应对招标文件的实质性要求和条件作出满足性或更有利于招标人的响应，否则，视为投标文件存在重大偏差，投标人的投标将被否决。</w:t>
      </w:r>
    </w:p>
    <w:p w14:paraId="5AFC6ACD">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投标文件存在第四章“评标办法”中所列任一无效投标情形的，均属于存在重大偏差。</w:t>
      </w:r>
    </w:p>
    <w:p w14:paraId="2A7F9F63">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29.1.2投标文件中的下列偏差为细微偏差：</w:t>
      </w:r>
    </w:p>
    <w:p w14:paraId="6DB3C636">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5EE6CCDF">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66C2BFED">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29.1.3评标委员会对投标文件中的细微偏差按如下规定处理：</w:t>
      </w:r>
    </w:p>
    <w:p w14:paraId="196728E6">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对于本章第29.1.2 项（1）目所述的细微偏差，按照第三章“评标办法”的规定予以修正并要求投标人进行澄清；</w:t>
      </w:r>
    </w:p>
    <w:p w14:paraId="0A1115CA">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对于本章第29.1.2 项（2）目所述的细微偏差，可要求投标人对细微偏差进行澄清。</w:t>
      </w:r>
    </w:p>
    <w:p w14:paraId="5CA1B440">
      <w:pPr>
        <w:spacing w:before="240" w:beforeLines="100" w:after="240" w:afterLines="100" w:line="400" w:lineRule="exact"/>
        <w:jc w:val="center"/>
        <w:rPr>
          <w:rFonts w:hint="eastAsia" w:ascii="宋体"/>
          <w:b/>
          <w:color w:val="auto"/>
          <w:sz w:val="28"/>
          <w:szCs w:val="28"/>
          <w:highlight w:val="none"/>
        </w:rPr>
      </w:pPr>
      <w:r>
        <w:rPr>
          <w:rFonts w:hint="eastAsia" w:ascii="宋体"/>
          <w:b/>
          <w:color w:val="auto"/>
          <w:sz w:val="28"/>
          <w:szCs w:val="28"/>
          <w:highlight w:val="none"/>
        </w:rPr>
        <w:t>（五）开标和评标</w:t>
      </w:r>
      <w:bookmarkEnd w:id="60"/>
    </w:p>
    <w:p w14:paraId="55E70288">
      <w:pPr>
        <w:spacing w:line="420" w:lineRule="exact"/>
        <w:ind w:firstLine="421"/>
        <w:jc w:val="left"/>
        <w:rPr>
          <w:rFonts w:hint="eastAsia" w:ascii="宋体"/>
          <w:b/>
          <w:color w:val="auto"/>
          <w:szCs w:val="21"/>
          <w:highlight w:val="none"/>
        </w:rPr>
      </w:pPr>
      <w:bookmarkStart w:id="61" w:name="_Toc449028873"/>
      <w:r>
        <w:rPr>
          <w:rFonts w:hint="eastAsia" w:ascii="宋体"/>
          <w:b/>
          <w:color w:val="auto"/>
          <w:szCs w:val="21"/>
          <w:highlight w:val="none"/>
        </w:rPr>
        <w:t>30. 开标</w:t>
      </w:r>
    </w:p>
    <w:p w14:paraId="29861683">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30.1 开标的时间和地点</w:t>
      </w:r>
    </w:p>
    <w:p w14:paraId="2C6694FF">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30.1.1招标人在第一章“招标公告”规定的投标截止时间前（开标时间）和地点通过电子交易系统公开开标。</w:t>
      </w:r>
    </w:p>
    <w:p w14:paraId="6918AC2B">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30.2开标程序</w:t>
      </w:r>
    </w:p>
    <w:p w14:paraId="47E49EDB">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30.2.1主持人按下列程序进行开标：</w:t>
      </w:r>
    </w:p>
    <w:p w14:paraId="6C908FD1">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（1）公布在投标截止时间前通过电子交易系统完成投标文件递交的投标人名称；</w:t>
      </w:r>
    </w:p>
    <w:p w14:paraId="33F35AA6">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（2）投标人在投标截止时间后在投标人须知前附表规定的解密时间内完成投标文件的解密工作；</w:t>
      </w:r>
    </w:p>
    <w:p w14:paraId="72B055CB">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（3）招标人或招标代理机构完成解密工作，导入并读取所有成功解密的投标文件；</w:t>
      </w:r>
    </w:p>
    <w:p w14:paraId="78C922F1">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（4）按投标人须知前附表规定公布投标人名称、标段名称、投标报价、质量目标、工期及其他内容；</w:t>
      </w:r>
    </w:p>
    <w:p w14:paraId="7E2E0899">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（5）开标结束。</w:t>
      </w:r>
    </w:p>
    <w:p w14:paraId="55D14AA5">
      <w:pPr>
        <w:spacing w:line="420" w:lineRule="exact"/>
        <w:ind w:right="-155" w:rightChars="-74" w:firstLine="420" w:firstLineChars="200"/>
        <w:jc w:val="left"/>
        <w:rPr>
          <w:rFonts w:hint="eastAsia" w:ascii="宋体"/>
          <w:color w:val="auto"/>
          <w:szCs w:val="21"/>
          <w:highlight w:val="none"/>
        </w:rPr>
      </w:pPr>
      <w:r>
        <w:rPr>
          <w:rFonts w:hint="eastAsia" w:ascii="宋体"/>
          <w:color w:val="auto"/>
          <w:szCs w:val="21"/>
          <w:highlight w:val="none"/>
        </w:rPr>
        <w:t>30.3开标异议</w:t>
      </w:r>
    </w:p>
    <w:p w14:paraId="7EAAC7BB">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30.3.1投标人对开标有异议的，应当在开标过程中提出，招标人在开标过程中作出答复，并制作记录。异议与答复应通过电子交易系统进行。</w:t>
      </w:r>
    </w:p>
    <w:p w14:paraId="3032E263">
      <w:pPr>
        <w:spacing w:line="420" w:lineRule="exact"/>
        <w:ind w:firstLine="421"/>
        <w:jc w:val="left"/>
        <w:rPr>
          <w:rFonts w:hint="eastAsia" w:ascii="宋体"/>
          <w:b/>
          <w:color w:val="auto"/>
          <w:szCs w:val="21"/>
          <w:highlight w:val="none"/>
        </w:rPr>
      </w:pPr>
      <w:r>
        <w:rPr>
          <w:rFonts w:hint="eastAsia" w:ascii="宋体"/>
          <w:b/>
          <w:color w:val="auto"/>
          <w:szCs w:val="21"/>
          <w:highlight w:val="none"/>
        </w:rPr>
        <w:t>31.评标委员会</w:t>
      </w:r>
    </w:p>
    <w:p w14:paraId="0E3B25F0">
      <w:pPr>
        <w:spacing w:line="420" w:lineRule="exact"/>
        <w:ind w:firstLine="420" w:firstLineChars="200"/>
        <w:jc w:val="left"/>
        <w:rPr>
          <w:rFonts w:ascii="宋体" w:cs="宋体"/>
          <w:color w:val="auto"/>
          <w:szCs w:val="21"/>
          <w:highlight w:val="none"/>
        </w:rPr>
      </w:pPr>
      <w:r>
        <w:rPr>
          <w:rFonts w:hint="eastAsia" w:ascii="宋体"/>
          <w:color w:val="auto"/>
          <w:szCs w:val="21"/>
          <w:highlight w:val="none"/>
        </w:rPr>
        <w:t>31.1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DDCFCCE">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31</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5A1E9369">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（1）项目主管部门或行政监督管理部门，项目属地的公共资源交易综合管理部门、交易中心的工作人员； </w:t>
      </w:r>
    </w:p>
    <w:p w14:paraId="5ECBCD01">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（2）与竞争主体主要负责人或者授权参与交易的代理人有近亲属关系的人员； </w:t>
      </w:r>
    </w:p>
    <w:p w14:paraId="6FE2673D">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（3）竞争主体的工作人员或者退休人员； </w:t>
      </w:r>
    </w:p>
    <w:p w14:paraId="3EBE5548">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（4）竞争主体的上级主管、控股或者被控股单位等相关利害关系的人员，或任职单位与竞争主体单位为同一法定代表人的； </w:t>
      </w:r>
    </w:p>
    <w:p w14:paraId="052FCD16">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（5）存在其他法定回避情形的。</w:t>
      </w:r>
    </w:p>
    <w:p w14:paraId="58F4BDAB">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7B1A2C2C">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评标委员会或评审机构成员有前两款规定情形的，应当主动提出回避；已经进入的应当更换，被更换的成员评标评审意见无效。 </w:t>
      </w:r>
    </w:p>
    <w:p w14:paraId="23037EDB">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31.3评标过程中，评标委员会成员有回避事由、擅离职守或因健康等原因不能继续评标的，招标人有权更换。被更换的评标委员会成员作出的评审结论无效，由更换后的评标委员会成员重新进行评审。</w:t>
      </w:r>
    </w:p>
    <w:p w14:paraId="6DF9D86C">
      <w:pPr>
        <w:spacing w:line="420" w:lineRule="exact"/>
        <w:ind w:firstLine="421"/>
        <w:jc w:val="left"/>
        <w:rPr>
          <w:rFonts w:hint="eastAsia" w:ascii="宋体"/>
          <w:b/>
          <w:color w:val="auto"/>
          <w:szCs w:val="21"/>
          <w:highlight w:val="none"/>
        </w:rPr>
      </w:pPr>
      <w:r>
        <w:rPr>
          <w:rFonts w:hint="eastAsia" w:ascii="宋体"/>
          <w:b/>
          <w:color w:val="auto"/>
          <w:szCs w:val="21"/>
          <w:highlight w:val="none"/>
        </w:rPr>
        <w:t>32.评标原则</w:t>
      </w:r>
    </w:p>
    <w:p w14:paraId="7BB6E02B">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32.1评标活动遵循公平、公正、科学和择优的原则。</w:t>
      </w:r>
    </w:p>
    <w:p w14:paraId="48099C9E">
      <w:pPr>
        <w:tabs>
          <w:tab w:val="left" w:pos="720"/>
        </w:tabs>
        <w:spacing w:line="420" w:lineRule="exact"/>
        <w:ind w:firstLine="422" w:firstLineChars="200"/>
        <w:jc w:val="left"/>
        <w:rPr>
          <w:rFonts w:ascii="宋体"/>
          <w:color w:val="auto"/>
          <w:szCs w:val="21"/>
          <w:highlight w:val="none"/>
        </w:rPr>
      </w:pPr>
      <w:r>
        <w:rPr>
          <w:rFonts w:hint="eastAsia" w:ascii="宋体"/>
          <w:b/>
          <w:color w:val="auto"/>
          <w:szCs w:val="21"/>
          <w:highlight w:val="none"/>
        </w:rPr>
        <w:t>33.评标</w:t>
      </w:r>
    </w:p>
    <w:p w14:paraId="622B890C">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33.1评标委员会按照第四章“评标办法”规定的方法、评审因素、标准和程序对投标文件进行评审。第四章“评标办法”没有规定的方法、评审因素和标准，不作为评标依据。</w:t>
      </w:r>
    </w:p>
    <w:p w14:paraId="67151A0B">
      <w:pPr>
        <w:spacing w:line="420" w:lineRule="exact"/>
        <w:ind w:firstLine="420" w:firstLineChars="200"/>
        <w:jc w:val="left"/>
        <w:rPr>
          <w:rFonts w:hint="eastAsia" w:ascii="宋体"/>
          <w:color w:val="auto"/>
          <w:szCs w:val="21"/>
          <w:highlight w:val="none"/>
        </w:rPr>
      </w:pPr>
      <w:r>
        <w:rPr>
          <w:rFonts w:hint="eastAsia" w:ascii="宋体" w:hAnsi="宋体" w:cs="宋体"/>
          <w:color w:val="auto"/>
          <w:szCs w:val="21"/>
          <w:highlight w:val="none"/>
        </w:rPr>
        <w:t>33.2评标完成后，评标委员会应向招标人提交书面评标报告和中标候选人名单。评标委员会推荐中标候选人的人数见投标人须知前附表。</w:t>
      </w:r>
    </w:p>
    <w:p w14:paraId="58A97B1E">
      <w:pPr>
        <w:spacing w:before="240" w:beforeLines="100" w:after="240" w:afterLines="100" w:line="400" w:lineRule="exact"/>
        <w:jc w:val="center"/>
        <w:rPr>
          <w:rFonts w:hint="eastAsia" w:ascii="宋体"/>
          <w:b/>
          <w:color w:val="auto"/>
          <w:sz w:val="28"/>
          <w:szCs w:val="28"/>
          <w:highlight w:val="none"/>
        </w:rPr>
      </w:pPr>
      <w:r>
        <w:rPr>
          <w:rFonts w:hint="eastAsia" w:ascii="宋体"/>
          <w:b/>
          <w:color w:val="auto"/>
          <w:sz w:val="28"/>
          <w:szCs w:val="28"/>
          <w:highlight w:val="none"/>
        </w:rPr>
        <w:t>（六）合同授予</w:t>
      </w:r>
      <w:bookmarkEnd w:id="61"/>
    </w:p>
    <w:p w14:paraId="0E5275E2">
      <w:pPr>
        <w:spacing w:line="420" w:lineRule="exact"/>
        <w:ind w:firstLine="521" w:firstLineChars="247"/>
        <w:jc w:val="left"/>
        <w:rPr>
          <w:rFonts w:hint="eastAsia" w:ascii="宋体"/>
          <w:b/>
          <w:color w:val="auto"/>
          <w:szCs w:val="21"/>
          <w:highlight w:val="none"/>
        </w:rPr>
      </w:pPr>
      <w:bookmarkStart w:id="62" w:name="_Toc449028874"/>
      <w:r>
        <w:rPr>
          <w:rFonts w:hint="eastAsia" w:ascii="宋体"/>
          <w:b/>
          <w:color w:val="auto"/>
          <w:szCs w:val="21"/>
          <w:highlight w:val="none"/>
        </w:rPr>
        <w:t>34.中标公示</w:t>
      </w:r>
    </w:p>
    <w:p w14:paraId="39B2336B">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34.1招标人在收到评标报告之日起3日内，按照投标人须知前附表规定的公示媒介和期限依法公示。公示期不得少于3日。</w:t>
      </w:r>
    </w:p>
    <w:p w14:paraId="51BF742C">
      <w:pPr>
        <w:numPr>
          <w:ilvl w:val="0"/>
          <w:numId w:val="3"/>
        </w:numPr>
        <w:spacing w:line="420" w:lineRule="exact"/>
        <w:ind w:firstLine="521" w:firstLineChars="247"/>
        <w:jc w:val="left"/>
        <w:rPr>
          <w:rFonts w:hint="eastAsia" w:ascii="宋体"/>
          <w:b/>
          <w:color w:val="auto"/>
          <w:szCs w:val="21"/>
          <w:highlight w:val="none"/>
        </w:rPr>
      </w:pPr>
      <w:r>
        <w:rPr>
          <w:rFonts w:hint="eastAsia" w:ascii="宋体"/>
          <w:b/>
          <w:color w:val="auto"/>
          <w:szCs w:val="21"/>
          <w:highlight w:val="none"/>
        </w:rPr>
        <w:t>评标结果异议</w:t>
      </w:r>
    </w:p>
    <w:p w14:paraId="5F53E6C7">
      <w:pPr>
        <w:spacing w:line="420" w:lineRule="exact"/>
        <w:ind w:firstLine="525" w:firstLineChars="250"/>
        <w:jc w:val="left"/>
        <w:rPr>
          <w:rFonts w:hint="eastAsia" w:ascii="宋体"/>
          <w:b/>
          <w:color w:val="auto"/>
          <w:szCs w:val="21"/>
          <w:highlight w:val="none"/>
        </w:rPr>
      </w:pPr>
      <w:r>
        <w:rPr>
          <w:rFonts w:hint="eastAsia" w:ascii="宋体"/>
          <w:color w:val="auto"/>
          <w:szCs w:val="21"/>
          <w:highlight w:val="none"/>
        </w:rPr>
        <w:t>35.1投标人或其他利害关系人对评标结果有异议的，应在中标候选人公示期内提出。招标人将在收到异议之日起3日内作出答复；作出答复前，将暂停招标投标活动。</w:t>
      </w:r>
    </w:p>
    <w:p w14:paraId="604F1E27">
      <w:pPr>
        <w:numPr>
          <w:ilvl w:val="0"/>
          <w:numId w:val="3"/>
        </w:numPr>
        <w:spacing w:line="420" w:lineRule="exact"/>
        <w:ind w:firstLine="521" w:firstLineChars="247"/>
        <w:jc w:val="left"/>
        <w:rPr>
          <w:rFonts w:hint="eastAsia" w:ascii="宋体"/>
          <w:b/>
          <w:color w:val="auto"/>
          <w:szCs w:val="21"/>
          <w:highlight w:val="none"/>
        </w:rPr>
      </w:pPr>
      <w:r>
        <w:rPr>
          <w:rFonts w:hint="eastAsia" w:ascii="宋体"/>
          <w:b/>
          <w:color w:val="auto"/>
          <w:szCs w:val="21"/>
          <w:highlight w:val="none"/>
        </w:rPr>
        <w:t>中标候选人履约能力审查</w:t>
      </w:r>
    </w:p>
    <w:p w14:paraId="5CBA5DC2">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36.1中标候选人的经营、财务状况发生较大变化或者存在违法行为，招标人认为可能影响其履约能力的，应当在发出中标通知书前由原评标委员会按照招标文件规定的标准和方法审查确认。</w:t>
      </w:r>
    </w:p>
    <w:p w14:paraId="40366F90">
      <w:pPr>
        <w:numPr>
          <w:ilvl w:val="0"/>
          <w:numId w:val="3"/>
        </w:numPr>
        <w:spacing w:line="420" w:lineRule="exact"/>
        <w:ind w:firstLine="521" w:firstLineChars="247"/>
        <w:jc w:val="left"/>
        <w:rPr>
          <w:rFonts w:ascii="宋体"/>
          <w:b/>
          <w:color w:val="auto"/>
          <w:szCs w:val="21"/>
          <w:highlight w:val="none"/>
        </w:rPr>
      </w:pPr>
      <w:r>
        <w:rPr>
          <w:rFonts w:hint="eastAsia" w:ascii="宋体"/>
          <w:b/>
          <w:color w:val="auto"/>
          <w:szCs w:val="21"/>
          <w:highlight w:val="none"/>
        </w:rPr>
        <w:t>业绩奖项公示</w:t>
      </w:r>
    </w:p>
    <w:p w14:paraId="43647096">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37.1招标人对中标人的得分业绩进行公示。</w:t>
      </w:r>
    </w:p>
    <w:p w14:paraId="6207699C">
      <w:pPr>
        <w:numPr>
          <w:ilvl w:val="0"/>
          <w:numId w:val="3"/>
        </w:numPr>
        <w:spacing w:line="420" w:lineRule="exact"/>
        <w:ind w:firstLine="521" w:firstLineChars="247"/>
        <w:jc w:val="left"/>
        <w:rPr>
          <w:rFonts w:ascii="宋体"/>
          <w:b/>
          <w:color w:val="auto"/>
          <w:szCs w:val="21"/>
          <w:highlight w:val="none"/>
        </w:rPr>
      </w:pPr>
      <w:r>
        <w:rPr>
          <w:rFonts w:hint="eastAsia" w:ascii="宋体"/>
          <w:b/>
          <w:color w:val="auto"/>
          <w:szCs w:val="21"/>
          <w:highlight w:val="none"/>
        </w:rPr>
        <w:t>定标</w:t>
      </w:r>
    </w:p>
    <w:p w14:paraId="060B3DFE">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38.1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FE1F432">
      <w:pPr>
        <w:numPr>
          <w:ilvl w:val="0"/>
          <w:numId w:val="3"/>
        </w:numPr>
        <w:spacing w:line="420" w:lineRule="exact"/>
        <w:ind w:firstLine="521" w:firstLineChars="247"/>
        <w:jc w:val="left"/>
        <w:rPr>
          <w:rFonts w:hint="eastAsia" w:ascii="宋体"/>
          <w:b/>
          <w:color w:val="auto"/>
          <w:szCs w:val="21"/>
          <w:highlight w:val="none"/>
        </w:rPr>
      </w:pPr>
      <w:r>
        <w:rPr>
          <w:rFonts w:hint="eastAsia" w:ascii="宋体"/>
          <w:b/>
          <w:color w:val="auto"/>
          <w:szCs w:val="21"/>
          <w:highlight w:val="none"/>
        </w:rPr>
        <w:t>中标通知</w:t>
      </w:r>
    </w:p>
    <w:p w14:paraId="3CD73A38">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39.1在本招标文件规定的投标有效期内，招标人以数据电文向中标人发出中标通知书，同时将中标结果通知未中标的投标人。</w:t>
      </w:r>
    </w:p>
    <w:p w14:paraId="6A5A076A">
      <w:pPr>
        <w:numPr>
          <w:ilvl w:val="0"/>
          <w:numId w:val="3"/>
        </w:numPr>
        <w:spacing w:line="420" w:lineRule="exact"/>
        <w:ind w:firstLine="521" w:firstLineChars="247"/>
        <w:jc w:val="left"/>
        <w:rPr>
          <w:rFonts w:ascii="宋体"/>
          <w:b/>
          <w:color w:val="auto"/>
          <w:szCs w:val="21"/>
          <w:highlight w:val="none"/>
        </w:rPr>
      </w:pPr>
      <w:r>
        <w:rPr>
          <w:rFonts w:hint="eastAsia" w:ascii="宋体"/>
          <w:b/>
          <w:color w:val="auto"/>
          <w:szCs w:val="21"/>
          <w:highlight w:val="none"/>
        </w:rPr>
        <w:t>履约担保</w:t>
      </w:r>
    </w:p>
    <w:p w14:paraId="1599AABC">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40.1在签订合同前，中标人应按投标人须知前附表规定的担保形式和招标文件第六章“合同条款及格式”规定的或者事先经过招标人书面认可的履约担保格式向招标人提交履约担保。联合体中标的，其履约担保应符合投标人须知前附表规定的金额、担保形式和招标文件第六章“合同条款及格式”规定的履约担保格式要求。</w:t>
      </w:r>
    </w:p>
    <w:p w14:paraId="45FE94DF">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40.2中标人不能按本章第40.1项要求提交履约担保的，视为放弃中标，其投标保证金不予退还，给招标人造成的损失超过投标保证金数额的，中标人还应当对超过部分予以赔偿。</w:t>
      </w:r>
    </w:p>
    <w:p w14:paraId="21646D0D">
      <w:pPr>
        <w:numPr>
          <w:ilvl w:val="0"/>
          <w:numId w:val="3"/>
        </w:numPr>
        <w:spacing w:line="420" w:lineRule="exact"/>
        <w:ind w:firstLine="521" w:firstLineChars="247"/>
        <w:jc w:val="left"/>
        <w:rPr>
          <w:rFonts w:hint="eastAsia" w:ascii="宋体"/>
          <w:b/>
          <w:color w:val="auto"/>
          <w:szCs w:val="21"/>
          <w:highlight w:val="none"/>
        </w:rPr>
      </w:pPr>
      <w:r>
        <w:rPr>
          <w:rFonts w:hint="eastAsia" w:ascii="宋体"/>
          <w:b/>
          <w:color w:val="auto"/>
          <w:szCs w:val="21"/>
          <w:highlight w:val="none"/>
        </w:rPr>
        <w:t>签订合同</w:t>
      </w:r>
    </w:p>
    <w:p w14:paraId="3CE15F37">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41.1本项目合同将授予按本须知第39款规定所确定的中标人。</w:t>
      </w:r>
    </w:p>
    <w:p w14:paraId="6453FCC2">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41.2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3A625DEB">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41.3发出中标通知书后，招标人无正当理由拒签合同的，招标人向中标人退还投标保证金；给中标人造成损失的，还应当赔偿损失。</w:t>
      </w:r>
    </w:p>
    <w:p w14:paraId="133B79DD">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41.4 除法定情形外，建设工程合同履行期间项目经理（建造师）不得更换。项目经理（建造师）确需变更的，应根据招标文件要求，变更后的项目经理（建造师）不低于投标文件中拟派项目经理（建造师）的资格条件。</w:t>
      </w:r>
    </w:p>
    <w:p w14:paraId="65E9B7F8">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41.5联合体中标的，联合体各方应当共同与招标人签订合同，就中标项目向招标人承担连带责任。</w:t>
      </w:r>
    </w:p>
    <w:p w14:paraId="02D39B59">
      <w:pPr>
        <w:numPr>
          <w:ilvl w:val="0"/>
          <w:numId w:val="3"/>
        </w:numPr>
        <w:spacing w:line="420" w:lineRule="exact"/>
        <w:ind w:firstLine="521" w:firstLineChars="247"/>
        <w:jc w:val="left"/>
        <w:rPr>
          <w:rFonts w:hint="eastAsia" w:ascii="宋体"/>
          <w:b/>
          <w:color w:val="auto"/>
          <w:szCs w:val="21"/>
          <w:highlight w:val="none"/>
        </w:rPr>
      </w:pPr>
      <w:r>
        <w:rPr>
          <w:rFonts w:hint="eastAsia" w:ascii="宋体"/>
          <w:b/>
          <w:color w:val="auto"/>
          <w:szCs w:val="21"/>
          <w:highlight w:val="none"/>
        </w:rPr>
        <w:t>重新招标和不再招标</w:t>
      </w:r>
    </w:p>
    <w:p w14:paraId="125F3960">
      <w:pPr>
        <w:spacing w:line="420" w:lineRule="exact"/>
        <w:ind w:firstLine="525" w:firstLineChars="250"/>
        <w:jc w:val="left"/>
        <w:rPr>
          <w:rFonts w:hint="eastAsia" w:ascii="宋体"/>
          <w:color w:val="auto"/>
          <w:szCs w:val="21"/>
          <w:highlight w:val="none"/>
        </w:rPr>
      </w:pPr>
      <w:bookmarkStart w:id="63" w:name="_Toc83301733"/>
      <w:bookmarkStart w:id="64" w:name="_Toc60061479"/>
      <w:bookmarkStart w:id="65" w:name="_Toc179632590"/>
      <w:bookmarkStart w:id="66" w:name="_Toc95223382"/>
      <w:bookmarkStart w:id="67" w:name="_Toc152042348"/>
      <w:bookmarkStart w:id="68" w:name="_Toc144974540"/>
      <w:bookmarkStart w:id="69" w:name="_Toc152045572"/>
      <w:r>
        <w:rPr>
          <w:rFonts w:hint="eastAsia" w:ascii="宋体"/>
          <w:color w:val="auto"/>
          <w:szCs w:val="21"/>
          <w:highlight w:val="none"/>
        </w:rPr>
        <w:t>42.1 重新招标</w:t>
      </w:r>
      <w:bookmarkEnd w:id="63"/>
      <w:bookmarkEnd w:id="64"/>
      <w:bookmarkEnd w:id="65"/>
      <w:bookmarkEnd w:id="66"/>
      <w:bookmarkEnd w:id="67"/>
      <w:bookmarkEnd w:id="68"/>
      <w:bookmarkEnd w:id="69"/>
    </w:p>
    <w:p w14:paraId="7A625F6C">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42.1.1依法必须招标的项目有下列情形之一的，招标人将重新招标：</w:t>
      </w:r>
    </w:p>
    <w:p w14:paraId="3728F1D7">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（1）投标截止时间止，投标人少于3个的；</w:t>
      </w:r>
    </w:p>
    <w:p w14:paraId="1C5EF488">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（2）经评标委员会评审后否决所有投标的；</w:t>
      </w:r>
    </w:p>
    <w:p w14:paraId="200829FF">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（3）中标候选人均未与招标人签订合同的；</w:t>
      </w:r>
    </w:p>
    <w:p w14:paraId="044BB877">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（4）法律、法规规定的其他情形。</w:t>
      </w:r>
    </w:p>
    <w:p w14:paraId="700D73B6">
      <w:pPr>
        <w:spacing w:line="420" w:lineRule="exact"/>
        <w:ind w:firstLine="525" w:firstLineChars="250"/>
        <w:jc w:val="left"/>
        <w:rPr>
          <w:rFonts w:hint="eastAsia" w:ascii="宋体"/>
          <w:color w:val="auto"/>
          <w:szCs w:val="21"/>
          <w:highlight w:val="none"/>
        </w:rPr>
      </w:pPr>
      <w:bookmarkStart w:id="70" w:name="_Toc83301734"/>
      <w:bookmarkStart w:id="71" w:name="_Toc179632591"/>
      <w:bookmarkStart w:id="72" w:name="_Toc152042349"/>
      <w:bookmarkStart w:id="73" w:name="_Toc60061480"/>
      <w:bookmarkStart w:id="74" w:name="_Toc152045573"/>
      <w:bookmarkStart w:id="75" w:name="_Toc144974541"/>
      <w:bookmarkStart w:id="76" w:name="_Toc95223383"/>
      <w:r>
        <w:rPr>
          <w:rFonts w:hint="eastAsia" w:ascii="宋体"/>
          <w:color w:val="auto"/>
          <w:szCs w:val="21"/>
          <w:highlight w:val="none"/>
        </w:rPr>
        <w:t>42.2 不再招标</w:t>
      </w:r>
      <w:bookmarkEnd w:id="70"/>
      <w:bookmarkEnd w:id="71"/>
      <w:bookmarkEnd w:id="72"/>
      <w:bookmarkEnd w:id="73"/>
      <w:bookmarkEnd w:id="74"/>
      <w:bookmarkEnd w:id="75"/>
      <w:bookmarkEnd w:id="76"/>
    </w:p>
    <w:p w14:paraId="1C158FDB">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42.2.1重新招标后投标人仍少于3个或者所有投标被否决的，属于必须审批或核准的工程建设项目，经原审批或核准部门批准后不再进行招标。</w:t>
      </w:r>
    </w:p>
    <w:p w14:paraId="05C2E450">
      <w:pPr>
        <w:spacing w:before="240" w:beforeLines="100" w:after="240" w:afterLines="100" w:line="400" w:lineRule="exact"/>
        <w:jc w:val="center"/>
        <w:rPr>
          <w:rFonts w:hint="eastAsia" w:ascii="宋体"/>
          <w:b/>
          <w:color w:val="auto"/>
          <w:sz w:val="28"/>
          <w:szCs w:val="28"/>
          <w:highlight w:val="none"/>
        </w:rPr>
      </w:pPr>
      <w:r>
        <w:rPr>
          <w:rFonts w:hint="eastAsia" w:ascii="宋体"/>
          <w:b/>
          <w:color w:val="auto"/>
          <w:sz w:val="28"/>
          <w:szCs w:val="28"/>
          <w:highlight w:val="none"/>
        </w:rPr>
        <w:t>（七）纪律和监督</w:t>
      </w:r>
      <w:bookmarkEnd w:id="62"/>
    </w:p>
    <w:p w14:paraId="0B0D4C8C">
      <w:pPr>
        <w:numPr>
          <w:ilvl w:val="0"/>
          <w:numId w:val="3"/>
        </w:numPr>
        <w:spacing w:line="420" w:lineRule="exact"/>
        <w:ind w:firstLine="521" w:firstLineChars="247"/>
        <w:jc w:val="left"/>
        <w:rPr>
          <w:rFonts w:hint="eastAsia" w:ascii="宋体"/>
          <w:b/>
          <w:color w:val="auto"/>
          <w:szCs w:val="21"/>
          <w:highlight w:val="none"/>
        </w:rPr>
      </w:pPr>
      <w:r>
        <w:rPr>
          <w:rFonts w:hint="eastAsia" w:ascii="宋体"/>
          <w:b/>
          <w:color w:val="auto"/>
          <w:szCs w:val="21"/>
          <w:highlight w:val="none"/>
        </w:rPr>
        <w:t xml:space="preserve">对招标人的纪律要求 </w:t>
      </w:r>
    </w:p>
    <w:p w14:paraId="48891CF6">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43.1招标人不得泄漏招标投标活动中应当保密的情况和资料，不得与投标人串通损害国家利益、社会公共利益或者他人合法权益。</w:t>
      </w:r>
    </w:p>
    <w:p w14:paraId="22DB72AD">
      <w:pPr>
        <w:numPr>
          <w:ilvl w:val="0"/>
          <w:numId w:val="3"/>
        </w:numPr>
        <w:spacing w:line="420" w:lineRule="exact"/>
        <w:ind w:firstLine="521" w:firstLineChars="247"/>
        <w:jc w:val="left"/>
        <w:rPr>
          <w:rFonts w:hint="eastAsia" w:ascii="宋体"/>
          <w:b/>
          <w:color w:val="auto"/>
          <w:szCs w:val="21"/>
          <w:highlight w:val="none"/>
        </w:rPr>
      </w:pPr>
      <w:r>
        <w:rPr>
          <w:rFonts w:hint="eastAsia" w:ascii="宋体"/>
          <w:b/>
          <w:color w:val="auto"/>
          <w:szCs w:val="21"/>
          <w:highlight w:val="none"/>
        </w:rPr>
        <w:t xml:space="preserve">对投标人的纪律要求 </w:t>
      </w:r>
    </w:p>
    <w:p w14:paraId="47EB9C92">
      <w:pPr>
        <w:spacing w:line="420" w:lineRule="exact"/>
        <w:ind w:firstLine="525" w:firstLineChars="250"/>
        <w:jc w:val="left"/>
        <w:rPr>
          <w:rFonts w:hint="eastAsia" w:ascii="宋体"/>
          <w:color w:val="auto"/>
          <w:szCs w:val="21"/>
          <w:highlight w:val="none"/>
        </w:rPr>
      </w:pPr>
      <w:r>
        <w:rPr>
          <w:rFonts w:hint="eastAsia" w:ascii="宋体"/>
          <w:color w:val="auto"/>
          <w:szCs w:val="21"/>
          <w:highlight w:val="none"/>
        </w:rPr>
        <w:t>44.1投标人不得相互串通投标或者与招标人串通投标，不得向招标人或者评标委员会成员行贿谋取中标，不得以他人名义投标或者以其他方式弄虚作假骗取中标；投标人不得以任何方式干扰、影响评标工作。</w:t>
      </w:r>
    </w:p>
    <w:p w14:paraId="5B02BB9D">
      <w:pPr>
        <w:numPr>
          <w:ilvl w:val="0"/>
          <w:numId w:val="3"/>
        </w:numPr>
        <w:spacing w:line="420" w:lineRule="exact"/>
        <w:ind w:firstLine="521" w:firstLineChars="247"/>
        <w:jc w:val="left"/>
        <w:rPr>
          <w:rFonts w:hint="eastAsia" w:ascii="宋体"/>
          <w:b/>
          <w:color w:val="auto"/>
          <w:szCs w:val="21"/>
          <w:highlight w:val="none"/>
        </w:rPr>
      </w:pPr>
      <w:r>
        <w:rPr>
          <w:rFonts w:hint="eastAsia" w:ascii="宋体"/>
          <w:b/>
          <w:color w:val="auto"/>
          <w:szCs w:val="21"/>
          <w:highlight w:val="none"/>
        </w:rPr>
        <w:t xml:space="preserve">对评标委员会成员的纪律要求 </w:t>
      </w:r>
    </w:p>
    <w:p w14:paraId="467BAAEA">
      <w:pPr>
        <w:spacing w:line="420" w:lineRule="exact"/>
        <w:ind w:firstLine="525" w:firstLineChars="250"/>
        <w:jc w:val="left"/>
        <w:rPr>
          <w:rFonts w:hint="eastAsia" w:ascii="宋体"/>
          <w:color w:val="auto"/>
          <w:kern w:val="10"/>
          <w:szCs w:val="21"/>
          <w:highlight w:val="none"/>
        </w:rPr>
      </w:pPr>
      <w:r>
        <w:rPr>
          <w:rFonts w:hint="eastAsia" w:ascii="宋体"/>
          <w:color w:val="auto"/>
          <w:szCs w:val="21"/>
          <w:highlight w:val="none"/>
        </w:rPr>
        <w:t>45.1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727B5915">
      <w:pPr>
        <w:numPr>
          <w:ilvl w:val="0"/>
          <w:numId w:val="3"/>
        </w:numPr>
        <w:spacing w:line="420" w:lineRule="exact"/>
        <w:ind w:firstLine="521" w:firstLineChars="247"/>
        <w:jc w:val="left"/>
        <w:rPr>
          <w:rFonts w:hint="eastAsia" w:ascii="宋体"/>
          <w:b/>
          <w:color w:val="auto"/>
          <w:szCs w:val="21"/>
          <w:highlight w:val="none"/>
        </w:rPr>
      </w:pPr>
      <w:r>
        <w:rPr>
          <w:rFonts w:hint="eastAsia" w:ascii="宋体"/>
          <w:b/>
          <w:color w:val="auto"/>
          <w:szCs w:val="21"/>
          <w:highlight w:val="none"/>
        </w:rPr>
        <w:t xml:space="preserve">对与评标活动有关的工作人员的纪律要求 </w:t>
      </w:r>
    </w:p>
    <w:p w14:paraId="05238EF9">
      <w:pPr>
        <w:spacing w:line="420" w:lineRule="exact"/>
        <w:ind w:firstLine="525" w:firstLineChars="250"/>
        <w:jc w:val="left"/>
        <w:rPr>
          <w:rFonts w:hint="eastAsia" w:ascii="宋体"/>
          <w:color w:val="auto"/>
          <w:szCs w:val="21"/>
          <w:highlight w:val="none"/>
        </w:rPr>
      </w:pPr>
      <w:bookmarkStart w:id="77" w:name="_Toc152042355"/>
      <w:r>
        <w:rPr>
          <w:rFonts w:hint="eastAsia" w:ascii="宋体"/>
          <w:color w:val="auto"/>
          <w:szCs w:val="21"/>
          <w:highlight w:val="none"/>
        </w:rPr>
        <w:t>46.1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7"/>
    </w:p>
    <w:p w14:paraId="42AED155">
      <w:pPr>
        <w:spacing w:before="240" w:beforeLines="100" w:after="240" w:afterLines="100" w:line="400" w:lineRule="exact"/>
        <w:jc w:val="center"/>
        <w:rPr>
          <w:rFonts w:hint="eastAsia" w:ascii="宋体"/>
          <w:b/>
          <w:color w:val="auto"/>
          <w:sz w:val="28"/>
          <w:szCs w:val="28"/>
          <w:highlight w:val="none"/>
        </w:rPr>
      </w:pPr>
      <w:r>
        <w:rPr>
          <w:rFonts w:hint="eastAsia" w:ascii="宋体"/>
          <w:b/>
          <w:color w:val="auto"/>
          <w:sz w:val="28"/>
          <w:szCs w:val="28"/>
          <w:highlight w:val="none"/>
        </w:rPr>
        <w:t>（八）投诉</w:t>
      </w:r>
    </w:p>
    <w:p w14:paraId="4990F560">
      <w:pPr>
        <w:spacing w:line="380" w:lineRule="exact"/>
        <w:ind w:firstLine="314" w:firstLineChars="149"/>
        <w:jc w:val="left"/>
        <w:rPr>
          <w:rFonts w:hint="eastAsia" w:ascii="宋体" w:hAnsi="宋体"/>
          <w:b/>
          <w:color w:val="auto"/>
          <w:szCs w:val="21"/>
          <w:highlight w:val="none"/>
        </w:rPr>
      </w:pPr>
      <w:r>
        <w:rPr>
          <w:rFonts w:hint="eastAsia" w:ascii="宋体" w:hAnsi="宋体"/>
          <w:b/>
          <w:color w:val="auto"/>
          <w:szCs w:val="21"/>
          <w:highlight w:val="none"/>
        </w:rPr>
        <w:t>47. 投诉</w:t>
      </w:r>
    </w:p>
    <w:p w14:paraId="5B68822B">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color w:val="auto"/>
          <w:kern w:val="10"/>
          <w:szCs w:val="21"/>
          <w:highlight w:val="none"/>
        </w:rPr>
        <w:t>47.1</w:t>
      </w:r>
      <w:r>
        <w:rPr>
          <w:rFonts w:hint="eastAsia" w:ascii="宋体" w:hAnsi="宋体" w:cs="宋体"/>
          <w:color w:val="auto"/>
          <w:szCs w:val="21"/>
          <w:highlight w:val="none"/>
        </w:rPr>
        <w:t>投标人或者其他利害关系人认为招标投标活动违反法律、法规和规章规定的，有权向相关行政监督部门投诉。投诉应当有明确的请求和必要的证明材料。</w:t>
      </w:r>
    </w:p>
    <w:p w14:paraId="118A5943">
      <w:pPr>
        <w:adjustRightInd w:val="0"/>
        <w:snapToGrid w:val="0"/>
        <w:spacing w:line="42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47.2</w:t>
      </w:r>
      <w:r>
        <w:rPr>
          <w:rFonts w:hint="eastAsia" w:ascii="宋体" w:hAnsi="宋体" w:cs="宋体"/>
          <w:color w:val="auto"/>
          <w:szCs w:val="21"/>
          <w:highlight w:val="none"/>
        </w:rPr>
        <w:t>投标人和其他利害关系人对招标文件、开标和评标结果事项投诉的，应当按照投标人须知的规定先向招标人提出异议。</w:t>
      </w:r>
      <w:r>
        <w:rPr>
          <w:rFonts w:hint="eastAsia" w:ascii="宋体"/>
          <w:color w:val="auto"/>
          <w:kern w:val="10"/>
          <w:szCs w:val="21"/>
          <w:highlight w:val="none"/>
        </w:rPr>
        <w:t>异议答复期间不计算在第47.1项规定的期限内。</w:t>
      </w:r>
    </w:p>
    <w:p w14:paraId="055389D3">
      <w:pPr>
        <w:spacing w:before="240" w:beforeLines="100" w:after="240" w:afterLines="100" w:line="400" w:lineRule="exact"/>
        <w:jc w:val="center"/>
        <w:rPr>
          <w:rFonts w:hint="eastAsia" w:ascii="宋体"/>
          <w:b/>
          <w:color w:val="auto"/>
          <w:sz w:val="28"/>
          <w:szCs w:val="28"/>
          <w:highlight w:val="none"/>
        </w:rPr>
      </w:pPr>
      <w:bookmarkStart w:id="78" w:name="_Toc58430316"/>
      <w:bookmarkStart w:id="79" w:name="_Toc449028945"/>
      <w:r>
        <w:rPr>
          <w:rFonts w:hint="eastAsia" w:ascii="宋体"/>
          <w:b/>
          <w:color w:val="auto"/>
          <w:sz w:val="28"/>
          <w:szCs w:val="28"/>
          <w:highlight w:val="none"/>
        </w:rPr>
        <w:br w:type="page"/>
      </w:r>
      <w:r>
        <w:rPr>
          <w:rFonts w:hint="eastAsia" w:ascii="宋体"/>
          <w:b/>
          <w:color w:val="auto"/>
          <w:sz w:val="28"/>
          <w:szCs w:val="28"/>
          <w:highlight w:val="none"/>
        </w:rPr>
        <w:t>第三章 资格审查办法</w:t>
      </w:r>
    </w:p>
    <w:p w14:paraId="77DB9111">
      <w:pPr>
        <w:spacing w:before="240" w:beforeLines="100" w:after="240" w:afterLines="100" w:line="400" w:lineRule="exact"/>
        <w:jc w:val="center"/>
        <w:rPr>
          <w:rFonts w:hint="eastAsia" w:ascii="宋体"/>
          <w:b/>
          <w:color w:val="auto"/>
          <w:sz w:val="28"/>
          <w:szCs w:val="28"/>
          <w:highlight w:val="none"/>
        </w:rPr>
      </w:pPr>
      <w:r>
        <w:rPr>
          <w:rFonts w:hint="eastAsia" w:ascii="宋体"/>
          <w:b/>
          <w:color w:val="auto"/>
          <w:sz w:val="28"/>
          <w:szCs w:val="28"/>
          <w:highlight w:val="none"/>
        </w:rPr>
        <w:t>（一）资格审查办法前附表</w:t>
      </w:r>
    </w:p>
    <w:tbl>
      <w:tblPr>
        <w:tblStyle w:val="1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3CB9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noWrap w:val="0"/>
            <w:vAlign w:val="center"/>
          </w:tcPr>
          <w:p w14:paraId="76C570EA">
            <w:pPr>
              <w:spacing w:line="440" w:lineRule="exact"/>
              <w:jc w:val="center"/>
              <w:rPr>
                <w:rFonts w:hint="eastAsia"/>
                <w:color w:val="auto"/>
                <w:highlight w:val="none"/>
              </w:rPr>
            </w:pPr>
            <w:r>
              <w:rPr>
                <w:rFonts w:hint="eastAsia" w:ascii="黑体" w:eastAsia="黑体" w:cs="黑体"/>
                <w:b/>
                <w:bCs/>
                <w:color w:val="auto"/>
                <w:szCs w:val="21"/>
                <w:highlight w:val="none"/>
              </w:rPr>
              <w:t>序号</w:t>
            </w:r>
          </w:p>
        </w:tc>
        <w:tc>
          <w:tcPr>
            <w:tcW w:w="4243" w:type="dxa"/>
            <w:gridSpan w:val="2"/>
            <w:noWrap w:val="0"/>
            <w:vAlign w:val="center"/>
          </w:tcPr>
          <w:p w14:paraId="47A457B4">
            <w:pPr>
              <w:spacing w:line="440" w:lineRule="exact"/>
              <w:jc w:val="center"/>
              <w:rPr>
                <w:rFonts w:hint="eastAsia"/>
                <w:color w:val="auto"/>
                <w:highlight w:val="none"/>
              </w:rPr>
            </w:pPr>
            <w:r>
              <w:rPr>
                <w:rFonts w:hint="eastAsia" w:ascii="宋体" w:hAnsi="宋体"/>
                <w:color w:val="auto"/>
                <w:szCs w:val="21"/>
                <w:highlight w:val="none"/>
              </w:rPr>
              <w:t>评审因素</w:t>
            </w:r>
          </w:p>
        </w:tc>
        <w:tc>
          <w:tcPr>
            <w:tcW w:w="3929" w:type="dxa"/>
            <w:noWrap w:val="0"/>
            <w:vAlign w:val="center"/>
          </w:tcPr>
          <w:p w14:paraId="44973076">
            <w:pPr>
              <w:spacing w:line="440" w:lineRule="exact"/>
              <w:jc w:val="center"/>
              <w:rPr>
                <w:rFonts w:hint="eastAsia"/>
                <w:color w:val="auto"/>
                <w:highlight w:val="none"/>
              </w:rPr>
            </w:pPr>
            <w:r>
              <w:rPr>
                <w:rFonts w:hint="eastAsia" w:ascii="宋体" w:hAnsi="宋体"/>
                <w:color w:val="auto"/>
                <w:szCs w:val="21"/>
                <w:highlight w:val="none"/>
              </w:rPr>
              <w:t>评审标准</w:t>
            </w:r>
          </w:p>
        </w:tc>
      </w:tr>
      <w:tr w14:paraId="52BB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5" w:type="dxa"/>
            <w:noWrap w:val="0"/>
            <w:vAlign w:val="center"/>
          </w:tcPr>
          <w:p w14:paraId="2AC73F93">
            <w:pPr>
              <w:spacing w:line="44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50B6D200">
            <w:pPr>
              <w:spacing w:line="44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3008" w:type="dxa"/>
            <w:noWrap w:val="0"/>
            <w:vAlign w:val="center"/>
          </w:tcPr>
          <w:p w14:paraId="3A24134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3929" w:type="dxa"/>
            <w:noWrap w:val="0"/>
            <w:vAlign w:val="center"/>
          </w:tcPr>
          <w:p w14:paraId="2D07D703">
            <w:pPr>
              <w:spacing w:line="440" w:lineRule="exact"/>
              <w:jc w:val="left"/>
              <w:rPr>
                <w:rFonts w:hint="eastAsia" w:ascii="宋体" w:hAnsi="宋体"/>
                <w:color w:val="auto"/>
                <w:szCs w:val="21"/>
                <w:highlight w:val="none"/>
              </w:rPr>
            </w:pPr>
            <w:r>
              <w:rPr>
                <w:rFonts w:hint="eastAsia"/>
                <w:color w:val="auto"/>
                <w:highlight w:val="none"/>
              </w:rPr>
              <w:t>检验电子标书。</w:t>
            </w:r>
          </w:p>
        </w:tc>
      </w:tr>
      <w:tr w14:paraId="3913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5" w:type="dxa"/>
            <w:vMerge w:val="restart"/>
            <w:noWrap w:val="0"/>
            <w:vAlign w:val="center"/>
          </w:tcPr>
          <w:p w14:paraId="49760DC3">
            <w:pPr>
              <w:spacing w:line="44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21AD10A0">
            <w:pPr>
              <w:spacing w:line="44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3008" w:type="dxa"/>
            <w:noWrap w:val="0"/>
            <w:vAlign w:val="center"/>
          </w:tcPr>
          <w:p w14:paraId="21A75DD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（2）企业营业执照</w:t>
            </w:r>
          </w:p>
        </w:tc>
        <w:tc>
          <w:tcPr>
            <w:tcW w:w="3929" w:type="dxa"/>
            <w:noWrap w:val="0"/>
            <w:vAlign w:val="center"/>
          </w:tcPr>
          <w:p w14:paraId="4B4DF3C3">
            <w:pPr>
              <w:spacing w:line="440" w:lineRule="exact"/>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5584AF82">
            <w:pPr>
              <w:spacing w:line="440" w:lineRule="exact"/>
              <w:rPr>
                <w:rFonts w:hint="eastAsia" w:ascii="宋体" w:eastAsia="宋体"/>
                <w:color w:val="auto"/>
                <w:szCs w:val="21"/>
                <w:highlight w:val="none"/>
                <w:lang w:eastAsia="zh-CN"/>
              </w:rPr>
            </w:pPr>
            <w:r>
              <w:rPr>
                <w:rFonts w:hint="eastAsia" w:ascii="宋体"/>
                <w:color w:val="auto"/>
                <w:szCs w:val="21"/>
                <w:highlight w:val="none"/>
              </w:rPr>
              <w:t>投标人有效的营业执照、税务登记证、组织机构码证（或“三证合一证书”）</w:t>
            </w:r>
          </w:p>
        </w:tc>
      </w:tr>
      <w:tr w14:paraId="2E2A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5" w:type="dxa"/>
            <w:vMerge w:val="continue"/>
            <w:noWrap w:val="0"/>
            <w:vAlign w:val="center"/>
          </w:tcPr>
          <w:p w14:paraId="543ABF04">
            <w:pPr>
              <w:spacing w:line="440" w:lineRule="exact"/>
              <w:jc w:val="center"/>
              <w:rPr>
                <w:rFonts w:hint="eastAsia" w:ascii="宋体" w:hAnsi="宋体"/>
                <w:color w:val="auto"/>
                <w:szCs w:val="21"/>
                <w:highlight w:val="none"/>
              </w:rPr>
            </w:pPr>
          </w:p>
        </w:tc>
        <w:tc>
          <w:tcPr>
            <w:tcW w:w="1235" w:type="dxa"/>
            <w:vMerge w:val="continue"/>
            <w:noWrap w:val="0"/>
            <w:vAlign w:val="center"/>
          </w:tcPr>
          <w:p w14:paraId="5DC776D3">
            <w:pPr>
              <w:spacing w:line="440" w:lineRule="exact"/>
              <w:rPr>
                <w:rFonts w:hint="eastAsia" w:ascii="宋体" w:hAnsi="宋体"/>
                <w:color w:val="auto"/>
                <w:szCs w:val="21"/>
                <w:highlight w:val="none"/>
              </w:rPr>
            </w:pPr>
          </w:p>
        </w:tc>
        <w:tc>
          <w:tcPr>
            <w:tcW w:w="3008" w:type="dxa"/>
            <w:noWrap w:val="0"/>
            <w:vAlign w:val="top"/>
          </w:tcPr>
          <w:p w14:paraId="508F78A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）诚信投标承诺书（或《</w:t>
            </w:r>
            <w:r>
              <w:rPr>
                <w:rFonts w:hint="eastAsia" w:ascii="宋体" w:hAnsi="宋体" w:cs="宋体"/>
                <w:color w:val="auto"/>
                <w:kern w:val="0"/>
                <w:szCs w:val="21"/>
                <w:highlight w:val="none"/>
              </w:rPr>
              <w:t>公共信用信息报告（无违法违规证明版或核查版）</w:t>
            </w:r>
            <w:r>
              <w:rPr>
                <w:rFonts w:hint="eastAsia" w:ascii="宋体" w:hAnsi="宋体" w:cs="宋体"/>
                <w:color w:val="auto"/>
                <w:szCs w:val="21"/>
                <w:highlight w:val="none"/>
              </w:rPr>
              <w:t>》）</w:t>
            </w:r>
          </w:p>
        </w:tc>
        <w:tc>
          <w:tcPr>
            <w:tcW w:w="3929" w:type="dxa"/>
            <w:noWrap w:val="0"/>
            <w:vAlign w:val="center"/>
          </w:tcPr>
          <w:p w14:paraId="56E7F9B8">
            <w:pPr>
              <w:spacing w:line="440" w:lineRule="exact"/>
              <w:jc w:val="both"/>
              <w:rPr>
                <w:rFonts w:hint="eastAsia" w:ascii="宋体"/>
                <w:b/>
                <w:color w:val="auto"/>
                <w:szCs w:val="21"/>
                <w:highlight w:val="none"/>
              </w:rPr>
            </w:pPr>
            <w:r>
              <w:rPr>
                <w:rFonts w:hint="eastAsia"/>
                <w:color w:val="auto"/>
                <w:highlight w:val="none"/>
              </w:rPr>
              <w:t>格式见附件，检验电子标书</w:t>
            </w:r>
          </w:p>
        </w:tc>
      </w:tr>
      <w:tr w14:paraId="2D3B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5" w:type="dxa"/>
            <w:vMerge w:val="continue"/>
            <w:noWrap w:val="0"/>
            <w:vAlign w:val="center"/>
          </w:tcPr>
          <w:p w14:paraId="52743A77">
            <w:pPr>
              <w:spacing w:line="440" w:lineRule="exact"/>
              <w:jc w:val="center"/>
              <w:rPr>
                <w:rFonts w:hint="eastAsia" w:ascii="宋体" w:hAnsi="宋体"/>
                <w:color w:val="auto"/>
                <w:szCs w:val="21"/>
                <w:highlight w:val="none"/>
              </w:rPr>
            </w:pPr>
          </w:p>
        </w:tc>
        <w:tc>
          <w:tcPr>
            <w:tcW w:w="1235" w:type="dxa"/>
            <w:vMerge w:val="continue"/>
            <w:noWrap w:val="0"/>
            <w:vAlign w:val="center"/>
          </w:tcPr>
          <w:p w14:paraId="74740E7D">
            <w:pPr>
              <w:spacing w:line="440" w:lineRule="exact"/>
              <w:rPr>
                <w:rFonts w:hint="eastAsia" w:ascii="宋体" w:hAnsi="宋体"/>
                <w:color w:val="auto"/>
                <w:szCs w:val="21"/>
                <w:highlight w:val="none"/>
              </w:rPr>
            </w:pPr>
          </w:p>
        </w:tc>
        <w:tc>
          <w:tcPr>
            <w:tcW w:w="3008" w:type="dxa"/>
            <w:noWrap w:val="0"/>
            <w:vAlign w:val="center"/>
          </w:tcPr>
          <w:p w14:paraId="0184876E">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）服务承诺书</w:t>
            </w:r>
          </w:p>
        </w:tc>
        <w:tc>
          <w:tcPr>
            <w:tcW w:w="3929" w:type="dxa"/>
            <w:noWrap w:val="0"/>
            <w:vAlign w:val="center"/>
          </w:tcPr>
          <w:p w14:paraId="258A07EF">
            <w:pPr>
              <w:spacing w:line="440" w:lineRule="exact"/>
              <w:rPr>
                <w:rFonts w:hint="eastAsia" w:ascii="宋体"/>
                <w:color w:val="auto"/>
                <w:szCs w:val="21"/>
                <w:highlight w:val="none"/>
              </w:rPr>
            </w:pPr>
            <w:r>
              <w:rPr>
                <w:rFonts w:hint="eastAsia"/>
                <w:color w:val="auto"/>
                <w:highlight w:val="none"/>
              </w:rPr>
              <w:t>格式见附件，检验电子标书</w:t>
            </w:r>
          </w:p>
        </w:tc>
      </w:tr>
    </w:tbl>
    <w:p w14:paraId="60B71E9D">
      <w:pPr>
        <w:adjustRightInd w:val="0"/>
        <w:snapToGrid w:val="0"/>
        <w:spacing w:line="44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重要提示：</w:t>
      </w:r>
    </w:p>
    <w:p w14:paraId="4D373359">
      <w:pPr>
        <w:adjustRightInd w:val="0"/>
        <w:snapToGrid w:val="0"/>
        <w:spacing w:line="440" w:lineRule="exact"/>
        <w:ind w:firstLine="422" w:firstLineChars="200"/>
        <w:jc w:val="left"/>
        <w:rPr>
          <w:rFonts w:hint="eastAsia" w:ascii="黑体" w:hAnsi="黑体" w:eastAsia="黑体" w:cs="黑体"/>
          <w:b/>
          <w:bCs/>
          <w:color w:val="auto"/>
          <w:szCs w:val="21"/>
          <w:highlight w:val="none"/>
        </w:rPr>
      </w:pPr>
      <w:bookmarkStart w:id="80" w:name="_Toc95223395"/>
      <w:bookmarkStart w:id="81" w:name="_Toc15058909"/>
      <w:bookmarkStart w:id="82" w:name="_Toc506107320"/>
      <w:bookmarkStart w:id="83" w:name="_Toc60061492"/>
      <w:r>
        <w:rPr>
          <w:rFonts w:hint="eastAsia" w:ascii="黑体" w:hAnsi="黑体" w:eastAsia="黑体" w:cs="黑体"/>
          <w:b/>
          <w:bCs/>
          <w:color w:val="auto"/>
          <w:szCs w:val="21"/>
          <w:highlight w:val="none"/>
        </w:rPr>
        <w:t>（1）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57037312">
      <w:pPr>
        <w:adjustRightInd w:val="0"/>
        <w:snapToGrid w:val="0"/>
        <w:spacing w:line="44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（2）评标专家在检验电子投标文件过程中，如果由于投标人自身原因导致评标专家无法查看并检验电子投标文件中相关资料的，视为无效标处理。即使投标人将原件携带至现场的，同样按无效标处理。</w:t>
      </w:r>
    </w:p>
    <w:bookmarkEnd w:id="80"/>
    <w:bookmarkEnd w:id="81"/>
    <w:bookmarkEnd w:id="82"/>
    <w:bookmarkEnd w:id="83"/>
    <w:p w14:paraId="0C527D24">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1.审查资料</w:t>
      </w:r>
    </w:p>
    <w:p w14:paraId="63ECC7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351CC5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eastAsia="宋体" w:cs="宋体"/>
          <w:color w:val="auto"/>
          <w:szCs w:val="21"/>
          <w:highlight w:val="none"/>
        </w:rPr>
        <w:t>投标人有效的营业执照、税务登记证、组织机构代码证（或三合一证书）</w:t>
      </w:r>
      <w:r>
        <w:rPr>
          <w:rFonts w:hint="eastAsia" w:ascii="宋体" w:hAnsi="宋体" w:cs="宋体"/>
          <w:color w:val="auto"/>
          <w:szCs w:val="21"/>
          <w:highlight w:val="none"/>
        </w:rPr>
        <w:t>；</w:t>
      </w:r>
    </w:p>
    <w:p w14:paraId="57F210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诚信投标承诺书（或《公共信用信息报告（无违法违规证明版或核查版）》）；</w:t>
      </w:r>
    </w:p>
    <w:p w14:paraId="3828237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）服务承诺：是否响应招标文件要求的书面说明和服务承诺书（格式见附件）</w:t>
      </w:r>
      <w:r>
        <w:rPr>
          <w:rFonts w:hint="eastAsia" w:ascii="宋体" w:hAnsi="宋体" w:cs="宋体"/>
          <w:color w:val="auto"/>
          <w:szCs w:val="21"/>
          <w:highlight w:val="none"/>
          <w:lang w:eastAsia="zh-CN"/>
        </w:rPr>
        <w:t>。</w:t>
      </w:r>
    </w:p>
    <w:p w14:paraId="52401204">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2.审查办法</w:t>
      </w:r>
    </w:p>
    <w:p w14:paraId="167FE1CA">
      <w:pPr>
        <w:spacing w:line="360" w:lineRule="auto"/>
        <w:ind w:firstLine="420" w:firstLineChars="200"/>
        <w:rPr>
          <w:rFonts w:hint="eastAsia" w:ascii="宋体" w:hAnsi="宋体" w:cs="宋体"/>
          <w:color w:val="auto"/>
          <w:szCs w:val="21"/>
          <w:highlight w:val="none"/>
        </w:rPr>
      </w:pPr>
      <w:bookmarkStart w:id="84" w:name="_Toc506107321"/>
      <w:bookmarkStart w:id="85" w:name="_Toc324404868"/>
      <w:bookmarkStart w:id="86" w:name="_Toc60061493"/>
      <w:bookmarkStart w:id="87" w:name="_Toc15058910"/>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4FFFBFD6">
      <w:pPr>
        <w:adjustRightInd w:val="0"/>
        <w:snapToGrid w:val="0"/>
        <w:spacing w:line="420" w:lineRule="exact"/>
        <w:ind w:firstLine="315" w:firstLineChars="150"/>
        <w:rPr>
          <w:rFonts w:hint="eastAsia" w:ascii="宋体" w:hAnsi="宋体" w:cs="宋体"/>
          <w:color w:val="auto"/>
          <w:szCs w:val="21"/>
          <w:highlight w:val="none"/>
        </w:rPr>
      </w:pPr>
      <w:bookmarkStart w:id="88" w:name="_Toc95223396"/>
      <w:r>
        <w:rPr>
          <w:rFonts w:hint="eastAsia" w:ascii="宋体" w:hAnsi="宋体" w:cs="宋体"/>
          <w:color w:val="auto"/>
          <w:szCs w:val="21"/>
          <w:highlight w:val="none"/>
        </w:rPr>
        <w:t>3.资格审查委员会和审查标准</w:t>
      </w:r>
      <w:bookmarkEnd w:id="84"/>
      <w:bookmarkEnd w:id="85"/>
      <w:bookmarkEnd w:id="86"/>
      <w:bookmarkEnd w:id="87"/>
      <w:bookmarkEnd w:id="88"/>
    </w:p>
    <w:p w14:paraId="3E9675E7">
      <w:pPr>
        <w:adjustRightInd w:val="0"/>
        <w:snapToGrid w:val="0"/>
        <w:spacing w:line="42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14:paraId="4637A02E">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6ACF01E4">
      <w:pPr>
        <w:adjustRightInd w:val="0"/>
        <w:snapToGrid w:val="0"/>
        <w:spacing w:line="420" w:lineRule="exact"/>
        <w:ind w:firstLine="315" w:firstLineChars="150"/>
        <w:rPr>
          <w:rFonts w:hint="eastAsia" w:ascii="宋体" w:hAnsi="宋体" w:cs="宋体"/>
          <w:color w:val="auto"/>
          <w:szCs w:val="21"/>
          <w:highlight w:val="none"/>
        </w:rPr>
      </w:pPr>
      <w:bookmarkStart w:id="89" w:name="_Toc15058911"/>
      <w:bookmarkStart w:id="90" w:name="_Toc506107322"/>
      <w:bookmarkStart w:id="91" w:name="_Toc324404869"/>
      <w:bookmarkStart w:id="92" w:name="_Toc60061494"/>
      <w:bookmarkStart w:id="93" w:name="_Toc95223397"/>
      <w:r>
        <w:rPr>
          <w:rFonts w:hint="eastAsia" w:ascii="宋体" w:hAnsi="宋体" w:cs="宋体"/>
          <w:color w:val="auto"/>
          <w:szCs w:val="21"/>
          <w:highlight w:val="none"/>
        </w:rPr>
        <w:t>（1）未上传电子标书或电子标书经审查不合格；</w:t>
      </w:r>
    </w:p>
    <w:p w14:paraId="009A80AC">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（2）联合体投标人没有提交联合体协议书；</w:t>
      </w:r>
    </w:p>
    <w:p w14:paraId="7743ED3C">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（3）保证金不按第一章“招标公告”要求提交投标保证金的； </w:t>
      </w:r>
    </w:p>
    <w:p w14:paraId="59090D84">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（4）投标人未办理省主体库登记入库手续的；</w:t>
      </w:r>
    </w:p>
    <w:p w14:paraId="1451E64C">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（5）投标人投标 MAC 地址一致的；</w:t>
      </w:r>
    </w:p>
    <w:p w14:paraId="11DAA2E4">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（6）投标人申请开具电子保函 MAC 地址一致的；</w:t>
      </w:r>
    </w:p>
    <w:p w14:paraId="5694237C">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（7）投标人投标文件制作机器码、文件创建标识码及造价软件加密锁号信息雷同的；</w:t>
      </w:r>
    </w:p>
    <w:p w14:paraId="14CC8D68">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）法律、法规规定的其他情形。</w:t>
      </w:r>
    </w:p>
    <w:p w14:paraId="7536E903">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4.审查结果</w:t>
      </w:r>
      <w:bookmarkEnd w:id="89"/>
      <w:bookmarkEnd w:id="90"/>
      <w:bookmarkEnd w:id="91"/>
      <w:bookmarkEnd w:id="92"/>
      <w:bookmarkEnd w:id="93"/>
    </w:p>
    <w:p w14:paraId="56D1601E">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只有通过资格审查的投标人才能进入下一步的评标程序。</w:t>
      </w:r>
    </w:p>
    <w:p w14:paraId="32683F21">
      <w:pPr>
        <w:spacing w:before="240" w:beforeLines="100" w:after="240" w:afterLines="100" w:line="400" w:lineRule="exact"/>
        <w:jc w:val="center"/>
        <w:rPr>
          <w:rFonts w:hint="eastAsia" w:ascii="宋体"/>
          <w:b/>
          <w:color w:val="auto"/>
          <w:sz w:val="28"/>
          <w:szCs w:val="28"/>
          <w:highlight w:val="none"/>
        </w:rPr>
      </w:pPr>
      <w:r>
        <w:rPr>
          <w:rFonts w:hint="eastAsia" w:ascii="宋体"/>
          <w:b/>
          <w:color w:val="auto"/>
          <w:sz w:val="28"/>
          <w:szCs w:val="28"/>
          <w:highlight w:val="none"/>
        </w:rPr>
        <w:br w:type="page"/>
      </w:r>
      <w:r>
        <w:rPr>
          <w:rFonts w:hint="eastAsia" w:ascii="宋体"/>
          <w:b/>
          <w:color w:val="auto"/>
          <w:sz w:val="28"/>
          <w:szCs w:val="28"/>
          <w:highlight w:val="none"/>
        </w:rPr>
        <w:t>第四章 评标办法</w:t>
      </w:r>
      <w:bookmarkEnd w:id="78"/>
    </w:p>
    <w:p w14:paraId="358DE210">
      <w:pPr>
        <w:adjustRightInd w:val="0"/>
        <w:snapToGrid w:val="0"/>
        <w:spacing w:line="42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1.中标候选人的确定</w:t>
      </w:r>
    </w:p>
    <w:p w14:paraId="146DAE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rPr>
      </w:pPr>
      <w:r>
        <w:rPr>
          <w:rFonts w:hint="eastAsia"/>
          <w:color w:val="auto"/>
          <w:highlight w:val="none"/>
        </w:rPr>
        <w:t>评标委员会对投标人依次进行资信、技术、商务文件审查，对均满足要求的投标人进行各项评审因素打分，合计的总得分按照从高到低进行排序，总得分第一的投标人为第一中标候选人。如总得分相等，以投标报价低的优先，投标报价仍相等，由评标委员会主任委员或招标人随机抽取确定排名。</w:t>
      </w:r>
    </w:p>
    <w:p w14:paraId="45AC9714">
      <w:pPr>
        <w:spacing w:line="44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2.资信标评审（</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w:t>
      </w:r>
    </w:p>
    <w:tbl>
      <w:tblPr>
        <w:tblStyle w:val="18"/>
        <w:tblW w:w="9338"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450"/>
        <w:gridCol w:w="925"/>
        <w:gridCol w:w="6188"/>
      </w:tblGrid>
      <w:tr w14:paraId="7590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75" w:type="dxa"/>
            <w:noWrap w:val="0"/>
            <w:vAlign w:val="center"/>
          </w:tcPr>
          <w:p w14:paraId="6FC3BF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序号</w:t>
            </w:r>
          </w:p>
        </w:tc>
        <w:tc>
          <w:tcPr>
            <w:tcW w:w="1450" w:type="dxa"/>
            <w:noWrap w:val="0"/>
            <w:vAlign w:val="center"/>
          </w:tcPr>
          <w:p w14:paraId="7278993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评分因素</w:t>
            </w:r>
          </w:p>
        </w:tc>
        <w:tc>
          <w:tcPr>
            <w:tcW w:w="925" w:type="dxa"/>
            <w:noWrap w:val="0"/>
            <w:vAlign w:val="center"/>
          </w:tcPr>
          <w:p w14:paraId="7893B0C7">
            <w:pPr>
              <w:keepNext w:val="0"/>
              <w:keepLines w:val="0"/>
              <w:pageBreakBefore w:val="0"/>
              <w:widowControl w:val="0"/>
              <w:kinsoku/>
              <w:wordWrap/>
              <w:overflowPunct/>
              <w:topLinePunct w:val="0"/>
              <w:autoSpaceDE/>
              <w:autoSpaceDN/>
              <w:bidi w:val="0"/>
              <w:adjustRightInd/>
              <w:snapToGrid/>
              <w:spacing w:line="440" w:lineRule="exact"/>
              <w:ind w:firstLine="210" w:firstLineChars="1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分值</w:t>
            </w:r>
          </w:p>
        </w:tc>
        <w:tc>
          <w:tcPr>
            <w:tcW w:w="6188" w:type="dxa"/>
            <w:noWrap w:val="0"/>
            <w:vAlign w:val="center"/>
          </w:tcPr>
          <w:p w14:paraId="762801A6">
            <w:pPr>
              <w:keepNext w:val="0"/>
              <w:keepLines w:val="0"/>
              <w:pageBreakBefore w:val="0"/>
              <w:widowControl w:val="0"/>
              <w:kinsoku/>
              <w:wordWrap/>
              <w:overflowPunct/>
              <w:topLinePunct w:val="0"/>
              <w:autoSpaceDE/>
              <w:autoSpaceDN/>
              <w:bidi w:val="0"/>
              <w:adjustRightInd/>
              <w:snapToGrid/>
              <w:spacing w:line="440" w:lineRule="exact"/>
              <w:ind w:firstLine="1470" w:firstLineChars="7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评审细则</w:t>
            </w:r>
          </w:p>
        </w:tc>
      </w:tr>
      <w:tr w14:paraId="5854F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2" w:hRule="atLeast"/>
        </w:trPr>
        <w:tc>
          <w:tcPr>
            <w:tcW w:w="775" w:type="dxa"/>
            <w:noWrap w:val="0"/>
            <w:vAlign w:val="center"/>
          </w:tcPr>
          <w:p w14:paraId="29C8299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419C0DC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47F2993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1432643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p>
        </w:tc>
        <w:tc>
          <w:tcPr>
            <w:tcW w:w="1450" w:type="dxa"/>
            <w:noWrap w:val="0"/>
            <w:vAlign w:val="center"/>
          </w:tcPr>
          <w:p w14:paraId="2419351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690A724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080565D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626AA9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供应商业绩</w:t>
            </w:r>
          </w:p>
        </w:tc>
        <w:tc>
          <w:tcPr>
            <w:tcW w:w="925" w:type="dxa"/>
            <w:noWrap w:val="0"/>
            <w:vAlign w:val="center"/>
          </w:tcPr>
          <w:p w14:paraId="6F6F7EB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447723C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2603BF1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439AF8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w:t>
            </w:r>
          </w:p>
        </w:tc>
        <w:tc>
          <w:tcPr>
            <w:tcW w:w="6188" w:type="dxa"/>
            <w:noWrap w:val="0"/>
            <w:vAlign w:val="top"/>
          </w:tcPr>
          <w:p w14:paraId="62EAC1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自2021年1月 1日以来（以合同签订时间为准），供应商提供的单个业绩</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包含无人机</w:t>
            </w:r>
            <w:r>
              <w:rPr>
                <w:rFonts w:hint="eastAsia" w:ascii="Times New Roman" w:hAnsi="Times New Roman" w:eastAsia="宋体" w:cs="Times New Roman"/>
                <w:color w:val="auto"/>
                <w:highlight w:val="none"/>
                <w:lang w:val="en-US" w:eastAsia="zh-CN"/>
              </w:rPr>
              <w:t>飞行服务和</w:t>
            </w:r>
            <w:r>
              <w:rPr>
                <w:rFonts w:hint="eastAsia" w:ascii="Times New Roman" w:hAnsi="Times New Roman" w:eastAsia="宋体" w:cs="Times New Roman"/>
                <w:color w:val="auto"/>
                <w:highlight w:val="none"/>
              </w:rPr>
              <w:t>高点视频监测类内容的，每个业绩得</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分；不提供不得分，满分</w:t>
            </w:r>
            <w:r>
              <w:rPr>
                <w:rFonts w:hint="eastAsia" w:ascii="Times New Roman" w:hAnsi="Times New Roman" w:eastAsia="宋体" w:cs="Times New Roman"/>
                <w:color w:val="auto"/>
                <w:highlight w:val="none"/>
                <w:lang w:val="en-US" w:eastAsia="zh-CN"/>
              </w:rPr>
              <w:t>12</w:t>
            </w:r>
            <w:r>
              <w:rPr>
                <w:rFonts w:hint="eastAsia" w:ascii="Times New Roman" w:hAnsi="Times New Roman" w:eastAsia="宋体" w:cs="Times New Roman"/>
                <w:color w:val="auto"/>
                <w:highlight w:val="none"/>
              </w:rPr>
              <w:t>分。</w:t>
            </w:r>
          </w:p>
          <w:p w14:paraId="444E5F9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 ：投标文件中须同时提供①中标通知书原件彩色扫描件(中标通知书须加盖招投标管理部门印章或招投标管理部门备案印章，无招投标管理部门盖章的还须提供招投标管理部门官网或公共资源交易平台官网发布的中标公示网页完整截图及网址链接):②合同原件彩色扫描件。若合同材料中无法体现签订时间、业绩内容等关键评审因素的，须另外提供业主（合同甲方）出具的盖章证明材料扫描件。两者缺一不可。</w:t>
            </w:r>
          </w:p>
          <w:p w14:paraId="64FA69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②业绩时间以合同签订时间为准，合同须能反映项目名称、 主要标的物、签订时间和签章清晰可见 。若上述材料不能充分反映出签订时间</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 xml:space="preserve"> 项目内容等评审因素的，须</w:t>
            </w:r>
            <w:r>
              <w:rPr>
                <w:rFonts w:hint="eastAsia" w:ascii="Times New Roman" w:hAnsi="Times New Roman" w:eastAsia="宋体" w:cs="Times New Roman"/>
                <w:color w:val="auto"/>
                <w:highlight w:val="none"/>
                <w:lang w:val="en-US" w:eastAsia="zh-CN"/>
              </w:rPr>
              <w:t>另</w:t>
            </w:r>
            <w:r>
              <w:rPr>
                <w:rFonts w:hint="eastAsia" w:ascii="Times New Roman" w:hAnsi="Times New Roman" w:eastAsia="宋体" w:cs="Times New Roman"/>
                <w:color w:val="auto"/>
                <w:highlight w:val="none"/>
              </w:rPr>
              <w:t>提供加盖项目业绩业主单位盖章的证明材料。</w:t>
            </w:r>
          </w:p>
          <w:p w14:paraId="42EC23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③提供的项目业绩只计算评标分值对应的项目数量 ，按照排列顺序从首个业绩开始评审至对应数量 ， 超出部分不进行评审 。对应数量内业绩不符合招标文件要求不得分的，不再补充评审超出部分业绩 。如 ：提供 2 个业绩即得满分的，按照投标文件排序评审第一 、第二项业绩，其余超出部分不再评审。</w:t>
            </w:r>
          </w:p>
        </w:tc>
      </w:tr>
      <w:tr w14:paraId="41904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75" w:type="dxa"/>
            <w:noWrap w:val="0"/>
            <w:vAlign w:val="top"/>
          </w:tcPr>
          <w:p w14:paraId="32FB4F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7148BF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763D186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1450" w:type="dxa"/>
            <w:noWrap w:val="0"/>
            <w:vAlign w:val="top"/>
          </w:tcPr>
          <w:p w14:paraId="371BEB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0AB5BC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6CE650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高点资源</w:t>
            </w:r>
          </w:p>
        </w:tc>
        <w:tc>
          <w:tcPr>
            <w:tcW w:w="925" w:type="dxa"/>
            <w:noWrap w:val="0"/>
            <w:vAlign w:val="top"/>
          </w:tcPr>
          <w:p w14:paraId="4C0743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0C8E2A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D5811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w:t>
            </w:r>
          </w:p>
        </w:tc>
        <w:tc>
          <w:tcPr>
            <w:tcW w:w="6188" w:type="dxa"/>
            <w:noWrap w:val="0"/>
            <w:vAlign w:val="top"/>
          </w:tcPr>
          <w:p w14:paraId="3459F5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为满足项目的视频实时监控效果以及避免信号遮挡，摄像机以及无人机接收天线挂载高度不得低于30米 ，供应商应提供</w:t>
            </w:r>
            <w:r>
              <w:rPr>
                <w:rFonts w:hint="eastAsia" w:ascii="Times New Roman" w:hAnsi="Times New Roman" w:eastAsia="宋体" w:cs="Times New Roman"/>
                <w:color w:val="auto"/>
                <w:highlight w:val="none"/>
                <w:lang w:val="en-US" w:eastAsia="zh-CN"/>
              </w:rPr>
              <w:t>苏滁高新区区内</w:t>
            </w: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 xml:space="preserve"> 个不低于30米高度的杆塔资源</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提供 1</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 xml:space="preserve"> 个及以上杆塔资源的得10 分，每少1个杆塔资源扣</w:t>
            </w:r>
            <w:r>
              <w:rPr>
                <w:rFonts w:hint="eastAsia" w:ascii="Times New Roman" w:hAnsi="Times New Roman" w:eastAsia="宋体" w:cs="Times New Roman"/>
                <w:color w:val="auto"/>
                <w:highlight w:val="none"/>
                <w:lang w:val="en-US" w:eastAsia="zh-CN"/>
              </w:rPr>
              <w:t>2.5</w:t>
            </w:r>
            <w:r>
              <w:rPr>
                <w:rFonts w:hint="eastAsia" w:ascii="Times New Roman" w:hAnsi="Times New Roman" w:eastAsia="宋体" w:cs="Times New Roman"/>
                <w:color w:val="auto"/>
                <w:highlight w:val="none"/>
              </w:rPr>
              <w:t>分，本项满分10分。</w:t>
            </w:r>
          </w:p>
          <w:p w14:paraId="36E509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注：①自有杆塔资源：投标文件中需提供高点杆塔资源列表和带经纬度坐标标志的场地资源照片并提供切实有效的证明材料（产权证明或使用授权书）；</w:t>
            </w:r>
          </w:p>
          <w:p w14:paraId="7D9FB0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②租赁杆塔资源：租赁高点资源须提供租赁合同（合同中须反映杆塔资源的租赁信息，租赁期限不短于服务期）。</w:t>
            </w:r>
          </w:p>
        </w:tc>
      </w:tr>
      <w:tr w14:paraId="29131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75" w:type="dxa"/>
            <w:noWrap w:val="0"/>
            <w:vAlign w:val="top"/>
          </w:tcPr>
          <w:p w14:paraId="352E7C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7DFA3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FC8DC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63144B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673FD5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C104A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E0E30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86E9D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7E5EA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1450" w:type="dxa"/>
            <w:noWrap w:val="0"/>
            <w:vAlign w:val="top"/>
          </w:tcPr>
          <w:p w14:paraId="64A5D0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6944B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02BF3C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1DC55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6C9E2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B6FB7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FFE01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6313C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3D0FB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人员配备</w:t>
            </w:r>
          </w:p>
        </w:tc>
        <w:tc>
          <w:tcPr>
            <w:tcW w:w="925" w:type="dxa"/>
            <w:noWrap w:val="0"/>
            <w:vAlign w:val="top"/>
          </w:tcPr>
          <w:p w14:paraId="4F620A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3699B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65FA5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6A655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F16A5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763F93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7BA458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2AB53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426C7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6188" w:type="dxa"/>
            <w:noWrap w:val="0"/>
            <w:vAlign w:val="top"/>
          </w:tcPr>
          <w:p w14:paraId="6B6BCC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1.项目负责人（1 人）：具有信息系统项目管理师证书的得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w:t>
            </w:r>
          </w:p>
          <w:p w14:paraId="6F59FA2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2.技术负责人（1 人）：具有注册信息安全专业人员（ CISP） 证书的得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w:t>
            </w:r>
          </w:p>
          <w:p w14:paraId="776BAA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3.项目组成员（除项目负责人和技术负责人外）</w:t>
            </w:r>
          </w:p>
          <w:p w14:paraId="31025A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）具有信息系统项目管理师证书</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得 2 分。</w:t>
            </w:r>
          </w:p>
          <w:p w14:paraId="487DEF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）具有民用无人驾驶航空器操控员执照（CAAC） ：每个得</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分，本项最高得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w:t>
            </w:r>
          </w:p>
          <w:p w14:paraId="1A0EA0F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备注：</w:t>
            </w:r>
          </w:p>
          <w:p w14:paraId="5FF54E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①提供证书，未提供不得分。</w:t>
            </w:r>
          </w:p>
          <w:p w14:paraId="0F23598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②须提供社保部门出具的本单位为其缴纳的投标截止时间前近三个月内任意一个月的养老保险证明（含官网在线打印件，证明文件两个月内有效）。供应商是事业单位的，暂未缴纳社保的， 须由其主管部门出具证明。</w:t>
            </w:r>
          </w:p>
          <w:p w14:paraId="503007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③</w:t>
            </w:r>
            <w:r>
              <w:rPr>
                <w:rFonts w:hint="eastAsia" w:ascii="Times New Roman" w:hAnsi="Times New Roman" w:eastAsia="宋体" w:cs="Times New Roman"/>
                <w:color w:val="auto"/>
                <w:highlight w:val="none"/>
                <w:lang w:val="en-US" w:eastAsia="zh-CN"/>
              </w:rPr>
              <w:t>以上人员不得兼任</w:t>
            </w:r>
            <w:r>
              <w:rPr>
                <w:rFonts w:hint="eastAsia" w:ascii="Times New Roman" w:hAnsi="Times New Roman" w:eastAsia="宋体" w:cs="Times New Roman"/>
                <w:color w:val="auto"/>
                <w:highlight w:val="none"/>
              </w:rPr>
              <w:t>。</w:t>
            </w:r>
          </w:p>
          <w:p w14:paraId="374104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④项目组人员如有多个证书的，不重复计分， 只计取其中单项最高得分。</w:t>
            </w:r>
          </w:p>
        </w:tc>
      </w:tr>
    </w:tbl>
    <w:p w14:paraId="68E2E6B3">
      <w:pPr>
        <w:spacing w:line="440" w:lineRule="exact"/>
        <w:ind w:firstLine="211" w:firstLineChars="100"/>
        <w:jc w:val="left"/>
        <w:rPr>
          <w:rFonts w:ascii="宋体"/>
          <w:b/>
          <w:color w:val="auto"/>
          <w:szCs w:val="21"/>
          <w:highlight w:val="none"/>
        </w:rPr>
      </w:pPr>
      <w:r>
        <w:rPr>
          <w:rFonts w:hint="eastAsia" w:ascii="宋体" w:hAnsi="宋体"/>
          <w:b/>
          <w:color w:val="auto"/>
          <w:szCs w:val="21"/>
          <w:highlight w:val="none"/>
        </w:rPr>
        <w:t>注</w:t>
      </w:r>
      <w:r>
        <w:rPr>
          <w:rFonts w:hint="eastAsia" w:ascii="宋体"/>
          <w:b/>
          <w:color w:val="auto"/>
          <w:szCs w:val="21"/>
          <w:highlight w:val="none"/>
        </w:rPr>
        <w:t>：各评委得分的平均值为投标人资信标得分，分值保留两位小数点。</w:t>
      </w:r>
    </w:p>
    <w:p w14:paraId="567875B3">
      <w:pPr>
        <w:spacing w:before="78" w:line="213" w:lineRule="auto"/>
        <w:ind w:left="505"/>
        <w:rPr>
          <w:rFonts w:ascii="宋体" w:hAnsi="宋体" w:eastAsia="宋体" w:cs="宋体"/>
          <w:color w:val="auto"/>
          <w:sz w:val="24"/>
          <w:szCs w:val="24"/>
          <w:highlight w:val="none"/>
        </w:rPr>
      </w:pPr>
      <w:r>
        <w:rPr>
          <w:rFonts w:hint="eastAsia" w:ascii="宋体" w:hAnsi="宋体" w:cs="宋体"/>
          <w:b/>
          <w:bCs/>
          <w:color w:val="auto"/>
          <w:szCs w:val="21"/>
          <w:highlight w:val="none"/>
        </w:rPr>
        <w:t>技术标评审（</w:t>
      </w:r>
      <w:r>
        <w:rPr>
          <w:rFonts w:hint="eastAsia" w:ascii="宋体" w:hAnsi="宋体" w:cs="宋体"/>
          <w:b/>
          <w:bCs/>
          <w:color w:val="auto"/>
          <w:szCs w:val="21"/>
          <w:highlight w:val="none"/>
          <w:lang w:val="en-US" w:eastAsia="zh-CN"/>
        </w:rPr>
        <w:t>55</w:t>
      </w:r>
      <w:r>
        <w:rPr>
          <w:rFonts w:hint="eastAsia" w:ascii="宋体" w:hAnsi="宋体" w:cs="宋体"/>
          <w:b/>
          <w:bCs/>
          <w:color w:val="auto"/>
          <w:szCs w:val="21"/>
          <w:highlight w:val="none"/>
        </w:rPr>
        <w:t>分）</w:t>
      </w:r>
    </w:p>
    <w:tbl>
      <w:tblPr>
        <w:tblStyle w:val="18"/>
        <w:tblW w:w="9364"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133"/>
        <w:gridCol w:w="850"/>
        <w:gridCol w:w="6564"/>
      </w:tblGrid>
      <w:tr w14:paraId="504DF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817" w:type="dxa"/>
            <w:noWrap w:val="0"/>
            <w:vAlign w:val="top"/>
          </w:tcPr>
          <w:p w14:paraId="6457BF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5EDC0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序号</w:t>
            </w:r>
          </w:p>
        </w:tc>
        <w:tc>
          <w:tcPr>
            <w:tcW w:w="1133" w:type="dxa"/>
            <w:noWrap w:val="0"/>
            <w:vAlign w:val="top"/>
          </w:tcPr>
          <w:p w14:paraId="662A39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3E2419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评分因素</w:t>
            </w:r>
          </w:p>
        </w:tc>
        <w:tc>
          <w:tcPr>
            <w:tcW w:w="850" w:type="dxa"/>
            <w:noWrap w:val="0"/>
            <w:vAlign w:val="top"/>
          </w:tcPr>
          <w:p w14:paraId="4BA0DAD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0C917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分值</w:t>
            </w:r>
            <w:r>
              <w:rPr>
                <w:rFonts w:hint="eastAsia" w:ascii="Times New Roman" w:hAnsi="Times New Roman" w:eastAsia="宋体" w:cs="Times New Roman"/>
                <w:color w:val="auto"/>
                <w:highlight w:val="none"/>
                <w:lang w:val="en-US" w:eastAsia="zh-CN"/>
              </w:rPr>
              <w:t xml:space="preserve"> </w:t>
            </w:r>
          </w:p>
        </w:tc>
        <w:tc>
          <w:tcPr>
            <w:tcW w:w="6564" w:type="dxa"/>
            <w:noWrap w:val="0"/>
            <w:vAlign w:val="top"/>
          </w:tcPr>
          <w:p w14:paraId="47E0F7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355AF8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评审细则</w:t>
            </w:r>
          </w:p>
        </w:tc>
      </w:tr>
      <w:tr w14:paraId="7D800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817" w:type="dxa"/>
            <w:noWrap w:val="0"/>
            <w:vAlign w:val="top"/>
          </w:tcPr>
          <w:p w14:paraId="4DDA70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16620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70BAB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8D3850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p>
        </w:tc>
        <w:tc>
          <w:tcPr>
            <w:tcW w:w="1133" w:type="dxa"/>
            <w:noWrap w:val="0"/>
            <w:vAlign w:val="top"/>
          </w:tcPr>
          <w:p w14:paraId="6D1AC9D3">
            <w:pPr>
              <w:spacing w:before="90" w:line="237" w:lineRule="auto"/>
              <w:ind w:left="9" w:leftChars="0" w:right="2" w:rightChars="0" w:firstLine="2" w:firstLineChars="0"/>
              <w:rPr>
                <w:rFonts w:hint="eastAsia" w:ascii="宋体" w:hAnsi="宋体" w:eastAsia="宋体" w:cs="宋体"/>
                <w:color w:val="auto"/>
                <w:spacing w:val="1"/>
                <w:sz w:val="18"/>
                <w:szCs w:val="18"/>
                <w:highlight w:val="none"/>
              </w:rPr>
            </w:pPr>
          </w:p>
          <w:p w14:paraId="1E55C3C2">
            <w:pPr>
              <w:spacing w:before="90" w:line="237" w:lineRule="auto"/>
              <w:ind w:left="9" w:leftChars="0" w:right="2" w:rightChars="0" w:firstLine="2" w:firstLineChars="0"/>
              <w:rPr>
                <w:rFonts w:hint="eastAsia" w:ascii="宋体" w:hAnsi="宋体" w:eastAsia="宋体" w:cs="宋体"/>
                <w:color w:val="auto"/>
                <w:spacing w:val="1"/>
                <w:sz w:val="18"/>
                <w:szCs w:val="18"/>
                <w:highlight w:val="none"/>
              </w:rPr>
            </w:pPr>
          </w:p>
          <w:p w14:paraId="6692F815">
            <w:pPr>
              <w:spacing w:before="90" w:line="237" w:lineRule="auto"/>
              <w:ind w:left="9" w:leftChars="0" w:right="2" w:rightChars="0" w:firstLine="2" w:firstLineChars="0"/>
              <w:rPr>
                <w:rFonts w:hint="eastAsia" w:ascii="宋体" w:hAnsi="宋体" w:eastAsia="宋体" w:cs="宋体"/>
                <w:color w:val="auto"/>
                <w:spacing w:val="1"/>
                <w:sz w:val="18"/>
                <w:szCs w:val="18"/>
                <w:highlight w:val="none"/>
              </w:rPr>
            </w:pPr>
          </w:p>
          <w:p w14:paraId="7ED883EC">
            <w:pPr>
              <w:spacing w:before="90" w:line="237" w:lineRule="auto"/>
              <w:ind w:left="9" w:leftChars="0" w:right="2" w:rightChars="0" w:firstLine="2" w:firstLineChars="0"/>
              <w:rPr>
                <w:rFonts w:hint="eastAsia" w:ascii="宋体" w:hAnsi="宋体" w:eastAsia="宋体" w:cs="宋体"/>
                <w:color w:val="auto"/>
                <w:spacing w:val="1"/>
                <w:sz w:val="18"/>
                <w:szCs w:val="18"/>
                <w:highlight w:val="none"/>
              </w:rPr>
            </w:pPr>
          </w:p>
          <w:p w14:paraId="37227A3E">
            <w:pPr>
              <w:spacing w:before="90" w:line="237" w:lineRule="auto"/>
              <w:ind w:left="9" w:leftChars="0" w:right="2" w:rightChars="0" w:firstLine="2" w:firstLineChars="0"/>
              <w:rPr>
                <w:rFonts w:hint="eastAsia" w:ascii="Times New Roman" w:hAnsi="Times New Roman" w:eastAsia="宋体" w:cs="Times New Roman"/>
                <w:color w:val="auto"/>
                <w:highlight w:val="none"/>
              </w:rPr>
            </w:pPr>
            <w:r>
              <w:rPr>
                <w:rFonts w:hint="eastAsia" w:ascii="宋体" w:hAnsi="宋体" w:eastAsia="宋体" w:cs="宋体"/>
                <w:color w:val="auto"/>
                <w:spacing w:val="1"/>
                <w:sz w:val="18"/>
                <w:szCs w:val="18"/>
                <w:highlight w:val="none"/>
              </w:rPr>
              <w:t>总体认识和</w:t>
            </w:r>
            <w:r>
              <w:rPr>
                <w:rFonts w:hint="eastAsia" w:ascii="宋体" w:hAnsi="宋体" w:eastAsia="宋体" w:cs="宋体"/>
                <w:color w:val="auto"/>
                <w:spacing w:val="4"/>
                <w:sz w:val="18"/>
                <w:szCs w:val="18"/>
                <w:highlight w:val="none"/>
              </w:rPr>
              <w:t xml:space="preserve"> </w:t>
            </w:r>
            <w:r>
              <w:rPr>
                <w:rFonts w:hint="eastAsia" w:ascii="宋体" w:hAnsi="宋体" w:eastAsia="宋体" w:cs="宋体"/>
                <w:color w:val="auto"/>
                <w:spacing w:val="9"/>
                <w:sz w:val="18"/>
                <w:szCs w:val="18"/>
                <w:highlight w:val="none"/>
              </w:rPr>
              <w:t>需求分析</w:t>
            </w:r>
          </w:p>
        </w:tc>
        <w:tc>
          <w:tcPr>
            <w:tcW w:w="850" w:type="dxa"/>
            <w:noWrap w:val="0"/>
            <w:vAlign w:val="top"/>
          </w:tcPr>
          <w:p w14:paraId="26B554C0">
            <w:pPr>
              <w:spacing w:before="96" w:line="291" w:lineRule="exact"/>
              <w:ind w:left="389" w:leftChars="0"/>
              <w:rPr>
                <w:rFonts w:hint="eastAsia" w:ascii="宋体" w:hAnsi="宋体" w:eastAsia="宋体" w:cs="宋体"/>
                <w:color w:val="auto"/>
                <w:position w:val="3"/>
                <w:sz w:val="18"/>
                <w:szCs w:val="18"/>
                <w:highlight w:val="none"/>
              </w:rPr>
            </w:pPr>
          </w:p>
          <w:p w14:paraId="19B4859B">
            <w:pPr>
              <w:spacing w:before="96" w:line="291" w:lineRule="exact"/>
              <w:ind w:left="389" w:leftChars="0"/>
              <w:rPr>
                <w:rFonts w:hint="eastAsia" w:ascii="宋体" w:hAnsi="宋体" w:eastAsia="宋体" w:cs="宋体"/>
                <w:color w:val="auto"/>
                <w:position w:val="3"/>
                <w:sz w:val="18"/>
                <w:szCs w:val="18"/>
                <w:highlight w:val="none"/>
              </w:rPr>
            </w:pPr>
          </w:p>
          <w:p w14:paraId="6E029D51">
            <w:pPr>
              <w:spacing w:before="96" w:line="291" w:lineRule="exact"/>
              <w:ind w:left="389" w:leftChars="0"/>
              <w:rPr>
                <w:rFonts w:hint="eastAsia" w:ascii="宋体" w:hAnsi="宋体" w:eastAsia="宋体" w:cs="宋体"/>
                <w:color w:val="auto"/>
                <w:position w:val="3"/>
                <w:sz w:val="18"/>
                <w:szCs w:val="18"/>
                <w:highlight w:val="none"/>
              </w:rPr>
            </w:pPr>
          </w:p>
          <w:p w14:paraId="7033639B">
            <w:pPr>
              <w:spacing w:before="96" w:line="291" w:lineRule="exact"/>
              <w:ind w:left="389" w:leftChars="0"/>
              <w:rPr>
                <w:rFonts w:hint="eastAsia" w:ascii="Times New Roman" w:hAnsi="Times New Roman" w:eastAsia="宋体" w:cs="Times New Roman"/>
                <w:color w:val="auto"/>
                <w:highlight w:val="none"/>
                <w:lang w:eastAsia="zh-CN"/>
              </w:rPr>
            </w:pPr>
            <w:r>
              <w:rPr>
                <w:rFonts w:hint="eastAsia" w:ascii="宋体" w:hAnsi="宋体" w:eastAsia="宋体" w:cs="宋体"/>
                <w:color w:val="auto"/>
                <w:position w:val="3"/>
                <w:sz w:val="18"/>
                <w:szCs w:val="18"/>
                <w:highlight w:val="none"/>
                <w:lang w:val="en-US" w:eastAsia="zh-CN"/>
              </w:rPr>
              <w:t>5</w:t>
            </w:r>
          </w:p>
        </w:tc>
        <w:tc>
          <w:tcPr>
            <w:tcW w:w="6564" w:type="dxa"/>
            <w:noWrap w:val="0"/>
            <w:vAlign w:val="top"/>
          </w:tcPr>
          <w:p w14:paraId="56219EBB">
            <w:pPr>
              <w:spacing w:before="46" w:line="278" w:lineRule="auto"/>
              <w:ind w:left="151" w:firstLine="516"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评标委员会根据投标人提供的总体认识和需求分</w:t>
            </w:r>
            <w:r>
              <w:rPr>
                <w:rFonts w:hint="eastAsia" w:ascii="宋体" w:hAnsi="宋体" w:eastAsia="宋体" w:cs="宋体"/>
                <w:color w:val="auto"/>
                <w:spacing w:val="14"/>
                <w:sz w:val="21"/>
                <w:szCs w:val="21"/>
                <w:highlight w:val="none"/>
              </w:rPr>
              <w:t>析设计，包括但不限于于对项目相关流程的认识，</w:t>
            </w:r>
            <w:r>
              <w:rPr>
                <w:rFonts w:hint="eastAsia" w:ascii="宋体" w:hAnsi="宋体" w:eastAsia="宋体" w:cs="宋体"/>
                <w:color w:val="auto"/>
                <w:spacing w:val="15"/>
                <w:sz w:val="21"/>
                <w:szCs w:val="21"/>
                <w:highlight w:val="none"/>
              </w:rPr>
              <w:t>以及建设内容、建设开发基础环境、建设开发规范</w:t>
            </w:r>
            <w:r>
              <w:rPr>
                <w:rFonts w:hint="eastAsia" w:ascii="宋体" w:hAnsi="宋体" w:eastAsia="宋体" w:cs="宋体"/>
                <w:color w:val="auto"/>
                <w:spacing w:val="10"/>
                <w:sz w:val="21"/>
                <w:szCs w:val="21"/>
                <w:highlight w:val="none"/>
              </w:rPr>
              <w:t>要求的理解、功能需求分析、业务流程分析、数据</w:t>
            </w:r>
            <w:r>
              <w:rPr>
                <w:rFonts w:hint="eastAsia" w:ascii="宋体" w:hAnsi="宋体" w:eastAsia="宋体" w:cs="宋体"/>
                <w:color w:val="auto"/>
                <w:spacing w:val="14"/>
                <w:sz w:val="21"/>
                <w:szCs w:val="21"/>
                <w:highlight w:val="none"/>
              </w:rPr>
              <w:t>需求分析、</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4"/>
                <w:sz w:val="21"/>
                <w:szCs w:val="21"/>
                <w:highlight w:val="none"/>
              </w:rPr>
              <w:t>非功能需求分析等进行综合评审：</w:t>
            </w:r>
          </w:p>
          <w:p w14:paraId="4B4ABF74">
            <w:pPr>
              <w:spacing w:before="12" w:line="272" w:lineRule="auto"/>
              <w:ind w:left="157" w:right="5" w:firstLine="3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（1）内容详细、完整，</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0"/>
                <w:sz w:val="21"/>
                <w:szCs w:val="21"/>
                <w:highlight w:val="none"/>
              </w:rPr>
              <w:t>能够完全满足项目实施要</w:t>
            </w:r>
            <w:r>
              <w:rPr>
                <w:rFonts w:hint="eastAsia" w:ascii="宋体" w:hAnsi="宋体" w:eastAsia="宋体" w:cs="宋体"/>
                <w:color w:val="auto"/>
                <w:spacing w:val="11"/>
                <w:sz w:val="21"/>
                <w:szCs w:val="21"/>
                <w:highlight w:val="none"/>
              </w:rPr>
              <w:t>求，并结合自身经验，给出完善、细致分析的，得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分；</w:t>
            </w:r>
          </w:p>
          <w:p w14:paraId="59AECBB2">
            <w:pPr>
              <w:spacing w:before="32" w:line="271" w:lineRule="auto"/>
              <w:ind w:left="169" w:right="8" w:firstLine="18"/>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（2）能满足项目实施要求，并结合自身经验，给</w:t>
            </w:r>
            <w:r>
              <w:rPr>
                <w:rFonts w:hint="eastAsia" w:ascii="宋体" w:hAnsi="宋体" w:eastAsia="宋体" w:cs="宋体"/>
                <w:color w:val="auto"/>
                <w:spacing w:val="10"/>
                <w:sz w:val="21"/>
                <w:szCs w:val="21"/>
                <w:highlight w:val="none"/>
              </w:rPr>
              <w:t>出相应合理化分析的，得</w:t>
            </w: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rPr>
              <w:t>分；</w:t>
            </w:r>
          </w:p>
          <w:p w14:paraId="16E1C814">
            <w:pPr>
              <w:spacing w:before="36" w:line="270" w:lineRule="auto"/>
              <w:ind w:left="152" w:right="68" w:firstLine="35"/>
              <w:rPr>
                <w:rFonts w:hint="eastAsia" w:ascii="宋体" w:hAnsi="宋体" w:eastAsia="宋体" w:cs="宋体"/>
                <w:color w:val="auto"/>
                <w:spacing w:val="13"/>
                <w:sz w:val="21"/>
                <w:szCs w:val="21"/>
                <w:highlight w:val="none"/>
              </w:rPr>
            </w:pP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3"/>
                <w:sz w:val="21"/>
                <w:szCs w:val="21"/>
                <w:highlight w:val="none"/>
                <w:lang w:val="en-US" w:eastAsia="zh-CN"/>
              </w:rPr>
              <w:t>3</w:t>
            </w:r>
            <w:r>
              <w:rPr>
                <w:rFonts w:hint="eastAsia" w:ascii="宋体" w:hAnsi="宋体" w:eastAsia="宋体" w:cs="宋体"/>
                <w:color w:val="auto"/>
                <w:spacing w:val="13"/>
                <w:sz w:val="21"/>
                <w:szCs w:val="21"/>
                <w:highlight w:val="none"/>
              </w:rPr>
              <w:t>）能满足项目实施要求，</w:t>
            </w:r>
            <w:r>
              <w:rPr>
                <w:rFonts w:hint="eastAsia" w:ascii="宋体" w:hAnsi="宋体" w:eastAsia="宋体" w:cs="宋体"/>
                <w:color w:val="auto"/>
                <w:spacing w:val="13"/>
                <w:sz w:val="21"/>
                <w:szCs w:val="21"/>
                <w:highlight w:val="none"/>
                <w:lang w:val="en-US" w:eastAsia="zh-CN"/>
              </w:rPr>
              <w:t>有合理的需求分析的</w:t>
            </w:r>
            <w:r>
              <w:rPr>
                <w:rFonts w:hint="eastAsia" w:ascii="宋体" w:hAnsi="宋体" w:eastAsia="宋体" w:cs="宋体"/>
                <w:color w:val="auto"/>
                <w:spacing w:val="13"/>
                <w:sz w:val="21"/>
                <w:szCs w:val="21"/>
                <w:highlight w:val="none"/>
              </w:rPr>
              <w:t>，得</w:t>
            </w:r>
            <w:r>
              <w:rPr>
                <w:rFonts w:hint="eastAsia" w:ascii="宋体" w:hAnsi="宋体" w:eastAsia="宋体" w:cs="宋体"/>
                <w:color w:val="auto"/>
                <w:spacing w:val="13"/>
                <w:sz w:val="21"/>
                <w:szCs w:val="21"/>
                <w:highlight w:val="none"/>
                <w:lang w:val="en-US" w:eastAsia="zh-CN"/>
              </w:rPr>
              <w:t>3</w:t>
            </w:r>
            <w:r>
              <w:rPr>
                <w:rFonts w:hint="eastAsia" w:ascii="宋体" w:hAnsi="宋体" w:eastAsia="宋体" w:cs="宋体"/>
                <w:color w:val="auto"/>
                <w:spacing w:val="13"/>
                <w:sz w:val="21"/>
                <w:szCs w:val="21"/>
                <w:highlight w:val="none"/>
              </w:rPr>
              <w:t>分；</w:t>
            </w:r>
          </w:p>
          <w:p w14:paraId="48F4B9AE">
            <w:pPr>
              <w:spacing w:before="36" w:line="270" w:lineRule="auto"/>
              <w:ind w:left="152" w:right="68" w:firstLine="35"/>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3"/>
                <w:sz w:val="21"/>
                <w:szCs w:val="21"/>
                <w:highlight w:val="none"/>
                <w:lang w:val="en-US" w:eastAsia="zh-CN"/>
              </w:rPr>
              <w:t>4</w:t>
            </w:r>
            <w:r>
              <w:rPr>
                <w:rFonts w:hint="eastAsia" w:ascii="宋体" w:hAnsi="宋体" w:eastAsia="宋体" w:cs="宋体"/>
                <w:color w:val="auto"/>
                <w:spacing w:val="13"/>
                <w:sz w:val="21"/>
                <w:szCs w:val="21"/>
                <w:highlight w:val="none"/>
              </w:rPr>
              <w:t>）对本项目的需求分析不到位或内容有缺失，</w:t>
            </w:r>
            <w:r>
              <w:rPr>
                <w:rFonts w:hint="eastAsia" w:ascii="宋体" w:hAnsi="宋体" w:eastAsia="宋体" w:cs="宋体"/>
                <w:color w:val="auto"/>
                <w:spacing w:val="10"/>
                <w:sz w:val="21"/>
                <w:szCs w:val="21"/>
                <w:highlight w:val="none"/>
              </w:rPr>
              <w:t>仍需进一步完善的，得</w:t>
            </w: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rPr>
              <w:t>分；</w:t>
            </w:r>
          </w:p>
          <w:p w14:paraId="24944343">
            <w:pPr>
              <w:spacing w:before="36" w:line="247" w:lineRule="exact"/>
              <w:ind w:left="188" w:leftChars="0"/>
              <w:rPr>
                <w:rFonts w:hint="eastAsia" w:ascii="Times New Roman" w:hAnsi="Times New Roman" w:eastAsia="宋体" w:cs="Times New Roman"/>
                <w:color w:val="auto"/>
                <w:highlight w:val="none"/>
              </w:rPr>
            </w:pPr>
            <w:r>
              <w:rPr>
                <w:rFonts w:hint="eastAsia" w:ascii="宋体" w:hAnsi="宋体" w:eastAsia="宋体" w:cs="宋体"/>
                <w:color w:val="auto"/>
                <w:spacing w:val="8"/>
                <w:position w:val="2"/>
                <w:sz w:val="21"/>
                <w:szCs w:val="21"/>
                <w:highlight w:val="none"/>
              </w:rPr>
              <w:t>（</w:t>
            </w:r>
            <w:r>
              <w:rPr>
                <w:rFonts w:hint="eastAsia" w:ascii="宋体" w:hAnsi="宋体" w:eastAsia="宋体" w:cs="宋体"/>
                <w:color w:val="auto"/>
                <w:spacing w:val="8"/>
                <w:position w:val="2"/>
                <w:sz w:val="21"/>
                <w:szCs w:val="21"/>
                <w:highlight w:val="none"/>
                <w:lang w:val="en-US" w:eastAsia="zh-CN"/>
              </w:rPr>
              <w:t>5</w:t>
            </w:r>
            <w:r>
              <w:rPr>
                <w:rFonts w:hint="eastAsia" w:ascii="宋体" w:hAnsi="宋体" w:eastAsia="宋体" w:cs="宋体"/>
                <w:color w:val="auto"/>
                <w:spacing w:val="8"/>
                <w:position w:val="2"/>
                <w:sz w:val="21"/>
                <w:szCs w:val="21"/>
                <w:highlight w:val="none"/>
              </w:rPr>
              <w:t>）</w:t>
            </w:r>
            <w:r>
              <w:rPr>
                <w:rFonts w:hint="eastAsia" w:ascii="宋体" w:hAnsi="宋体" w:eastAsia="宋体" w:cs="宋体"/>
                <w:color w:val="auto"/>
                <w:spacing w:val="-13"/>
                <w:position w:val="2"/>
                <w:sz w:val="21"/>
                <w:szCs w:val="21"/>
                <w:highlight w:val="none"/>
              </w:rPr>
              <w:t xml:space="preserve"> </w:t>
            </w:r>
            <w:r>
              <w:rPr>
                <w:rFonts w:hint="eastAsia" w:ascii="宋体" w:hAnsi="宋体" w:eastAsia="宋体" w:cs="宋体"/>
                <w:color w:val="auto"/>
                <w:spacing w:val="8"/>
                <w:position w:val="2"/>
                <w:sz w:val="21"/>
                <w:szCs w:val="21"/>
                <w:highlight w:val="none"/>
              </w:rPr>
              <w:t>未提供不得分。</w:t>
            </w:r>
          </w:p>
        </w:tc>
      </w:tr>
      <w:tr w14:paraId="79A04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6" w:hRule="atLeast"/>
        </w:trPr>
        <w:tc>
          <w:tcPr>
            <w:tcW w:w="817" w:type="dxa"/>
            <w:noWrap w:val="0"/>
            <w:vAlign w:val="center"/>
          </w:tcPr>
          <w:p w14:paraId="390894A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1133" w:type="dxa"/>
            <w:noWrap w:val="0"/>
            <w:vAlign w:val="center"/>
          </w:tcPr>
          <w:p w14:paraId="24F0EB75">
            <w:pPr>
              <w:spacing w:before="90" w:line="237" w:lineRule="auto"/>
              <w:ind w:left="9" w:leftChars="0" w:right="2" w:rightChars="0" w:firstLine="2" w:firstLineChars="0"/>
              <w:jc w:val="center"/>
              <w:rPr>
                <w:rFonts w:hint="default" w:ascii="宋体" w:hAnsi="宋体" w:eastAsia="宋体" w:cs="宋体"/>
                <w:color w:val="auto"/>
                <w:spacing w:val="1"/>
                <w:sz w:val="18"/>
                <w:szCs w:val="18"/>
                <w:highlight w:val="none"/>
                <w:lang w:val="en-US" w:eastAsia="zh-CN"/>
              </w:rPr>
            </w:pPr>
            <w:r>
              <w:rPr>
                <w:rFonts w:hint="eastAsia" w:ascii="宋体" w:hAnsi="宋体" w:eastAsia="宋体" w:cs="宋体"/>
                <w:color w:val="auto"/>
                <w:spacing w:val="1"/>
                <w:sz w:val="18"/>
                <w:szCs w:val="18"/>
                <w:highlight w:val="none"/>
                <w:lang w:val="en-US" w:eastAsia="zh-CN"/>
              </w:rPr>
              <w:t>高点及无人机规划设计</w:t>
            </w:r>
          </w:p>
        </w:tc>
        <w:tc>
          <w:tcPr>
            <w:tcW w:w="850" w:type="dxa"/>
            <w:noWrap w:val="0"/>
            <w:vAlign w:val="center"/>
          </w:tcPr>
          <w:p w14:paraId="3C4597CA">
            <w:pPr>
              <w:spacing w:before="96" w:line="291" w:lineRule="exact"/>
              <w:ind w:left="389" w:leftChars="0"/>
              <w:jc w:val="center"/>
              <w:rPr>
                <w:rFonts w:hint="eastAsia" w:ascii="宋体" w:hAnsi="宋体" w:eastAsia="宋体" w:cs="宋体"/>
                <w:color w:val="auto"/>
                <w:position w:val="3"/>
                <w:sz w:val="18"/>
                <w:szCs w:val="18"/>
                <w:highlight w:val="none"/>
                <w:lang w:val="en-US" w:eastAsia="zh-CN"/>
              </w:rPr>
            </w:pPr>
            <w:r>
              <w:rPr>
                <w:rFonts w:hint="eastAsia" w:ascii="宋体" w:hAnsi="宋体" w:eastAsia="宋体" w:cs="宋体"/>
                <w:color w:val="auto"/>
                <w:position w:val="3"/>
                <w:sz w:val="18"/>
                <w:szCs w:val="18"/>
                <w:highlight w:val="none"/>
                <w:lang w:val="en-US" w:eastAsia="zh-CN"/>
              </w:rPr>
              <w:t>7</w:t>
            </w:r>
          </w:p>
        </w:tc>
        <w:tc>
          <w:tcPr>
            <w:tcW w:w="6564" w:type="dxa"/>
            <w:noWrap w:val="0"/>
            <w:vAlign w:val="top"/>
          </w:tcPr>
          <w:p w14:paraId="63A640BA">
            <w:pPr>
              <w:spacing w:before="36" w:line="247" w:lineRule="exact"/>
              <w:ind w:firstLine="516" w:firstLineChars="200"/>
              <w:rPr>
                <w:rFonts w:hint="eastAsia" w:ascii="宋体" w:hAnsi="宋体" w:eastAsia="宋体" w:cs="宋体"/>
                <w:color w:val="auto"/>
                <w:spacing w:val="24"/>
                <w:sz w:val="21"/>
                <w:szCs w:val="21"/>
                <w:highlight w:val="none"/>
                <w:lang w:val="en-US" w:eastAsia="zh-CN"/>
              </w:rPr>
            </w:pPr>
            <w:r>
              <w:rPr>
                <w:rFonts w:hint="eastAsia" w:ascii="宋体" w:hAnsi="宋体" w:eastAsia="宋体" w:cs="宋体"/>
                <w:color w:val="auto"/>
                <w:spacing w:val="24"/>
                <w:sz w:val="21"/>
                <w:szCs w:val="21"/>
                <w:highlight w:val="none"/>
              </w:rPr>
              <w:t>评标委员会根据投标人提供的</w:t>
            </w:r>
            <w:r>
              <w:rPr>
                <w:rFonts w:hint="eastAsia" w:ascii="宋体" w:hAnsi="宋体" w:eastAsia="宋体" w:cs="宋体"/>
                <w:color w:val="auto"/>
                <w:spacing w:val="24"/>
                <w:sz w:val="21"/>
                <w:szCs w:val="21"/>
                <w:highlight w:val="none"/>
                <w:lang w:val="en-US" w:eastAsia="zh-CN"/>
              </w:rPr>
              <w:t>高点及无人机规划设计方案，包括但不限于影像图、点位分部图、实际覆盖区域分析、无人机航线规划、无人机飞行计划等进行综合评审：</w:t>
            </w:r>
          </w:p>
          <w:p w14:paraId="48987A71">
            <w:pPr>
              <w:spacing w:before="12" w:line="272" w:lineRule="auto"/>
              <w:ind w:left="157" w:right="5" w:firstLine="3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（1）内容详细、完整，</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0"/>
                <w:sz w:val="21"/>
                <w:szCs w:val="21"/>
                <w:highlight w:val="none"/>
                <w:lang w:val="en-US" w:eastAsia="zh-CN"/>
              </w:rPr>
              <w:t>设计合理，覆盖区域最大化，</w:t>
            </w:r>
            <w:r>
              <w:rPr>
                <w:rFonts w:hint="eastAsia" w:ascii="宋体" w:hAnsi="宋体" w:eastAsia="宋体" w:cs="宋体"/>
                <w:color w:val="auto"/>
                <w:spacing w:val="11"/>
                <w:sz w:val="21"/>
                <w:szCs w:val="21"/>
                <w:highlight w:val="none"/>
              </w:rPr>
              <w:t>结合自身经验，给</w:t>
            </w:r>
            <w:r>
              <w:rPr>
                <w:rFonts w:hint="eastAsia" w:ascii="宋体" w:hAnsi="宋体" w:eastAsia="宋体" w:cs="宋体"/>
                <w:color w:val="auto"/>
                <w:spacing w:val="10"/>
                <w:sz w:val="21"/>
                <w:szCs w:val="21"/>
                <w:highlight w:val="none"/>
              </w:rPr>
              <w:t>出合理化分析</w:t>
            </w:r>
            <w:r>
              <w:rPr>
                <w:rFonts w:hint="eastAsia" w:ascii="宋体" w:hAnsi="宋体" w:eastAsia="宋体" w:cs="宋体"/>
                <w:color w:val="auto"/>
                <w:spacing w:val="10"/>
                <w:sz w:val="21"/>
                <w:szCs w:val="21"/>
                <w:highlight w:val="none"/>
                <w:lang w:val="en-US" w:eastAsia="zh-CN"/>
              </w:rPr>
              <w:t>的</w:t>
            </w:r>
            <w:r>
              <w:rPr>
                <w:rFonts w:hint="eastAsia" w:ascii="宋体" w:hAnsi="宋体" w:eastAsia="宋体" w:cs="宋体"/>
                <w:color w:val="auto"/>
                <w:spacing w:val="11"/>
                <w:sz w:val="21"/>
                <w:szCs w:val="21"/>
                <w:highlight w:val="none"/>
              </w:rPr>
              <w:t>，得</w:t>
            </w:r>
            <w:r>
              <w:rPr>
                <w:rFonts w:hint="eastAsia" w:ascii="宋体" w:hAnsi="宋体" w:eastAsia="宋体" w:cs="宋体"/>
                <w:color w:val="auto"/>
                <w:position w:val="3"/>
                <w:sz w:val="18"/>
                <w:szCs w:val="18"/>
                <w:highlight w:val="none"/>
                <w:lang w:val="en-US" w:eastAsia="zh-CN"/>
              </w:rPr>
              <w:t>7</w:t>
            </w:r>
            <w:r>
              <w:rPr>
                <w:rFonts w:hint="eastAsia" w:ascii="宋体" w:hAnsi="宋体" w:eastAsia="宋体" w:cs="宋体"/>
                <w:color w:val="auto"/>
                <w:spacing w:val="-1"/>
                <w:sz w:val="21"/>
                <w:szCs w:val="21"/>
                <w:highlight w:val="none"/>
              </w:rPr>
              <w:t>分；</w:t>
            </w:r>
          </w:p>
          <w:p w14:paraId="57D895D1">
            <w:pPr>
              <w:spacing w:before="32" w:line="271" w:lineRule="auto"/>
              <w:ind w:left="169" w:right="8" w:firstLine="18"/>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w:t>
            </w:r>
            <w:r>
              <w:rPr>
                <w:rFonts w:hint="eastAsia" w:ascii="宋体" w:hAnsi="宋体" w:eastAsia="宋体" w:cs="宋体"/>
                <w:color w:val="auto"/>
                <w:spacing w:val="10"/>
                <w:sz w:val="21"/>
                <w:szCs w:val="21"/>
                <w:highlight w:val="none"/>
                <w:lang w:val="en-US" w:eastAsia="zh-CN"/>
              </w:rPr>
              <w:t>设计合理覆盖区域全面，</w:t>
            </w:r>
            <w:r>
              <w:rPr>
                <w:rFonts w:hint="eastAsia" w:ascii="宋体" w:hAnsi="宋体" w:eastAsia="宋体" w:cs="宋体"/>
                <w:color w:val="auto"/>
                <w:spacing w:val="11"/>
                <w:sz w:val="21"/>
                <w:szCs w:val="21"/>
                <w:highlight w:val="none"/>
              </w:rPr>
              <w:t>能满足项目实施要求，并结合自身经验，给</w:t>
            </w:r>
            <w:r>
              <w:rPr>
                <w:rFonts w:hint="eastAsia" w:ascii="宋体" w:hAnsi="宋体" w:eastAsia="宋体" w:cs="宋体"/>
                <w:color w:val="auto"/>
                <w:spacing w:val="10"/>
                <w:sz w:val="21"/>
                <w:szCs w:val="21"/>
                <w:highlight w:val="none"/>
              </w:rPr>
              <w:t>出相应合理化分析的，得</w:t>
            </w:r>
            <w:r>
              <w:rPr>
                <w:rFonts w:hint="eastAsia" w:ascii="宋体" w:hAnsi="宋体" w:eastAsia="宋体" w:cs="宋体"/>
                <w:color w:val="auto"/>
                <w:spacing w:val="10"/>
                <w:sz w:val="21"/>
                <w:szCs w:val="21"/>
                <w:highlight w:val="none"/>
                <w:lang w:val="en-US" w:eastAsia="zh-CN"/>
              </w:rPr>
              <w:t>6</w:t>
            </w:r>
            <w:r>
              <w:rPr>
                <w:rFonts w:hint="eastAsia" w:ascii="宋体" w:hAnsi="宋体" w:eastAsia="宋体" w:cs="宋体"/>
                <w:color w:val="auto"/>
                <w:spacing w:val="10"/>
                <w:sz w:val="21"/>
                <w:szCs w:val="21"/>
                <w:highlight w:val="none"/>
              </w:rPr>
              <w:t>分；</w:t>
            </w:r>
          </w:p>
          <w:p w14:paraId="350C06C9">
            <w:pPr>
              <w:spacing w:before="36" w:line="270" w:lineRule="auto"/>
              <w:ind w:left="152" w:right="68" w:firstLine="35"/>
              <w:rPr>
                <w:rFonts w:hint="eastAsia" w:ascii="宋体" w:hAnsi="宋体" w:eastAsia="宋体" w:cs="宋体"/>
                <w:color w:val="auto"/>
                <w:spacing w:val="13"/>
                <w:sz w:val="21"/>
                <w:szCs w:val="21"/>
                <w:highlight w:val="none"/>
              </w:rPr>
            </w:pP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3"/>
                <w:sz w:val="21"/>
                <w:szCs w:val="21"/>
                <w:highlight w:val="none"/>
                <w:lang w:val="en-US" w:eastAsia="zh-CN"/>
              </w:rPr>
              <w:t>3</w:t>
            </w:r>
            <w:r>
              <w:rPr>
                <w:rFonts w:hint="eastAsia" w:ascii="宋体" w:hAnsi="宋体" w:eastAsia="宋体" w:cs="宋体"/>
                <w:color w:val="auto"/>
                <w:spacing w:val="13"/>
                <w:sz w:val="21"/>
                <w:szCs w:val="21"/>
                <w:highlight w:val="none"/>
              </w:rPr>
              <w:t>）能满足项目实施要求，</w:t>
            </w:r>
            <w:r>
              <w:rPr>
                <w:rFonts w:hint="eastAsia" w:ascii="宋体" w:hAnsi="宋体" w:eastAsia="宋体" w:cs="宋体"/>
                <w:color w:val="auto"/>
                <w:spacing w:val="13"/>
                <w:sz w:val="21"/>
                <w:szCs w:val="21"/>
                <w:highlight w:val="none"/>
                <w:lang w:val="en-US" w:eastAsia="zh-CN"/>
              </w:rPr>
              <w:t>有合理的需求分析的</w:t>
            </w:r>
            <w:r>
              <w:rPr>
                <w:rFonts w:hint="eastAsia" w:ascii="宋体" w:hAnsi="宋体" w:eastAsia="宋体" w:cs="宋体"/>
                <w:color w:val="auto"/>
                <w:spacing w:val="13"/>
                <w:sz w:val="21"/>
                <w:szCs w:val="21"/>
                <w:highlight w:val="none"/>
              </w:rPr>
              <w:t>，得</w:t>
            </w:r>
            <w:r>
              <w:rPr>
                <w:rFonts w:hint="eastAsia" w:ascii="宋体" w:hAnsi="宋体" w:eastAsia="宋体" w:cs="宋体"/>
                <w:color w:val="auto"/>
                <w:spacing w:val="13"/>
                <w:sz w:val="21"/>
                <w:szCs w:val="21"/>
                <w:highlight w:val="none"/>
                <w:lang w:val="en-US" w:eastAsia="zh-CN"/>
              </w:rPr>
              <w:t>5</w:t>
            </w:r>
            <w:r>
              <w:rPr>
                <w:rFonts w:hint="eastAsia" w:ascii="宋体" w:hAnsi="宋体" w:eastAsia="宋体" w:cs="宋体"/>
                <w:color w:val="auto"/>
                <w:spacing w:val="13"/>
                <w:sz w:val="21"/>
                <w:szCs w:val="21"/>
                <w:highlight w:val="none"/>
              </w:rPr>
              <w:t>分；</w:t>
            </w:r>
          </w:p>
          <w:p w14:paraId="3EEED26E">
            <w:pPr>
              <w:spacing w:before="36" w:line="270" w:lineRule="auto"/>
              <w:ind w:left="152" w:right="68" w:firstLine="35"/>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3"/>
                <w:sz w:val="21"/>
                <w:szCs w:val="21"/>
                <w:highlight w:val="none"/>
                <w:lang w:val="en-US" w:eastAsia="zh-CN"/>
              </w:rPr>
              <w:t>4</w:t>
            </w:r>
            <w:r>
              <w:rPr>
                <w:rFonts w:hint="eastAsia" w:ascii="宋体" w:hAnsi="宋体" w:eastAsia="宋体" w:cs="宋体"/>
                <w:color w:val="auto"/>
                <w:spacing w:val="13"/>
                <w:sz w:val="21"/>
                <w:szCs w:val="21"/>
                <w:highlight w:val="none"/>
              </w:rPr>
              <w:t>）对本项目的需求分析不到位或内容有缺失，</w:t>
            </w:r>
            <w:r>
              <w:rPr>
                <w:rFonts w:hint="eastAsia" w:ascii="宋体" w:hAnsi="宋体" w:eastAsia="宋体" w:cs="宋体"/>
                <w:color w:val="auto"/>
                <w:spacing w:val="10"/>
                <w:sz w:val="21"/>
                <w:szCs w:val="21"/>
                <w:highlight w:val="none"/>
              </w:rPr>
              <w:t>仍需进一步完善的，得</w:t>
            </w: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rPr>
              <w:t>分；</w:t>
            </w:r>
          </w:p>
          <w:p w14:paraId="6E488B37">
            <w:pPr>
              <w:spacing w:before="36" w:line="247" w:lineRule="exact"/>
              <w:ind w:firstLine="226" w:firstLineChars="100"/>
              <w:rPr>
                <w:rFonts w:hint="default" w:ascii="宋体" w:hAnsi="宋体" w:eastAsia="宋体" w:cs="宋体"/>
                <w:color w:val="auto"/>
                <w:spacing w:val="24"/>
                <w:sz w:val="21"/>
                <w:szCs w:val="21"/>
                <w:highlight w:val="none"/>
                <w:lang w:val="en-US" w:eastAsia="zh-CN"/>
              </w:rPr>
            </w:pPr>
            <w:r>
              <w:rPr>
                <w:rFonts w:hint="eastAsia" w:ascii="宋体" w:hAnsi="宋体" w:eastAsia="宋体" w:cs="宋体"/>
                <w:color w:val="auto"/>
                <w:spacing w:val="8"/>
                <w:position w:val="2"/>
                <w:sz w:val="21"/>
                <w:szCs w:val="21"/>
                <w:highlight w:val="none"/>
              </w:rPr>
              <w:t>（</w:t>
            </w:r>
            <w:r>
              <w:rPr>
                <w:rFonts w:hint="eastAsia" w:ascii="宋体" w:hAnsi="宋体" w:eastAsia="宋体" w:cs="宋体"/>
                <w:color w:val="auto"/>
                <w:spacing w:val="8"/>
                <w:position w:val="2"/>
                <w:sz w:val="21"/>
                <w:szCs w:val="21"/>
                <w:highlight w:val="none"/>
                <w:lang w:val="en-US" w:eastAsia="zh-CN"/>
              </w:rPr>
              <w:t>5</w:t>
            </w:r>
            <w:r>
              <w:rPr>
                <w:rFonts w:hint="eastAsia" w:ascii="宋体" w:hAnsi="宋体" w:eastAsia="宋体" w:cs="宋体"/>
                <w:color w:val="auto"/>
                <w:spacing w:val="8"/>
                <w:position w:val="2"/>
                <w:sz w:val="21"/>
                <w:szCs w:val="21"/>
                <w:highlight w:val="none"/>
              </w:rPr>
              <w:t>）</w:t>
            </w:r>
            <w:r>
              <w:rPr>
                <w:rFonts w:hint="eastAsia" w:ascii="宋体" w:hAnsi="宋体" w:eastAsia="宋体" w:cs="宋体"/>
                <w:color w:val="auto"/>
                <w:spacing w:val="-13"/>
                <w:position w:val="2"/>
                <w:sz w:val="21"/>
                <w:szCs w:val="21"/>
                <w:highlight w:val="none"/>
              </w:rPr>
              <w:t xml:space="preserve"> </w:t>
            </w:r>
            <w:r>
              <w:rPr>
                <w:rFonts w:hint="eastAsia" w:ascii="宋体" w:hAnsi="宋体" w:eastAsia="宋体" w:cs="宋体"/>
                <w:color w:val="auto"/>
                <w:spacing w:val="8"/>
                <w:position w:val="2"/>
                <w:sz w:val="21"/>
                <w:szCs w:val="21"/>
                <w:highlight w:val="none"/>
              </w:rPr>
              <w:t>未提供不得分。</w:t>
            </w:r>
          </w:p>
        </w:tc>
      </w:tr>
      <w:tr w14:paraId="6ADB2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0" w:hRule="atLeast"/>
        </w:trPr>
        <w:tc>
          <w:tcPr>
            <w:tcW w:w="817" w:type="dxa"/>
            <w:noWrap w:val="0"/>
            <w:vAlign w:val="top"/>
          </w:tcPr>
          <w:p w14:paraId="7741B61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D3612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24A75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7082E54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05CDB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3</w:t>
            </w:r>
          </w:p>
        </w:tc>
        <w:tc>
          <w:tcPr>
            <w:tcW w:w="1133" w:type="dxa"/>
            <w:noWrap w:val="0"/>
            <w:vAlign w:val="top"/>
          </w:tcPr>
          <w:p w14:paraId="74F4CC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77B1AA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67824B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01FEBE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架构设计 和详细设计</w:t>
            </w:r>
          </w:p>
        </w:tc>
        <w:tc>
          <w:tcPr>
            <w:tcW w:w="850" w:type="dxa"/>
            <w:noWrap w:val="0"/>
            <w:vAlign w:val="top"/>
          </w:tcPr>
          <w:p w14:paraId="6EF61A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67529A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7EA18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706421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D4E97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highlight w:val="none"/>
                <w:lang w:eastAsia="zh-CN"/>
              </w:rPr>
            </w:pPr>
            <w:r>
              <w:rPr>
                <w:rFonts w:hint="eastAsia" w:ascii="宋体" w:hAnsi="宋体" w:eastAsia="宋体" w:cs="宋体"/>
                <w:color w:val="auto"/>
                <w:position w:val="3"/>
                <w:sz w:val="18"/>
                <w:szCs w:val="18"/>
                <w:highlight w:val="none"/>
                <w:lang w:val="en-US" w:eastAsia="zh-CN"/>
              </w:rPr>
              <w:t>5</w:t>
            </w:r>
          </w:p>
        </w:tc>
        <w:tc>
          <w:tcPr>
            <w:tcW w:w="6564" w:type="dxa"/>
            <w:noWrap w:val="0"/>
            <w:vAlign w:val="top"/>
          </w:tcPr>
          <w:p w14:paraId="25E3E9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包括但不限于总体架构、技术架构 、逻辑架构、数据库设计、界面设计、功能模块设计等进行综合评审：</w:t>
            </w:r>
          </w:p>
          <w:p w14:paraId="09A291B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内容完整详尽，可行的得</w:t>
            </w:r>
            <w:r>
              <w:rPr>
                <w:rFonts w:hint="eastAsia" w:ascii="宋体" w:hAnsi="宋体" w:eastAsia="宋体" w:cs="宋体"/>
                <w:color w:val="auto"/>
                <w:position w:val="3"/>
                <w:sz w:val="18"/>
                <w:szCs w:val="18"/>
                <w:highlight w:val="none"/>
                <w:lang w:val="en-US" w:eastAsia="zh-CN"/>
              </w:rPr>
              <w:t>5</w:t>
            </w:r>
            <w:r>
              <w:rPr>
                <w:rFonts w:hint="eastAsia" w:ascii="Times New Roman" w:hAnsi="Times New Roman" w:eastAsia="宋体" w:cs="Times New Roman"/>
                <w:color w:val="auto"/>
                <w:highlight w:val="none"/>
              </w:rPr>
              <w:t>分；</w:t>
            </w:r>
          </w:p>
          <w:p w14:paraId="77A2CF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（2） 内容完整，贴合实际的，得 </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p>
          <w:p w14:paraId="53221C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 内容完整，</w:t>
            </w:r>
            <w:r>
              <w:rPr>
                <w:rFonts w:hint="eastAsia" w:ascii="Times New Roman" w:hAnsi="Times New Roman" w:eastAsia="宋体" w:cs="Times New Roman"/>
                <w:color w:val="auto"/>
                <w:highlight w:val="none"/>
                <w:lang w:val="en-US" w:eastAsia="zh-CN"/>
              </w:rPr>
              <w:t>基本满足</w:t>
            </w:r>
            <w:r>
              <w:rPr>
                <w:rFonts w:hint="eastAsia" w:ascii="Times New Roman" w:hAnsi="Times New Roman" w:eastAsia="宋体" w:cs="Times New Roman"/>
                <w:color w:val="auto"/>
                <w:highlight w:val="none"/>
              </w:rPr>
              <w:t>实际的，得</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分；</w:t>
            </w:r>
          </w:p>
          <w:p w14:paraId="35F26A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）内容粗糙，条理不清晰，仍需进一步完善的，得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w:t>
            </w:r>
          </w:p>
          <w:p w14:paraId="124A2F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 方案不可行或者未提供不得分。</w:t>
            </w:r>
          </w:p>
        </w:tc>
      </w:tr>
      <w:tr w14:paraId="44019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817" w:type="dxa"/>
            <w:noWrap w:val="0"/>
            <w:vAlign w:val="center"/>
          </w:tcPr>
          <w:p w14:paraId="0DC7178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0529CD7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54C246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0E6D593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3EF8054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4</w:t>
            </w:r>
          </w:p>
        </w:tc>
        <w:tc>
          <w:tcPr>
            <w:tcW w:w="1133" w:type="dxa"/>
            <w:noWrap w:val="0"/>
            <w:vAlign w:val="center"/>
          </w:tcPr>
          <w:p w14:paraId="51F68B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5FEFFC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238EDCE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3CCA8C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系统平台基</w:t>
            </w:r>
          </w:p>
          <w:p w14:paraId="4ECBF2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础技术方案和巡查方案</w:t>
            </w:r>
          </w:p>
        </w:tc>
        <w:tc>
          <w:tcPr>
            <w:tcW w:w="850" w:type="dxa"/>
            <w:noWrap w:val="0"/>
            <w:vAlign w:val="center"/>
          </w:tcPr>
          <w:p w14:paraId="76A5EA5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784025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02441E8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2EE221A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color w:val="auto"/>
                <w:highlight w:val="none"/>
              </w:rPr>
            </w:pPr>
          </w:p>
          <w:p w14:paraId="0686E64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6</w:t>
            </w:r>
          </w:p>
        </w:tc>
        <w:tc>
          <w:tcPr>
            <w:tcW w:w="6564" w:type="dxa"/>
            <w:noWrap w:val="0"/>
            <w:vAlign w:val="top"/>
          </w:tcPr>
          <w:p w14:paraId="35D6F0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投标人需提供无人机基础技术方案、巡查方案及功能截图：</w:t>
            </w:r>
          </w:p>
          <w:p w14:paraId="4B2AEF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（1）提供基于GIS电子地图的图层信息展示，包括无人机场点位、 无人机场覆盖范围、实景三维模型、管控行政区划边界  图层信息；提供无人机数量、无人机列表、无人机实时告警、无人机巡查记录管理要素；提供数据中心、配置中心功能模块的快捷跳转入口。满足所有技术方案项得1分，否则不得分。</w:t>
            </w:r>
          </w:p>
          <w:p w14:paraId="05D2F7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（2）提供无人机飞行关键要素信息展示，包括飞行器状态、实时飞行看板（飞行速度、飞行高度、飞行器电量、飞行器信号状态）、环境信息（天气预报、温度、降雨情况、风速） 、累计飞行时长、可飞行时长、距降落点距离、俯仰角、飞行实时画面（广角画面、变焦画面、热成像画面）机塔联动点位列表、 实时飞行地图、实时飞行航迹。提供无人机场关键要素信息展示，包括无人机场状态（舱内温度、舱内湿度、信号状态）、环境信息（天气预报、风速） 、无人机场详细信息、机场自带监控画面 、机场地图 、机场操作栏 。满  足所有技术方案项得 1分，否则不得分。</w:t>
            </w:r>
          </w:p>
          <w:p w14:paraId="479453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 提供航线规划功能， 支持添加航线 、选择 航线类型， 支持设置航线基本参数、 支持添加  航点与航点动作 。满足所有技术方案项得1分， 否则不得分。</w:t>
            </w:r>
          </w:p>
          <w:p w14:paraId="10187B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 提供飞行计划功能， 支持新建计划、选择  航线  、 选择设备 、 配置任务策略 （立即执行、单次定时 、 重复定时）  、 设置飞行中失联动作 、 设置完成动作 。满足所有技术方案项得1分， 否则不得分。</w:t>
            </w:r>
          </w:p>
          <w:p w14:paraId="6F3B3E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（5）提供手动飞行控制功能， 具备一键起飞、一键返航 、指点飞行 、飞行控制（前后左右、升降、 转向、 紧急动作降落悬停迫降 、档位调整， 支持  常规键鼠模式与虚拟摇杆模式）、云台控制（上  下俯仰角、左右水平角 、快捷复位、快捷正射视角、抓拍、录像 、提供查看图库、视角锁定、切换广角与变焦 、切换热成像画面 、切换可见光与热成  像分屏展示画面）、喊话器（播放录音 ） 、探照灯（开关、 调整光照直径  、调整光照强度）。满足所有技术方案得1分， 否则不得分。</w:t>
            </w:r>
          </w:p>
          <w:p w14:paraId="556D30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（6）提供无人机巡查记录功能查看无人机飞行任 务执行情况， 包含飞行地区、任务编号、起飞 时间、任务概况（飞行器名称、起止时间、飞 行时长） 、飞行数据信息 （飞行时长 、飞行距 离、飞行速度 、飞行航点数量 、航拍影像数量 ） 、航迹地图 、AI 检测结果、历史回放。满足所有技术方案项得1分，否则不得分。</w:t>
            </w:r>
          </w:p>
        </w:tc>
      </w:tr>
      <w:tr w14:paraId="7A1AC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trPr>
        <w:tc>
          <w:tcPr>
            <w:tcW w:w="817" w:type="dxa"/>
            <w:noWrap w:val="0"/>
            <w:vAlign w:val="center"/>
          </w:tcPr>
          <w:p w14:paraId="43BADB4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w:t>
            </w:r>
          </w:p>
        </w:tc>
        <w:tc>
          <w:tcPr>
            <w:tcW w:w="1133" w:type="dxa"/>
            <w:noWrap w:val="0"/>
            <w:vAlign w:val="center"/>
          </w:tcPr>
          <w:p w14:paraId="126B5E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高点视频 监控巡检方案</w:t>
            </w:r>
          </w:p>
        </w:tc>
        <w:tc>
          <w:tcPr>
            <w:tcW w:w="850" w:type="dxa"/>
            <w:noWrap w:val="0"/>
            <w:vAlign w:val="center"/>
          </w:tcPr>
          <w:p w14:paraId="742CEFA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6564" w:type="dxa"/>
            <w:noWrap w:val="0"/>
            <w:vAlign w:val="top"/>
          </w:tcPr>
          <w:p w14:paraId="2F1DB1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投标人需提供高点视频监控巡检和配套算法技术方案 ：</w:t>
            </w:r>
          </w:p>
          <w:p w14:paraId="129561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（1） 内容完整详尽，可行的得 </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 xml:space="preserve"> 分；</w:t>
            </w:r>
          </w:p>
          <w:p w14:paraId="45137C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（2） 内容完整，贴合实际的，得 </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分；</w:t>
            </w:r>
          </w:p>
          <w:p w14:paraId="35F0EA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 内容完整，</w:t>
            </w:r>
            <w:r>
              <w:rPr>
                <w:rFonts w:hint="eastAsia" w:ascii="Times New Roman" w:hAnsi="Times New Roman" w:eastAsia="宋体" w:cs="Times New Roman"/>
                <w:color w:val="auto"/>
                <w:highlight w:val="none"/>
                <w:lang w:val="en-US" w:eastAsia="zh-CN"/>
              </w:rPr>
              <w:t>基本满足</w:t>
            </w:r>
            <w:r>
              <w:rPr>
                <w:rFonts w:hint="eastAsia" w:ascii="Times New Roman" w:hAnsi="Times New Roman" w:eastAsia="宋体" w:cs="Times New Roman"/>
                <w:color w:val="auto"/>
                <w:highlight w:val="none"/>
              </w:rPr>
              <w:t>实际的，得</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分；</w:t>
            </w:r>
          </w:p>
          <w:p w14:paraId="72E38E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）内容粗糙，条理不清晰，仍需进一步完善的，得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p>
          <w:p w14:paraId="11FA1C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 方案不可行或者未提供不得分。</w:t>
            </w:r>
          </w:p>
        </w:tc>
      </w:tr>
      <w:tr w14:paraId="690D6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5" w:hRule="atLeast"/>
        </w:trPr>
        <w:tc>
          <w:tcPr>
            <w:tcW w:w="817" w:type="dxa"/>
            <w:noWrap w:val="0"/>
            <w:vAlign w:val="top"/>
          </w:tcPr>
          <w:p w14:paraId="6EB3FA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p>
          <w:p w14:paraId="6CB959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p>
          <w:p w14:paraId="3D5F2D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p>
          <w:p w14:paraId="277F16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p>
          <w:p w14:paraId="048E72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6</w:t>
            </w:r>
          </w:p>
        </w:tc>
        <w:tc>
          <w:tcPr>
            <w:tcW w:w="1133" w:type="dxa"/>
            <w:noWrap w:val="0"/>
            <w:vAlign w:val="top"/>
          </w:tcPr>
          <w:p w14:paraId="517E52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010EF5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565C7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6C9B1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无人机与视频联动方案</w:t>
            </w:r>
          </w:p>
        </w:tc>
        <w:tc>
          <w:tcPr>
            <w:tcW w:w="850" w:type="dxa"/>
            <w:noWrap w:val="0"/>
            <w:vAlign w:val="top"/>
          </w:tcPr>
          <w:p w14:paraId="68A5B2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46DE5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497EA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B844A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60903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6</w:t>
            </w:r>
          </w:p>
        </w:tc>
        <w:tc>
          <w:tcPr>
            <w:tcW w:w="6564" w:type="dxa"/>
            <w:noWrap w:val="0"/>
            <w:vAlign w:val="top"/>
          </w:tcPr>
          <w:p w14:paraId="425E47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投标人需提供无人机与视频联动方案及功能截图：</w:t>
            </w:r>
          </w:p>
          <w:p w14:paraId="2A97AE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（1）提供通过无人机飞控界面，联动查看行业关联视频点位和实时视频功能 。满足所有技术方案项得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 否则不得分。</w:t>
            </w:r>
          </w:p>
          <w:p w14:paraId="1638E9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（2）提供无人机与视频联动核查功能，通过视频监控告警信息，进行无人机核查， 同时可通过视频告警界面进入无人机飞控中心界面， 实现飞行控制 。满足所有技术方案项得 3 分，否则不得分。</w:t>
            </w:r>
          </w:p>
          <w:p w14:paraId="502312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（3）支持接入机场外部署的机场安防视频监控， 支持切换查看无人机场安防视频 、机场内视频 、机场外视频。满足所有技术方案项得 1 分， 否则不得分</w:t>
            </w:r>
            <w:r>
              <w:rPr>
                <w:rFonts w:hint="eastAsia" w:ascii="Times New Roman" w:hAnsi="Times New Roman" w:eastAsia="宋体" w:cs="Times New Roman"/>
                <w:color w:val="auto"/>
                <w:highlight w:val="none"/>
                <w:lang w:eastAsia="zh-CN"/>
              </w:rPr>
              <w:t>。</w:t>
            </w:r>
          </w:p>
        </w:tc>
      </w:tr>
      <w:tr w14:paraId="3FFD7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5" w:hRule="atLeast"/>
        </w:trPr>
        <w:tc>
          <w:tcPr>
            <w:tcW w:w="817" w:type="dxa"/>
            <w:noWrap w:val="0"/>
            <w:vAlign w:val="top"/>
          </w:tcPr>
          <w:p w14:paraId="2860E3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8A4F22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65E245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F63FE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7</w:t>
            </w:r>
          </w:p>
        </w:tc>
        <w:tc>
          <w:tcPr>
            <w:tcW w:w="1133" w:type="dxa"/>
            <w:noWrap w:val="0"/>
            <w:vAlign w:val="top"/>
          </w:tcPr>
          <w:p w14:paraId="58FB31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92A945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71D067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674841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应用场景算法功能</w:t>
            </w:r>
          </w:p>
        </w:tc>
        <w:tc>
          <w:tcPr>
            <w:tcW w:w="850" w:type="dxa"/>
            <w:noWrap w:val="0"/>
            <w:vAlign w:val="top"/>
          </w:tcPr>
          <w:p w14:paraId="205F3B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A5E0A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467AB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7B609B77">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position w:val="3"/>
                <w:sz w:val="18"/>
                <w:szCs w:val="18"/>
                <w:highlight w:val="none"/>
                <w:lang w:val="en-US" w:eastAsia="zh-CN"/>
              </w:rPr>
              <w:t>6</w:t>
            </w:r>
          </w:p>
        </w:tc>
        <w:tc>
          <w:tcPr>
            <w:tcW w:w="6564" w:type="dxa"/>
            <w:noWrap w:val="0"/>
            <w:vAlign w:val="top"/>
          </w:tcPr>
          <w:p w14:paraId="312D98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根据投标供应商提供的巡查场景算法功能，包含垃圾堆放告警、河道漂浮物告警 、焚烧烟火告警 、</w:t>
            </w:r>
            <w:r>
              <w:rPr>
                <w:rFonts w:hint="eastAsia" w:ascii="Times New Roman" w:hAnsi="Times New Roman" w:eastAsia="宋体" w:cs="Times New Roman"/>
                <w:color w:val="auto"/>
                <w:highlight w:val="none"/>
                <w:lang w:eastAsia="zh-CN"/>
              </w:rPr>
              <w:t>企业出入口</w:t>
            </w:r>
            <w:r>
              <w:rPr>
                <w:rFonts w:hint="eastAsia" w:ascii="Times New Roman" w:hAnsi="Times New Roman" w:eastAsia="宋体" w:cs="Times New Roman"/>
                <w:color w:val="auto"/>
                <w:highlight w:val="none"/>
              </w:rPr>
              <w:t>占用告警</w:t>
            </w:r>
            <w:r>
              <w:rPr>
                <w:rFonts w:hint="eastAsia" w:ascii="Times New Roman" w:hAnsi="Times New Roman" w:eastAsia="宋体" w:cs="Times New Roman"/>
                <w:color w:val="auto"/>
                <w:highlight w:val="none"/>
                <w:lang w:eastAsia="zh-CN"/>
              </w:rPr>
              <w:t>、绿化带黄土裸露告警、</w:t>
            </w:r>
            <w:r>
              <w:rPr>
                <w:rFonts w:hint="eastAsia" w:ascii="Times New Roman" w:hAnsi="Times New Roman" w:eastAsia="宋体" w:cs="Times New Roman"/>
                <w:color w:val="auto"/>
                <w:highlight w:val="none"/>
                <w:lang w:val="en-US" w:eastAsia="zh-CN"/>
              </w:rPr>
              <w:t>路面异物告警</w:t>
            </w:r>
            <w:r>
              <w:rPr>
                <w:rFonts w:hint="eastAsia" w:ascii="Times New Roman" w:hAnsi="Times New Roman" w:eastAsia="宋体" w:cs="Times New Roman"/>
                <w:color w:val="auto"/>
                <w:highlight w:val="none"/>
              </w:rPr>
              <w:t>等内容进行综合评价。</w:t>
            </w:r>
          </w:p>
          <w:p w14:paraId="52C676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（1）方案科学详实 、 内容完善，措施有力，得</w:t>
            </w:r>
            <w:r>
              <w:rPr>
                <w:rFonts w:hint="eastAsia" w:ascii="宋体" w:hAnsi="宋体" w:eastAsia="宋体" w:cs="宋体"/>
                <w:color w:val="auto"/>
                <w:position w:val="3"/>
                <w:sz w:val="18"/>
                <w:szCs w:val="18"/>
                <w:highlight w:val="none"/>
                <w:lang w:val="en-US" w:eastAsia="zh-CN"/>
              </w:rPr>
              <w:t>6</w:t>
            </w:r>
            <w:r>
              <w:rPr>
                <w:rFonts w:hint="eastAsia" w:ascii="Times New Roman" w:hAnsi="Times New Roman" w:eastAsia="宋体" w:cs="Times New Roman"/>
                <w:color w:val="auto"/>
                <w:highlight w:val="none"/>
              </w:rPr>
              <w:t>分；</w:t>
            </w:r>
          </w:p>
          <w:p w14:paraId="6ED908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（2） 方案较为贴切， 措施较为有力，得 </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分；</w:t>
            </w:r>
          </w:p>
          <w:p w14:paraId="48213A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 方案措施有待进一步提升完善的，得 </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p>
          <w:p w14:paraId="6335FB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（4）方案可以实施，但内容较为简单的，得 </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分；</w:t>
            </w:r>
          </w:p>
          <w:p w14:paraId="14D5D8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（5） 方案不完整或未提供的不得分。</w:t>
            </w:r>
          </w:p>
        </w:tc>
      </w:tr>
      <w:tr w14:paraId="64AF0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17" w:type="dxa"/>
            <w:noWrap w:val="0"/>
            <w:vAlign w:val="top"/>
          </w:tcPr>
          <w:p w14:paraId="7F4C00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p>
          <w:p w14:paraId="03C930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p>
          <w:p w14:paraId="46E8C6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p>
          <w:p w14:paraId="22EDE4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p>
          <w:p w14:paraId="340FC12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p>
          <w:p w14:paraId="2BD036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8</w:t>
            </w:r>
          </w:p>
        </w:tc>
        <w:tc>
          <w:tcPr>
            <w:tcW w:w="1133" w:type="dxa"/>
            <w:noWrap w:val="0"/>
            <w:vAlign w:val="top"/>
          </w:tcPr>
          <w:p w14:paraId="420554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01BD1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FCB97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04EE3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491FC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电力</w:t>
            </w:r>
            <w:r>
              <w:rPr>
                <w:rFonts w:hint="eastAsia" w:ascii="Times New Roman" w:hAnsi="Times New Roman" w:eastAsia="宋体" w:cs="Times New Roman"/>
                <w:color w:val="auto"/>
                <w:highlight w:val="none"/>
                <w:lang w:val="en-US" w:eastAsia="zh-CN"/>
              </w:rPr>
              <w:t>和安全</w:t>
            </w:r>
            <w:r>
              <w:rPr>
                <w:rFonts w:hint="eastAsia" w:ascii="Times New Roman" w:hAnsi="Times New Roman" w:eastAsia="宋体" w:cs="Times New Roman"/>
                <w:color w:val="auto"/>
                <w:highlight w:val="none"/>
              </w:rPr>
              <w:t>保障能力服务方案</w:t>
            </w:r>
          </w:p>
        </w:tc>
        <w:tc>
          <w:tcPr>
            <w:tcW w:w="850" w:type="dxa"/>
            <w:noWrap w:val="0"/>
            <w:vAlign w:val="top"/>
          </w:tcPr>
          <w:p w14:paraId="14ABC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7FA21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669098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47C78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39C3A4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7</w:t>
            </w:r>
          </w:p>
        </w:tc>
        <w:tc>
          <w:tcPr>
            <w:tcW w:w="6564" w:type="dxa"/>
            <w:noWrap w:val="0"/>
            <w:vAlign w:val="top"/>
          </w:tcPr>
          <w:p w14:paraId="088383B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根据投标供应商提供的</w:t>
            </w:r>
            <w:r>
              <w:rPr>
                <w:rFonts w:hint="eastAsia" w:ascii="Times New Roman" w:hAnsi="Times New Roman" w:eastAsia="宋体" w:cs="Times New Roman"/>
                <w:color w:val="auto"/>
                <w:highlight w:val="none"/>
                <w:lang w:val="en-US" w:eastAsia="zh-CN"/>
              </w:rPr>
              <w:t>电</w:t>
            </w:r>
            <w:r>
              <w:rPr>
                <w:rFonts w:hint="eastAsia" w:ascii="Times New Roman" w:hAnsi="Times New Roman" w:eastAsia="宋体" w:cs="Times New Roman"/>
                <w:color w:val="auto"/>
                <w:highlight w:val="none"/>
              </w:rPr>
              <w:t>力</w:t>
            </w:r>
            <w:r>
              <w:rPr>
                <w:rFonts w:hint="eastAsia" w:ascii="Times New Roman" w:hAnsi="Times New Roman" w:eastAsia="宋体" w:cs="Times New Roman"/>
                <w:color w:val="auto"/>
                <w:highlight w:val="none"/>
                <w:lang w:val="en-US" w:eastAsia="zh-CN"/>
              </w:rPr>
              <w:t>和安全</w:t>
            </w:r>
            <w:r>
              <w:rPr>
                <w:rFonts w:hint="eastAsia" w:ascii="Times New Roman" w:hAnsi="Times New Roman" w:eastAsia="宋体" w:cs="Times New Roman"/>
                <w:color w:val="auto"/>
                <w:highlight w:val="none"/>
              </w:rPr>
              <w:t>保障能力服务方案， 方案包括：①根据设计文件要求提供有线电缆市电引入勘察资料，提供勘察经纬度照片，拟引电下火点位置 、开户、引电路由图、引电安全保障；②根据设计文件要求提供备电发电能力，供应商提供 12 小时备电能力证明， 1 小时内到达现场提供发电能力证明， 安全保障</w:t>
            </w:r>
            <w:r>
              <w:rPr>
                <w:rFonts w:hint="eastAsia" w:ascii="Times New Roman" w:hAnsi="Times New Roman" w:eastAsia="宋体" w:cs="Times New Roman"/>
                <w:color w:val="auto"/>
                <w:highlight w:val="none"/>
                <w:lang w:val="en-US" w:eastAsia="zh-CN"/>
              </w:rPr>
              <w:t>③根据设计文件要求提供登高作业方案，并提供登高安全承诺函</w:t>
            </w:r>
            <w:r>
              <w:rPr>
                <w:rFonts w:hint="eastAsia" w:ascii="Times New Roman" w:hAnsi="Times New Roman" w:eastAsia="宋体" w:cs="Times New Roman"/>
                <w:color w:val="auto"/>
                <w:highlight w:val="none"/>
              </w:rPr>
              <w:t>等供应商因等内容进行综合评价。</w:t>
            </w:r>
          </w:p>
          <w:p w14:paraId="47F069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（1）方案科学详实、内容完善，措施有力，得</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分；</w:t>
            </w:r>
          </w:p>
          <w:p w14:paraId="209513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（2）方案较为贴切，措施较为有力，得 </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 xml:space="preserve"> 分；</w:t>
            </w:r>
          </w:p>
          <w:p w14:paraId="11F98F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（3）方案措施有待进一步提升完善的，得 </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分；</w:t>
            </w:r>
          </w:p>
          <w:p w14:paraId="3A508D6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（4）方案可以实施，但内容较为简单的，得 </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p>
          <w:p w14:paraId="25801A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（5）方案不完整或未提供的不得分。</w:t>
            </w:r>
          </w:p>
        </w:tc>
      </w:tr>
      <w:tr w14:paraId="1CF8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7" w:type="dxa"/>
            <w:noWrap w:val="0"/>
            <w:vAlign w:val="top"/>
          </w:tcPr>
          <w:p w14:paraId="06DBFE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29664F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AEB91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9</w:t>
            </w:r>
            <w:bookmarkStart w:id="318" w:name="_GoBack"/>
            <w:bookmarkEnd w:id="318"/>
          </w:p>
        </w:tc>
        <w:tc>
          <w:tcPr>
            <w:tcW w:w="1133" w:type="dxa"/>
            <w:noWrap w:val="0"/>
            <w:vAlign w:val="top"/>
          </w:tcPr>
          <w:p w14:paraId="6C9D57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5B36B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63F352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项目难点分析与应对措施</w:t>
            </w:r>
          </w:p>
        </w:tc>
        <w:tc>
          <w:tcPr>
            <w:tcW w:w="850" w:type="dxa"/>
            <w:noWrap w:val="0"/>
            <w:vAlign w:val="top"/>
          </w:tcPr>
          <w:p w14:paraId="58C149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4A2E8A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146676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p>
          <w:p w14:paraId="5A9224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6</w:t>
            </w:r>
          </w:p>
        </w:tc>
        <w:tc>
          <w:tcPr>
            <w:tcW w:w="6564" w:type="dxa"/>
            <w:noWrap w:val="0"/>
            <w:vAlign w:val="top"/>
          </w:tcPr>
          <w:p w14:paraId="563846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对项目实施过程中机库选点存在的安装部署困难 、供电困难问题 、 网络不通问题等实施难点，能给出合理应对措施。</w:t>
            </w:r>
          </w:p>
          <w:p w14:paraId="5F5EF4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（1）方案科学详实、 内容完善，措施有力，得 </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分；</w:t>
            </w:r>
          </w:p>
          <w:p w14:paraId="1B7F87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方案较为贴切， 措施较为有力，得</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分；</w:t>
            </w:r>
          </w:p>
          <w:p w14:paraId="715A58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方案措施有待进一步提升完善的，得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p>
          <w:p w14:paraId="0E21F4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（4）方案可以实施，但内容较为简单的，得</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分；</w:t>
            </w:r>
          </w:p>
          <w:p w14:paraId="670F03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（5） 方案不完整或未提供的不得分。</w:t>
            </w:r>
          </w:p>
        </w:tc>
      </w:tr>
    </w:tbl>
    <w:p w14:paraId="3F4EE00E">
      <w:pPr>
        <w:spacing w:line="440" w:lineRule="exact"/>
        <w:ind w:firstLine="422" w:firstLineChars="200"/>
        <w:jc w:val="left"/>
        <w:rPr>
          <w:rFonts w:hint="eastAsia"/>
          <w:b/>
          <w:color w:val="auto"/>
          <w:szCs w:val="21"/>
          <w:highlight w:val="none"/>
        </w:rPr>
      </w:pPr>
      <w:r>
        <w:rPr>
          <w:rFonts w:hint="eastAsia"/>
          <w:b/>
          <w:color w:val="auto"/>
          <w:szCs w:val="21"/>
          <w:highlight w:val="none"/>
        </w:rPr>
        <w:t>注：</w:t>
      </w:r>
    </w:p>
    <w:p w14:paraId="36D97DC6">
      <w:pPr>
        <w:spacing w:line="440" w:lineRule="exact"/>
        <w:ind w:firstLine="422" w:firstLineChars="200"/>
        <w:jc w:val="left"/>
        <w:rPr>
          <w:rFonts w:hint="eastAsia"/>
          <w:b/>
          <w:color w:val="auto"/>
          <w:szCs w:val="21"/>
          <w:highlight w:val="none"/>
        </w:rPr>
      </w:pPr>
      <w:r>
        <w:rPr>
          <w:rFonts w:hint="eastAsia"/>
          <w:b/>
          <w:color w:val="auto"/>
          <w:szCs w:val="21"/>
          <w:highlight w:val="none"/>
          <w:lang w:val="en-US" w:eastAsia="zh-CN"/>
        </w:rPr>
        <w:t>1.</w:t>
      </w:r>
      <w:r>
        <w:rPr>
          <w:rFonts w:hint="eastAsia"/>
          <w:b/>
          <w:color w:val="auto"/>
          <w:szCs w:val="21"/>
          <w:highlight w:val="none"/>
        </w:rPr>
        <w:t>各投标人技术标总得分为各评委评分的平均值为最终得分。取两位小数，小数点后第三位四舍五入。</w:t>
      </w:r>
    </w:p>
    <w:p w14:paraId="67D7FCC7">
      <w:pPr>
        <w:spacing w:line="440" w:lineRule="exact"/>
        <w:ind w:firstLine="422" w:firstLineChars="200"/>
        <w:jc w:val="left"/>
        <w:rPr>
          <w:rFonts w:hint="eastAsia" w:eastAsia="宋体"/>
          <w:b/>
          <w:color w:val="auto"/>
          <w:szCs w:val="21"/>
          <w:highlight w:val="none"/>
          <w:lang w:eastAsia="zh-CN"/>
        </w:rPr>
      </w:pPr>
      <w:r>
        <w:rPr>
          <w:rFonts w:hint="eastAsia"/>
          <w:b/>
          <w:color w:val="auto"/>
          <w:szCs w:val="21"/>
          <w:highlight w:val="none"/>
          <w:lang w:val="en-US" w:eastAsia="zh-CN"/>
        </w:rPr>
        <w:t>2.</w:t>
      </w:r>
      <w:r>
        <w:rPr>
          <w:rFonts w:hint="eastAsia"/>
          <w:b/>
          <w:color w:val="auto"/>
          <w:szCs w:val="21"/>
          <w:highlight w:val="none"/>
          <w:lang w:eastAsia="zh-CN"/>
        </w:rPr>
        <w:t>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4F769E8D">
      <w:pPr>
        <w:spacing w:line="440" w:lineRule="exact"/>
        <w:ind w:firstLine="422" w:firstLineChars="200"/>
        <w:jc w:val="left"/>
        <w:rPr>
          <w:rFonts w:hint="eastAsia" w:ascii="Times New Roman" w:hAnsi="Times New Roman" w:eastAsia="宋体" w:cs="Times New Roman"/>
          <w:b/>
          <w:color w:val="auto"/>
          <w:szCs w:val="21"/>
          <w:highlight w:val="none"/>
          <w:lang w:eastAsia="zh-CN"/>
        </w:rPr>
      </w:pPr>
      <w:r>
        <w:rPr>
          <w:rFonts w:hint="eastAsia" w:ascii="Times New Roman" w:hAnsi="Times New Roman" w:eastAsia="宋体" w:cs="Times New Roman"/>
          <w:b/>
          <w:color w:val="auto"/>
          <w:szCs w:val="21"/>
          <w:highlight w:val="none"/>
          <w:lang w:eastAsia="zh-CN"/>
        </w:rPr>
        <w:t>2.1 技术标暗标不设空白页。技术标投标文件封面不出现投标人、法定代表人签章内容，格式以系统设置为准。正文必须按招标文件要求的顺序进行排版；</w:t>
      </w:r>
    </w:p>
    <w:p w14:paraId="5A5C9F63">
      <w:pPr>
        <w:spacing w:line="440" w:lineRule="exact"/>
        <w:ind w:firstLine="422" w:firstLineChars="200"/>
        <w:jc w:val="left"/>
        <w:rPr>
          <w:rFonts w:hint="eastAsia" w:ascii="Times New Roman" w:hAnsi="Times New Roman" w:eastAsia="宋体" w:cs="Times New Roman"/>
          <w:b/>
          <w:color w:val="auto"/>
          <w:szCs w:val="21"/>
          <w:highlight w:val="none"/>
          <w:lang w:eastAsia="zh-CN"/>
        </w:rPr>
      </w:pPr>
      <w:r>
        <w:rPr>
          <w:rFonts w:hint="eastAsia" w:ascii="Times New Roman" w:hAnsi="Times New Roman" w:eastAsia="宋体" w:cs="Times New Roman"/>
          <w:b/>
          <w:color w:val="auto"/>
          <w:szCs w:val="21"/>
          <w:highlight w:val="none"/>
          <w:lang w:eastAsia="zh-CN"/>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042CBF76">
      <w:pPr>
        <w:spacing w:line="440" w:lineRule="exact"/>
        <w:ind w:firstLine="422" w:firstLineChars="200"/>
        <w:jc w:val="left"/>
        <w:rPr>
          <w:rFonts w:hint="eastAsia" w:ascii="Times New Roman" w:hAnsi="Times New Roman" w:eastAsia="宋体" w:cs="Times New Roman"/>
          <w:b/>
          <w:color w:val="auto"/>
          <w:szCs w:val="21"/>
          <w:highlight w:val="none"/>
          <w:lang w:eastAsia="zh-CN"/>
        </w:rPr>
      </w:pPr>
      <w:r>
        <w:rPr>
          <w:rFonts w:hint="eastAsia" w:ascii="Times New Roman" w:hAnsi="Times New Roman" w:eastAsia="宋体" w:cs="Times New Roman"/>
          <w:b/>
          <w:color w:val="auto"/>
          <w:szCs w:val="21"/>
          <w:highlight w:val="none"/>
          <w:lang w:eastAsia="zh-CN"/>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0D5BF720">
      <w:pPr>
        <w:spacing w:line="440" w:lineRule="exact"/>
        <w:ind w:firstLine="422" w:firstLineChars="200"/>
        <w:jc w:val="left"/>
        <w:rPr>
          <w:rFonts w:hint="eastAsia" w:ascii="Times New Roman" w:hAnsi="Times New Roman" w:eastAsia="宋体" w:cs="Times New Roman"/>
          <w:b/>
          <w:color w:val="auto"/>
          <w:szCs w:val="21"/>
          <w:highlight w:val="none"/>
          <w:lang w:eastAsia="zh-CN"/>
        </w:rPr>
      </w:pPr>
      <w:r>
        <w:rPr>
          <w:rFonts w:hint="eastAsia" w:ascii="Times New Roman" w:hAnsi="Times New Roman" w:eastAsia="宋体" w:cs="Times New Roman"/>
          <w:b/>
          <w:color w:val="auto"/>
          <w:szCs w:val="21"/>
          <w:highlight w:val="none"/>
          <w:lang w:eastAsia="zh-CN"/>
        </w:rPr>
        <w:t>3、技术标暗标文件的格式、制作不符合上述要求的，每一分项扣</w:t>
      </w:r>
      <w:r>
        <w:rPr>
          <w:rFonts w:hint="eastAsia" w:ascii="Times New Roman" w:hAnsi="Times New Roman" w:eastAsia="宋体" w:cs="Times New Roman"/>
          <w:b/>
          <w:color w:val="auto"/>
          <w:szCs w:val="21"/>
          <w:highlight w:val="none"/>
          <w:lang w:val="en-US" w:eastAsia="zh-CN"/>
        </w:rPr>
        <w:t>0.2</w:t>
      </w:r>
      <w:r>
        <w:rPr>
          <w:rFonts w:hint="eastAsia" w:ascii="Times New Roman" w:hAnsi="Times New Roman" w:eastAsia="宋体" w:cs="Times New Roman"/>
          <w:b/>
          <w:color w:val="auto"/>
          <w:szCs w:val="21"/>
          <w:highlight w:val="none"/>
          <w:lang w:eastAsia="zh-CN"/>
        </w:rPr>
        <w:t>分。技术标实行暗标的，对技术标（暗标）部分不予澄清、说明或者补正。</w:t>
      </w:r>
    </w:p>
    <w:p w14:paraId="15C7A430">
      <w:pPr>
        <w:spacing w:line="440" w:lineRule="exact"/>
        <w:ind w:firstLine="422" w:firstLineChars="200"/>
        <w:jc w:val="left"/>
        <w:rPr>
          <w:rFonts w:hint="eastAsia" w:ascii="Times New Roman" w:hAnsi="Times New Roman" w:eastAsia="宋体" w:cs="Times New Roman"/>
          <w:b/>
          <w:color w:val="auto"/>
          <w:szCs w:val="21"/>
          <w:highlight w:val="none"/>
          <w:lang w:eastAsia="zh-CN"/>
        </w:rPr>
      </w:pPr>
      <w:r>
        <w:rPr>
          <w:rFonts w:hint="eastAsia" w:ascii="Times New Roman" w:hAnsi="Times New Roman" w:eastAsia="宋体" w:cs="Times New Roman"/>
          <w:b/>
          <w:color w:val="auto"/>
          <w:szCs w:val="21"/>
          <w:highlight w:val="none"/>
          <w:lang w:val="en-US" w:eastAsia="zh-CN"/>
        </w:rPr>
        <w:t>4</w:t>
      </w:r>
      <w:r>
        <w:rPr>
          <w:rFonts w:hint="eastAsia" w:ascii="Times New Roman" w:hAnsi="Times New Roman" w:eastAsia="宋体" w:cs="Times New Roman"/>
          <w:b/>
          <w:color w:val="auto"/>
          <w:szCs w:val="21"/>
          <w:highlight w:val="none"/>
          <w:lang w:eastAsia="zh-CN"/>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30B76F69">
      <w:pPr>
        <w:spacing w:line="440" w:lineRule="exact"/>
        <w:ind w:firstLine="422" w:firstLineChars="200"/>
        <w:jc w:val="left"/>
        <w:rPr>
          <w:rFonts w:hint="eastAsia" w:ascii="Times New Roman" w:hAnsi="Times New Roman" w:eastAsia="宋体" w:cs="Times New Roman"/>
          <w:b/>
          <w:color w:val="auto"/>
          <w:szCs w:val="21"/>
          <w:highlight w:val="none"/>
          <w:lang w:eastAsia="zh-CN"/>
        </w:rPr>
      </w:pPr>
      <w:r>
        <w:rPr>
          <w:rFonts w:hint="eastAsia" w:ascii="Times New Roman" w:hAnsi="Times New Roman" w:eastAsia="宋体" w:cs="Times New Roman"/>
          <w:b/>
          <w:color w:val="auto"/>
          <w:szCs w:val="21"/>
          <w:highlight w:val="none"/>
          <w:lang w:val="en-US" w:eastAsia="zh-CN"/>
        </w:rPr>
        <w:t>5</w:t>
      </w:r>
      <w:r>
        <w:rPr>
          <w:rFonts w:hint="eastAsia" w:ascii="Times New Roman" w:hAnsi="Times New Roman" w:eastAsia="宋体" w:cs="Times New Roman"/>
          <w:b/>
          <w:color w:val="auto"/>
          <w:szCs w:val="21"/>
          <w:highlight w:val="none"/>
          <w:lang w:eastAsia="zh-CN"/>
        </w:rPr>
        <w:t>、如所有投标企业技术标都出现能反映企业信息等相关内容的，该项目流标。</w:t>
      </w:r>
    </w:p>
    <w:p w14:paraId="6C82F787">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4.商务标评审（</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分）</w:t>
      </w:r>
    </w:p>
    <w:tbl>
      <w:tblPr>
        <w:tblStyle w:val="13"/>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53"/>
        <w:gridCol w:w="1933"/>
        <w:gridCol w:w="5784"/>
      </w:tblGrid>
      <w:tr w14:paraId="53A2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1" w:type="dxa"/>
            <w:noWrap w:val="0"/>
            <w:vAlign w:val="center"/>
          </w:tcPr>
          <w:p w14:paraId="3F08A7E1">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3286" w:type="dxa"/>
            <w:gridSpan w:val="2"/>
            <w:noWrap w:val="0"/>
            <w:vAlign w:val="center"/>
          </w:tcPr>
          <w:p w14:paraId="3E109437">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5784" w:type="dxa"/>
            <w:noWrap w:val="0"/>
            <w:vAlign w:val="center"/>
          </w:tcPr>
          <w:p w14:paraId="63FAA880">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5F0F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1" w:type="dxa"/>
            <w:vMerge w:val="restart"/>
            <w:noWrap w:val="0"/>
            <w:vAlign w:val="center"/>
          </w:tcPr>
          <w:p w14:paraId="16B03404">
            <w:pPr>
              <w:spacing w:line="320" w:lineRule="atLeast"/>
              <w:jc w:val="center"/>
              <w:rPr>
                <w:rFonts w:hint="eastAsia" w:ascii="宋体"/>
                <w:color w:val="auto"/>
                <w:szCs w:val="21"/>
                <w:highlight w:val="none"/>
              </w:rPr>
            </w:pPr>
            <w:r>
              <w:rPr>
                <w:rFonts w:hint="eastAsia" w:ascii="宋体"/>
                <w:color w:val="auto"/>
                <w:szCs w:val="21"/>
                <w:highlight w:val="none"/>
              </w:rPr>
              <w:t>1</w:t>
            </w:r>
          </w:p>
        </w:tc>
        <w:tc>
          <w:tcPr>
            <w:tcW w:w="1353" w:type="dxa"/>
            <w:vMerge w:val="restart"/>
            <w:noWrap w:val="0"/>
            <w:vAlign w:val="center"/>
          </w:tcPr>
          <w:p w14:paraId="5BE8F42C">
            <w:pPr>
              <w:spacing w:line="320" w:lineRule="atLeast"/>
              <w:jc w:val="center"/>
              <w:rPr>
                <w:rFonts w:hint="eastAsia" w:ascii="宋体" w:cs="仿宋_GB2312"/>
                <w:color w:val="auto"/>
                <w:szCs w:val="21"/>
                <w:highlight w:val="none"/>
                <w:lang w:val="zh-CN"/>
              </w:rPr>
            </w:pPr>
            <w:r>
              <w:rPr>
                <w:rFonts w:hint="eastAsia" w:ascii="宋体" w:hAnsi="宋体" w:cs="宋体"/>
                <w:color w:val="auto"/>
                <w:szCs w:val="21"/>
                <w:highlight w:val="none"/>
              </w:rPr>
              <w:t>形式评审标准</w:t>
            </w:r>
          </w:p>
        </w:tc>
        <w:tc>
          <w:tcPr>
            <w:tcW w:w="1933" w:type="dxa"/>
            <w:noWrap w:val="0"/>
            <w:vAlign w:val="center"/>
          </w:tcPr>
          <w:p w14:paraId="5A435978">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投标函签字盖章</w:t>
            </w:r>
          </w:p>
        </w:tc>
        <w:tc>
          <w:tcPr>
            <w:tcW w:w="5784" w:type="dxa"/>
            <w:noWrap w:val="0"/>
            <w:vAlign w:val="center"/>
          </w:tcPr>
          <w:p w14:paraId="2DF88CEA">
            <w:pPr>
              <w:adjustRightInd w:val="0"/>
              <w:snapToGrid w:val="0"/>
              <w:spacing w:line="560" w:lineRule="exact"/>
              <w:jc w:val="left"/>
              <w:rPr>
                <w:rFonts w:hint="eastAsia" w:ascii="宋体" w:cs="仿宋_GB2312"/>
                <w:color w:val="auto"/>
                <w:szCs w:val="21"/>
                <w:highlight w:val="none"/>
                <w:lang w:val="zh-CN"/>
              </w:rPr>
            </w:pPr>
            <w:r>
              <w:rPr>
                <w:rFonts w:hint="eastAsia" w:ascii="宋体" w:hAnsi="宋体" w:cs="宋体"/>
                <w:color w:val="auto"/>
                <w:szCs w:val="21"/>
                <w:highlight w:val="none"/>
              </w:rPr>
              <w:t>有投标人及其法定代表人签章。</w:t>
            </w:r>
          </w:p>
        </w:tc>
      </w:tr>
      <w:tr w14:paraId="1383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821" w:type="dxa"/>
            <w:vMerge w:val="continue"/>
            <w:noWrap w:val="0"/>
            <w:vAlign w:val="center"/>
          </w:tcPr>
          <w:p w14:paraId="3B286858">
            <w:pPr>
              <w:spacing w:line="320" w:lineRule="atLeast"/>
              <w:rPr>
                <w:color w:val="auto"/>
                <w:highlight w:val="none"/>
              </w:rPr>
            </w:pPr>
          </w:p>
        </w:tc>
        <w:tc>
          <w:tcPr>
            <w:tcW w:w="1353" w:type="dxa"/>
            <w:vMerge w:val="continue"/>
            <w:noWrap w:val="0"/>
            <w:vAlign w:val="center"/>
          </w:tcPr>
          <w:p w14:paraId="72349F84">
            <w:pPr>
              <w:spacing w:line="320" w:lineRule="atLeast"/>
              <w:rPr>
                <w:color w:val="auto"/>
                <w:highlight w:val="none"/>
              </w:rPr>
            </w:pPr>
          </w:p>
        </w:tc>
        <w:tc>
          <w:tcPr>
            <w:tcW w:w="1933" w:type="dxa"/>
            <w:noWrap w:val="0"/>
            <w:vAlign w:val="center"/>
          </w:tcPr>
          <w:p w14:paraId="4FD8D765">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投标文件格式</w:t>
            </w:r>
          </w:p>
        </w:tc>
        <w:tc>
          <w:tcPr>
            <w:tcW w:w="5784" w:type="dxa"/>
            <w:noWrap w:val="0"/>
            <w:vAlign w:val="center"/>
          </w:tcPr>
          <w:p w14:paraId="1F96B5D2">
            <w:pPr>
              <w:adjustRightInd w:val="0"/>
              <w:snapToGrid w:val="0"/>
              <w:spacing w:line="560" w:lineRule="exact"/>
              <w:jc w:val="left"/>
              <w:rPr>
                <w:rFonts w:hint="eastAsia" w:ascii="宋体" w:cs="宋体"/>
                <w:color w:val="auto"/>
                <w:szCs w:val="21"/>
                <w:highlight w:val="none"/>
              </w:rPr>
            </w:pPr>
            <w:r>
              <w:rPr>
                <w:rFonts w:hint="eastAsia" w:ascii="宋体" w:hAnsi="宋体" w:cs="宋体"/>
                <w:color w:val="auto"/>
                <w:szCs w:val="21"/>
                <w:highlight w:val="none"/>
              </w:rPr>
              <w:t>符合“投标文件格式”的要求。</w:t>
            </w:r>
          </w:p>
        </w:tc>
      </w:tr>
      <w:tr w14:paraId="7BC2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821" w:type="dxa"/>
            <w:vMerge w:val="continue"/>
            <w:noWrap w:val="0"/>
            <w:vAlign w:val="center"/>
          </w:tcPr>
          <w:p w14:paraId="331D06EC">
            <w:pPr>
              <w:spacing w:line="320" w:lineRule="atLeast"/>
              <w:rPr>
                <w:color w:val="auto"/>
                <w:highlight w:val="none"/>
              </w:rPr>
            </w:pPr>
          </w:p>
        </w:tc>
        <w:tc>
          <w:tcPr>
            <w:tcW w:w="1353" w:type="dxa"/>
            <w:vMerge w:val="continue"/>
            <w:noWrap w:val="0"/>
            <w:vAlign w:val="center"/>
          </w:tcPr>
          <w:p w14:paraId="05F25D49">
            <w:pPr>
              <w:spacing w:line="320" w:lineRule="atLeast"/>
              <w:rPr>
                <w:color w:val="auto"/>
                <w:highlight w:val="none"/>
              </w:rPr>
            </w:pPr>
          </w:p>
        </w:tc>
        <w:tc>
          <w:tcPr>
            <w:tcW w:w="1933" w:type="dxa"/>
            <w:noWrap w:val="0"/>
            <w:vAlign w:val="center"/>
          </w:tcPr>
          <w:p w14:paraId="220AAC8D">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商务标签字盖章</w:t>
            </w:r>
          </w:p>
        </w:tc>
        <w:tc>
          <w:tcPr>
            <w:tcW w:w="5784" w:type="dxa"/>
            <w:noWrap w:val="0"/>
            <w:vAlign w:val="center"/>
          </w:tcPr>
          <w:p w14:paraId="33E25BA2">
            <w:pPr>
              <w:adjustRightInd w:val="0"/>
              <w:snapToGrid w:val="0"/>
              <w:spacing w:line="560" w:lineRule="exact"/>
              <w:jc w:val="left"/>
              <w:rPr>
                <w:rFonts w:hint="eastAsia" w:ascii="宋体" w:cs="宋体"/>
                <w:color w:val="auto"/>
                <w:szCs w:val="21"/>
                <w:highlight w:val="none"/>
              </w:rPr>
            </w:pPr>
            <w:r>
              <w:rPr>
                <w:rFonts w:hint="eastAsia" w:ascii="宋体" w:hAnsi="宋体" w:cs="宋体"/>
                <w:color w:val="auto"/>
                <w:szCs w:val="21"/>
                <w:highlight w:val="none"/>
              </w:rPr>
              <w:t>按投标文件格式要求签章。</w:t>
            </w:r>
          </w:p>
        </w:tc>
      </w:tr>
      <w:tr w14:paraId="5361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noWrap w:val="0"/>
            <w:vAlign w:val="center"/>
          </w:tcPr>
          <w:p w14:paraId="38754DB5">
            <w:pPr>
              <w:spacing w:line="320" w:lineRule="atLeast"/>
              <w:rPr>
                <w:color w:val="auto"/>
                <w:highlight w:val="none"/>
              </w:rPr>
            </w:pPr>
          </w:p>
        </w:tc>
        <w:tc>
          <w:tcPr>
            <w:tcW w:w="1353" w:type="dxa"/>
            <w:vMerge w:val="continue"/>
            <w:noWrap w:val="0"/>
            <w:vAlign w:val="center"/>
          </w:tcPr>
          <w:p w14:paraId="17944A5A">
            <w:pPr>
              <w:spacing w:line="320" w:lineRule="atLeast"/>
              <w:rPr>
                <w:color w:val="auto"/>
                <w:highlight w:val="none"/>
              </w:rPr>
            </w:pPr>
          </w:p>
        </w:tc>
        <w:tc>
          <w:tcPr>
            <w:tcW w:w="1933" w:type="dxa"/>
            <w:noWrap w:val="0"/>
            <w:vAlign w:val="center"/>
          </w:tcPr>
          <w:p w14:paraId="007B48F2">
            <w:pPr>
              <w:adjustRightInd w:val="0"/>
              <w:snapToGrid w:val="0"/>
              <w:spacing w:line="560" w:lineRule="exact"/>
              <w:rPr>
                <w:rFonts w:hint="eastAsia" w:ascii="宋体"/>
                <w:color w:val="auto"/>
                <w:szCs w:val="21"/>
                <w:highlight w:val="none"/>
              </w:rPr>
            </w:pPr>
            <w:r>
              <w:rPr>
                <w:rFonts w:hint="eastAsia" w:ascii="宋体" w:hAnsi="宋体" w:cs="宋体"/>
                <w:color w:val="auto"/>
                <w:szCs w:val="21"/>
                <w:highlight w:val="none"/>
              </w:rPr>
              <w:t>报价唯一</w:t>
            </w:r>
          </w:p>
        </w:tc>
        <w:tc>
          <w:tcPr>
            <w:tcW w:w="5784" w:type="dxa"/>
            <w:noWrap w:val="0"/>
            <w:vAlign w:val="center"/>
          </w:tcPr>
          <w:p w14:paraId="578AAB61">
            <w:pPr>
              <w:adjustRightInd w:val="0"/>
              <w:snapToGrid w:val="0"/>
              <w:spacing w:line="560" w:lineRule="exact"/>
              <w:jc w:val="left"/>
              <w:rPr>
                <w:rFonts w:hint="eastAsia" w:ascii="宋体" w:cs="仿宋_GB2312"/>
                <w:color w:val="auto"/>
                <w:szCs w:val="21"/>
                <w:highlight w:val="none"/>
                <w:lang w:val="zh-CN"/>
              </w:rPr>
            </w:pPr>
            <w:r>
              <w:rPr>
                <w:rFonts w:hint="eastAsia" w:ascii="宋体" w:hAnsi="宋体" w:cs="宋体"/>
                <w:color w:val="auto"/>
                <w:szCs w:val="21"/>
                <w:highlight w:val="none"/>
              </w:rPr>
              <w:t>只能有一个报价。</w:t>
            </w:r>
          </w:p>
        </w:tc>
      </w:tr>
      <w:tr w14:paraId="73EF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821" w:type="dxa"/>
            <w:vMerge w:val="restart"/>
            <w:noWrap w:val="0"/>
            <w:vAlign w:val="center"/>
          </w:tcPr>
          <w:p w14:paraId="1903E978">
            <w:pPr>
              <w:spacing w:line="320" w:lineRule="atLeast"/>
              <w:jc w:val="center"/>
              <w:rPr>
                <w:rFonts w:hint="eastAsia" w:ascii="宋体"/>
                <w:color w:val="auto"/>
                <w:szCs w:val="21"/>
                <w:highlight w:val="none"/>
              </w:rPr>
            </w:pPr>
            <w:r>
              <w:rPr>
                <w:rFonts w:hint="eastAsia" w:ascii="宋体"/>
                <w:color w:val="auto"/>
                <w:szCs w:val="21"/>
                <w:highlight w:val="none"/>
              </w:rPr>
              <w:t>2</w:t>
            </w:r>
          </w:p>
        </w:tc>
        <w:tc>
          <w:tcPr>
            <w:tcW w:w="1353" w:type="dxa"/>
            <w:vMerge w:val="restart"/>
            <w:noWrap w:val="0"/>
            <w:vAlign w:val="center"/>
          </w:tcPr>
          <w:p w14:paraId="6E6FEB17">
            <w:pPr>
              <w:adjustRightInd w:val="0"/>
              <w:snapToGrid w:val="0"/>
              <w:spacing w:line="560" w:lineRule="exact"/>
              <w:jc w:val="center"/>
              <w:rPr>
                <w:rFonts w:hint="eastAsia" w:ascii="宋体" w:cs="仿宋_GB2312"/>
                <w:color w:val="auto"/>
                <w:szCs w:val="21"/>
                <w:highlight w:val="none"/>
                <w:lang w:val="zh-CN"/>
              </w:rPr>
            </w:pPr>
            <w:r>
              <w:rPr>
                <w:rFonts w:hint="eastAsia" w:ascii="宋体" w:hAnsi="宋体" w:cs="宋体"/>
                <w:color w:val="auto"/>
                <w:szCs w:val="21"/>
                <w:highlight w:val="none"/>
              </w:rPr>
              <w:t>响应性评审标准</w:t>
            </w:r>
          </w:p>
        </w:tc>
        <w:tc>
          <w:tcPr>
            <w:tcW w:w="1933" w:type="dxa"/>
            <w:noWrap w:val="0"/>
            <w:vAlign w:val="center"/>
          </w:tcPr>
          <w:p w14:paraId="0940F721">
            <w:pPr>
              <w:adjustRightInd w:val="0"/>
              <w:snapToGrid w:val="0"/>
              <w:spacing w:line="560" w:lineRule="exact"/>
              <w:jc w:val="left"/>
              <w:rPr>
                <w:rFonts w:hint="eastAsia" w:ascii="宋体" w:cs="宋体"/>
                <w:color w:val="auto"/>
                <w:szCs w:val="21"/>
                <w:highlight w:val="none"/>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期限</w:t>
            </w:r>
          </w:p>
        </w:tc>
        <w:tc>
          <w:tcPr>
            <w:tcW w:w="5784" w:type="dxa"/>
            <w:noWrap w:val="0"/>
            <w:vAlign w:val="center"/>
          </w:tcPr>
          <w:p w14:paraId="691F66DA">
            <w:pPr>
              <w:adjustRightInd w:val="0"/>
              <w:snapToGrid w:val="0"/>
              <w:spacing w:line="560" w:lineRule="exact"/>
              <w:rPr>
                <w:rFonts w:hint="eastAsia" w:ascii="宋体" w:cs="宋体"/>
                <w:color w:val="auto"/>
                <w:szCs w:val="21"/>
                <w:highlight w:val="none"/>
              </w:rPr>
            </w:pPr>
            <w:r>
              <w:rPr>
                <w:rFonts w:hint="eastAsia" w:ascii="宋体" w:hAnsi="宋体" w:cs="宋体"/>
                <w:color w:val="auto"/>
                <w:szCs w:val="21"/>
                <w:highlight w:val="none"/>
              </w:rPr>
              <w:t>符合投标须知前附表规定。</w:t>
            </w:r>
          </w:p>
        </w:tc>
      </w:tr>
      <w:tr w14:paraId="300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21" w:type="dxa"/>
            <w:vMerge w:val="continue"/>
            <w:noWrap w:val="0"/>
            <w:vAlign w:val="center"/>
          </w:tcPr>
          <w:p w14:paraId="70882BB9">
            <w:pPr>
              <w:spacing w:line="320" w:lineRule="atLeast"/>
              <w:rPr>
                <w:color w:val="auto"/>
                <w:highlight w:val="none"/>
              </w:rPr>
            </w:pPr>
          </w:p>
        </w:tc>
        <w:tc>
          <w:tcPr>
            <w:tcW w:w="1353" w:type="dxa"/>
            <w:vMerge w:val="continue"/>
            <w:noWrap w:val="0"/>
            <w:vAlign w:val="center"/>
          </w:tcPr>
          <w:p w14:paraId="76632DD4">
            <w:pPr>
              <w:spacing w:line="320" w:lineRule="atLeast"/>
              <w:rPr>
                <w:color w:val="auto"/>
                <w:highlight w:val="none"/>
              </w:rPr>
            </w:pPr>
          </w:p>
        </w:tc>
        <w:tc>
          <w:tcPr>
            <w:tcW w:w="1933" w:type="dxa"/>
            <w:noWrap w:val="0"/>
            <w:vAlign w:val="center"/>
          </w:tcPr>
          <w:p w14:paraId="45AB3978">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投标有效期</w:t>
            </w:r>
          </w:p>
        </w:tc>
        <w:tc>
          <w:tcPr>
            <w:tcW w:w="5784" w:type="dxa"/>
            <w:noWrap w:val="0"/>
            <w:vAlign w:val="center"/>
          </w:tcPr>
          <w:p w14:paraId="192826D4">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符合投标须知前附表规定。</w:t>
            </w:r>
          </w:p>
        </w:tc>
      </w:tr>
      <w:tr w14:paraId="2AEF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821" w:type="dxa"/>
            <w:vMerge w:val="continue"/>
            <w:noWrap w:val="0"/>
            <w:vAlign w:val="center"/>
          </w:tcPr>
          <w:p w14:paraId="1C189D8C">
            <w:pPr>
              <w:spacing w:line="320" w:lineRule="atLeast"/>
              <w:rPr>
                <w:color w:val="auto"/>
                <w:highlight w:val="none"/>
              </w:rPr>
            </w:pPr>
          </w:p>
        </w:tc>
        <w:tc>
          <w:tcPr>
            <w:tcW w:w="1353" w:type="dxa"/>
            <w:vMerge w:val="continue"/>
            <w:noWrap w:val="0"/>
            <w:vAlign w:val="center"/>
          </w:tcPr>
          <w:p w14:paraId="1D5419ED">
            <w:pPr>
              <w:spacing w:line="320" w:lineRule="atLeast"/>
              <w:rPr>
                <w:color w:val="auto"/>
                <w:highlight w:val="none"/>
              </w:rPr>
            </w:pPr>
          </w:p>
        </w:tc>
        <w:tc>
          <w:tcPr>
            <w:tcW w:w="1933" w:type="dxa"/>
            <w:noWrap w:val="0"/>
            <w:vAlign w:val="center"/>
          </w:tcPr>
          <w:p w14:paraId="3038C420">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投标报价评审</w:t>
            </w:r>
          </w:p>
        </w:tc>
        <w:tc>
          <w:tcPr>
            <w:tcW w:w="5784" w:type="dxa"/>
            <w:noWrap w:val="0"/>
            <w:vAlign w:val="center"/>
          </w:tcPr>
          <w:p w14:paraId="795CDC42">
            <w:pPr>
              <w:adjustRightInd w:val="0"/>
              <w:snapToGrid w:val="0"/>
              <w:spacing w:line="5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不得高于最高投标限价。</w:t>
            </w:r>
          </w:p>
        </w:tc>
      </w:tr>
      <w:tr w14:paraId="7CDB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trPr>
        <w:tc>
          <w:tcPr>
            <w:tcW w:w="821" w:type="dxa"/>
            <w:noWrap w:val="0"/>
            <w:vAlign w:val="center"/>
          </w:tcPr>
          <w:p w14:paraId="7F1A164D">
            <w:pPr>
              <w:adjustRightInd w:val="0"/>
              <w:snapToGrid w:val="0"/>
              <w:spacing w:line="560" w:lineRule="exact"/>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3</w:t>
            </w:r>
          </w:p>
        </w:tc>
        <w:tc>
          <w:tcPr>
            <w:tcW w:w="3286" w:type="dxa"/>
            <w:gridSpan w:val="2"/>
            <w:noWrap w:val="0"/>
            <w:vAlign w:val="center"/>
          </w:tcPr>
          <w:p w14:paraId="06F2DE38">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c>
          <w:tcPr>
            <w:tcW w:w="5784" w:type="dxa"/>
            <w:noWrap w:val="0"/>
            <w:vAlign w:val="center"/>
          </w:tcPr>
          <w:p w14:paraId="48BB504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1.评标基准价=所有通过商务标详细评审的有效投标人的最低报价；其得分为满分；</w:t>
            </w:r>
          </w:p>
          <w:p w14:paraId="58B2251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2.其它报价得分=评标基准价/投标报价*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分，小数点后保留二位小数，第三位四舍五入；</w:t>
            </w:r>
          </w:p>
          <w:p w14:paraId="505F317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3.本项分值由评标委员会负责组织计算。</w:t>
            </w:r>
          </w:p>
        </w:tc>
      </w:tr>
    </w:tbl>
    <w:p w14:paraId="12AFAA4D">
      <w:pPr>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商务标评审表注：</w:t>
      </w:r>
    </w:p>
    <w:p w14:paraId="7D7D1528">
      <w:pPr>
        <w:numPr>
          <w:ilvl w:val="0"/>
          <w:numId w:val="4"/>
        </w:num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只有</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标详细</w:t>
      </w:r>
      <w:r>
        <w:rPr>
          <w:rFonts w:hint="eastAsia" w:ascii="宋体" w:hAnsi="宋体" w:cs="宋体"/>
          <w:color w:val="auto"/>
          <w:szCs w:val="21"/>
          <w:highlight w:val="none"/>
        </w:rPr>
        <w:t>评审</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有效投标人才能参加评分。</w:t>
      </w:r>
    </w:p>
    <w:p w14:paraId="4014553B">
      <w:pPr>
        <w:numPr>
          <w:ilvl w:val="0"/>
          <w:numId w:val="4"/>
        </w:num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本表所称投标报价是指按招标文件规定修正后的投标总报价（多算投标报价、多报费用不扣减）。</w:t>
      </w:r>
    </w:p>
    <w:p w14:paraId="5899C461">
      <w:pPr>
        <w:spacing w:line="440" w:lineRule="exact"/>
        <w:ind w:firstLine="420" w:firstLineChars="200"/>
        <w:jc w:val="left"/>
        <w:rPr>
          <w:rFonts w:hint="eastAsia" w:ascii="宋体"/>
          <w:b/>
          <w:color w:val="auto"/>
          <w:szCs w:val="21"/>
          <w:highlight w:val="none"/>
        </w:rPr>
      </w:pPr>
      <w:r>
        <w:rPr>
          <w:rFonts w:hint="eastAsia" w:ascii="宋体" w:hAnsi="宋体" w:cs="宋体"/>
          <w:color w:val="auto"/>
          <w:szCs w:val="21"/>
          <w:highlight w:val="none"/>
        </w:rPr>
        <w:t>（3）评标办法中的评标基准价计算出来后，除数字计算错误外，其他情况均不再调整。</w:t>
      </w:r>
    </w:p>
    <w:p w14:paraId="6FAACF54">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5．评标方法</w:t>
      </w:r>
    </w:p>
    <w:p w14:paraId="42229397">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次评标采用综合评估法。评标委员会对满足招标文件实质性要求的投标文件，按照本章规定的评分标准进行打分，并按总得分由高到低顺序推荐中标候选人3名，并标明排序，但投标报价低于其成本的除外。如总得分相等，以投标报价低的优先，投标报价仍相等，由评标委员会主任委员或招标人随机抽取确定排名。</w:t>
      </w:r>
    </w:p>
    <w:p w14:paraId="56AB48FD">
      <w:pPr>
        <w:adjustRightInd w:val="0"/>
        <w:snapToGrid w:val="0"/>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5.2根据评标委员会评审初步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53720D8">
      <w:pPr>
        <w:spacing w:line="440" w:lineRule="exact"/>
        <w:ind w:firstLine="422" w:firstLineChars="200"/>
        <w:rPr>
          <w:rFonts w:hint="eastAsia" w:ascii="宋体" w:hAnsi="宋体" w:eastAsia="宋体" w:cs="宋体"/>
          <w:b/>
          <w:bCs/>
          <w:color w:val="auto"/>
          <w:szCs w:val="21"/>
          <w:highlight w:val="none"/>
          <w:lang w:val="en-US" w:eastAsia="zh-CN"/>
        </w:rPr>
      </w:pPr>
      <w:bookmarkStart w:id="94" w:name="_Toc95223405"/>
      <w:r>
        <w:rPr>
          <w:rFonts w:hint="eastAsia" w:ascii="宋体" w:hAnsi="宋体" w:eastAsia="宋体" w:cs="宋体"/>
          <w:b/>
          <w:bCs/>
          <w:color w:val="auto"/>
          <w:szCs w:val="21"/>
          <w:highlight w:val="none"/>
          <w:lang w:val="en-US" w:eastAsia="zh-CN"/>
        </w:rPr>
        <w:t>6.评标委员会的职责</w:t>
      </w:r>
    </w:p>
    <w:p w14:paraId="6404BF6E">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EA047D5">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52327617">
      <w:pPr>
        <w:spacing w:line="440" w:lineRule="exact"/>
        <w:ind w:firstLine="316" w:firstLineChars="150"/>
        <w:jc w:val="left"/>
        <w:rPr>
          <w:rFonts w:hint="eastAsia" w:ascii="宋体"/>
          <w:b/>
          <w:color w:val="auto"/>
          <w:szCs w:val="21"/>
          <w:highlight w:val="none"/>
        </w:rPr>
      </w:pPr>
      <w:r>
        <w:rPr>
          <w:rFonts w:hint="eastAsia" w:ascii="宋体"/>
          <w:b/>
          <w:color w:val="auto"/>
          <w:szCs w:val="21"/>
          <w:highlight w:val="none"/>
        </w:rPr>
        <w:t>7.评标程序</w:t>
      </w:r>
    </w:p>
    <w:p w14:paraId="17A637C8">
      <w:pPr>
        <w:spacing w:line="440" w:lineRule="exact"/>
        <w:ind w:firstLine="315" w:firstLineChars="150"/>
        <w:jc w:val="left"/>
        <w:rPr>
          <w:rFonts w:hint="eastAsia" w:ascii="宋体" w:hAnsi="宋体"/>
          <w:color w:val="auto"/>
          <w:szCs w:val="21"/>
          <w:highlight w:val="none"/>
        </w:rPr>
      </w:pPr>
      <w:bookmarkStart w:id="95" w:name="_Toc95223402"/>
      <w:r>
        <w:rPr>
          <w:rFonts w:hint="eastAsia" w:ascii="宋体" w:hAnsi="宋体"/>
          <w:color w:val="auto"/>
          <w:szCs w:val="21"/>
          <w:highlight w:val="none"/>
        </w:rPr>
        <w:t>评标先做准备工作，再进行资格、技术标评审，然后进行商务标评审。</w:t>
      </w:r>
    </w:p>
    <w:p w14:paraId="549E8A08">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7.1评标准备工作</w:t>
      </w:r>
      <w:bookmarkEnd w:id="95"/>
    </w:p>
    <w:p w14:paraId="72771427">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评标委员会熟悉评标工作情况：</w:t>
      </w:r>
    </w:p>
    <w:p w14:paraId="2625880C">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（1）阅读由招标人或者其委</w:t>
      </w:r>
      <w:bookmarkStart w:id="96" w:name="_Toc15058916"/>
      <w:bookmarkStart w:id="97" w:name="_Toc60061499"/>
      <w:r>
        <w:rPr>
          <w:rFonts w:hint="eastAsia" w:ascii="宋体" w:hAnsi="宋体" w:cs="宋体"/>
          <w:color w:val="auto"/>
          <w:highlight w:val="none"/>
        </w:rPr>
        <w:t>托的代理机构编</w:t>
      </w:r>
      <w:bookmarkEnd w:id="96"/>
      <w:bookmarkEnd w:id="97"/>
      <w:r>
        <w:rPr>
          <w:rFonts w:hint="eastAsia" w:ascii="宋体" w:hAnsi="宋体" w:cs="宋体"/>
          <w:color w:val="auto"/>
          <w:highlight w:val="none"/>
        </w:rPr>
        <w:t>制的招标项目情况材料。</w:t>
      </w:r>
    </w:p>
    <w:p w14:paraId="7A205F43">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（2）阅读、研究招标文件和相关评标资料，获取评标所需要的重要信息和数据，至少应了解和熟悉以下内容：招标项目的范围和性质，招标文件规定的主要技术要求、标准和商务条款。</w:t>
      </w:r>
    </w:p>
    <w:p w14:paraId="6005E72B">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（3）熟悉招标文件规定的评标标准和评标方法及在评标过程中需要考虑的相关因素。</w:t>
      </w:r>
    </w:p>
    <w:p w14:paraId="4A0D9326">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（4）核对评标工作用表。</w:t>
      </w:r>
    </w:p>
    <w:p w14:paraId="0E277911">
      <w:pPr>
        <w:spacing w:line="440" w:lineRule="exact"/>
        <w:ind w:firstLine="315" w:firstLineChars="150"/>
        <w:jc w:val="left"/>
        <w:rPr>
          <w:rFonts w:hint="eastAsia" w:ascii="宋体" w:hAnsi="宋体" w:cs="宋体"/>
          <w:color w:val="auto"/>
          <w:highlight w:val="none"/>
        </w:rPr>
      </w:pPr>
      <w:bookmarkStart w:id="98" w:name="_Toc60061500"/>
      <w:bookmarkStart w:id="99" w:name="_Toc15058917"/>
      <w:r>
        <w:rPr>
          <w:rFonts w:hint="eastAsia" w:ascii="宋体" w:hAnsi="宋体" w:cs="宋体"/>
          <w:color w:val="auto"/>
          <w:highlight w:val="none"/>
        </w:rPr>
        <w:t>7.2推荐中标候</w:t>
      </w:r>
      <w:bookmarkEnd w:id="98"/>
      <w:bookmarkEnd w:id="99"/>
      <w:r>
        <w:rPr>
          <w:rFonts w:hint="eastAsia" w:ascii="宋体" w:hAnsi="宋体" w:cs="宋体"/>
          <w:color w:val="auto"/>
          <w:highlight w:val="none"/>
        </w:rPr>
        <w:t>选人</w:t>
      </w:r>
    </w:p>
    <w:p w14:paraId="3DDC331A">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资信评审、技术标评审、商务标评审后，推荐中标候选人，并标明排序。</w:t>
      </w:r>
    </w:p>
    <w:bookmarkEnd w:id="94"/>
    <w:p w14:paraId="474BCC7B">
      <w:pPr>
        <w:spacing w:line="440" w:lineRule="exact"/>
        <w:ind w:firstLine="316" w:firstLineChars="150"/>
        <w:jc w:val="left"/>
        <w:rPr>
          <w:rFonts w:hint="eastAsia" w:ascii="宋体"/>
          <w:b/>
          <w:color w:val="auto"/>
          <w:szCs w:val="21"/>
          <w:highlight w:val="none"/>
        </w:rPr>
      </w:pPr>
      <w:bookmarkStart w:id="100" w:name="_Hlk61815781"/>
      <w:r>
        <w:rPr>
          <w:rFonts w:hint="eastAsia" w:ascii="宋体"/>
          <w:b/>
          <w:color w:val="auto"/>
          <w:szCs w:val="21"/>
          <w:highlight w:val="none"/>
        </w:rPr>
        <w:t>8.评审内容</w:t>
      </w:r>
    </w:p>
    <w:p w14:paraId="08BCEFF3">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8.1</w:t>
      </w:r>
      <w:bookmarkStart w:id="101" w:name="_Toc15058921"/>
      <w:bookmarkStart w:id="102" w:name="_Toc60061504"/>
      <w:r>
        <w:rPr>
          <w:rFonts w:hint="eastAsia" w:ascii="宋体" w:hAnsi="宋体" w:cs="宋体"/>
          <w:color w:val="auto"/>
          <w:highlight w:val="none"/>
        </w:rPr>
        <w:t>形式性评审标准：</w:t>
      </w:r>
      <w:bookmarkEnd w:id="101"/>
      <w:bookmarkEnd w:id="102"/>
      <w:r>
        <w:rPr>
          <w:rFonts w:hint="eastAsia" w:ascii="宋体" w:hAnsi="宋体" w:cs="宋体"/>
          <w:color w:val="auto"/>
          <w:highlight w:val="none"/>
        </w:rPr>
        <w:t>见商务标评审表。</w:t>
      </w:r>
    </w:p>
    <w:p w14:paraId="343F9468">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8.2响应性评审标准：见商务标评审表。</w:t>
      </w:r>
    </w:p>
    <w:p w14:paraId="5C18D0F2">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评标委员会依据上述标准对投标文件进行初步评审。有一项不符合评审标准的，作无效投标处理。</w:t>
      </w:r>
    </w:p>
    <w:p w14:paraId="4B84513D">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8.3详细评审标准：见商务标评审表。</w:t>
      </w:r>
    </w:p>
    <w:bookmarkEnd w:id="100"/>
    <w:p w14:paraId="501470AB">
      <w:pPr>
        <w:spacing w:line="440" w:lineRule="exact"/>
        <w:ind w:firstLine="315" w:firstLineChars="150"/>
        <w:jc w:val="left"/>
        <w:rPr>
          <w:rFonts w:hint="eastAsia" w:ascii="宋体" w:hAnsi="宋体" w:eastAsia="宋体" w:cs="宋体"/>
          <w:color w:val="auto"/>
          <w:highlight w:val="none"/>
        </w:rPr>
      </w:pPr>
      <w:bookmarkStart w:id="103" w:name="_Toc95223439"/>
      <w:r>
        <w:rPr>
          <w:rFonts w:hint="eastAsia" w:ascii="宋体" w:hAnsi="宋体" w:eastAsia="宋体" w:cs="宋体"/>
          <w:color w:val="auto"/>
          <w:highlight w:val="none"/>
          <w:lang w:val="en-US" w:eastAsia="zh-CN"/>
        </w:rPr>
        <w:t>8.4</w:t>
      </w:r>
      <w:r>
        <w:rPr>
          <w:rFonts w:hint="eastAsia" w:ascii="宋体" w:hAnsi="宋体" w:eastAsia="宋体" w:cs="宋体"/>
          <w:color w:val="auto"/>
          <w:highlight w:val="none"/>
        </w:rPr>
        <w:t>评标委员会审查投标文件，看其是否有计算或表达上的错误，投标报价有错误的，评标委员会按以下原则对投标报价进行修正。</w:t>
      </w:r>
    </w:p>
    <w:p w14:paraId="6165B6CB">
      <w:pPr>
        <w:spacing w:line="44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14:paraId="5AFC5B38">
      <w:pPr>
        <w:spacing w:line="44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14:paraId="0F6EE3B6">
      <w:pPr>
        <w:spacing w:line="440" w:lineRule="exact"/>
        <w:ind w:firstLine="315" w:firstLineChars="15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66BAF78F">
      <w:pPr>
        <w:spacing w:line="440" w:lineRule="exact"/>
        <w:ind w:firstLine="316" w:firstLineChars="150"/>
        <w:jc w:val="left"/>
        <w:rPr>
          <w:rFonts w:hint="eastAsia" w:ascii="宋体"/>
          <w:b/>
          <w:color w:val="auto"/>
          <w:szCs w:val="21"/>
          <w:highlight w:val="none"/>
        </w:rPr>
      </w:pPr>
      <w:r>
        <w:rPr>
          <w:rFonts w:hint="eastAsia" w:ascii="宋体"/>
          <w:b/>
          <w:color w:val="auto"/>
          <w:szCs w:val="21"/>
          <w:highlight w:val="none"/>
        </w:rPr>
        <w:t>9.无效投标条款</w:t>
      </w:r>
    </w:p>
    <w:p w14:paraId="04E78236">
      <w:pPr>
        <w:spacing w:line="44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.1投标人存在下列情形的招标人将拒收投标文件:</w:t>
      </w:r>
    </w:p>
    <w:p w14:paraId="652578F4">
      <w:pPr>
        <w:spacing w:line="44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(1) 未在投标截止时间前通过网上招标投标系统递交有效电子投标文件的，开标系统不予接收，投标将被拒绝。</w:t>
      </w:r>
    </w:p>
    <w:p w14:paraId="0B1B07D0">
      <w:pPr>
        <w:spacing w:line="44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2）所有投标人应在规定时间里完成投标文件的解密工作（投标企业接到远程解密指令后，须在规定时间内解密（以网上开评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1D92815A">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9.2投标人有下列情形的，经评审后其投标作无效投标处理：</w:t>
      </w:r>
    </w:p>
    <w:p w14:paraId="72F4441D">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9.2.1商务标评审</w:t>
      </w:r>
    </w:p>
    <w:p w14:paraId="6C2CC8F9">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(1)评标委员会依据《商务标评审表》进行形式性评审和响应性评审。有一项不符合评审标准的，做无效投标处理；</w:t>
      </w:r>
    </w:p>
    <w:p w14:paraId="478A4104">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(2)商务标详细评审标准中有任何一项不能通过评审的，作无效投标处理。</w:t>
      </w:r>
    </w:p>
    <w:p w14:paraId="64037B41">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9.3其他无效投标情况：</w:t>
      </w:r>
    </w:p>
    <w:p w14:paraId="0B45AF41">
      <w:pPr>
        <w:spacing w:line="44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C7CFEFB">
      <w:pPr>
        <w:spacing w:line="44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（2）调整或修正投标文件的投标报价，调整或修正的价格经投标人书面确认后具有约束力。投标人不接受修正价格的，其投标将被拒绝。</w:t>
      </w:r>
    </w:p>
    <w:p w14:paraId="20A028BC">
      <w:pPr>
        <w:spacing w:line="44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（3）第二章“投标人须知”第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.3项规定的任何一种情形的。</w:t>
      </w:r>
    </w:p>
    <w:p w14:paraId="0EA7DE45">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rPr>
        <w:t>投标人有串通投标、视为串通投标、弄虚作假、行贿等违法行为。</w:t>
      </w:r>
    </w:p>
    <w:p w14:paraId="1F46E944">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）投标文件没有对招标文件的实质性要求和条件作出响应。</w:t>
      </w:r>
    </w:p>
    <w:p w14:paraId="4F005890">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）未按规定的格式填写导致实质性内容不全以及实质上不响应，或者关键字迹模糊、无法辨认；经公共资源交易监督部门核准的。</w:t>
      </w:r>
    </w:p>
    <w:p w14:paraId="6E90E6D4">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）同一投标人提交两个以上不同的投标文件或者投标报价，但招标文件规定提交备选投标的除外。</w:t>
      </w:r>
    </w:p>
    <w:p w14:paraId="2B6750A9">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）投标文件中存在招标人不能接受的其他实质性条件。</w:t>
      </w:r>
    </w:p>
    <w:p w14:paraId="078C36A3">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）投标文件中填报的拟任项目经理（建造师）与资格审查通过的项目经理（建造师）前后不一致的。</w:t>
      </w:r>
    </w:p>
    <w:p w14:paraId="2DFFE0B2">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10</w:t>
      </w:r>
      <w:r>
        <w:rPr>
          <w:rFonts w:hint="eastAsia" w:ascii="宋体" w:hAnsi="宋体" w:cs="宋体"/>
          <w:color w:val="auto"/>
          <w:highlight w:val="none"/>
        </w:rPr>
        <w:t>）投标人拒不按照要求对投标文件进行澄清、说明、补正的，或评标委员会根据招标文件的规定对招标文件的计算错误进行修正后，投标人不接受修正的投标报价的。</w:t>
      </w:r>
    </w:p>
    <w:p w14:paraId="0BB1DA3F">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）投标人投标MAC地址一致。</w:t>
      </w:r>
    </w:p>
    <w:p w14:paraId="5B888769">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）投标人单方面出现其他投标人材料。</w:t>
      </w:r>
    </w:p>
    <w:p w14:paraId="1837E328">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13</w:t>
      </w:r>
      <w:r>
        <w:rPr>
          <w:rFonts w:hint="eastAsia" w:ascii="宋体" w:hAnsi="宋体" w:cs="宋体"/>
          <w:color w:val="auto"/>
          <w:highlight w:val="none"/>
        </w:rPr>
        <w:t>）评标时查询投标文件制作机器码、文件创建标识码及造价软件加密锁号。若存在投标文件制作机器码或创建标识码或造价软件加密锁号信息与其他投标人雷同的，投标无效。</w:t>
      </w:r>
    </w:p>
    <w:p w14:paraId="42AF1457">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）投标人申请开具电子保函MAC地址一致。</w:t>
      </w:r>
    </w:p>
    <w:p w14:paraId="00311114">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w:t>
      </w:r>
      <w:r>
        <w:rPr>
          <w:rFonts w:hint="eastAsia" w:ascii="宋体" w:hAnsi="宋体" w:cs="宋体"/>
          <w:color w:val="auto"/>
          <w:szCs w:val="21"/>
          <w:highlight w:val="none"/>
        </w:rPr>
        <w:t>投标人联系人或联系电话相同的。</w:t>
      </w:r>
    </w:p>
    <w:p w14:paraId="76E818E0">
      <w:pPr>
        <w:spacing w:line="44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）法律、法规规定的其他情形。</w:t>
      </w:r>
    </w:p>
    <w:p w14:paraId="22381FDB">
      <w:pPr>
        <w:spacing w:line="440" w:lineRule="exact"/>
        <w:ind w:firstLine="422" w:firstLineChars="200"/>
        <w:jc w:val="left"/>
        <w:rPr>
          <w:rFonts w:hint="eastAsia" w:ascii="宋体"/>
          <w:b/>
          <w:color w:val="auto"/>
          <w:szCs w:val="21"/>
          <w:highlight w:val="none"/>
        </w:rPr>
      </w:pPr>
      <w:r>
        <w:rPr>
          <w:rFonts w:hint="eastAsia" w:ascii="宋体"/>
          <w:b/>
          <w:color w:val="auto"/>
          <w:szCs w:val="21"/>
          <w:highlight w:val="none"/>
        </w:rPr>
        <w:t>10.投标文件的澄清和补正</w:t>
      </w:r>
      <w:bookmarkEnd w:id="103"/>
    </w:p>
    <w:p w14:paraId="6099F774">
      <w:pPr>
        <w:snapToGrid w:val="0"/>
        <w:spacing w:line="400" w:lineRule="exact"/>
        <w:ind w:firstLine="420"/>
        <w:rPr>
          <w:rFonts w:hint="eastAsia" w:ascii="宋体" w:hAnsi="宋体" w:cs="宋体"/>
          <w:color w:val="auto"/>
          <w:szCs w:val="21"/>
          <w:highlight w:val="none"/>
        </w:rPr>
      </w:pPr>
      <w:bookmarkStart w:id="104" w:name="_Toc95223410"/>
      <w:bookmarkStart w:id="105" w:name="_Toc95223441"/>
      <w:r>
        <w:rPr>
          <w:rFonts w:hint="eastAsia" w:ascii="宋体" w:hAnsi="宋体" w:cs="宋体"/>
          <w:color w:val="auto"/>
          <w:szCs w:val="21"/>
          <w:highlight w:val="none"/>
        </w:rPr>
        <w:t>10.1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61911F0D">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10.2澄清、说明和补正不得改变投标文件的实质性内容（算术性错误修正的除外）。投标人的书面澄清、说明和补正属于投标文件的组成部分。</w:t>
      </w:r>
    </w:p>
    <w:p w14:paraId="11CF694D">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10.3评标委员会对投标人提交的澄清、说明和补正有疑问的，可以要求投标人进一步澄清、说明或补正、直至满足评标委员会的要求。</w:t>
      </w:r>
    </w:p>
    <w:p w14:paraId="07AC19DA">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172D7EE3">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10.4评委会修正错误的原则：</w:t>
      </w:r>
    </w:p>
    <w:p w14:paraId="4E03AF2B">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10.4.1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2BF53CB2">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10.4.2如果单价与数量的乘积和总价不一致，以单价为准，修正总价及开标一览表；当单价小数点有明显的错位时，评委会将以总价为准，并修正其单价。</w:t>
      </w:r>
    </w:p>
    <w:p w14:paraId="581DF322">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10.5评委会将按上述修正错误的方法调整投标文件中的投标报价，调整后的价格应对投标人具有约束力。无论投标人是接受或是拒绝调整后的价格，都应当由投标人在系统中确认。投标人拒绝对投标文件出现的错漏按上述原则进行修正、澄清、说明，评标委员会应当否决其投标。</w:t>
      </w:r>
    </w:p>
    <w:p w14:paraId="538A2E48">
      <w:pPr>
        <w:spacing w:line="440" w:lineRule="exact"/>
        <w:ind w:firstLine="422" w:firstLineChars="200"/>
        <w:jc w:val="left"/>
        <w:rPr>
          <w:rFonts w:hint="eastAsia" w:ascii="宋体"/>
          <w:b/>
          <w:color w:val="auto"/>
          <w:szCs w:val="21"/>
          <w:highlight w:val="none"/>
        </w:rPr>
      </w:pPr>
      <w:r>
        <w:rPr>
          <w:rFonts w:hint="eastAsia" w:ascii="宋体"/>
          <w:b/>
          <w:color w:val="auto"/>
          <w:szCs w:val="21"/>
          <w:highlight w:val="none"/>
        </w:rPr>
        <w:t>11.评分标准</w:t>
      </w:r>
      <w:bookmarkEnd w:id="104"/>
    </w:p>
    <w:p w14:paraId="1F499DD9">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11.1资信标评分标准：见资信标评审表。</w:t>
      </w:r>
    </w:p>
    <w:p w14:paraId="1286A3A0">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11.2技术标评分标准：见技术标评审表。</w:t>
      </w:r>
    </w:p>
    <w:p w14:paraId="7DCF9899">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11.3商务标评分标准：见商务标评审表。</w:t>
      </w:r>
    </w:p>
    <w:p w14:paraId="16527D12">
      <w:pPr>
        <w:snapToGrid w:val="0"/>
        <w:spacing w:line="400" w:lineRule="exact"/>
        <w:ind w:firstLine="420"/>
        <w:rPr>
          <w:rFonts w:hint="eastAsia" w:ascii="宋体" w:hAnsi="宋体" w:cs="宋体"/>
          <w:color w:val="auto"/>
          <w:szCs w:val="21"/>
          <w:highlight w:val="none"/>
        </w:rPr>
      </w:pPr>
      <w:r>
        <w:rPr>
          <w:rFonts w:hint="eastAsia" w:ascii="宋体"/>
          <w:b/>
          <w:color w:val="auto"/>
          <w:szCs w:val="21"/>
          <w:highlight w:val="none"/>
        </w:rPr>
        <w:t>12.评审结果</w:t>
      </w:r>
      <w:bookmarkEnd w:id="105"/>
    </w:p>
    <w:p w14:paraId="6D00BF2E">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12.1除第二章“投标人须知”及其前附表授权直接确定中标人外，评标委员会按照总得分由高到低顺序推荐中标候选人。</w:t>
      </w:r>
    </w:p>
    <w:p w14:paraId="7FBAEE91">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12.2评标委员会完成评标后，应当向招标人提交书面评标报告。评标报告应当如实记载以下内容：</w:t>
      </w:r>
    </w:p>
    <w:p w14:paraId="3C343518">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（1）基本情况和数据表。</w:t>
      </w:r>
    </w:p>
    <w:p w14:paraId="03F622E6">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（2）评标委员会成员名单。（3）开标记录。</w:t>
      </w:r>
    </w:p>
    <w:p w14:paraId="4B84C3BE">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（4）符合要求的投标人一览表。</w:t>
      </w:r>
    </w:p>
    <w:p w14:paraId="2C2BDEC4">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（5）否决投标情况说明。</w:t>
      </w:r>
    </w:p>
    <w:p w14:paraId="0C30D2B3">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1D9803BA">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（7）评标情况一览表。</w:t>
      </w:r>
    </w:p>
    <w:p w14:paraId="3F250E68">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（8）经评审的投标人排序。</w:t>
      </w:r>
    </w:p>
    <w:p w14:paraId="25E58CBF">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3DA54ABE">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（10）澄清、说明、补正事项纪要。</w:t>
      </w:r>
    </w:p>
    <w:p w14:paraId="471AF3A9">
      <w:pPr>
        <w:spacing w:line="440" w:lineRule="exact"/>
        <w:ind w:firstLine="422" w:firstLineChars="200"/>
        <w:jc w:val="left"/>
        <w:rPr>
          <w:rFonts w:hint="eastAsia" w:ascii="宋体"/>
          <w:b/>
          <w:color w:val="auto"/>
          <w:szCs w:val="21"/>
          <w:highlight w:val="none"/>
        </w:rPr>
      </w:pPr>
      <w:bookmarkStart w:id="106" w:name="_Toc95223442"/>
      <w:r>
        <w:rPr>
          <w:rFonts w:hint="eastAsia" w:ascii="宋体"/>
          <w:b/>
          <w:color w:val="auto"/>
          <w:szCs w:val="21"/>
          <w:highlight w:val="none"/>
        </w:rPr>
        <w:t>13.其他</w:t>
      </w:r>
      <w:bookmarkEnd w:id="106"/>
    </w:p>
    <w:p w14:paraId="63BA1B0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both"/>
        <w:textAlignment w:val="auto"/>
        <w:rPr>
          <w:rFonts w:hint="eastAsia" w:ascii="宋体"/>
          <w:b/>
          <w:color w:val="auto"/>
          <w:sz w:val="32"/>
          <w:szCs w:val="32"/>
          <w:highlight w:val="none"/>
        </w:rPr>
      </w:pPr>
      <w:r>
        <w:rPr>
          <w:rFonts w:hint="eastAsia" w:ascii="宋体" w:hAnsi="宋体" w:eastAsia="宋体" w:cs="宋体"/>
          <w:color w:val="auto"/>
          <w:szCs w:val="21"/>
          <w:highlight w:val="none"/>
        </w:rPr>
        <w:t>13.1投标人提供的与投标文件有关的各类证书、证明、文件、资料等的真实性、合法性由投标人负全责。</w:t>
      </w:r>
      <w:r>
        <w:rPr>
          <w:rFonts w:hint="eastAsia" w:ascii="宋体"/>
          <w:b/>
          <w:color w:val="auto"/>
          <w:sz w:val="32"/>
          <w:szCs w:val="32"/>
          <w:highlight w:val="none"/>
        </w:rPr>
        <w:t xml:space="preserve"> </w:t>
      </w:r>
    </w:p>
    <w:p w14:paraId="216E4E1D">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jc w:val="center"/>
        <w:textAlignment w:val="auto"/>
        <w:rPr>
          <w:rFonts w:hint="eastAsia" w:ascii="宋体"/>
          <w:b/>
          <w:color w:val="auto"/>
          <w:sz w:val="32"/>
          <w:szCs w:val="32"/>
          <w:highlight w:val="none"/>
          <w:lang w:eastAsia="zh-CN"/>
        </w:rPr>
      </w:pPr>
      <w:r>
        <w:rPr>
          <w:rFonts w:hint="eastAsia" w:ascii="宋体"/>
          <w:b/>
          <w:color w:val="auto"/>
          <w:sz w:val="32"/>
          <w:szCs w:val="32"/>
          <w:highlight w:val="none"/>
          <w:lang w:eastAsia="zh-CN"/>
        </w:rPr>
        <w:br w:type="page"/>
      </w:r>
      <w:r>
        <w:rPr>
          <w:rFonts w:hint="eastAsia" w:ascii="宋体"/>
          <w:b/>
          <w:color w:val="auto"/>
          <w:sz w:val="32"/>
          <w:szCs w:val="32"/>
          <w:highlight w:val="none"/>
          <w:lang w:val="en-US" w:eastAsia="zh-CN"/>
        </w:rPr>
        <w:t>采购</w:t>
      </w:r>
      <w:r>
        <w:rPr>
          <w:rFonts w:hint="eastAsia" w:ascii="宋体"/>
          <w:b/>
          <w:color w:val="auto"/>
          <w:sz w:val="32"/>
          <w:szCs w:val="32"/>
          <w:highlight w:val="none"/>
          <w:lang w:eastAsia="zh-CN"/>
        </w:rPr>
        <w:t>需求</w:t>
      </w:r>
    </w:p>
    <w:bookmarkEnd w:id="79"/>
    <w:p w14:paraId="0B13361A">
      <w:pPr>
        <w:pStyle w:val="3"/>
        <w:spacing w:before="222" w:line="228" w:lineRule="auto"/>
        <w:ind w:left="4"/>
        <w:rPr>
          <w:color w:val="auto"/>
          <w:sz w:val="20"/>
          <w:szCs w:val="20"/>
          <w:highlight w:val="none"/>
        </w:rPr>
      </w:pPr>
      <w:r>
        <w:rPr>
          <w:b/>
          <w:bCs/>
          <w:color w:val="auto"/>
          <w:spacing w:val="6"/>
          <w:sz w:val="20"/>
          <w:szCs w:val="20"/>
          <w:highlight w:val="none"/>
        </w:rPr>
        <w:t>一、项目背景</w:t>
      </w:r>
    </w:p>
    <w:p w14:paraId="37889EB8">
      <w:pPr>
        <w:pStyle w:val="3"/>
        <w:spacing w:before="162" w:line="377" w:lineRule="auto"/>
        <w:ind w:left="2" w:firstLine="437"/>
        <w:jc w:val="both"/>
        <w:rPr>
          <w:color w:val="auto"/>
          <w:sz w:val="20"/>
          <w:szCs w:val="20"/>
          <w:highlight w:val="none"/>
        </w:rPr>
      </w:pPr>
      <w:r>
        <w:rPr>
          <w:color w:val="auto"/>
          <w:spacing w:val="10"/>
          <w:sz w:val="20"/>
          <w:szCs w:val="20"/>
          <w:highlight w:val="none"/>
        </w:rPr>
        <w:t>中新苏滁高新区成立于</w:t>
      </w:r>
      <w:r>
        <w:rPr>
          <w:color w:val="auto"/>
          <w:spacing w:val="-36"/>
          <w:sz w:val="20"/>
          <w:szCs w:val="20"/>
          <w:highlight w:val="none"/>
        </w:rPr>
        <w:t xml:space="preserve"> </w:t>
      </w:r>
      <w:r>
        <w:rPr>
          <w:color w:val="auto"/>
          <w:spacing w:val="10"/>
          <w:sz w:val="20"/>
          <w:szCs w:val="20"/>
          <w:highlight w:val="none"/>
        </w:rPr>
        <w:t>2012</w:t>
      </w:r>
      <w:r>
        <w:rPr>
          <w:color w:val="auto"/>
          <w:spacing w:val="-37"/>
          <w:sz w:val="20"/>
          <w:szCs w:val="20"/>
          <w:highlight w:val="none"/>
        </w:rPr>
        <w:t xml:space="preserve"> </w:t>
      </w:r>
      <w:r>
        <w:rPr>
          <w:color w:val="auto"/>
          <w:spacing w:val="10"/>
          <w:sz w:val="20"/>
          <w:szCs w:val="20"/>
          <w:highlight w:val="none"/>
        </w:rPr>
        <w:t>年4</w:t>
      </w:r>
      <w:r>
        <w:rPr>
          <w:color w:val="auto"/>
          <w:spacing w:val="-33"/>
          <w:sz w:val="20"/>
          <w:szCs w:val="20"/>
          <w:highlight w:val="none"/>
        </w:rPr>
        <w:t xml:space="preserve"> </w:t>
      </w:r>
      <w:r>
        <w:rPr>
          <w:color w:val="auto"/>
          <w:spacing w:val="10"/>
          <w:sz w:val="20"/>
          <w:szCs w:val="20"/>
          <w:highlight w:val="none"/>
        </w:rPr>
        <w:t>月，是中新两国、苏皖两省、苏滁两市合作共建园区，</w:t>
      </w:r>
      <w:r>
        <w:rPr>
          <w:color w:val="auto"/>
          <w:sz w:val="20"/>
          <w:szCs w:val="20"/>
          <w:highlight w:val="none"/>
        </w:rPr>
        <w:t xml:space="preserve"> </w:t>
      </w:r>
      <w:r>
        <w:rPr>
          <w:color w:val="auto"/>
          <w:spacing w:val="4"/>
          <w:sz w:val="20"/>
          <w:szCs w:val="20"/>
          <w:highlight w:val="none"/>
        </w:rPr>
        <w:t>是一个融产业、商贸、金融、居住于一体的生态示范区、高新产业集聚区和现代化商务新城区，</w:t>
      </w:r>
      <w:r>
        <w:rPr>
          <w:color w:val="auto"/>
          <w:spacing w:val="3"/>
          <w:sz w:val="20"/>
          <w:szCs w:val="20"/>
          <w:highlight w:val="none"/>
        </w:rPr>
        <w:t xml:space="preserve"> </w:t>
      </w:r>
      <w:r>
        <w:rPr>
          <w:color w:val="auto"/>
          <w:spacing w:val="8"/>
          <w:sz w:val="20"/>
          <w:szCs w:val="20"/>
          <w:highlight w:val="none"/>
        </w:rPr>
        <w:t>区定位为安徽省承接产业转移的示范区、滁州市新兴的经济文化中</w:t>
      </w:r>
      <w:r>
        <w:rPr>
          <w:color w:val="auto"/>
          <w:spacing w:val="7"/>
          <w:sz w:val="20"/>
          <w:szCs w:val="20"/>
          <w:highlight w:val="none"/>
        </w:rPr>
        <w:t>心和苏州工业园区复制、提</w:t>
      </w:r>
      <w:r>
        <w:rPr>
          <w:color w:val="auto"/>
          <w:sz w:val="20"/>
          <w:szCs w:val="20"/>
          <w:highlight w:val="none"/>
        </w:rPr>
        <w:t xml:space="preserve"> </w:t>
      </w:r>
      <w:r>
        <w:rPr>
          <w:color w:val="auto"/>
          <w:spacing w:val="5"/>
          <w:sz w:val="20"/>
          <w:szCs w:val="20"/>
          <w:highlight w:val="none"/>
        </w:rPr>
        <w:t>升的典范。</w:t>
      </w:r>
    </w:p>
    <w:p w14:paraId="50D4C285">
      <w:pPr>
        <w:pStyle w:val="3"/>
        <w:spacing w:before="1" w:line="376" w:lineRule="auto"/>
        <w:ind w:left="3" w:right="54" w:firstLine="421"/>
        <w:rPr>
          <w:color w:val="auto"/>
          <w:sz w:val="20"/>
          <w:szCs w:val="20"/>
          <w:highlight w:val="none"/>
        </w:rPr>
      </w:pPr>
      <w:r>
        <w:rPr>
          <w:color w:val="auto"/>
          <w:spacing w:val="8"/>
          <w:sz w:val="20"/>
          <w:szCs w:val="20"/>
          <w:highlight w:val="none"/>
        </w:rPr>
        <w:t>苏滁高新区作为长三角一体化重要产业载体，虽</w:t>
      </w:r>
      <w:r>
        <w:rPr>
          <w:color w:val="auto"/>
          <w:spacing w:val="7"/>
          <w:sz w:val="20"/>
          <w:szCs w:val="20"/>
          <w:highlight w:val="none"/>
        </w:rPr>
        <w:t>在工业智能化领域成效显著，但其市政管</w:t>
      </w:r>
      <w:r>
        <w:rPr>
          <w:color w:val="auto"/>
          <w:sz w:val="20"/>
          <w:szCs w:val="20"/>
          <w:highlight w:val="none"/>
        </w:rPr>
        <w:t xml:space="preserve"> </w:t>
      </w:r>
      <w:r>
        <w:rPr>
          <w:color w:val="auto"/>
          <w:spacing w:val="8"/>
          <w:sz w:val="20"/>
          <w:szCs w:val="20"/>
          <w:highlight w:val="none"/>
        </w:rPr>
        <w:t>理仍面临系统性短板。主要面临以下问题：</w:t>
      </w:r>
    </w:p>
    <w:p w14:paraId="6310CD18">
      <w:pPr>
        <w:pStyle w:val="3"/>
        <w:spacing w:before="1" w:line="377" w:lineRule="auto"/>
        <w:ind w:right="54" w:firstLine="424"/>
        <w:jc w:val="both"/>
        <w:rPr>
          <w:color w:val="auto"/>
          <w:sz w:val="20"/>
          <w:szCs w:val="20"/>
          <w:highlight w:val="none"/>
        </w:rPr>
      </w:pPr>
      <w:r>
        <w:rPr>
          <w:color w:val="auto"/>
          <w:spacing w:val="8"/>
          <w:sz w:val="20"/>
          <w:szCs w:val="20"/>
          <w:highlight w:val="none"/>
        </w:rPr>
        <w:t>一是人工巡检效率低下、覆盖面不足。目前，园</w:t>
      </w:r>
      <w:r>
        <w:rPr>
          <w:color w:val="auto"/>
          <w:spacing w:val="7"/>
          <w:sz w:val="20"/>
          <w:szCs w:val="20"/>
          <w:highlight w:val="none"/>
        </w:rPr>
        <w:t>区城市的巡检工作主要依赖人工进行，面</w:t>
      </w:r>
      <w:r>
        <w:rPr>
          <w:color w:val="auto"/>
          <w:sz w:val="20"/>
          <w:szCs w:val="20"/>
          <w:highlight w:val="none"/>
        </w:rPr>
        <w:t xml:space="preserve"> </w:t>
      </w:r>
      <w:r>
        <w:rPr>
          <w:color w:val="auto"/>
          <w:spacing w:val="10"/>
          <w:sz w:val="20"/>
          <w:szCs w:val="20"/>
          <w:highlight w:val="none"/>
        </w:rPr>
        <w:t>对道路抛酒物、河道水体污染:绿化带破坏等多种场景，人工巡查不仅耗时耗力，而且难以实</w:t>
      </w:r>
      <w:r>
        <w:rPr>
          <w:color w:val="auto"/>
          <w:spacing w:val="6"/>
          <w:sz w:val="20"/>
          <w:szCs w:val="20"/>
          <w:highlight w:val="none"/>
        </w:rPr>
        <w:t xml:space="preserve"> </w:t>
      </w:r>
      <w:r>
        <w:rPr>
          <w:color w:val="auto"/>
          <w:spacing w:val="7"/>
          <w:sz w:val="20"/>
          <w:szCs w:val="20"/>
          <w:highlight w:val="none"/>
        </w:rPr>
        <w:t>现全域的实时监管。</w:t>
      </w:r>
    </w:p>
    <w:p w14:paraId="6D68702F">
      <w:pPr>
        <w:pStyle w:val="3"/>
        <w:spacing w:before="1" w:line="376" w:lineRule="auto"/>
        <w:ind w:left="4" w:right="56" w:firstLine="420"/>
        <w:rPr>
          <w:color w:val="auto"/>
          <w:sz w:val="20"/>
          <w:szCs w:val="20"/>
          <w:highlight w:val="none"/>
        </w:rPr>
      </w:pPr>
      <w:r>
        <w:rPr>
          <w:color w:val="auto"/>
          <w:spacing w:val="8"/>
          <w:sz w:val="20"/>
          <w:szCs w:val="20"/>
          <w:highlight w:val="none"/>
        </w:rPr>
        <w:t>二是管理需求复杂、协同困难。涉及路面维</w:t>
      </w:r>
      <w:r>
        <w:rPr>
          <w:color w:val="auto"/>
          <w:spacing w:val="7"/>
          <w:sz w:val="20"/>
          <w:szCs w:val="20"/>
          <w:highlight w:val="none"/>
        </w:rPr>
        <w:t>护、垃圾堆放处理、设施管理、汛情防控等多</w:t>
      </w:r>
      <w:r>
        <w:rPr>
          <w:color w:val="auto"/>
          <w:sz w:val="20"/>
          <w:szCs w:val="20"/>
          <w:highlight w:val="none"/>
        </w:rPr>
        <w:t xml:space="preserve"> </w:t>
      </w:r>
      <w:r>
        <w:rPr>
          <w:color w:val="auto"/>
          <w:spacing w:val="9"/>
          <w:sz w:val="20"/>
          <w:szCs w:val="20"/>
          <w:highlight w:val="none"/>
        </w:rPr>
        <w:t>维度需求,缺乏统一的数据平台支撑,难以实现“</w:t>
      </w:r>
      <w:r>
        <w:rPr>
          <w:color w:val="auto"/>
          <w:spacing w:val="8"/>
          <w:sz w:val="20"/>
          <w:szCs w:val="20"/>
          <w:highlight w:val="none"/>
        </w:rPr>
        <w:t>一网统管</w:t>
      </w:r>
      <w:r>
        <w:rPr>
          <w:color w:val="auto"/>
          <w:spacing w:val="-70"/>
          <w:sz w:val="20"/>
          <w:szCs w:val="20"/>
          <w:highlight w:val="none"/>
        </w:rPr>
        <w:t xml:space="preserve"> </w:t>
      </w:r>
      <w:r>
        <w:rPr>
          <w:color w:val="auto"/>
          <w:spacing w:val="8"/>
          <w:sz w:val="20"/>
          <w:szCs w:val="20"/>
          <w:highlight w:val="none"/>
        </w:rPr>
        <w:t>”。</w:t>
      </w:r>
    </w:p>
    <w:p w14:paraId="2B5E0690">
      <w:pPr>
        <w:pStyle w:val="3"/>
        <w:spacing w:before="1" w:line="377" w:lineRule="auto"/>
        <w:ind w:right="54" w:firstLine="420"/>
        <w:rPr>
          <w:color w:val="auto"/>
          <w:sz w:val="20"/>
          <w:szCs w:val="20"/>
          <w:highlight w:val="none"/>
        </w:rPr>
      </w:pPr>
      <w:r>
        <w:rPr>
          <w:color w:val="auto"/>
          <w:spacing w:val="8"/>
          <w:sz w:val="20"/>
          <w:szCs w:val="20"/>
          <w:highlight w:val="none"/>
        </w:rPr>
        <w:t>三是应急响应迟缓、隐患处置不及时。人工巡查在面对火</w:t>
      </w:r>
      <w:r>
        <w:rPr>
          <w:color w:val="auto"/>
          <w:spacing w:val="7"/>
          <w:sz w:val="20"/>
          <w:szCs w:val="20"/>
          <w:highlight w:val="none"/>
        </w:rPr>
        <w:t>情、违规施工等突发事件时，响</w:t>
      </w:r>
      <w:r>
        <w:rPr>
          <w:color w:val="auto"/>
          <w:sz w:val="20"/>
          <w:szCs w:val="20"/>
          <w:highlight w:val="none"/>
        </w:rPr>
        <w:t xml:space="preserve"> </w:t>
      </w:r>
      <w:r>
        <w:rPr>
          <w:color w:val="auto"/>
          <w:spacing w:val="9"/>
          <w:sz w:val="20"/>
          <w:szCs w:val="20"/>
          <w:highlight w:val="none"/>
        </w:rPr>
        <w:t>应速度不够及时，存在较大的安全隐患和管理漏洞。</w:t>
      </w:r>
    </w:p>
    <w:p w14:paraId="66C3F97D">
      <w:pPr>
        <w:pStyle w:val="3"/>
        <w:spacing w:before="1" w:line="377" w:lineRule="auto"/>
        <w:ind w:right="54" w:firstLine="419"/>
        <w:jc w:val="both"/>
        <w:rPr>
          <w:color w:val="auto"/>
          <w:sz w:val="20"/>
          <w:szCs w:val="20"/>
          <w:highlight w:val="none"/>
        </w:rPr>
      </w:pPr>
      <w:r>
        <w:rPr>
          <w:color w:val="auto"/>
          <w:spacing w:val="8"/>
          <w:sz w:val="20"/>
          <w:szCs w:val="20"/>
          <w:highlight w:val="none"/>
        </w:rPr>
        <w:t>近年来，高点监控和无人机已在各行业得到广泛深入的应用</w:t>
      </w:r>
      <w:r>
        <w:rPr>
          <w:color w:val="auto"/>
          <w:spacing w:val="7"/>
          <w:sz w:val="20"/>
          <w:szCs w:val="20"/>
          <w:highlight w:val="none"/>
        </w:rPr>
        <w:t>，特别是在城市治理、市容监</w:t>
      </w:r>
      <w:r>
        <w:rPr>
          <w:color w:val="auto"/>
          <w:sz w:val="20"/>
          <w:szCs w:val="20"/>
          <w:highlight w:val="none"/>
        </w:rPr>
        <w:t xml:space="preserve"> </w:t>
      </w:r>
      <w:r>
        <w:rPr>
          <w:color w:val="auto"/>
          <w:spacing w:val="8"/>
          <w:sz w:val="20"/>
          <w:szCs w:val="20"/>
          <w:highlight w:val="none"/>
        </w:rPr>
        <w:t>管、应急领域。当前园区城市管理面临人力依赖度高、响应滞后、盲区</w:t>
      </w:r>
      <w:r>
        <w:rPr>
          <w:color w:val="auto"/>
          <w:spacing w:val="7"/>
          <w:sz w:val="20"/>
          <w:szCs w:val="20"/>
          <w:highlight w:val="none"/>
        </w:rPr>
        <w:t>覆盖难等核心痛点，依</w:t>
      </w:r>
      <w:r>
        <w:rPr>
          <w:color w:val="auto"/>
          <w:sz w:val="20"/>
          <w:szCs w:val="20"/>
          <w:highlight w:val="none"/>
        </w:rPr>
        <w:t xml:space="preserve"> </w:t>
      </w:r>
      <w:r>
        <w:rPr>
          <w:color w:val="auto"/>
          <w:spacing w:val="10"/>
          <w:sz w:val="20"/>
          <w:szCs w:val="20"/>
          <w:highlight w:val="none"/>
        </w:rPr>
        <w:t xml:space="preserve">托监控 </w:t>
      </w:r>
      <w:r>
        <w:rPr>
          <w:color w:val="auto"/>
          <w:sz w:val="20"/>
          <w:szCs w:val="20"/>
          <w:highlight w:val="none"/>
        </w:rPr>
        <w:t>AI</w:t>
      </w:r>
      <w:r>
        <w:rPr>
          <w:color w:val="auto"/>
          <w:spacing w:val="10"/>
          <w:sz w:val="20"/>
          <w:szCs w:val="20"/>
          <w:highlight w:val="none"/>
        </w:rPr>
        <w:t xml:space="preserve"> 识别、物联网、大数据等技术，</w:t>
      </w:r>
      <w:r>
        <w:rPr>
          <w:color w:val="auto"/>
          <w:spacing w:val="9"/>
          <w:sz w:val="20"/>
          <w:szCs w:val="20"/>
          <w:highlight w:val="none"/>
        </w:rPr>
        <w:t>构建“全域感知一智能分析-协同处置</w:t>
      </w:r>
      <w:r>
        <w:rPr>
          <w:color w:val="auto"/>
          <w:spacing w:val="-70"/>
          <w:sz w:val="20"/>
          <w:szCs w:val="20"/>
          <w:highlight w:val="none"/>
        </w:rPr>
        <w:t xml:space="preserve"> </w:t>
      </w:r>
      <w:r>
        <w:rPr>
          <w:color w:val="auto"/>
          <w:spacing w:val="9"/>
          <w:sz w:val="20"/>
          <w:szCs w:val="20"/>
          <w:highlight w:val="none"/>
        </w:rPr>
        <w:t>”的闭环治</w:t>
      </w:r>
      <w:r>
        <w:rPr>
          <w:color w:val="auto"/>
          <w:sz w:val="20"/>
          <w:szCs w:val="20"/>
          <w:highlight w:val="none"/>
        </w:rPr>
        <w:t xml:space="preserve"> </w:t>
      </w:r>
      <w:r>
        <w:rPr>
          <w:color w:val="auto"/>
          <w:spacing w:val="9"/>
          <w:sz w:val="20"/>
          <w:szCs w:val="20"/>
          <w:highlight w:val="none"/>
        </w:rPr>
        <w:t>理，对全面提升园区城市精细化管理意义重大。</w:t>
      </w:r>
    </w:p>
    <w:p w14:paraId="33378C63">
      <w:pPr>
        <w:pStyle w:val="3"/>
        <w:spacing w:before="1" w:line="227" w:lineRule="auto"/>
        <w:ind w:left="4"/>
        <w:rPr>
          <w:color w:val="auto"/>
          <w:sz w:val="20"/>
          <w:szCs w:val="20"/>
          <w:highlight w:val="none"/>
        </w:rPr>
      </w:pPr>
      <w:r>
        <w:rPr>
          <w:b/>
          <w:bCs/>
          <w:color w:val="auto"/>
          <w:spacing w:val="6"/>
          <w:sz w:val="20"/>
          <w:szCs w:val="20"/>
          <w:highlight w:val="none"/>
        </w:rPr>
        <w:t>二、项目概况</w:t>
      </w:r>
    </w:p>
    <w:p w14:paraId="2593C789">
      <w:pPr>
        <w:pStyle w:val="3"/>
        <w:spacing w:before="162" w:line="377" w:lineRule="auto"/>
        <w:ind w:left="1" w:right="54" w:firstLine="420"/>
        <w:jc w:val="both"/>
        <w:rPr>
          <w:color w:val="auto"/>
          <w:sz w:val="20"/>
          <w:szCs w:val="20"/>
          <w:highlight w:val="none"/>
        </w:rPr>
      </w:pPr>
      <w:r>
        <w:rPr>
          <w:color w:val="auto"/>
          <w:spacing w:val="6"/>
          <w:sz w:val="20"/>
          <w:szCs w:val="20"/>
          <w:highlight w:val="none"/>
        </w:rPr>
        <w:t>此次“</w:t>
      </w:r>
      <w:r>
        <w:rPr>
          <w:color w:val="auto"/>
          <w:spacing w:val="-67"/>
          <w:sz w:val="20"/>
          <w:szCs w:val="20"/>
          <w:highlight w:val="none"/>
        </w:rPr>
        <w:t xml:space="preserve"> </w:t>
      </w:r>
      <w:r>
        <w:rPr>
          <w:rFonts w:hint="eastAsia"/>
          <w:color w:val="auto"/>
          <w:spacing w:val="6"/>
          <w:sz w:val="20"/>
          <w:szCs w:val="20"/>
          <w:highlight w:val="none"/>
          <w:lang w:eastAsia="zh-CN"/>
        </w:rPr>
        <w:t>中新苏滁高新区无人机智能巡检服务项目</w:t>
      </w:r>
      <w:r>
        <w:rPr>
          <w:color w:val="auto"/>
          <w:spacing w:val="-70"/>
          <w:sz w:val="20"/>
          <w:szCs w:val="20"/>
          <w:highlight w:val="none"/>
        </w:rPr>
        <w:t xml:space="preserve"> </w:t>
      </w:r>
      <w:r>
        <w:rPr>
          <w:color w:val="auto"/>
          <w:spacing w:val="6"/>
          <w:sz w:val="20"/>
          <w:szCs w:val="20"/>
          <w:highlight w:val="none"/>
        </w:rPr>
        <w:t>”利用高点监控和无人机对园区巡护，突破时间</w:t>
      </w:r>
      <w:r>
        <w:rPr>
          <w:color w:val="auto"/>
          <w:spacing w:val="8"/>
          <w:sz w:val="20"/>
          <w:szCs w:val="20"/>
          <w:highlight w:val="none"/>
        </w:rPr>
        <w:t>和空间的限制，大大提升巡护效率，巡检频率由周次提升至日次，巡</w:t>
      </w:r>
      <w:r>
        <w:rPr>
          <w:color w:val="auto"/>
          <w:spacing w:val="7"/>
          <w:sz w:val="20"/>
          <w:szCs w:val="20"/>
          <w:highlight w:val="none"/>
        </w:rPr>
        <w:t>检结果能够快速、精准输</w:t>
      </w:r>
      <w:r>
        <w:rPr>
          <w:color w:val="auto"/>
          <w:spacing w:val="8"/>
          <w:sz w:val="20"/>
          <w:szCs w:val="20"/>
          <w:highlight w:val="none"/>
        </w:rPr>
        <w:t>出，在突发绿化严重破坏、垃圾堆放、火情等现象时，可快速响应，</w:t>
      </w:r>
      <w:r>
        <w:rPr>
          <w:color w:val="auto"/>
          <w:spacing w:val="7"/>
          <w:sz w:val="20"/>
          <w:szCs w:val="20"/>
          <w:highlight w:val="none"/>
        </w:rPr>
        <w:t>配合处置，减少因反应慢</w:t>
      </w:r>
      <w:r>
        <w:rPr>
          <w:color w:val="auto"/>
          <w:spacing w:val="9"/>
          <w:sz w:val="20"/>
          <w:szCs w:val="20"/>
          <w:highlight w:val="none"/>
        </w:rPr>
        <w:t>导致的不良影响。同时无人机场建设可极大减少人力成本以及传统信息化设备的资金投入。</w:t>
      </w:r>
    </w:p>
    <w:p w14:paraId="024FA088">
      <w:pPr>
        <w:pStyle w:val="3"/>
        <w:spacing w:before="1" w:line="227" w:lineRule="auto"/>
        <w:ind w:left="425"/>
        <w:rPr>
          <w:color w:val="auto"/>
          <w:sz w:val="20"/>
          <w:szCs w:val="20"/>
          <w:highlight w:val="none"/>
        </w:rPr>
      </w:pPr>
      <w:r>
        <w:rPr>
          <w:color w:val="auto"/>
          <w:spacing w:val="8"/>
          <w:sz w:val="20"/>
          <w:szCs w:val="20"/>
          <w:highlight w:val="none"/>
        </w:rPr>
        <w:t>结合园区监管工作开展情况，主要功能要求如下：</w:t>
      </w:r>
    </w:p>
    <w:p w14:paraId="4CEE1274">
      <w:pPr>
        <w:pStyle w:val="3"/>
        <w:spacing w:before="161" w:line="327" w:lineRule="auto"/>
        <w:ind w:left="1" w:right="23" w:firstLine="434"/>
        <w:rPr>
          <w:color w:val="auto"/>
          <w:sz w:val="20"/>
          <w:szCs w:val="20"/>
          <w:highlight w:val="none"/>
        </w:rPr>
      </w:pPr>
      <w:r>
        <w:rPr>
          <w:color w:val="auto"/>
          <w:spacing w:val="10"/>
          <w:sz w:val="20"/>
          <w:szCs w:val="20"/>
          <w:highlight w:val="none"/>
        </w:rPr>
        <w:t>1、绿化带黄土裸露告警。通过高点视频监控市政道路两侧、中央部分绿化带破坏情况，</w:t>
      </w:r>
      <w:r>
        <w:rPr>
          <w:color w:val="auto"/>
          <w:spacing w:val="8"/>
          <w:sz w:val="20"/>
          <w:szCs w:val="20"/>
          <w:highlight w:val="none"/>
        </w:rPr>
        <w:t xml:space="preserve"> </w:t>
      </w:r>
      <w:r>
        <w:rPr>
          <w:color w:val="auto"/>
          <w:spacing w:val="9"/>
          <w:sz w:val="20"/>
          <w:szCs w:val="20"/>
          <w:highlight w:val="none"/>
        </w:rPr>
        <w:t>智能识别绿化带中因人员踩踏、施工作业等</w:t>
      </w:r>
      <w:r>
        <w:rPr>
          <w:color w:val="auto"/>
          <w:spacing w:val="8"/>
          <w:sz w:val="20"/>
          <w:szCs w:val="20"/>
          <w:highlight w:val="none"/>
        </w:rPr>
        <w:t>造成的成片裸露黄土，发现后及时产生告警信息，</w:t>
      </w:r>
      <w:r>
        <w:rPr>
          <w:color w:val="auto"/>
          <w:sz w:val="20"/>
          <w:szCs w:val="20"/>
          <w:highlight w:val="none"/>
        </w:rPr>
        <w:t xml:space="preserve"> </w:t>
      </w:r>
      <w:r>
        <w:rPr>
          <w:color w:val="auto"/>
          <w:spacing w:val="8"/>
          <w:sz w:val="20"/>
          <w:szCs w:val="20"/>
          <w:highlight w:val="none"/>
        </w:rPr>
        <w:t>支持推送相关管理部门处置。</w:t>
      </w:r>
    </w:p>
    <w:p w14:paraId="1C61C710">
      <w:pPr>
        <w:pStyle w:val="3"/>
        <w:spacing w:before="161" w:line="329" w:lineRule="auto"/>
        <w:ind w:left="2" w:right="54" w:firstLine="420"/>
        <w:rPr>
          <w:color w:val="auto"/>
          <w:sz w:val="20"/>
          <w:szCs w:val="20"/>
          <w:highlight w:val="none"/>
        </w:rPr>
      </w:pPr>
      <w:r>
        <w:rPr>
          <w:color w:val="auto"/>
          <w:spacing w:val="10"/>
          <w:sz w:val="20"/>
          <w:szCs w:val="20"/>
          <w:highlight w:val="none"/>
        </w:rPr>
        <w:t>2、垃圾堆放告警。通过高点监控、无人机对园区内进行巡查，智能识别道路两侧、空地</w:t>
      </w:r>
      <w:r>
        <w:rPr>
          <w:color w:val="auto"/>
          <w:spacing w:val="5"/>
          <w:sz w:val="20"/>
          <w:szCs w:val="20"/>
          <w:highlight w:val="none"/>
        </w:rPr>
        <w:t xml:space="preserve"> </w:t>
      </w:r>
      <w:r>
        <w:rPr>
          <w:color w:val="auto"/>
          <w:spacing w:val="8"/>
          <w:sz w:val="20"/>
          <w:szCs w:val="20"/>
          <w:highlight w:val="none"/>
        </w:rPr>
        <w:t>等区域异常堆放生活垃圾、建筑垃圾的情况，发现后及时产生告警</w:t>
      </w:r>
      <w:r>
        <w:rPr>
          <w:color w:val="auto"/>
          <w:spacing w:val="7"/>
          <w:sz w:val="20"/>
          <w:szCs w:val="20"/>
          <w:highlight w:val="none"/>
        </w:rPr>
        <w:t>信息，支持推送相关管理部</w:t>
      </w:r>
      <w:r>
        <w:rPr>
          <w:color w:val="auto"/>
          <w:sz w:val="20"/>
          <w:szCs w:val="20"/>
          <w:highlight w:val="none"/>
        </w:rPr>
        <w:t xml:space="preserve"> </w:t>
      </w:r>
      <w:r>
        <w:rPr>
          <w:color w:val="auto"/>
          <w:spacing w:val="4"/>
          <w:sz w:val="20"/>
          <w:szCs w:val="20"/>
          <w:highlight w:val="none"/>
        </w:rPr>
        <w:t>门处置。</w:t>
      </w:r>
    </w:p>
    <w:p w14:paraId="58CF4F36">
      <w:pPr>
        <w:pStyle w:val="3"/>
        <w:spacing w:before="156" w:line="303" w:lineRule="auto"/>
        <w:ind w:left="1" w:right="54" w:firstLine="423"/>
        <w:rPr>
          <w:color w:val="auto"/>
          <w:sz w:val="20"/>
          <w:szCs w:val="20"/>
          <w:highlight w:val="none"/>
        </w:rPr>
      </w:pPr>
      <w:r>
        <w:rPr>
          <w:color w:val="auto"/>
          <w:spacing w:val="10"/>
          <w:sz w:val="20"/>
          <w:szCs w:val="20"/>
          <w:highlight w:val="none"/>
        </w:rPr>
        <w:t>3、河道漂浮物告警。通过高点视频监控园区内河道流域，智能识别漂浮在河道水面的垃</w:t>
      </w:r>
      <w:r>
        <w:rPr>
          <w:color w:val="auto"/>
          <w:spacing w:val="3"/>
          <w:sz w:val="20"/>
          <w:szCs w:val="20"/>
          <w:highlight w:val="none"/>
        </w:rPr>
        <w:t xml:space="preserve"> </w:t>
      </w:r>
      <w:r>
        <w:rPr>
          <w:color w:val="auto"/>
          <w:spacing w:val="9"/>
          <w:sz w:val="20"/>
          <w:szCs w:val="20"/>
          <w:highlight w:val="none"/>
        </w:rPr>
        <w:t>圾、浮木、水草等漂浮物，发现后及时产生告警信息，支持推送相关管理部门处置。</w:t>
      </w:r>
    </w:p>
    <w:p w14:paraId="1537AB18">
      <w:pPr>
        <w:pStyle w:val="3"/>
        <w:spacing w:before="163" w:line="226" w:lineRule="auto"/>
        <w:ind w:left="420"/>
        <w:rPr>
          <w:color w:val="auto"/>
          <w:sz w:val="20"/>
          <w:szCs w:val="20"/>
          <w:highlight w:val="none"/>
        </w:rPr>
      </w:pPr>
      <w:r>
        <w:rPr>
          <w:color w:val="auto"/>
          <w:spacing w:val="10"/>
          <w:sz w:val="20"/>
          <w:szCs w:val="20"/>
          <w:highlight w:val="none"/>
        </w:rPr>
        <w:t>4、焚烧烟火告警。通过高点视频、无人机对园区内进行巡查，智能识别园区内因焚烧垃</w:t>
      </w:r>
      <w:r>
        <w:rPr>
          <w:color w:val="auto"/>
          <w:spacing w:val="9"/>
          <w:sz w:val="20"/>
          <w:szCs w:val="20"/>
          <w:highlight w:val="none"/>
        </w:rPr>
        <w:t>圾或秸秆产生的烟雾、火点，发现火情后及时产生告警信息，支持推送相关管理部门处置。</w:t>
      </w:r>
    </w:p>
    <w:p w14:paraId="5F3C1287">
      <w:pPr>
        <w:pStyle w:val="3"/>
        <w:spacing w:before="162" w:line="301" w:lineRule="auto"/>
        <w:ind w:left="131" w:right="124" w:firstLine="425"/>
        <w:rPr>
          <w:color w:val="auto"/>
          <w:sz w:val="20"/>
          <w:szCs w:val="20"/>
          <w:highlight w:val="none"/>
        </w:rPr>
      </w:pPr>
      <w:r>
        <w:rPr>
          <w:color w:val="auto"/>
          <w:spacing w:val="10"/>
          <w:sz w:val="20"/>
          <w:szCs w:val="20"/>
          <w:highlight w:val="none"/>
        </w:rPr>
        <w:t>5、</w:t>
      </w:r>
      <w:r>
        <w:rPr>
          <w:rFonts w:hint="eastAsia"/>
          <w:color w:val="auto"/>
          <w:spacing w:val="10"/>
          <w:sz w:val="20"/>
          <w:szCs w:val="20"/>
          <w:highlight w:val="none"/>
          <w:lang w:eastAsia="zh-CN"/>
        </w:rPr>
        <w:t>企业出入口</w:t>
      </w:r>
      <w:r>
        <w:rPr>
          <w:color w:val="auto"/>
          <w:spacing w:val="10"/>
          <w:sz w:val="20"/>
          <w:szCs w:val="20"/>
          <w:highlight w:val="none"/>
        </w:rPr>
        <w:t>占用告警。通过高点视频监控园区内小区、工业区，智能识别车辆违规停放</w:t>
      </w:r>
      <w:r>
        <w:rPr>
          <w:color w:val="auto"/>
          <w:spacing w:val="3"/>
          <w:sz w:val="20"/>
          <w:szCs w:val="20"/>
          <w:highlight w:val="none"/>
        </w:rPr>
        <w:t xml:space="preserve"> </w:t>
      </w:r>
      <w:r>
        <w:rPr>
          <w:color w:val="auto"/>
          <w:spacing w:val="9"/>
          <w:sz w:val="20"/>
          <w:szCs w:val="20"/>
          <w:highlight w:val="none"/>
        </w:rPr>
        <w:t>在消防车通道或企业门口,发现车道占用后及时产生告警信息，支持报送相关执法部门处置。</w:t>
      </w:r>
    </w:p>
    <w:p w14:paraId="2B99182B">
      <w:pPr>
        <w:pStyle w:val="3"/>
        <w:spacing w:before="164" w:line="227" w:lineRule="auto"/>
        <w:ind w:left="553"/>
        <w:rPr>
          <w:color w:val="auto"/>
          <w:sz w:val="20"/>
          <w:szCs w:val="20"/>
          <w:highlight w:val="none"/>
        </w:rPr>
      </w:pPr>
      <w:r>
        <w:rPr>
          <w:color w:val="auto"/>
          <w:spacing w:val="9"/>
          <w:sz w:val="20"/>
          <w:szCs w:val="20"/>
          <w:highlight w:val="none"/>
        </w:rPr>
        <w:t>6、路面异物监测。重点道路路面异物，如：废纸盒子、木板、泡沫、塑料袋等。</w:t>
      </w:r>
    </w:p>
    <w:p w14:paraId="1FC19537">
      <w:pPr>
        <w:pStyle w:val="3"/>
        <w:spacing w:before="164" w:line="302" w:lineRule="auto"/>
        <w:ind w:left="134" w:right="124" w:firstLine="422"/>
        <w:rPr>
          <w:color w:val="auto"/>
          <w:sz w:val="20"/>
          <w:szCs w:val="20"/>
          <w:highlight w:val="none"/>
        </w:rPr>
      </w:pPr>
      <w:r>
        <w:rPr>
          <w:color w:val="auto"/>
          <w:spacing w:val="10"/>
          <w:sz w:val="20"/>
          <w:szCs w:val="20"/>
          <w:highlight w:val="none"/>
        </w:rPr>
        <w:t>7、重点项目进展监测。及时掌握园区在建重点工程项目建设进度，推动项目早开工、早</w:t>
      </w:r>
      <w:r>
        <w:rPr>
          <w:color w:val="auto"/>
          <w:spacing w:val="2"/>
          <w:sz w:val="20"/>
          <w:szCs w:val="20"/>
          <w:highlight w:val="none"/>
        </w:rPr>
        <w:t xml:space="preserve"> 投产。</w:t>
      </w:r>
    </w:p>
    <w:p w14:paraId="1E4AB64B">
      <w:pPr>
        <w:pStyle w:val="3"/>
        <w:spacing w:before="161" w:line="228" w:lineRule="auto"/>
        <w:ind w:left="132"/>
        <w:rPr>
          <w:color w:val="auto"/>
          <w:sz w:val="20"/>
          <w:szCs w:val="20"/>
          <w:highlight w:val="none"/>
        </w:rPr>
      </w:pPr>
      <w:r>
        <w:rPr>
          <w:b/>
          <w:bCs/>
          <w:color w:val="auto"/>
          <w:spacing w:val="6"/>
          <w:sz w:val="20"/>
          <w:szCs w:val="20"/>
          <w:highlight w:val="none"/>
        </w:rPr>
        <w:t>三、服务内容</w:t>
      </w:r>
    </w:p>
    <w:p w14:paraId="14317496">
      <w:pPr>
        <w:pStyle w:val="3"/>
        <w:spacing w:before="162" w:line="377" w:lineRule="auto"/>
        <w:ind w:left="132" w:right="124" w:firstLine="420"/>
        <w:jc w:val="both"/>
        <w:rPr>
          <w:color w:val="auto"/>
          <w:sz w:val="20"/>
          <w:szCs w:val="20"/>
          <w:highlight w:val="none"/>
        </w:rPr>
      </w:pPr>
      <w:r>
        <w:rPr>
          <w:color w:val="auto"/>
          <w:spacing w:val="8"/>
          <w:sz w:val="20"/>
          <w:szCs w:val="20"/>
          <w:highlight w:val="none"/>
        </w:rPr>
        <w:t>针对园区业务监管需求，以高点监控及无人机自动巡检机</w:t>
      </w:r>
      <w:r>
        <w:rPr>
          <w:color w:val="auto"/>
          <w:spacing w:val="7"/>
          <w:sz w:val="20"/>
          <w:szCs w:val="20"/>
          <w:highlight w:val="none"/>
        </w:rPr>
        <w:t>场为核心，实现对苏滁高新园区</w:t>
      </w:r>
      <w:r>
        <w:rPr>
          <w:color w:val="auto"/>
          <w:spacing w:val="8"/>
          <w:sz w:val="20"/>
          <w:szCs w:val="20"/>
          <w:highlight w:val="none"/>
        </w:rPr>
        <w:t>全方位巡护管理。当园区内出现异常告警后，可利用机塔联动调派无人</w:t>
      </w:r>
      <w:r>
        <w:rPr>
          <w:color w:val="auto"/>
          <w:spacing w:val="7"/>
          <w:sz w:val="20"/>
          <w:szCs w:val="20"/>
          <w:highlight w:val="none"/>
        </w:rPr>
        <w:t>机快速抵近事件点进行核查。本项目拟采购</w:t>
      </w:r>
      <w:r>
        <w:rPr>
          <w:rFonts w:hint="eastAsia"/>
          <w:color w:val="auto"/>
          <w:spacing w:val="7"/>
          <w:sz w:val="20"/>
          <w:szCs w:val="20"/>
          <w:highlight w:val="none"/>
          <w:lang w:val="en-US" w:eastAsia="zh-CN"/>
        </w:rPr>
        <w:t>不少于</w:t>
      </w:r>
      <w:r>
        <w:rPr>
          <w:color w:val="auto"/>
          <w:spacing w:val="-35"/>
          <w:sz w:val="20"/>
          <w:szCs w:val="20"/>
          <w:highlight w:val="none"/>
        </w:rPr>
        <w:t xml:space="preserve"> </w:t>
      </w:r>
      <w:r>
        <w:rPr>
          <w:color w:val="auto"/>
          <w:spacing w:val="7"/>
          <w:sz w:val="20"/>
          <w:szCs w:val="20"/>
          <w:highlight w:val="none"/>
        </w:rPr>
        <w:t>3</w:t>
      </w:r>
      <w:r>
        <w:rPr>
          <w:color w:val="auto"/>
          <w:spacing w:val="-34"/>
          <w:sz w:val="20"/>
          <w:szCs w:val="20"/>
          <w:highlight w:val="none"/>
        </w:rPr>
        <w:t xml:space="preserve"> </w:t>
      </w:r>
      <w:r>
        <w:rPr>
          <w:color w:val="auto"/>
          <w:spacing w:val="7"/>
          <w:sz w:val="20"/>
          <w:szCs w:val="20"/>
          <w:highlight w:val="none"/>
        </w:rPr>
        <w:t>处无人机机场、15</w:t>
      </w:r>
      <w:r>
        <w:rPr>
          <w:color w:val="auto"/>
          <w:spacing w:val="-34"/>
          <w:sz w:val="20"/>
          <w:szCs w:val="20"/>
          <w:highlight w:val="none"/>
        </w:rPr>
        <w:t xml:space="preserve"> </w:t>
      </w:r>
      <w:r>
        <w:rPr>
          <w:color w:val="auto"/>
          <w:spacing w:val="7"/>
          <w:sz w:val="20"/>
          <w:szCs w:val="20"/>
          <w:highlight w:val="none"/>
        </w:rPr>
        <w:t>处</w:t>
      </w:r>
      <w:r>
        <w:rPr>
          <w:rFonts w:hint="eastAsia"/>
          <w:color w:val="auto"/>
          <w:spacing w:val="7"/>
          <w:sz w:val="20"/>
          <w:szCs w:val="20"/>
          <w:highlight w:val="none"/>
          <w:lang w:val="en-US" w:eastAsia="zh-CN"/>
        </w:rPr>
        <w:t>30米的</w:t>
      </w:r>
      <w:r>
        <w:rPr>
          <w:color w:val="auto"/>
          <w:spacing w:val="7"/>
          <w:sz w:val="20"/>
          <w:szCs w:val="20"/>
          <w:highlight w:val="none"/>
        </w:rPr>
        <w:t>高点监控，</w:t>
      </w:r>
      <w:r>
        <w:rPr>
          <w:color w:val="auto"/>
          <w:spacing w:val="6"/>
          <w:sz w:val="20"/>
          <w:szCs w:val="20"/>
          <w:highlight w:val="none"/>
        </w:rPr>
        <w:t>利旧</w:t>
      </w:r>
      <w:r>
        <w:rPr>
          <w:color w:val="auto"/>
          <w:spacing w:val="-21"/>
          <w:sz w:val="20"/>
          <w:szCs w:val="20"/>
          <w:highlight w:val="none"/>
        </w:rPr>
        <w:t xml:space="preserve"> </w:t>
      </w:r>
      <w:r>
        <w:rPr>
          <w:color w:val="auto"/>
          <w:spacing w:val="6"/>
          <w:sz w:val="20"/>
          <w:szCs w:val="20"/>
          <w:highlight w:val="none"/>
        </w:rPr>
        <w:t>1</w:t>
      </w:r>
      <w:r>
        <w:rPr>
          <w:color w:val="auto"/>
          <w:spacing w:val="-36"/>
          <w:sz w:val="20"/>
          <w:szCs w:val="20"/>
          <w:highlight w:val="none"/>
        </w:rPr>
        <w:t xml:space="preserve"> </w:t>
      </w:r>
      <w:r>
        <w:rPr>
          <w:color w:val="auto"/>
          <w:spacing w:val="6"/>
          <w:sz w:val="20"/>
          <w:szCs w:val="20"/>
          <w:highlight w:val="none"/>
        </w:rPr>
        <w:t>处高点监控服务。</w:t>
      </w:r>
    </w:p>
    <w:p w14:paraId="463FEA69">
      <w:pPr>
        <w:spacing w:before="65" w:line="231" w:lineRule="auto"/>
        <w:ind w:left="614"/>
        <w:rPr>
          <w:color w:val="auto"/>
          <w:highlight w:val="none"/>
        </w:rPr>
      </w:pPr>
      <w:r>
        <w:rPr>
          <w:rFonts w:ascii="仿宋" w:hAnsi="仿宋" w:eastAsia="仿宋" w:cs="仿宋"/>
          <w:color w:val="auto"/>
          <w:spacing w:val="7"/>
          <w:sz w:val="20"/>
          <w:szCs w:val="20"/>
          <w:highlight w:val="none"/>
        </w:rPr>
        <w:t>2、服务内容如下：</w:t>
      </w:r>
    </w:p>
    <w:tbl>
      <w:tblPr>
        <w:tblStyle w:val="18"/>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41"/>
        <w:gridCol w:w="1455"/>
        <w:gridCol w:w="361"/>
        <w:gridCol w:w="6480"/>
        <w:gridCol w:w="279"/>
      </w:tblGrid>
      <w:tr w14:paraId="6FCAC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9" w:type="dxa"/>
          <w:trHeight w:val="418" w:hRule="atLeast"/>
        </w:trPr>
        <w:tc>
          <w:tcPr>
            <w:tcW w:w="1022" w:type="dxa"/>
            <w:noWrap w:val="0"/>
            <w:vAlign w:val="top"/>
          </w:tcPr>
          <w:p w14:paraId="727F98DA">
            <w:pPr>
              <w:keepNext w:val="0"/>
              <w:keepLines/>
              <w:pageBreakBefore w:val="0"/>
              <w:widowControl w:val="0"/>
              <w:kinsoku/>
              <w:wordWrap w:val="0"/>
              <w:overflowPunct/>
              <w:topLinePunct w:val="0"/>
              <w:autoSpaceDE/>
              <w:autoSpaceDN/>
              <w:bidi w:val="0"/>
              <w:adjustRightInd/>
              <w:snapToGrid/>
              <w:spacing w:before="35" w:line="231" w:lineRule="auto"/>
              <w:ind w:left="121"/>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序号</w:t>
            </w:r>
          </w:p>
        </w:tc>
        <w:tc>
          <w:tcPr>
            <w:tcW w:w="1596" w:type="dxa"/>
            <w:gridSpan w:val="2"/>
            <w:noWrap w:val="0"/>
            <w:vAlign w:val="top"/>
          </w:tcPr>
          <w:p w14:paraId="3B9581F9">
            <w:pPr>
              <w:keepNext w:val="0"/>
              <w:keepLines/>
              <w:pageBreakBefore w:val="0"/>
              <w:widowControl w:val="0"/>
              <w:kinsoku/>
              <w:wordWrap w:val="0"/>
              <w:overflowPunct/>
              <w:topLinePunct w:val="0"/>
              <w:autoSpaceDE/>
              <w:autoSpaceDN/>
              <w:bidi w:val="0"/>
              <w:adjustRightInd/>
              <w:snapToGrid/>
              <w:spacing w:before="35" w:line="231" w:lineRule="auto"/>
              <w:ind w:left="116"/>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服务项目</w:t>
            </w:r>
          </w:p>
        </w:tc>
        <w:tc>
          <w:tcPr>
            <w:tcW w:w="6841" w:type="dxa"/>
            <w:gridSpan w:val="2"/>
            <w:noWrap w:val="0"/>
            <w:vAlign w:val="top"/>
          </w:tcPr>
          <w:p w14:paraId="200639D7">
            <w:pPr>
              <w:keepNext w:val="0"/>
              <w:keepLines/>
              <w:pageBreakBefore w:val="0"/>
              <w:widowControl w:val="0"/>
              <w:kinsoku/>
              <w:wordWrap w:val="0"/>
              <w:overflowPunct/>
              <w:topLinePunct w:val="0"/>
              <w:autoSpaceDE/>
              <w:autoSpaceDN/>
              <w:bidi w:val="0"/>
              <w:adjustRightInd/>
              <w:snapToGrid/>
              <w:spacing w:before="35" w:line="231" w:lineRule="auto"/>
              <w:ind w:left="116"/>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服务内容</w:t>
            </w:r>
          </w:p>
        </w:tc>
      </w:tr>
      <w:tr w14:paraId="48AFB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9" w:type="dxa"/>
          <w:trHeight w:val="4822" w:hRule="atLeast"/>
        </w:trPr>
        <w:tc>
          <w:tcPr>
            <w:tcW w:w="1022" w:type="dxa"/>
            <w:noWrap w:val="0"/>
            <w:vAlign w:val="top"/>
          </w:tcPr>
          <w:p w14:paraId="3A8B7E03">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25D8CA64">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6622ECFB">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217FCE2B">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4EEEBE66">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78E64D27">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40430766">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2F149FE8">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3270C34F">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5C69FC7F">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58B51785">
            <w:pPr>
              <w:keepNext w:val="0"/>
              <w:keepLines/>
              <w:pageBreakBefore w:val="0"/>
              <w:widowControl w:val="0"/>
              <w:kinsoku/>
              <w:wordWrap w:val="0"/>
              <w:overflowPunct/>
              <w:topLinePunct w:val="0"/>
              <w:autoSpaceDE/>
              <w:autoSpaceDN/>
              <w:bidi w:val="0"/>
              <w:adjustRightInd/>
              <w:snapToGrid/>
              <w:spacing w:before="65" w:line="272" w:lineRule="exact"/>
              <w:ind w:left="130"/>
              <w:textAlignment w:val="auto"/>
              <w:rPr>
                <w:rFonts w:ascii="仿宋" w:hAnsi="仿宋" w:eastAsia="仿宋" w:cs="仿宋"/>
                <w:color w:val="auto"/>
                <w:sz w:val="20"/>
                <w:szCs w:val="20"/>
                <w:highlight w:val="none"/>
              </w:rPr>
            </w:pPr>
            <w:r>
              <w:rPr>
                <w:rFonts w:ascii="仿宋" w:hAnsi="仿宋" w:eastAsia="仿宋" w:cs="仿宋"/>
                <w:color w:val="auto"/>
                <w:position w:val="1"/>
                <w:sz w:val="20"/>
                <w:szCs w:val="20"/>
                <w:highlight w:val="none"/>
              </w:rPr>
              <w:t>1</w:t>
            </w:r>
          </w:p>
        </w:tc>
        <w:tc>
          <w:tcPr>
            <w:tcW w:w="1596" w:type="dxa"/>
            <w:gridSpan w:val="2"/>
            <w:noWrap w:val="0"/>
            <w:vAlign w:val="top"/>
          </w:tcPr>
          <w:p w14:paraId="75AE580D">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557CE390">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605E61EB">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4B5BB730">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031CCBEC">
            <w:pPr>
              <w:keepNext w:val="0"/>
              <w:keepLines/>
              <w:pageBreakBefore w:val="0"/>
              <w:widowControl w:val="0"/>
              <w:kinsoku/>
              <w:wordWrap w:val="0"/>
              <w:overflowPunct/>
              <w:topLinePunct w:val="0"/>
              <w:autoSpaceDE/>
              <w:autoSpaceDN/>
              <w:bidi w:val="0"/>
              <w:adjustRightInd/>
              <w:snapToGrid/>
              <w:spacing w:line="260" w:lineRule="auto"/>
              <w:textAlignment w:val="auto"/>
              <w:rPr>
                <w:rFonts w:ascii="Arial"/>
                <w:color w:val="auto"/>
                <w:sz w:val="21"/>
                <w:highlight w:val="none"/>
              </w:rPr>
            </w:pPr>
          </w:p>
          <w:p w14:paraId="669946C4">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1AF26A59">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34D57119">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65076081">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5D6EE935">
            <w:pPr>
              <w:keepNext w:val="0"/>
              <w:keepLines/>
              <w:pageBreakBefore w:val="0"/>
              <w:widowControl w:val="0"/>
              <w:kinsoku/>
              <w:wordWrap w:val="0"/>
              <w:overflowPunct/>
              <w:topLinePunct w:val="0"/>
              <w:autoSpaceDE/>
              <w:autoSpaceDN/>
              <w:bidi w:val="0"/>
              <w:adjustRightInd/>
              <w:snapToGrid/>
              <w:spacing w:line="261" w:lineRule="auto"/>
              <w:textAlignment w:val="auto"/>
              <w:rPr>
                <w:rFonts w:ascii="Arial"/>
                <w:color w:val="auto"/>
                <w:sz w:val="21"/>
                <w:highlight w:val="none"/>
              </w:rPr>
            </w:pPr>
          </w:p>
          <w:p w14:paraId="66CCB89E">
            <w:pPr>
              <w:keepNext w:val="0"/>
              <w:keepLines/>
              <w:pageBreakBefore w:val="0"/>
              <w:widowControl w:val="0"/>
              <w:kinsoku/>
              <w:wordWrap w:val="0"/>
              <w:overflowPunct/>
              <w:topLinePunct w:val="0"/>
              <w:autoSpaceDE/>
              <w:autoSpaceDN/>
              <w:bidi w:val="0"/>
              <w:adjustRightInd/>
              <w:snapToGrid/>
              <w:spacing w:before="65"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视频监控服务</w:t>
            </w:r>
          </w:p>
        </w:tc>
        <w:tc>
          <w:tcPr>
            <w:tcW w:w="6841" w:type="dxa"/>
            <w:gridSpan w:val="2"/>
            <w:noWrap w:val="0"/>
            <w:vAlign w:val="top"/>
          </w:tcPr>
          <w:p w14:paraId="5812BD2F">
            <w:pPr>
              <w:keepNext w:val="0"/>
              <w:keepLines/>
              <w:pageBreakBefore w:val="0"/>
              <w:widowControl w:val="0"/>
              <w:kinsoku/>
              <w:wordWrap w:val="0"/>
              <w:overflowPunct/>
              <w:topLinePunct w:val="0"/>
              <w:autoSpaceDE/>
              <w:autoSpaceDN/>
              <w:bidi w:val="0"/>
              <w:adjustRightInd/>
              <w:snapToGrid/>
              <w:spacing w:before="32"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77828D7B">
            <w:pPr>
              <w:keepNext w:val="0"/>
              <w:keepLines/>
              <w:pageBreakBefore w:val="0"/>
              <w:widowControl w:val="0"/>
              <w:kinsoku/>
              <w:wordWrap w:val="0"/>
              <w:overflowPunct/>
              <w:topLinePunct w:val="0"/>
              <w:autoSpaceDE/>
              <w:autoSpaceDN/>
              <w:bidi w:val="0"/>
              <w:adjustRightInd/>
              <w:snapToGrid/>
              <w:spacing w:before="158" w:line="230"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1.摄像机参数：</w:t>
            </w:r>
          </w:p>
          <w:p w14:paraId="7ADFEA62">
            <w:pPr>
              <w:keepNext w:val="0"/>
              <w:keepLines/>
              <w:pageBreakBefore w:val="0"/>
              <w:widowControl w:val="0"/>
              <w:kinsoku/>
              <w:wordWrap w:val="0"/>
              <w:overflowPunct/>
              <w:topLinePunct w:val="0"/>
              <w:autoSpaceDE/>
              <w:autoSpaceDN/>
              <w:bidi w:val="0"/>
              <w:adjustRightInd/>
              <w:snapToGrid/>
              <w:spacing w:before="158" w:line="230"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热成像分辨率：384×288</w:t>
            </w:r>
          </w:p>
          <w:p w14:paraId="1F17E04F">
            <w:pPr>
              <w:keepNext w:val="0"/>
              <w:keepLines/>
              <w:pageBreakBefore w:val="0"/>
              <w:widowControl w:val="0"/>
              <w:kinsoku/>
              <w:wordWrap w:val="0"/>
              <w:overflowPunct/>
              <w:topLinePunct w:val="0"/>
              <w:autoSpaceDE/>
              <w:autoSpaceDN/>
              <w:bidi w:val="0"/>
              <w:adjustRightInd/>
              <w:snapToGrid/>
              <w:spacing w:before="158" w:line="230"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 xml:space="preserve">热成像焦距：50 </w:t>
            </w:r>
            <w:r>
              <w:rPr>
                <w:rFonts w:ascii="仿宋" w:hAnsi="仿宋" w:eastAsia="仿宋" w:cs="仿宋"/>
                <w:color w:val="auto"/>
                <w:sz w:val="20"/>
                <w:szCs w:val="20"/>
                <w:highlight w:val="none"/>
              </w:rPr>
              <w:t>mm</w:t>
            </w:r>
          </w:p>
          <w:p w14:paraId="14D5C97E">
            <w:pPr>
              <w:keepNext w:val="0"/>
              <w:keepLines/>
              <w:pageBreakBefore w:val="0"/>
              <w:widowControl w:val="0"/>
              <w:kinsoku/>
              <w:wordWrap w:val="0"/>
              <w:overflowPunct/>
              <w:topLinePunct w:val="0"/>
              <w:autoSpaceDE/>
              <w:autoSpaceDN/>
              <w:bidi w:val="0"/>
              <w:adjustRightInd/>
              <w:snapToGrid/>
              <w:spacing w:before="161" w:line="230"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热成像视场角：7.47</w:t>
            </w:r>
            <w:r>
              <w:rPr>
                <w:rFonts w:ascii="仿宋" w:hAnsi="仿宋" w:eastAsia="仿宋" w:cs="仿宋"/>
                <w:color w:val="auto"/>
                <w:spacing w:val="-59"/>
                <w:sz w:val="20"/>
                <w:szCs w:val="20"/>
                <w:highlight w:val="none"/>
              </w:rPr>
              <w:t xml:space="preserve"> </w:t>
            </w:r>
            <w:r>
              <w:rPr>
                <w:rFonts w:ascii="仿宋" w:hAnsi="仿宋" w:eastAsia="仿宋" w:cs="仿宋"/>
                <w:color w:val="auto"/>
                <w:spacing w:val="2"/>
                <w:sz w:val="20"/>
                <w:szCs w:val="20"/>
                <w:highlight w:val="none"/>
              </w:rPr>
              <w:t>°（H）</w:t>
            </w:r>
            <w:r>
              <w:rPr>
                <w:rFonts w:ascii="仿宋" w:hAnsi="仿宋" w:eastAsia="仿宋" w:cs="仿宋"/>
                <w:color w:val="auto"/>
                <w:spacing w:val="-51"/>
                <w:sz w:val="20"/>
                <w:szCs w:val="20"/>
                <w:highlight w:val="none"/>
              </w:rPr>
              <w:t xml:space="preserve"> </w:t>
            </w:r>
            <w:r>
              <w:rPr>
                <w:rFonts w:ascii="仿宋" w:hAnsi="仿宋" w:eastAsia="仿宋" w:cs="仿宋"/>
                <w:color w:val="auto"/>
                <w:spacing w:val="2"/>
                <w:sz w:val="20"/>
                <w:szCs w:val="20"/>
                <w:highlight w:val="none"/>
              </w:rPr>
              <w:t>× 5.61</w:t>
            </w:r>
            <w:r>
              <w:rPr>
                <w:rFonts w:ascii="仿宋" w:hAnsi="仿宋" w:eastAsia="仿宋" w:cs="仿宋"/>
                <w:color w:val="auto"/>
                <w:spacing w:val="-73"/>
                <w:sz w:val="20"/>
                <w:szCs w:val="20"/>
                <w:highlight w:val="none"/>
              </w:rPr>
              <w:t xml:space="preserve"> </w:t>
            </w:r>
            <w:r>
              <w:rPr>
                <w:rFonts w:ascii="仿宋" w:hAnsi="仿宋" w:eastAsia="仿宋" w:cs="仿宋"/>
                <w:color w:val="auto"/>
                <w:spacing w:val="2"/>
                <w:sz w:val="20"/>
                <w:szCs w:val="20"/>
                <w:highlight w:val="none"/>
              </w:rPr>
              <w:t>°（V）</w:t>
            </w:r>
          </w:p>
          <w:p w14:paraId="54559E3E">
            <w:pPr>
              <w:keepNext w:val="0"/>
              <w:keepLines/>
              <w:pageBreakBefore w:val="0"/>
              <w:widowControl w:val="0"/>
              <w:kinsoku/>
              <w:wordWrap w:val="0"/>
              <w:overflowPunct/>
              <w:topLinePunct w:val="0"/>
              <w:autoSpaceDE/>
              <w:autoSpaceDN/>
              <w:bidi w:val="0"/>
              <w:adjustRightInd/>
              <w:snapToGrid/>
              <w:spacing w:before="159" w:line="377" w:lineRule="auto"/>
              <w:ind w:left="120" w:right="104" w:firstLine="1"/>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车辆最远报警距离（以</w:t>
            </w:r>
            <w:r>
              <w:rPr>
                <w:rFonts w:ascii="仿宋" w:hAnsi="仿宋" w:eastAsia="仿宋" w:cs="仿宋"/>
                <w:color w:val="auto"/>
                <w:spacing w:val="-39"/>
                <w:sz w:val="20"/>
                <w:szCs w:val="20"/>
                <w:highlight w:val="none"/>
              </w:rPr>
              <w:t xml:space="preserve"> </w:t>
            </w:r>
            <w:r>
              <w:rPr>
                <w:rFonts w:ascii="仿宋" w:hAnsi="仿宋" w:eastAsia="仿宋" w:cs="仿宋"/>
                <w:color w:val="auto"/>
                <w:spacing w:val="1"/>
                <w:sz w:val="20"/>
                <w:szCs w:val="20"/>
                <w:highlight w:val="none"/>
              </w:rPr>
              <w:t>4</w:t>
            </w:r>
            <w:r>
              <w:rPr>
                <w:rFonts w:ascii="仿宋" w:hAnsi="仿宋" w:eastAsia="仿宋" w:cs="仿宋"/>
                <w:color w:val="auto"/>
                <w:spacing w:val="-30"/>
                <w:sz w:val="20"/>
                <w:szCs w:val="20"/>
                <w:highlight w:val="none"/>
              </w:rPr>
              <w:t xml:space="preserve"> </w:t>
            </w:r>
            <w:r>
              <w:rPr>
                <w:rFonts w:ascii="仿宋" w:hAnsi="仿宋" w:eastAsia="仿宋" w:cs="仿宋"/>
                <w:color w:val="auto"/>
                <w:spacing w:val="1"/>
                <w:sz w:val="20"/>
                <w:szCs w:val="20"/>
                <w:highlight w:val="none"/>
              </w:rPr>
              <w:t>米*1.4</w:t>
            </w:r>
            <w:r>
              <w:rPr>
                <w:rFonts w:ascii="仿宋" w:hAnsi="仿宋" w:eastAsia="仿宋" w:cs="仿宋"/>
                <w:color w:val="auto"/>
                <w:spacing w:val="-32"/>
                <w:sz w:val="20"/>
                <w:szCs w:val="20"/>
                <w:highlight w:val="none"/>
              </w:rPr>
              <w:t xml:space="preserve"> </w:t>
            </w:r>
            <w:r>
              <w:rPr>
                <w:rFonts w:ascii="仿宋" w:hAnsi="仿宋" w:eastAsia="仿宋" w:cs="仿宋"/>
                <w:color w:val="auto"/>
                <w:spacing w:val="1"/>
                <w:sz w:val="20"/>
                <w:szCs w:val="20"/>
                <w:highlight w:val="none"/>
              </w:rPr>
              <w:t>米为准</w:t>
            </w:r>
            <w:r>
              <w:rPr>
                <w:rFonts w:ascii="仿宋" w:hAnsi="仿宋" w:eastAsia="仿宋" w:cs="仿宋"/>
                <w:color w:val="auto"/>
                <w:spacing w:val="-38"/>
                <w:sz w:val="20"/>
                <w:szCs w:val="20"/>
                <w:highlight w:val="none"/>
              </w:rPr>
              <w:t>）：</w:t>
            </w:r>
            <w:r>
              <w:rPr>
                <w:rFonts w:ascii="仿宋" w:hAnsi="仿宋" w:eastAsia="仿宋" w:cs="仿宋"/>
                <w:color w:val="auto"/>
                <w:spacing w:val="1"/>
                <w:sz w:val="20"/>
                <w:szCs w:val="20"/>
                <w:highlight w:val="none"/>
              </w:rPr>
              <w:t>1050m</w:t>
            </w:r>
            <w:r>
              <w:rPr>
                <w:rFonts w:ascii="仿宋" w:hAnsi="仿宋" w:eastAsia="仿宋" w:cs="仿宋"/>
                <w:color w:val="auto"/>
                <w:sz w:val="20"/>
                <w:szCs w:val="20"/>
                <w:highlight w:val="none"/>
              </w:rPr>
              <w:t xml:space="preserve"> 人员最远报警距离（以</w:t>
            </w:r>
            <w:r>
              <w:rPr>
                <w:rFonts w:ascii="仿宋" w:hAnsi="仿宋" w:eastAsia="仿宋" w:cs="仿宋"/>
                <w:color w:val="auto"/>
                <w:spacing w:val="-19"/>
                <w:sz w:val="20"/>
                <w:szCs w:val="20"/>
                <w:highlight w:val="none"/>
              </w:rPr>
              <w:t xml:space="preserve"> </w:t>
            </w:r>
            <w:r>
              <w:rPr>
                <w:rFonts w:ascii="仿宋" w:hAnsi="仿宋" w:eastAsia="仿宋" w:cs="仿宋"/>
                <w:color w:val="auto"/>
                <w:sz w:val="20"/>
                <w:szCs w:val="20"/>
                <w:highlight w:val="none"/>
              </w:rPr>
              <w:t>1.8</w:t>
            </w:r>
            <w:r>
              <w:rPr>
                <w:rFonts w:ascii="仿宋" w:hAnsi="仿宋" w:eastAsia="仿宋" w:cs="仿宋"/>
                <w:color w:val="auto"/>
                <w:spacing w:val="-33"/>
                <w:sz w:val="20"/>
                <w:szCs w:val="20"/>
                <w:highlight w:val="none"/>
              </w:rPr>
              <w:t xml:space="preserve"> </w:t>
            </w:r>
            <w:r>
              <w:rPr>
                <w:rFonts w:ascii="仿宋" w:hAnsi="仿宋" w:eastAsia="仿宋" w:cs="仿宋"/>
                <w:color w:val="auto"/>
                <w:sz w:val="20"/>
                <w:szCs w:val="20"/>
                <w:highlight w:val="none"/>
              </w:rPr>
              <w:t>米*0.5</w:t>
            </w:r>
            <w:r>
              <w:rPr>
                <w:rFonts w:ascii="仿宋" w:hAnsi="仿宋" w:eastAsia="仿宋" w:cs="仿宋"/>
                <w:color w:val="auto"/>
                <w:spacing w:val="-32"/>
                <w:sz w:val="20"/>
                <w:szCs w:val="20"/>
                <w:highlight w:val="none"/>
              </w:rPr>
              <w:t xml:space="preserve"> </w:t>
            </w:r>
            <w:r>
              <w:rPr>
                <w:rFonts w:ascii="仿宋" w:hAnsi="仿宋" w:eastAsia="仿宋" w:cs="仿宋"/>
                <w:color w:val="auto"/>
                <w:sz w:val="20"/>
                <w:szCs w:val="20"/>
                <w:highlight w:val="none"/>
              </w:rPr>
              <w:t>米为准</w:t>
            </w:r>
            <w:r>
              <w:rPr>
                <w:rFonts w:ascii="仿宋" w:hAnsi="仿宋" w:eastAsia="仿宋" w:cs="仿宋"/>
                <w:color w:val="auto"/>
                <w:spacing w:val="-46"/>
                <w:w w:val="81"/>
                <w:sz w:val="20"/>
                <w:szCs w:val="20"/>
                <w:highlight w:val="none"/>
              </w:rPr>
              <w:t>）：</w:t>
            </w:r>
            <w:r>
              <w:rPr>
                <w:rFonts w:ascii="仿宋" w:hAnsi="仿宋" w:eastAsia="仿宋" w:cs="仿宋"/>
                <w:color w:val="auto"/>
                <w:sz w:val="20"/>
                <w:szCs w:val="20"/>
                <w:highlight w:val="none"/>
              </w:rPr>
              <w:t xml:space="preserve">350m </w:t>
            </w:r>
            <w:r>
              <w:rPr>
                <w:rFonts w:ascii="仿宋" w:hAnsi="仿宋" w:eastAsia="仿宋" w:cs="仿宋"/>
                <w:color w:val="auto"/>
                <w:spacing w:val="4"/>
                <w:sz w:val="20"/>
                <w:szCs w:val="20"/>
                <w:highlight w:val="none"/>
              </w:rPr>
              <w:t>火点最远报警距离（以</w:t>
            </w:r>
            <w:r>
              <w:rPr>
                <w:rFonts w:ascii="仿宋" w:hAnsi="仿宋" w:eastAsia="仿宋" w:cs="仿宋"/>
                <w:color w:val="auto"/>
                <w:spacing w:val="-34"/>
                <w:sz w:val="20"/>
                <w:szCs w:val="20"/>
                <w:highlight w:val="none"/>
              </w:rPr>
              <w:t xml:space="preserve"> </w:t>
            </w:r>
            <w:r>
              <w:rPr>
                <w:rFonts w:ascii="仿宋" w:hAnsi="仿宋" w:eastAsia="仿宋" w:cs="仿宋"/>
                <w:color w:val="auto"/>
                <w:spacing w:val="4"/>
                <w:sz w:val="20"/>
                <w:szCs w:val="20"/>
                <w:highlight w:val="none"/>
              </w:rPr>
              <w:t>2</w:t>
            </w:r>
            <w:r>
              <w:rPr>
                <w:rFonts w:ascii="仿宋" w:hAnsi="仿宋" w:eastAsia="仿宋" w:cs="仿宋"/>
                <w:color w:val="auto"/>
                <w:spacing w:val="-30"/>
                <w:sz w:val="20"/>
                <w:szCs w:val="20"/>
                <w:highlight w:val="none"/>
              </w:rPr>
              <w:t xml:space="preserve"> </w:t>
            </w:r>
            <w:r>
              <w:rPr>
                <w:rFonts w:ascii="仿宋" w:hAnsi="仿宋" w:eastAsia="仿宋" w:cs="仿宋"/>
                <w:color w:val="auto"/>
                <w:spacing w:val="4"/>
                <w:sz w:val="20"/>
                <w:szCs w:val="20"/>
                <w:highlight w:val="none"/>
              </w:rPr>
              <w:t>米*2</w:t>
            </w:r>
            <w:r>
              <w:rPr>
                <w:rFonts w:ascii="仿宋" w:hAnsi="仿宋" w:eastAsia="仿宋" w:cs="仿宋"/>
                <w:color w:val="auto"/>
                <w:spacing w:val="-30"/>
                <w:sz w:val="20"/>
                <w:szCs w:val="20"/>
                <w:highlight w:val="none"/>
              </w:rPr>
              <w:t xml:space="preserve"> </w:t>
            </w:r>
            <w:r>
              <w:rPr>
                <w:rFonts w:ascii="仿宋" w:hAnsi="仿宋" w:eastAsia="仿宋" w:cs="仿宋"/>
                <w:color w:val="auto"/>
                <w:spacing w:val="4"/>
                <w:sz w:val="20"/>
                <w:szCs w:val="20"/>
                <w:highlight w:val="none"/>
              </w:rPr>
              <w:t>米为准</w:t>
            </w:r>
            <w:r>
              <w:rPr>
                <w:rFonts w:ascii="仿宋" w:hAnsi="仿宋" w:eastAsia="仿宋" w:cs="仿宋"/>
                <w:color w:val="auto"/>
                <w:spacing w:val="2"/>
                <w:sz w:val="20"/>
                <w:szCs w:val="20"/>
                <w:highlight w:val="none"/>
              </w:rPr>
              <w:t>）</w:t>
            </w:r>
            <w:r>
              <w:rPr>
                <w:rFonts w:ascii="仿宋" w:hAnsi="仿宋" w:eastAsia="仿宋" w:cs="仿宋"/>
                <w:color w:val="auto"/>
                <w:spacing w:val="-59"/>
                <w:sz w:val="20"/>
                <w:szCs w:val="20"/>
                <w:highlight w:val="none"/>
              </w:rPr>
              <w:t xml:space="preserve"> </w:t>
            </w:r>
            <w:r>
              <w:rPr>
                <w:rFonts w:ascii="仿宋" w:hAnsi="仿宋" w:eastAsia="仿宋" w:cs="仿宋"/>
                <w:color w:val="auto"/>
                <w:spacing w:val="2"/>
                <w:sz w:val="20"/>
                <w:szCs w:val="20"/>
                <w:highlight w:val="none"/>
              </w:rPr>
              <w:t>：</w:t>
            </w:r>
            <w:r>
              <w:rPr>
                <w:rFonts w:ascii="仿宋" w:hAnsi="仿宋" w:eastAsia="仿宋" w:cs="仿宋"/>
                <w:color w:val="auto"/>
                <w:spacing w:val="4"/>
                <w:sz w:val="20"/>
                <w:szCs w:val="20"/>
                <w:highlight w:val="none"/>
              </w:rPr>
              <w:t>3000m</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可根据温度变化自动调整聚焦</w:t>
            </w:r>
          </w:p>
          <w:p w14:paraId="0524DE35">
            <w:pPr>
              <w:keepNext w:val="0"/>
              <w:keepLines/>
              <w:pageBreakBefore w:val="0"/>
              <w:widowControl w:val="0"/>
              <w:kinsoku/>
              <w:wordWrap w:val="0"/>
              <w:overflowPunct/>
              <w:topLinePunct w:val="0"/>
              <w:autoSpaceDE/>
              <w:autoSpaceDN/>
              <w:bidi w:val="0"/>
              <w:adjustRightInd/>
              <w:snapToGrid/>
              <w:spacing w:line="376" w:lineRule="auto"/>
              <w:ind w:left="118" w:right="105" w:hanging="1"/>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支持目标热源细节凸显，并可对指定热源细节进</w:t>
            </w:r>
            <w:r>
              <w:rPr>
                <w:rFonts w:ascii="仿宋" w:hAnsi="仿宋" w:eastAsia="仿宋" w:cs="仿宋"/>
                <w:color w:val="auto"/>
                <w:spacing w:val="3"/>
                <w:sz w:val="20"/>
                <w:szCs w:val="20"/>
                <w:highlight w:val="none"/>
              </w:rPr>
              <w:t xml:space="preserve"> </w:t>
            </w:r>
            <w:r>
              <w:rPr>
                <w:rFonts w:ascii="仿宋" w:hAnsi="仿宋" w:eastAsia="仿宋" w:cs="仿宋"/>
                <w:color w:val="auto"/>
                <w:spacing w:val="6"/>
                <w:sz w:val="20"/>
                <w:szCs w:val="20"/>
                <w:highlight w:val="none"/>
              </w:rPr>
              <w:t>行增强显示</w:t>
            </w:r>
          </w:p>
          <w:p w14:paraId="0377A5A3">
            <w:pPr>
              <w:keepNext w:val="0"/>
              <w:keepLines/>
              <w:pageBreakBefore w:val="0"/>
              <w:widowControl w:val="0"/>
              <w:kinsoku/>
              <w:wordWrap w:val="0"/>
              <w:overflowPunct/>
              <w:topLinePunct w:val="0"/>
              <w:autoSpaceDE/>
              <w:autoSpaceDN/>
              <w:bidi w:val="0"/>
              <w:adjustRightInd/>
              <w:snapToGrid/>
              <w:spacing w:before="1" w:line="231" w:lineRule="auto"/>
              <w:ind w:left="120"/>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可见光分辨率：2688 x 1520，400</w:t>
            </w:r>
            <w:r>
              <w:rPr>
                <w:rFonts w:ascii="仿宋" w:hAnsi="仿宋" w:eastAsia="仿宋" w:cs="仿宋"/>
                <w:color w:val="auto"/>
                <w:spacing w:val="-28"/>
                <w:sz w:val="20"/>
                <w:szCs w:val="20"/>
                <w:highlight w:val="none"/>
              </w:rPr>
              <w:t xml:space="preserve"> </w:t>
            </w:r>
            <w:r>
              <w:rPr>
                <w:rFonts w:ascii="仿宋" w:hAnsi="仿宋" w:eastAsia="仿宋" w:cs="仿宋"/>
                <w:color w:val="auto"/>
                <w:spacing w:val="6"/>
                <w:sz w:val="20"/>
                <w:szCs w:val="20"/>
                <w:highlight w:val="none"/>
              </w:rPr>
              <w:t>万实时高清</w:t>
            </w:r>
          </w:p>
          <w:p w14:paraId="35BA3960">
            <w:pPr>
              <w:keepNext w:val="0"/>
              <w:keepLines/>
              <w:pageBreakBefore w:val="0"/>
              <w:widowControl w:val="0"/>
              <w:kinsoku/>
              <w:wordWrap w:val="0"/>
              <w:overflowPunct/>
              <w:topLinePunct w:val="0"/>
              <w:autoSpaceDE/>
              <w:autoSpaceDN/>
              <w:bidi w:val="0"/>
              <w:adjustRightInd/>
              <w:snapToGrid/>
              <w:spacing w:before="160" w:line="231" w:lineRule="auto"/>
              <w:ind w:left="120"/>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 xml:space="preserve">可见光焦距：6-336 </w:t>
            </w:r>
            <w:r>
              <w:rPr>
                <w:rFonts w:ascii="仿宋" w:hAnsi="仿宋" w:eastAsia="仿宋" w:cs="仿宋"/>
                <w:color w:val="auto"/>
                <w:sz w:val="20"/>
                <w:szCs w:val="20"/>
                <w:highlight w:val="none"/>
              </w:rPr>
              <w:t>mm</w:t>
            </w:r>
            <w:r>
              <w:rPr>
                <w:rFonts w:ascii="仿宋" w:hAnsi="仿宋" w:eastAsia="仿宋" w:cs="仿宋"/>
                <w:color w:val="auto"/>
                <w:spacing w:val="6"/>
                <w:sz w:val="20"/>
                <w:szCs w:val="20"/>
                <w:highlight w:val="none"/>
              </w:rPr>
              <w:t>,光学变倍</w:t>
            </w:r>
            <w:r>
              <w:rPr>
                <w:rFonts w:ascii="仿宋" w:hAnsi="仿宋" w:eastAsia="仿宋" w:cs="仿宋"/>
                <w:color w:val="auto"/>
                <w:spacing w:val="-30"/>
                <w:sz w:val="20"/>
                <w:szCs w:val="20"/>
                <w:highlight w:val="none"/>
              </w:rPr>
              <w:t xml:space="preserve"> </w:t>
            </w:r>
            <w:r>
              <w:rPr>
                <w:rFonts w:ascii="仿宋" w:hAnsi="仿宋" w:eastAsia="仿宋" w:cs="仿宋"/>
                <w:color w:val="auto"/>
                <w:spacing w:val="6"/>
                <w:sz w:val="20"/>
                <w:szCs w:val="20"/>
                <w:highlight w:val="none"/>
              </w:rPr>
              <w:t>56</w:t>
            </w:r>
            <w:r>
              <w:rPr>
                <w:rFonts w:ascii="仿宋" w:hAnsi="仿宋" w:eastAsia="仿宋" w:cs="仿宋"/>
                <w:color w:val="auto"/>
                <w:spacing w:val="-33"/>
                <w:sz w:val="20"/>
                <w:szCs w:val="20"/>
                <w:highlight w:val="none"/>
              </w:rPr>
              <w:t xml:space="preserve"> </w:t>
            </w:r>
            <w:r>
              <w:rPr>
                <w:rFonts w:ascii="仿宋" w:hAnsi="仿宋" w:eastAsia="仿宋" w:cs="仿宋"/>
                <w:color w:val="auto"/>
                <w:spacing w:val="6"/>
                <w:sz w:val="20"/>
                <w:szCs w:val="20"/>
                <w:highlight w:val="none"/>
              </w:rPr>
              <w:t>倍</w:t>
            </w:r>
          </w:p>
          <w:p w14:paraId="31884140">
            <w:pPr>
              <w:keepNext w:val="0"/>
              <w:keepLines/>
              <w:pageBreakBefore w:val="0"/>
              <w:widowControl w:val="0"/>
              <w:kinsoku/>
              <w:wordWrap w:val="0"/>
              <w:overflowPunct/>
              <w:topLinePunct w:val="0"/>
              <w:autoSpaceDE/>
              <w:autoSpaceDN/>
              <w:bidi w:val="0"/>
              <w:adjustRightInd/>
              <w:snapToGrid/>
              <w:spacing w:before="158" w:line="230" w:lineRule="auto"/>
              <w:ind w:left="120"/>
              <w:textAlignment w:val="auto"/>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可见光补光功能：激光补光有效距离800 m</w:t>
            </w:r>
          </w:p>
        </w:tc>
      </w:tr>
      <w:tr w14:paraId="2388A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9" w:type="dxa"/>
          <w:trHeight w:val="3684" w:hRule="atLeast"/>
        </w:trPr>
        <w:tc>
          <w:tcPr>
            <w:tcW w:w="1022" w:type="dxa"/>
            <w:noWrap w:val="0"/>
            <w:vAlign w:val="top"/>
          </w:tcPr>
          <w:p w14:paraId="3073E73D">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1596" w:type="dxa"/>
            <w:gridSpan w:val="2"/>
            <w:noWrap w:val="0"/>
            <w:vAlign w:val="top"/>
          </w:tcPr>
          <w:p w14:paraId="5F755A10">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6841" w:type="dxa"/>
            <w:gridSpan w:val="2"/>
            <w:noWrap w:val="0"/>
            <w:vAlign w:val="top"/>
          </w:tcPr>
          <w:p w14:paraId="071C0F3C">
            <w:pPr>
              <w:keepNext w:val="0"/>
              <w:keepLines/>
              <w:pageBreakBefore w:val="0"/>
              <w:widowControl w:val="0"/>
              <w:kinsoku/>
              <w:wordWrap w:val="0"/>
              <w:overflowPunct/>
              <w:topLinePunct w:val="0"/>
              <w:autoSpaceDE/>
              <w:autoSpaceDN/>
              <w:bidi w:val="0"/>
              <w:adjustRightInd/>
              <w:snapToGrid/>
              <w:spacing w:before="36" w:line="232" w:lineRule="auto"/>
              <w:ind w:left="120"/>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可见光视场角：</w:t>
            </w:r>
          </w:p>
          <w:p w14:paraId="0D3BE3EB">
            <w:pPr>
              <w:keepNext w:val="0"/>
              <w:keepLines/>
              <w:pageBreakBefore w:val="0"/>
              <w:widowControl w:val="0"/>
              <w:kinsoku/>
              <w:wordWrap w:val="0"/>
              <w:overflowPunct/>
              <w:topLinePunct w:val="0"/>
              <w:autoSpaceDE/>
              <w:autoSpaceDN/>
              <w:bidi w:val="0"/>
              <w:adjustRightInd/>
              <w:snapToGrid/>
              <w:spacing w:before="156" w:line="377" w:lineRule="auto"/>
              <w:ind w:left="120" w:right="375" w:hanging="10"/>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48.26</w:t>
            </w:r>
            <w:r>
              <w:rPr>
                <w:rFonts w:ascii="仿宋" w:hAnsi="仿宋" w:eastAsia="仿宋" w:cs="仿宋"/>
                <w:color w:val="auto"/>
                <w:spacing w:val="-70"/>
                <w:sz w:val="20"/>
                <w:szCs w:val="20"/>
                <w:highlight w:val="none"/>
              </w:rPr>
              <w:t xml:space="preserve"> </w:t>
            </w:r>
            <w:r>
              <w:rPr>
                <w:rFonts w:ascii="仿宋" w:hAnsi="仿宋" w:eastAsia="仿宋" w:cs="仿宋"/>
                <w:color w:val="auto"/>
                <w:spacing w:val="-3"/>
                <w:sz w:val="20"/>
                <w:szCs w:val="20"/>
                <w:highlight w:val="none"/>
              </w:rPr>
              <w:t>°</w:t>
            </w:r>
            <w:r>
              <w:rPr>
                <w:rFonts w:ascii="仿宋" w:hAnsi="仿宋" w:eastAsia="仿宋" w:cs="仿宋"/>
                <w:color w:val="auto"/>
                <w:spacing w:val="-53"/>
                <w:sz w:val="20"/>
                <w:szCs w:val="20"/>
                <w:highlight w:val="none"/>
              </w:rPr>
              <w:t xml:space="preserve"> </w:t>
            </w:r>
            <w:r>
              <w:rPr>
                <w:rFonts w:ascii="仿宋" w:hAnsi="仿宋" w:eastAsia="仿宋" w:cs="仿宋"/>
                <w:color w:val="auto"/>
                <w:spacing w:val="-3"/>
                <w:sz w:val="20"/>
                <w:szCs w:val="20"/>
                <w:highlight w:val="none"/>
              </w:rPr>
              <w:t>(H)28.43</w:t>
            </w:r>
            <w:r>
              <w:rPr>
                <w:rFonts w:ascii="仿宋" w:hAnsi="仿宋" w:eastAsia="仿宋" w:cs="仿宋"/>
                <w:color w:val="auto"/>
                <w:spacing w:val="-71"/>
                <w:sz w:val="20"/>
                <w:szCs w:val="20"/>
                <w:highlight w:val="none"/>
              </w:rPr>
              <w:t xml:space="preserve"> </w:t>
            </w:r>
            <w:r>
              <w:rPr>
                <w:rFonts w:ascii="仿宋" w:hAnsi="仿宋" w:eastAsia="仿宋" w:cs="仿宋"/>
                <w:color w:val="auto"/>
                <w:spacing w:val="-3"/>
                <w:sz w:val="20"/>
                <w:szCs w:val="20"/>
                <w:highlight w:val="none"/>
              </w:rPr>
              <w:t>°</w:t>
            </w:r>
            <w:r>
              <w:rPr>
                <w:rFonts w:ascii="仿宋" w:hAnsi="仿宋" w:eastAsia="仿宋" w:cs="仿宋"/>
                <w:color w:val="auto"/>
                <w:spacing w:val="-57"/>
                <w:sz w:val="20"/>
                <w:szCs w:val="20"/>
                <w:highlight w:val="none"/>
              </w:rPr>
              <w:t xml:space="preserve"> </w:t>
            </w:r>
            <w:r>
              <w:rPr>
                <w:rFonts w:ascii="仿宋" w:hAnsi="仿宋" w:eastAsia="仿宋" w:cs="仿宋"/>
                <w:color w:val="auto"/>
                <w:spacing w:val="-3"/>
                <w:sz w:val="20"/>
                <w:szCs w:val="20"/>
                <w:highlight w:val="none"/>
              </w:rPr>
              <w:t>(V)-0.92</w:t>
            </w:r>
            <w:r>
              <w:rPr>
                <w:rFonts w:ascii="仿宋" w:hAnsi="仿宋" w:eastAsia="仿宋" w:cs="仿宋"/>
                <w:color w:val="auto"/>
                <w:spacing w:val="-73"/>
                <w:sz w:val="20"/>
                <w:szCs w:val="20"/>
                <w:highlight w:val="none"/>
              </w:rPr>
              <w:t xml:space="preserve"> </w:t>
            </w:r>
            <w:r>
              <w:rPr>
                <w:rFonts w:ascii="仿宋" w:hAnsi="仿宋" w:eastAsia="仿宋" w:cs="仿宋"/>
                <w:color w:val="auto"/>
                <w:spacing w:val="-3"/>
                <w:sz w:val="20"/>
                <w:szCs w:val="20"/>
                <w:highlight w:val="none"/>
              </w:rPr>
              <w:t>°</w:t>
            </w:r>
            <w:r>
              <w:rPr>
                <w:rFonts w:ascii="仿宋" w:hAnsi="仿宋" w:eastAsia="仿宋" w:cs="仿宋"/>
                <w:color w:val="auto"/>
                <w:spacing w:val="-54"/>
                <w:sz w:val="20"/>
                <w:szCs w:val="20"/>
                <w:highlight w:val="none"/>
              </w:rPr>
              <w:t xml:space="preserve"> </w:t>
            </w:r>
            <w:r>
              <w:rPr>
                <w:rFonts w:ascii="仿宋" w:hAnsi="仿宋" w:eastAsia="仿宋" w:cs="仿宋"/>
                <w:color w:val="auto"/>
                <w:spacing w:val="-3"/>
                <w:sz w:val="20"/>
                <w:szCs w:val="20"/>
                <w:highlight w:val="none"/>
              </w:rPr>
              <w:t>(H)0.56</w:t>
            </w:r>
            <w:r>
              <w:rPr>
                <w:rFonts w:ascii="仿宋" w:hAnsi="仿宋" w:eastAsia="仿宋" w:cs="仿宋"/>
                <w:color w:val="auto"/>
                <w:spacing w:val="-73"/>
                <w:sz w:val="20"/>
                <w:szCs w:val="20"/>
                <w:highlight w:val="none"/>
              </w:rPr>
              <w:t xml:space="preserve"> </w:t>
            </w:r>
            <w:r>
              <w:rPr>
                <w:rFonts w:ascii="仿宋" w:hAnsi="仿宋" w:eastAsia="仿宋" w:cs="仿宋"/>
                <w:color w:val="auto"/>
                <w:spacing w:val="-3"/>
                <w:sz w:val="20"/>
                <w:szCs w:val="20"/>
                <w:highlight w:val="none"/>
              </w:rPr>
              <w:t>°</w:t>
            </w:r>
            <w:r>
              <w:rPr>
                <w:rFonts w:ascii="仿宋" w:hAnsi="仿宋" w:eastAsia="仿宋" w:cs="仿宋"/>
                <w:color w:val="auto"/>
                <w:spacing w:val="-56"/>
                <w:sz w:val="20"/>
                <w:szCs w:val="20"/>
                <w:highlight w:val="none"/>
              </w:rPr>
              <w:t xml:space="preserve"> </w:t>
            </w:r>
            <w:r>
              <w:rPr>
                <w:rFonts w:ascii="仿宋" w:hAnsi="仿宋" w:eastAsia="仿宋" w:cs="仿宋"/>
                <w:color w:val="auto"/>
                <w:spacing w:val="-3"/>
                <w:sz w:val="20"/>
                <w:szCs w:val="20"/>
                <w:highlight w:val="none"/>
              </w:rPr>
              <w:t>(V)</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可见光透雾功能：支持光学透雾和算法透雾</w:t>
            </w:r>
          </w:p>
          <w:p w14:paraId="480C04FE">
            <w:pPr>
              <w:keepNext w:val="0"/>
              <w:keepLines/>
              <w:pageBreakBefore w:val="0"/>
              <w:widowControl w:val="0"/>
              <w:kinsoku/>
              <w:wordWrap w:val="0"/>
              <w:overflowPunct/>
              <w:topLinePunct w:val="0"/>
              <w:autoSpaceDE/>
              <w:autoSpaceDN/>
              <w:bidi w:val="0"/>
              <w:adjustRightInd/>
              <w:snapToGrid/>
              <w:spacing w:line="230" w:lineRule="auto"/>
              <w:ind w:left="120"/>
              <w:textAlignment w:val="auto"/>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可见光防抖功能：陀螺仪电子防抖</w:t>
            </w:r>
          </w:p>
          <w:p w14:paraId="683E9A43">
            <w:pPr>
              <w:keepNext w:val="0"/>
              <w:keepLines/>
              <w:pageBreakBefore w:val="0"/>
              <w:widowControl w:val="0"/>
              <w:kinsoku/>
              <w:wordWrap w:val="0"/>
              <w:overflowPunct/>
              <w:topLinePunct w:val="0"/>
              <w:autoSpaceDE/>
              <w:autoSpaceDN/>
              <w:bidi w:val="0"/>
              <w:adjustRightInd/>
              <w:snapToGrid/>
              <w:spacing w:before="161" w:line="375" w:lineRule="auto"/>
              <w:ind w:left="116" w:right="114"/>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烟雾最远报警距离（以</w:t>
            </w:r>
            <w:r>
              <w:rPr>
                <w:rFonts w:ascii="仿宋" w:hAnsi="仿宋" w:eastAsia="仿宋" w:cs="仿宋"/>
                <w:color w:val="auto"/>
                <w:spacing w:val="-33"/>
                <w:sz w:val="20"/>
                <w:szCs w:val="20"/>
                <w:highlight w:val="none"/>
              </w:rPr>
              <w:t xml:space="preserve"> </w:t>
            </w:r>
            <w:r>
              <w:rPr>
                <w:rFonts w:ascii="仿宋" w:hAnsi="仿宋" w:eastAsia="仿宋" w:cs="仿宋"/>
                <w:color w:val="auto"/>
                <w:spacing w:val="5"/>
                <w:sz w:val="20"/>
                <w:szCs w:val="20"/>
                <w:highlight w:val="none"/>
              </w:rPr>
              <w:t>5</w:t>
            </w:r>
            <w:r>
              <w:rPr>
                <w:rFonts w:ascii="仿宋" w:hAnsi="仿宋" w:eastAsia="仿宋" w:cs="仿宋"/>
                <w:color w:val="auto"/>
                <w:spacing w:val="-30"/>
                <w:sz w:val="20"/>
                <w:szCs w:val="20"/>
                <w:highlight w:val="none"/>
              </w:rPr>
              <w:t xml:space="preserve"> </w:t>
            </w:r>
            <w:r>
              <w:rPr>
                <w:rFonts w:ascii="仿宋" w:hAnsi="仿宋" w:eastAsia="仿宋" w:cs="仿宋"/>
                <w:color w:val="auto"/>
                <w:spacing w:val="5"/>
                <w:sz w:val="20"/>
                <w:szCs w:val="20"/>
                <w:highlight w:val="none"/>
              </w:rPr>
              <w:t>米*5</w:t>
            </w:r>
            <w:r>
              <w:rPr>
                <w:rFonts w:ascii="仿宋" w:hAnsi="仿宋" w:eastAsia="仿宋" w:cs="仿宋"/>
                <w:color w:val="auto"/>
                <w:spacing w:val="-30"/>
                <w:sz w:val="20"/>
                <w:szCs w:val="20"/>
                <w:highlight w:val="none"/>
              </w:rPr>
              <w:t xml:space="preserve"> </w:t>
            </w:r>
            <w:r>
              <w:rPr>
                <w:rFonts w:ascii="仿宋" w:hAnsi="仿宋" w:eastAsia="仿宋" w:cs="仿宋"/>
                <w:color w:val="auto"/>
                <w:spacing w:val="5"/>
                <w:sz w:val="20"/>
                <w:szCs w:val="20"/>
                <w:highlight w:val="none"/>
              </w:rPr>
              <w:t>米为准</w:t>
            </w:r>
            <w:r>
              <w:rPr>
                <w:rFonts w:ascii="仿宋" w:hAnsi="仿宋" w:eastAsia="仿宋" w:cs="仿宋"/>
                <w:color w:val="auto"/>
                <w:spacing w:val="-6"/>
                <w:sz w:val="20"/>
                <w:szCs w:val="20"/>
                <w:highlight w:val="none"/>
              </w:rPr>
              <w:t>）</w:t>
            </w:r>
            <w:r>
              <w:rPr>
                <w:rFonts w:ascii="仿宋" w:hAnsi="仿宋" w:eastAsia="仿宋" w:cs="仿宋"/>
                <w:color w:val="auto"/>
                <w:spacing w:val="-59"/>
                <w:sz w:val="20"/>
                <w:szCs w:val="20"/>
                <w:highlight w:val="none"/>
              </w:rPr>
              <w:t xml:space="preserve"> </w:t>
            </w:r>
            <w:r>
              <w:rPr>
                <w:rFonts w:ascii="仿宋" w:hAnsi="仿宋" w:eastAsia="仿宋" w:cs="仿宋"/>
                <w:color w:val="auto"/>
                <w:spacing w:val="-6"/>
                <w:sz w:val="20"/>
                <w:szCs w:val="20"/>
                <w:highlight w:val="none"/>
              </w:rPr>
              <w:t>：</w:t>
            </w:r>
            <w:r>
              <w:rPr>
                <w:rFonts w:ascii="仿宋" w:hAnsi="仿宋" w:eastAsia="仿宋" w:cs="仿宋"/>
                <w:color w:val="auto"/>
                <w:spacing w:val="5"/>
                <w:sz w:val="20"/>
                <w:szCs w:val="20"/>
                <w:highlight w:val="none"/>
              </w:rPr>
              <w:t>60</w:t>
            </w:r>
            <w:r>
              <w:rPr>
                <w:rFonts w:ascii="仿宋" w:hAnsi="仿宋" w:eastAsia="仿宋" w:cs="仿宋"/>
                <w:color w:val="auto"/>
                <w:spacing w:val="4"/>
                <w:sz w:val="20"/>
                <w:szCs w:val="20"/>
                <w:highlight w:val="none"/>
              </w:rPr>
              <w:t>00m</w:t>
            </w:r>
            <w:r>
              <w:rPr>
                <w:rFonts w:ascii="仿宋" w:hAnsi="仿宋" w:eastAsia="仿宋" w:cs="仿宋"/>
                <w:color w:val="auto"/>
                <w:sz w:val="20"/>
                <w:szCs w:val="20"/>
                <w:highlight w:val="none"/>
              </w:rPr>
              <w:t xml:space="preserve"> </w:t>
            </w:r>
            <w:r>
              <w:rPr>
                <w:rFonts w:ascii="仿宋" w:hAnsi="仿宋" w:eastAsia="仿宋" w:cs="仿宋"/>
                <w:color w:val="auto"/>
                <w:spacing w:val="5"/>
                <w:sz w:val="20"/>
                <w:szCs w:val="20"/>
                <w:highlight w:val="none"/>
              </w:rPr>
              <w:t>水平范围：360</w:t>
            </w:r>
            <w:r>
              <w:rPr>
                <w:rFonts w:ascii="仿宋" w:hAnsi="仿宋" w:eastAsia="仿宋" w:cs="仿宋"/>
                <w:color w:val="auto"/>
                <w:spacing w:val="-65"/>
                <w:sz w:val="20"/>
                <w:szCs w:val="20"/>
                <w:highlight w:val="none"/>
              </w:rPr>
              <w:t xml:space="preserve"> </w:t>
            </w:r>
            <w:r>
              <w:rPr>
                <w:rFonts w:ascii="仿宋" w:hAnsi="仿宋" w:eastAsia="仿宋" w:cs="仿宋"/>
                <w:color w:val="auto"/>
                <w:spacing w:val="5"/>
                <w:sz w:val="20"/>
                <w:szCs w:val="20"/>
                <w:highlight w:val="none"/>
              </w:rPr>
              <w:t>°连续旋转</w:t>
            </w:r>
          </w:p>
          <w:p w14:paraId="4D79F6FE">
            <w:pPr>
              <w:keepNext w:val="0"/>
              <w:keepLines/>
              <w:pageBreakBefore w:val="0"/>
              <w:widowControl w:val="0"/>
              <w:kinsoku/>
              <w:wordWrap w:val="0"/>
              <w:overflowPunct/>
              <w:topLinePunct w:val="0"/>
              <w:autoSpaceDE/>
              <w:autoSpaceDN/>
              <w:bidi w:val="0"/>
              <w:adjustRightInd/>
              <w:snapToGrid/>
              <w:spacing w:before="2" w:line="232" w:lineRule="auto"/>
              <w:ind w:left="123"/>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垂直范围：+40</w:t>
            </w:r>
            <w:r>
              <w:rPr>
                <w:rFonts w:ascii="仿宋" w:hAnsi="仿宋" w:eastAsia="仿宋" w:cs="仿宋"/>
                <w:color w:val="auto"/>
                <w:spacing w:val="-67"/>
                <w:sz w:val="20"/>
                <w:szCs w:val="20"/>
                <w:highlight w:val="none"/>
              </w:rPr>
              <w:t xml:space="preserve"> </w:t>
            </w:r>
            <w:r>
              <w:rPr>
                <w:rFonts w:ascii="仿宋" w:hAnsi="仿宋" w:eastAsia="仿宋" w:cs="仿宋"/>
                <w:color w:val="auto"/>
                <w:spacing w:val="3"/>
                <w:sz w:val="20"/>
                <w:szCs w:val="20"/>
                <w:highlight w:val="none"/>
              </w:rPr>
              <w:t>°~-90</w:t>
            </w:r>
            <w:r>
              <w:rPr>
                <w:rFonts w:ascii="仿宋" w:hAnsi="仿宋" w:eastAsia="仿宋" w:cs="仿宋"/>
                <w:color w:val="auto"/>
                <w:spacing w:val="-72"/>
                <w:sz w:val="20"/>
                <w:szCs w:val="20"/>
                <w:highlight w:val="none"/>
              </w:rPr>
              <w:t xml:space="preserve"> </w:t>
            </w:r>
            <w:r>
              <w:rPr>
                <w:rFonts w:ascii="仿宋" w:hAnsi="仿宋" w:eastAsia="仿宋" w:cs="仿宋"/>
                <w:color w:val="auto"/>
                <w:spacing w:val="3"/>
                <w:sz w:val="20"/>
                <w:szCs w:val="20"/>
                <w:highlight w:val="none"/>
              </w:rPr>
              <w:t>°</w:t>
            </w:r>
          </w:p>
          <w:p w14:paraId="594A6102">
            <w:pPr>
              <w:keepNext w:val="0"/>
              <w:keepLines/>
              <w:pageBreakBefore w:val="0"/>
              <w:widowControl w:val="0"/>
              <w:kinsoku/>
              <w:wordWrap w:val="0"/>
              <w:overflowPunct/>
              <w:topLinePunct w:val="0"/>
              <w:autoSpaceDE/>
              <w:autoSpaceDN/>
              <w:bidi w:val="0"/>
              <w:adjustRightInd/>
              <w:snapToGrid/>
              <w:spacing w:before="157" w:line="360" w:lineRule="auto"/>
              <w:ind w:left="125" w:right="110" w:hanging="12"/>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46"/>
                <w:sz w:val="20"/>
                <w:szCs w:val="20"/>
                <w:highlight w:val="none"/>
              </w:rPr>
              <w:t xml:space="preserve"> </w:t>
            </w:r>
            <w:r>
              <w:rPr>
                <w:rFonts w:ascii="仿宋" w:hAnsi="仿宋" w:eastAsia="仿宋" w:cs="仿宋"/>
                <w:color w:val="auto"/>
                <w:spacing w:val="4"/>
                <w:sz w:val="20"/>
                <w:szCs w:val="20"/>
                <w:highlight w:val="none"/>
              </w:rPr>
              <w:t>自配支架、配件等，监控挂高不低于 30 米，</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需出示高点监控挂载安装设计图纸。</w:t>
            </w:r>
          </w:p>
        </w:tc>
      </w:tr>
      <w:tr w14:paraId="328B3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9" w:type="dxa"/>
          <w:trHeight w:val="4484" w:hRule="atLeast"/>
        </w:trPr>
        <w:tc>
          <w:tcPr>
            <w:tcW w:w="1022" w:type="dxa"/>
            <w:noWrap w:val="0"/>
            <w:vAlign w:val="top"/>
          </w:tcPr>
          <w:p w14:paraId="70CA464C">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1C7F046D">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624825F4">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792C10F5">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2BBBDD98">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263D4E5B">
            <w:pPr>
              <w:keepNext w:val="0"/>
              <w:keepLines/>
              <w:pageBreakBefore w:val="0"/>
              <w:widowControl w:val="0"/>
              <w:kinsoku/>
              <w:wordWrap w:val="0"/>
              <w:overflowPunct/>
              <w:topLinePunct w:val="0"/>
              <w:autoSpaceDE/>
              <w:autoSpaceDN/>
              <w:bidi w:val="0"/>
              <w:adjustRightInd/>
              <w:snapToGrid/>
              <w:spacing w:line="245" w:lineRule="auto"/>
              <w:textAlignment w:val="auto"/>
              <w:rPr>
                <w:rFonts w:ascii="Arial"/>
                <w:color w:val="auto"/>
                <w:sz w:val="21"/>
                <w:highlight w:val="none"/>
              </w:rPr>
            </w:pPr>
          </w:p>
          <w:p w14:paraId="6AB6D721">
            <w:pPr>
              <w:keepNext w:val="0"/>
              <w:keepLines/>
              <w:pageBreakBefore w:val="0"/>
              <w:widowControl w:val="0"/>
              <w:kinsoku/>
              <w:wordWrap w:val="0"/>
              <w:overflowPunct/>
              <w:topLinePunct w:val="0"/>
              <w:autoSpaceDE/>
              <w:autoSpaceDN/>
              <w:bidi w:val="0"/>
              <w:adjustRightInd/>
              <w:snapToGrid/>
              <w:spacing w:line="245" w:lineRule="auto"/>
              <w:textAlignment w:val="auto"/>
              <w:rPr>
                <w:rFonts w:ascii="Arial"/>
                <w:color w:val="auto"/>
                <w:sz w:val="21"/>
                <w:highlight w:val="none"/>
              </w:rPr>
            </w:pPr>
          </w:p>
          <w:p w14:paraId="35667ECC">
            <w:pPr>
              <w:keepNext w:val="0"/>
              <w:keepLines/>
              <w:pageBreakBefore w:val="0"/>
              <w:widowControl w:val="0"/>
              <w:kinsoku/>
              <w:wordWrap w:val="0"/>
              <w:overflowPunct/>
              <w:topLinePunct w:val="0"/>
              <w:autoSpaceDE/>
              <w:autoSpaceDN/>
              <w:bidi w:val="0"/>
              <w:adjustRightInd/>
              <w:snapToGrid/>
              <w:spacing w:line="245" w:lineRule="auto"/>
              <w:textAlignment w:val="auto"/>
              <w:rPr>
                <w:rFonts w:ascii="Arial"/>
                <w:color w:val="auto"/>
                <w:sz w:val="21"/>
                <w:highlight w:val="none"/>
              </w:rPr>
            </w:pPr>
          </w:p>
          <w:p w14:paraId="6B86500A">
            <w:pPr>
              <w:keepNext w:val="0"/>
              <w:keepLines/>
              <w:pageBreakBefore w:val="0"/>
              <w:widowControl w:val="0"/>
              <w:kinsoku/>
              <w:wordWrap w:val="0"/>
              <w:overflowPunct/>
              <w:topLinePunct w:val="0"/>
              <w:autoSpaceDE/>
              <w:autoSpaceDN/>
              <w:bidi w:val="0"/>
              <w:adjustRightInd/>
              <w:snapToGrid/>
              <w:spacing w:line="245" w:lineRule="auto"/>
              <w:textAlignment w:val="auto"/>
              <w:rPr>
                <w:rFonts w:ascii="Arial"/>
                <w:color w:val="auto"/>
                <w:sz w:val="21"/>
                <w:highlight w:val="none"/>
              </w:rPr>
            </w:pPr>
          </w:p>
          <w:p w14:paraId="25349CB4">
            <w:pPr>
              <w:keepNext w:val="0"/>
              <w:keepLines/>
              <w:pageBreakBefore w:val="0"/>
              <w:widowControl w:val="0"/>
              <w:kinsoku/>
              <w:wordWrap w:val="0"/>
              <w:overflowPunct/>
              <w:topLinePunct w:val="0"/>
              <w:autoSpaceDE/>
              <w:autoSpaceDN/>
              <w:bidi w:val="0"/>
              <w:adjustRightInd/>
              <w:snapToGrid/>
              <w:spacing w:before="65" w:line="272" w:lineRule="exact"/>
              <w:ind w:left="117"/>
              <w:textAlignment w:val="auto"/>
              <w:rPr>
                <w:rFonts w:ascii="仿宋" w:hAnsi="仿宋" w:eastAsia="仿宋" w:cs="仿宋"/>
                <w:color w:val="auto"/>
                <w:sz w:val="20"/>
                <w:szCs w:val="20"/>
                <w:highlight w:val="none"/>
              </w:rPr>
            </w:pPr>
            <w:r>
              <w:rPr>
                <w:rFonts w:ascii="仿宋" w:hAnsi="仿宋" w:eastAsia="仿宋" w:cs="仿宋"/>
                <w:color w:val="auto"/>
                <w:position w:val="1"/>
                <w:sz w:val="20"/>
                <w:szCs w:val="20"/>
                <w:highlight w:val="none"/>
              </w:rPr>
              <w:t>2</w:t>
            </w:r>
          </w:p>
        </w:tc>
        <w:tc>
          <w:tcPr>
            <w:tcW w:w="1596" w:type="dxa"/>
            <w:gridSpan w:val="2"/>
            <w:noWrap w:val="0"/>
            <w:vAlign w:val="top"/>
          </w:tcPr>
          <w:p w14:paraId="43314EDF">
            <w:pPr>
              <w:keepNext w:val="0"/>
              <w:keepLines/>
              <w:pageBreakBefore w:val="0"/>
              <w:widowControl w:val="0"/>
              <w:kinsoku/>
              <w:wordWrap w:val="0"/>
              <w:overflowPunct/>
              <w:topLinePunct w:val="0"/>
              <w:autoSpaceDE/>
              <w:autoSpaceDN/>
              <w:bidi w:val="0"/>
              <w:adjustRightInd/>
              <w:snapToGrid/>
              <w:spacing w:line="249" w:lineRule="auto"/>
              <w:textAlignment w:val="auto"/>
              <w:rPr>
                <w:rFonts w:ascii="Arial"/>
                <w:color w:val="auto"/>
                <w:sz w:val="21"/>
                <w:highlight w:val="none"/>
              </w:rPr>
            </w:pPr>
          </w:p>
          <w:p w14:paraId="5C9D811B">
            <w:pPr>
              <w:keepNext w:val="0"/>
              <w:keepLines/>
              <w:pageBreakBefore w:val="0"/>
              <w:widowControl w:val="0"/>
              <w:kinsoku/>
              <w:wordWrap w:val="0"/>
              <w:overflowPunct/>
              <w:topLinePunct w:val="0"/>
              <w:autoSpaceDE/>
              <w:autoSpaceDN/>
              <w:bidi w:val="0"/>
              <w:adjustRightInd/>
              <w:snapToGrid/>
              <w:spacing w:line="249" w:lineRule="auto"/>
              <w:textAlignment w:val="auto"/>
              <w:rPr>
                <w:rFonts w:ascii="Arial"/>
                <w:color w:val="auto"/>
                <w:sz w:val="21"/>
                <w:highlight w:val="none"/>
              </w:rPr>
            </w:pPr>
          </w:p>
          <w:p w14:paraId="173275EC">
            <w:pPr>
              <w:keepNext w:val="0"/>
              <w:keepLines/>
              <w:pageBreakBefore w:val="0"/>
              <w:widowControl w:val="0"/>
              <w:kinsoku/>
              <w:wordWrap w:val="0"/>
              <w:overflowPunct/>
              <w:topLinePunct w:val="0"/>
              <w:autoSpaceDE/>
              <w:autoSpaceDN/>
              <w:bidi w:val="0"/>
              <w:adjustRightInd/>
              <w:snapToGrid/>
              <w:spacing w:line="249" w:lineRule="auto"/>
              <w:textAlignment w:val="auto"/>
              <w:rPr>
                <w:rFonts w:ascii="Arial"/>
                <w:color w:val="auto"/>
                <w:sz w:val="21"/>
                <w:highlight w:val="none"/>
              </w:rPr>
            </w:pPr>
          </w:p>
          <w:p w14:paraId="6DC80C08">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32026EAC">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066D3383">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30490641">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78C9CED0">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6584215A">
            <w:pPr>
              <w:keepNext w:val="0"/>
              <w:keepLines/>
              <w:pageBreakBefore w:val="0"/>
              <w:widowControl w:val="0"/>
              <w:kinsoku/>
              <w:wordWrap w:val="0"/>
              <w:overflowPunct/>
              <w:topLinePunct w:val="0"/>
              <w:autoSpaceDE/>
              <w:autoSpaceDN/>
              <w:bidi w:val="0"/>
              <w:adjustRightInd/>
              <w:snapToGrid/>
              <w:spacing w:before="65" w:line="377" w:lineRule="auto"/>
              <w:ind w:left="116" w:right="107" w:firstLine="23"/>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网</w:t>
            </w:r>
            <w:r>
              <w:rPr>
                <w:rFonts w:ascii="仿宋" w:hAnsi="仿宋" w:eastAsia="仿宋" w:cs="仿宋"/>
                <w:color w:val="auto"/>
                <w:spacing w:val="-58"/>
                <w:sz w:val="20"/>
                <w:szCs w:val="20"/>
                <w:highlight w:val="none"/>
              </w:rPr>
              <w:t xml:space="preserve"> </w:t>
            </w:r>
            <w:r>
              <w:rPr>
                <w:rFonts w:ascii="仿宋" w:hAnsi="仿宋" w:eastAsia="仿宋" w:cs="仿宋"/>
                <w:color w:val="auto"/>
                <w:spacing w:val="2"/>
                <w:sz w:val="20"/>
                <w:szCs w:val="20"/>
                <w:highlight w:val="none"/>
              </w:rPr>
              <w:t>络硬</w:t>
            </w:r>
            <w:r>
              <w:rPr>
                <w:rFonts w:ascii="仿宋" w:hAnsi="仿宋" w:eastAsia="仿宋" w:cs="仿宋"/>
                <w:color w:val="auto"/>
                <w:spacing w:val="-53"/>
                <w:sz w:val="20"/>
                <w:szCs w:val="20"/>
                <w:highlight w:val="none"/>
              </w:rPr>
              <w:t xml:space="preserve"> </w:t>
            </w:r>
            <w:r>
              <w:rPr>
                <w:rFonts w:ascii="仿宋" w:hAnsi="仿宋" w:eastAsia="仿宋" w:cs="仿宋"/>
                <w:color w:val="auto"/>
                <w:spacing w:val="2"/>
                <w:sz w:val="20"/>
                <w:szCs w:val="20"/>
                <w:highlight w:val="none"/>
              </w:rPr>
              <w:t>盘录</w:t>
            </w:r>
            <w:r>
              <w:rPr>
                <w:rFonts w:ascii="仿宋" w:hAnsi="仿宋" w:eastAsia="仿宋" w:cs="仿宋"/>
                <w:color w:val="auto"/>
                <w:spacing w:val="-59"/>
                <w:sz w:val="20"/>
                <w:szCs w:val="20"/>
                <w:highlight w:val="none"/>
              </w:rPr>
              <w:t xml:space="preserve"> </w:t>
            </w:r>
            <w:r>
              <w:rPr>
                <w:rFonts w:ascii="仿宋" w:hAnsi="仿宋" w:eastAsia="仿宋" w:cs="仿宋"/>
                <w:color w:val="auto"/>
                <w:spacing w:val="2"/>
                <w:sz w:val="20"/>
                <w:szCs w:val="20"/>
                <w:highlight w:val="none"/>
              </w:rPr>
              <w:t>像</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服务</w:t>
            </w:r>
          </w:p>
        </w:tc>
        <w:tc>
          <w:tcPr>
            <w:tcW w:w="6841" w:type="dxa"/>
            <w:gridSpan w:val="2"/>
            <w:noWrap w:val="0"/>
            <w:vAlign w:val="top"/>
          </w:tcPr>
          <w:p w14:paraId="06B51C42">
            <w:pPr>
              <w:keepNext w:val="0"/>
              <w:keepLines/>
              <w:pageBreakBefore w:val="0"/>
              <w:widowControl w:val="0"/>
              <w:kinsoku/>
              <w:wordWrap w:val="0"/>
              <w:overflowPunct/>
              <w:topLinePunct w:val="0"/>
              <w:autoSpaceDE/>
              <w:autoSpaceDN/>
              <w:bidi w:val="0"/>
              <w:adjustRightInd/>
              <w:snapToGrid/>
              <w:spacing w:before="32"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0DB36FC6">
            <w:pPr>
              <w:keepNext w:val="0"/>
              <w:keepLines/>
              <w:pageBreakBefore w:val="0"/>
              <w:widowControl w:val="0"/>
              <w:kinsoku/>
              <w:wordWrap w:val="0"/>
              <w:overflowPunct/>
              <w:topLinePunct w:val="0"/>
              <w:autoSpaceDE/>
              <w:autoSpaceDN/>
              <w:bidi w:val="0"/>
              <w:adjustRightInd/>
              <w:snapToGrid/>
              <w:spacing w:before="157" w:line="231"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1.硬件规格</w:t>
            </w:r>
          </w:p>
          <w:p w14:paraId="741388B9">
            <w:pPr>
              <w:keepNext w:val="0"/>
              <w:keepLines/>
              <w:pageBreakBefore w:val="0"/>
              <w:widowControl w:val="0"/>
              <w:kinsoku/>
              <w:wordWrap w:val="0"/>
              <w:overflowPunct/>
              <w:topLinePunct w:val="0"/>
              <w:autoSpaceDE/>
              <w:autoSpaceDN/>
              <w:bidi w:val="0"/>
              <w:adjustRightInd/>
              <w:snapToGrid/>
              <w:spacing w:before="157" w:line="378" w:lineRule="auto"/>
              <w:ind w:left="125" w:right="150" w:hanging="5"/>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存储接</w:t>
            </w:r>
            <w:r>
              <w:rPr>
                <w:rFonts w:ascii="仿宋" w:hAnsi="仿宋" w:eastAsia="仿宋" w:cs="仿宋"/>
                <w:color w:val="auto"/>
                <w:spacing w:val="-38"/>
                <w:sz w:val="20"/>
                <w:szCs w:val="20"/>
                <w:highlight w:val="none"/>
              </w:rPr>
              <w:t xml:space="preserve"> </w:t>
            </w:r>
            <w:r>
              <w:rPr>
                <w:rFonts w:ascii="仿宋" w:hAnsi="仿宋" w:eastAsia="仿宋" w:cs="仿宋"/>
                <w:color w:val="auto"/>
                <w:spacing w:val="-6"/>
                <w:sz w:val="20"/>
                <w:szCs w:val="20"/>
                <w:highlight w:val="none"/>
              </w:rPr>
              <w:t>口：1</w:t>
            </w:r>
            <w:r>
              <w:rPr>
                <w:rFonts w:ascii="仿宋" w:hAnsi="仿宋" w:eastAsia="仿宋" w:cs="仿宋"/>
                <w:color w:val="auto"/>
                <w:spacing w:val="-31"/>
                <w:sz w:val="20"/>
                <w:szCs w:val="20"/>
                <w:highlight w:val="none"/>
              </w:rPr>
              <w:t xml:space="preserve"> </w:t>
            </w:r>
            <w:r>
              <w:rPr>
                <w:rFonts w:ascii="仿宋" w:hAnsi="仿宋" w:eastAsia="仿宋" w:cs="仿宋"/>
                <w:color w:val="auto"/>
                <w:spacing w:val="-6"/>
                <w:sz w:val="20"/>
                <w:szCs w:val="20"/>
                <w:highlight w:val="none"/>
              </w:rPr>
              <w:t>个</w:t>
            </w:r>
            <w:r>
              <w:rPr>
                <w:rFonts w:ascii="仿宋" w:hAnsi="仿宋" w:eastAsia="仿宋" w:cs="仿宋"/>
                <w:color w:val="auto"/>
                <w:spacing w:val="-39"/>
                <w:sz w:val="20"/>
                <w:szCs w:val="20"/>
                <w:highlight w:val="none"/>
              </w:rPr>
              <w:t xml:space="preserve"> </w:t>
            </w:r>
            <w:r>
              <w:rPr>
                <w:rFonts w:ascii="仿宋" w:hAnsi="仿宋" w:eastAsia="仿宋" w:cs="仿宋"/>
                <w:color w:val="auto"/>
                <w:spacing w:val="-6"/>
                <w:sz w:val="20"/>
                <w:szCs w:val="20"/>
                <w:highlight w:val="none"/>
              </w:rPr>
              <w:t>SATA</w:t>
            </w:r>
            <w:r>
              <w:rPr>
                <w:rFonts w:ascii="仿宋" w:hAnsi="仿宋" w:eastAsia="仿宋" w:cs="仿宋"/>
                <w:color w:val="auto"/>
                <w:spacing w:val="-34"/>
                <w:sz w:val="20"/>
                <w:szCs w:val="20"/>
                <w:highlight w:val="none"/>
              </w:rPr>
              <w:t xml:space="preserve"> </w:t>
            </w:r>
            <w:r>
              <w:rPr>
                <w:rFonts w:ascii="仿宋" w:hAnsi="仿宋" w:eastAsia="仿宋" w:cs="仿宋"/>
                <w:color w:val="auto"/>
                <w:spacing w:val="-6"/>
                <w:sz w:val="20"/>
                <w:szCs w:val="20"/>
                <w:highlight w:val="none"/>
              </w:rPr>
              <w:t>接</w:t>
            </w:r>
            <w:r>
              <w:rPr>
                <w:rFonts w:ascii="仿宋" w:hAnsi="仿宋" w:eastAsia="仿宋" w:cs="仿宋"/>
                <w:color w:val="auto"/>
                <w:spacing w:val="-47"/>
                <w:sz w:val="20"/>
                <w:szCs w:val="20"/>
                <w:highlight w:val="none"/>
              </w:rPr>
              <w:t xml:space="preserve"> </w:t>
            </w:r>
            <w:r>
              <w:rPr>
                <w:rFonts w:ascii="仿宋" w:hAnsi="仿宋" w:eastAsia="仿宋" w:cs="仿宋"/>
                <w:color w:val="auto"/>
                <w:spacing w:val="-6"/>
                <w:sz w:val="20"/>
                <w:szCs w:val="20"/>
                <w:highlight w:val="none"/>
              </w:rPr>
              <w:t>口，</w:t>
            </w:r>
            <w:r>
              <w:rPr>
                <w:rFonts w:ascii="仿宋" w:hAnsi="仿宋" w:eastAsia="仿宋" w:cs="仿宋"/>
                <w:color w:val="auto"/>
                <w:spacing w:val="-50"/>
                <w:sz w:val="20"/>
                <w:szCs w:val="20"/>
                <w:highlight w:val="none"/>
              </w:rPr>
              <w:t xml:space="preserve"> </w:t>
            </w:r>
            <w:r>
              <w:rPr>
                <w:rFonts w:ascii="仿宋" w:hAnsi="仿宋" w:eastAsia="仿宋" w:cs="仿宋"/>
                <w:color w:val="auto"/>
                <w:spacing w:val="-6"/>
                <w:sz w:val="20"/>
                <w:szCs w:val="20"/>
                <w:highlight w:val="none"/>
              </w:rPr>
              <w:t>已内置</w:t>
            </w:r>
            <w:r>
              <w:rPr>
                <w:rFonts w:ascii="仿宋" w:hAnsi="仿宋" w:eastAsia="仿宋" w:cs="仿宋"/>
                <w:color w:val="auto"/>
                <w:spacing w:val="-23"/>
                <w:sz w:val="20"/>
                <w:szCs w:val="20"/>
                <w:highlight w:val="none"/>
              </w:rPr>
              <w:t xml:space="preserve"> </w:t>
            </w:r>
            <w:r>
              <w:rPr>
                <w:rFonts w:ascii="仿宋" w:hAnsi="仿宋" w:eastAsia="仿宋" w:cs="仿宋"/>
                <w:color w:val="auto"/>
                <w:spacing w:val="-6"/>
                <w:sz w:val="20"/>
                <w:szCs w:val="20"/>
                <w:highlight w:val="none"/>
              </w:rPr>
              <w:t>1</w:t>
            </w:r>
            <w:r>
              <w:rPr>
                <w:rFonts w:ascii="仿宋" w:hAnsi="仿宋" w:eastAsia="仿宋" w:cs="仿宋"/>
                <w:color w:val="auto"/>
                <w:spacing w:val="-35"/>
                <w:sz w:val="20"/>
                <w:szCs w:val="20"/>
                <w:highlight w:val="none"/>
              </w:rPr>
              <w:t xml:space="preserve"> </w:t>
            </w:r>
            <w:r>
              <w:rPr>
                <w:rFonts w:ascii="仿宋" w:hAnsi="仿宋" w:eastAsia="仿宋" w:cs="仿宋"/>
                <w:color w:val="auto"/>
                <w:spacing w:val="-6"/>
                <w:sz w:val="20"/>
                <w:szCs w:val="20"/>
                <w:highlight w:val="none"/>
              </w:rPr>
              <w:t>块</w:t>
            </w:r>
            <w:r>
              <w:rPr>
                <w:rFonts w:ascii="仿宋" w:hAnsi="仿宋" w:eastAsia="仿宋" w:cs="仿宋"/>
                <w:color w:val="auto"/>
                <w:spacing w:val="-38"/>
                <w:sz w:val="20"/>
                <w:szCs w:val="20"/>
                <w:highlight w:val="none"/>
              </w:rPr>
              <w:t xml:space="preserve"> </w:t>
            </w:r>
            <w:r>
              <w:rPr>
                <w:rFonts w:ascii="仿宋" w:hAnsi="仿宋" w:eastAsia="仿宋" w:cs="仿宋"/>
                <w:color w:val="auto"/>
                <w:spacing w:val="-6"/>
                <w:sz w:val="20"/>
                <w:szCs w:val="20"/>
                <w:highlight w:val="none"/>
              </w:rPr>
              <w:t>4T</w:t>
            </w:r>
            <w:r>
              <w:rPr>
                <w:rFonts w:ascii="仿宋" w:hAnsi="仿宋" w:eastAsia="仿宋" w:cs="仿宋"/>
                <w:color w:val="auto"/>
                <w:spacing w:val="-25"/>
                <w:sz w:val="20"/>
                <w:szCs w:val="20"/>
                <w:highlight w:val="none"/>
              </w:rPr>
              <w:t xml:space="preserve"> </w:t>
            </w:r>
            <w:r>
              <w:rPr>
                <w:rFonts w:ascii="仿宋" w:hAnsi="仿宋" w:eastAsia="仿宋" w:cs="仿宋"/>
                <w:color w:val="auto"/>
                <w:spacing w:val="-6"/>
                <w:sz w:val="20"/>
                <w:szCs w:val="20"/>
                <w:highlight w:val="none"/>
              </w:rPr>
              <w:t>盘，</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总容量</w:t>
            </w:r>
            <w:r>
              <w:rPr>
                <w:rFonts w:ascii="仿宋" w:hAnsi="仿宋" w:eastAsia="仿宋" w:cs="仿宋"/>
                <w:color w:val="auto"/>
                <w:spacing w:val="-37"/>
                <w:sz w:val="20"/>
                <w:szCs w:val="20"/>
                <w:highlight w:val="none"/>
              </w:rPr>
              <w:t xml:space="preserve"> </w:t>
            </w:r>
            <w:r>
              <w:rPr>
                <w:rFonts w:ascii="仿宋" w:hAnsi="仿宋" w:eastAsia="仿宋" w:cs="仿宋"/>
                <w:color w:val="auto"/>
                <w:spacing w:val="3"/>
                <w:sz w:val="20"/>
                <w:szCs w:val="20"/>
                <w:highlight w:val="none"/>
              </w:rPr>
              <w:t>4</w:t>
            </w:r>
            <w:r>
              <w:rPr>
                <w:rFonts w:ascii="仿宋" w:hAnsi="仿宋" w:eastAsia="仿宋" w:cs="仿宋"/>
                <w:color w:val="auto"/>
                <w:sz w:val="20"/>
                <w:szCs w:val="20"/>
                <w:highlight w:val="none"/>
              </w:rPr>
              <w:t>TB</w:t>
            </w:r>
          </w:p>
          <w:p w14:paraId="444DC4D9">
            <w:pPr>
              <w:keepNext w:val="0"/>
              <w:keepLines/>
              <w:pageBreakBefore w:val="0"/>
              <w:widowControl w:val="0"/>
              <w:kinsoku/>
              <w:wordWrap w:val="0"/>
              <w:overflowPunct/>
              <w:topLinePunct w:val="0"/>
              <w:autoSpaceDE/>
              <w:autoSpaceDN/>
              <w:bidi w:val="0"/>
              <w:adjustRightInd/>
              <w:snapToGrid/>
              <w:spacing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视频接</w:t>
            </w:r>
            <w:r>
              <w:rPr>
                <w:rFonts w:ascii="仿宋" w:hAnsi="仿宋" w:eastAsia="仿宋" w:cs="仿宋"/>
                <w:color w:val="auto"/>
                <w:spacing w:val="-48"/>
                <w:sz w:val="20"/>
                <w:szCs w:val="20"/>
                <w:highlight w:val="none"/>
              </w:rPr>
              <w:t xml:space="preserve"> </w:t>
            </w:r>
            <w:r>
              <w:rPr>
                <w:rFonts w:ascii="仿宋" w:hAnsi="仿宋" w:eastAsia="仿宋" w:cs="仿宋"/>
                <w:color w:val="auto"/>
                <w:spacing w:val="-1"/>
                <w:sz w:val="20"/>
                <w:szCs w:val="20"/>
                <w:highlight w:val="none"/>
              </w:rPr>
              <w:t>口：1</w:t>
            </w:r>
            <w:r>
              <w:rPr>
                <w:rFonts w:ascii="仿宋" w:hAnsi="仿宋" w:eastAsia="仿宋" w:cs="仿宋"/>
                <w:color w:val="auto"/>
                <w:spacing w:val="-60"/>
                <w:sz w:val="20"/>
                <w:szCs w:val="20"/>
                <w:highlight w:val="none"/>
              </w:rPr>
              <w:t xml:space="preserve"> </w:t>
            </w:r>
            <w:r>
              <w:rPr>
                <w:rFonts w:ascii="仿宋" w:hAnsi="仿宋" w:eastAsia="仿宋" w:cs="仿宋"/>
                <w:color w:val="auto"/>
                <w:spacing w:val="-1"/>
                <w:sz w:val="20"/>
                <w:szCs w:val="20"/>
                <w:highlight w:val="none"/>
              </w:rPr>
              <w:t>×HDMI，1</w:t>
            </w:r>
            <w:r>
              <w:rPr>
                <w:rFonts w:ascii="仿宋" w:hAnsi="仿宋" w:eastAsia="仿宋" w:cs="仿宋"/>
                <w:color w:val="auto"/>
                <w:spacing w:val="-62"/>
                <w:sz w:val="20"/>
                <w:szCs w:val="20"/>
                <w:highlight w:val="none"/>
              </w:rPr>
              <w:t xml:space="preserve"> </w:t>
            </w:r>
            <w:r>
              <w:rPr>
                <w:rFonts w:ascii="仿宋" w:hAnsi="仿宋" w:eastAsia="仿宋" w:cs="仿宋"/>
                <w:color w:val="auto"/>
                <w:spacing w:val="-1"/>
                <w:sz w:val="20"/>
                <w:szCs w:val="20"/>
                <w:highlight w:val="none"/>
              </w:rPr>
              <w:t>×VGA</w:t>
            </w:r>
          </w:p>
          <w:p w14:paraId="10C1C013">
            <w:pPr>
              <w:keepNext w:val="0"/>
              <w:keepLines/>
              <w:pageBreakBefore w:val="0"/>
              <w:widowControl w:val="0"/>
              <w:kinsoku/>
              <w:wordWrap w:val="0"/>
              <w:overflowPunct/>
              <w:topLinePunct w:val="0"/>
              <w:autoSpaceDE/>
              <w:autoSpaceDN/>
              <w:bidi w:val="0"/>
              <w:adjustRightInd/>
              <w:snapToGrid/>
              <w:spacing w:before="158" w:line="224" w:lineRule="auto"/>
              <w:ind w:left="140"/>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网络接</w:t>
            </w:r>
            <w:r>
              <w:rPr>
                <w:rFonts w:ascii="仿宋" w:hAnsi="仿宋" w:eastAsia="仿宋" w:cs="仿宋"/>
                <w:color w:val="auto"/>
                <w:spacing w:val="-38"/>
                <w:sz w:val="20"/>
                <w:szCs w:val="20"/>
                <w:highlight w:val="none"/>
              </w:rPr>
              <w:t xml:space="preserve"> </w:t>
            </w:r>
            <w:r>
              <w:rPr>
                <w:rFonts w:ascii="仿宋" w:hAnsi="仿宋" w:eastAsia="仿宋" w:cs="仿宋"/>
                <w:color w:val="auto"/>
                <w:spacing w:val="-2"/>
                <w:sz w:val="20"/>
                <w:szCs w:val="20"/>
                <w:highlight w:val="none"/>
              </w:rPr>
              <w:t>口：1</w:t>
            </w:r>
            <w:r>
              <w:rPr>
                <w:rFonts w:ascii="仿宋" w:hAnsi="仿宋" w:eastAsia="仿宋" w:cs="仿宋"/>
                <w:color w:val="auto"/>
                <w:spacing w:val="-60"/>
                <w:sz w:val="20"/>
                <w:szCs w:val="20"/>
                <w:highlight w:val="none"/>
              </w:rPr>
              <w:t xml:space="preserve"> </w:t>
            </w:r>
            <w:r>
              <w:rPr>
                <w:rFonts w:ascii="仿宋" w:hAnsi="仿宋" w:eastAsia="仿宋" w:cs="仿宋"/>
                <w:color w:val="auto"/>
                <w:spacing w:val="-2"/>
                <w:sz w:val="20"/>
                <w:szCs w:val="20"/>
                <w:highlight w:val="none"/>
              </w:rPr>
              <w:t>×RJ45</w:t>
            </w:r>
            <w:r>
              <w:rPr>
                <w:rFonts w:ascii="仿宋" w:hAnsi="仿宋" w:eastAsia="仿宋" w:cs="仿宋"/>
                <w:color w:val="auto"/>
                <w:spacing w:val="-25"/>
                <w:sz w:val="20"/>
                <w:szCs w:val="20"/>
                <w:highlight w:val="none"/>
              </w:rPr>
              <w:t xml:space="preserve"> </w:t>
            </w:r>
            <w:r>
              <w:rPr>
                <w:rFonts w:ascii="仿宋" w:hAnsi="仿宋" w:eastAsia="仿宋" w:cs="仿宋"/>
                <w:color w:val="auto"/>
                <w:spacing w:val="-2"/>
                <w:sz w:val="20"/>
                <w:szCs w:val="20"/>
                <w:highlight w:val="none"/>
              </w:rPr>
              <w:t>10/100Mbps 自适应以太网</w:t>
            </w:r>
            <w:r>
              <w:rPr>
                <w:rFonts w:ascii="仿宋" w:hAnsi="仿宋" w:eastAsia="仿宋" w:cs="仿宋"/>
                <w:color w:val="auto"/>
                <w:spacing w:val="-47"/>
                <w:sz w:val="20"/>
                <w:szCs w:val="20"/>
                <w:highlight w:val="none"/>
              </w:rPr>
              <w:t xml:space="preserve"> </w:t>
            </w:r>
            <w:r>
              <w:rPr>
                <w:rFonts w:ascii="仿宋" w:hAnsi="仿宋" w:eastAsia="仿宋" w:cs="仿宋"/>
                <w:color w:val="auto"/>
                <w:spacing w:val="-2"/>
                <w:sz w:val="20"/>
                <w:szCs w:val="20"/>
                <w:highlight w:val="none"/>
              </w:rPr>
              <w:t>口</w:t>
            </w:r>
          </w:p>
          <w:p w14:paraId="3DEFF7D2">
            <w:pPr>
              <w:keepNext w:val="0"/>
              <w:keepLines/>
              <w:pageBreakBefore w:val="0"/>
              <w:widowControl w:val="0"/>
              <w:kinsoku/>
              <w:wordWrap w:val="0"/>
              <w:overflowPunct/>
              <w:topLinePunct w:val="0"/>
              <w:autoSpaceDE/>
              <w:autoSpaceDN/>
              <w:bidi w:val="0"/>
              <w:adjustRightInd/>
              <w:snapToGrid/>
              <w:spacing w:before="164" w:line="232" w:lineRule="auto"/>
              <w:ind w:left="106"/>
              <w:textAlignment w:val="auto"/>
              <w:rPr>
                <w:rFonts w:ascii="仿宋" w:hAnsi="仿宋" w:eastAsia="仿宋" w:cs="仿宋"/>
                <w:color w:val="auto"/>
                <w:sz w:val="20"/>
                <w:szCs w:val="20"/>
                <w:highlight w:val="none"/>
              </w:rPr>
            </w:pPr>
            <w:r>
              <w:rPr>
                <w:rFonts w:ascii="仿宋" w:hAnsi="仿宋" w:eastAsia="仿宋" w:cs="仿宋"/>
                <w:color w:val="auto"/>
                <w:sz w:val="20"/>
                <w:szCs w:val="20"/>
                <w:highlight w:val="none"/>
              </w:rPr>
              <w:t>USB</w:t>
            </w:r>
            <w:r>
              <w:rPr>
                <w:rFonts w:ascii="仿宋" w:hAnsi="仿宋" w:eastAsia="仿宋" w:cs="仿宋"/>
                <w:color w:val="auto"/>
                <w:spacing w:val="-34"/>
                <w:sz w:val="20"/>
                <w:szCs w:val="20"/>
                <w:highlight w:val="none"/>
              </w:rPr>
              <w:t xml:space="preserve"> </w:t>
            </w:r>
            <w:r>
              <w:rPr>
                <w:rFonts w:ascii="仿宋" w:hAnsi="仿宋" w:eastAsia="仿宋" w:cs="仿宋"/>
                <w:color w:val="auto"/>
                <w:spacing w:val="3"/>
                <w:sz w:val="20"/>
                <w:szCs w:val="20"/>
                <w:highlight w:val="none"/>
              </w:rPr>
              <w:t>接</w:t>
            </w:r>
            <w:r>
              <w:rPr>
                <w:rFonts w:ascii="仿宋" w:hAnsi="仿宋" w:eastAsia="仿宋" w:cs="仿宋"/>
                <w:color w:val="auto"/>
                <w:spacing w:val="-49"/>
                <w:sz w:val="20"/>
                <w:szCs w:val="20"/>
                <w:highlight w:val="none"/>
              </w:rPr>
              <w:t xml:space="preserve"> </w:t>
            </w:r>
            <w:r>
              <w:rPr>
                <w:rFonts w:ascii="仿宋" w:hAnsi="仿宋" w:eastAsia="仿宋" w:cs="仿宋"/>
                <w:color w:val="auto"/>
                <w:spacing w:val="3"/>
                <w:sz w:val="20"/>
                <w:szCs w:val="20"/>
                <w:highlight w:val="none"/>
              </w:rPr>
              <w:t>口：2×</w:t>
            </w:r>
            <w:r>
              <w:rPr>
                <w:rFonts w:ascii="仿宋" w:hAnsi="仿宋" w:eastAsia="仿宋" w:cs="仿宋"/>
                <w:color w:val="auto"/>
                <w:sz w:val="20"/>
                <w:szCs w:val="20"/>
                <w:highlight w:val="none"/>
              </w:rPr>
              <w:t>USB</w:t>
            </w:r>
            <w:r>
              <w:rPr>
                <w:rFonts w:ascii="仿宋" w:hAnsi="仿宋" w:eastAsia="仿宋" w:cs="仿宋"/>
                <w:color w:val="auto"/>
                <w:spacing w:val="3"/>
                <w:sz w:val="20"/>
                <w:szCs w:val="20"/>
                <w:highlight w:val="none"/>
              </w:rPr>
              <w:t xml:space="preserve"> 2.0</w:t>
            </w:r>
          </w:p>
          <w:p w14:paraId="1356A067">
            <w:pPr>
              <w:keepNext w:val="0"/>
              <w:keepLines/>
              <w:pageBreakBefore w:val="0"/>
              <w:widowControl w:val="0"/>
              <w:kinsoku/>
              <w:wordWrap w:val="0"/>
              <w:overflowPunct/>
              <w:topLinePunct w:val="0"/>
              <w:autoSpaceDE/>
              <w:autoSpaceDN/>
              <w:bidi w:val="0"/>
              <w:adjustRightInd/>
              <w:snapToGrid/>
              <w:spacing w:before="157" w:line="229" w:lineRule="auto"/>
              <w:ind w:left="113"/>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2.产品性能</w:t>
            </w:r>
          </w:p>
          <w:p w14:paraId="1627B7E2">
            <w:pPr>
              <w:keepNext w:val="0"/>
              <w:keepLines/>
              <w:pageBreakBefore w:val="0"/>
              <w:widowControl w:val="0"/>
              <w:kinsoku/>
              <w:wordWrap w:val="0"/>
              <w:overflowPunct/>
              <w:topLinePunct w:val="0"/>
              <w:autoSpaceDE/>
              <w:autoSpaceDN/>
              <w:bidi w:val="0"/>
              <w:adjustRightInd/>
              <w:snapToGrid/>
              <w:spacing w:before="160" w:line="224"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输入带宽：40</w:t>
            </w:r>
            <w:r>
              <w:rPr>
                <w:rFonts w:ascii="仿宋" w:hAnsi="仿宋" w:eastAsia="仿宋" w:cs="仿宋"/>
                <w:color w:val="auto"/>
                <w:sz w:val="20"/>
                <w:szCs w:val="20"/>
                <w:highlight w:val="none"/>
              </w:rPr>
              <w:t>Mbps</w:t>
            </w:r>
          </w:p>
          <w:p w14:paraId="2473F1AA">
            <w:pPr>
              <w:keepNext w:val="0"/>
              <w:keepLines/>
              <w:pageBreakBefore w:val="0"/>
              <w:widowControl w:val="0"/>
              <w:kinsoku/>
              <w:wordWrap w:val="0"/>
              <w:overflowPunct/>
              <w:topLinePunct w:val="0"/>
              <w:autoSpaceDE/>
              <w:autoSpaceDN/>
              <w:bidi w:val="0"/>
              <w:adjustRightInd/>
              <w:snapToGrid/>
              <w:spacing w:before="166" w:line="224"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输出带宽：60</w:t>
            </w:r>
            <w:r>
              <w:rPr>
                <w:rFonts w:ascii="仿宋" w:hAnsi="仿宋" w:eastAsia="仿宋" w:cs="仿宋"/>
                <w:color w:val="auto"/>
                <w:sz w:val="20"/>
                <w:szCs w:val="20"/>
                <w:highlight w:val="none"/>
              </w:rPr>
              <w:t>Mbps</w:t>
            </w:r>
          </w:p>
          <w:p w14:paraId="05D4416F">
            <w:pPr>
              <w:keepNext w:val="0"/>
              <w:keepLines/>
              <w:pageBreakBefore w:val="0"/>
              <w:widowControl w:val="0"/>
              <w:kinsoku/>
              <w:wordWrap w:val="0"/>
              <w:overflowPunct/>
              <w:topLinePunct w:val="0"/>
              <w:autoSpaceDE/>
              <w:autoSpaceDN/>
              <w:bidi w:val="0"/>
              <w:adjustRightInd/>
              <w:snapToGrid/>
              <w:spacing w:before="167" w:line="230" w:lineRule="auto"/>
              <w:ind w:left="118"/>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接入能力：4</w:t>
            </w:r>
            <w:r>
              <w:rPr>
                <w:rFonts w:ascii="仿宋" w:hAnsi="仿宋" w:eastAsia="仿宋" w:cs="仿宋"/>
                <w:color w:val="auto"/>
                <w:spacing w:val="-27"/>
                <w:sz w:val="20"/>
                <w:szCs w:val="20"/>
                <w:highlight w:val="none"/>
              </w:rPr>
              <w:t xml:space="preserve"> </w:t>
            </w:r>
            <w:r>
              <w:rPr>
                <w:rFonts w:ascii="仿宋" w:hAnsi="仿宋" w:eastAsia="仿宋" w:cs="仿宋"/>
                <w:color w:val="auto"/>
                <w:spacing w:val="2"/>
                <w:sz w:val="20"/>
                <w:szCs w:val="20"/>
                <w:highlight w:val="none"/>
              </w:rPr>
              <w:t>路</w:t>
            </w:r>
            <w:r>
              <w:rPr>
                <w:rFonts w:ascii="仿宋" w:hAnsi="仿宋" w:eastAsia="仿宋" w:cs="仿宋"/>
                <w:color w:val="auto"/>
                <w:spacing w:val="-42"/>
                <w:sz w:val="20"/>
                <w:szCs w:val="20"/>
                <w:highlight w:val="none"/>
              </w:rPr>
              <w:t xml:space="preserve"> </w:t>
            </w:r>
            <w:r>
              <w:rPr>
                <w:rFonts w:ascii="仿宋" w:hAnsi="仿宋" w:eastAsia="仿宋" w:cs="仿宋"/>
                <w:color w:val="auto"/>
                <w:spacing w:val="2"/>
                <w:sz w:val="20"/>
                <w:szCs w:val="20"/>
                <w:highlight w:val="none"/>
              </w:rPr>
              <w:t>H.264、H.265</w:t>
            </w:r>
            <w:r>
              <w:rPr>
                <w:rFonts w:ascii="仿宋" w:hAnsi="仿宋" w:eastAsia="仿宋" w:cs="仿宋"/>
                <w:color w:val="auto"/>
                <w:spacing w:val="-33"/>
                <w:sz w:val="20"/>
                <w:szCs w:val="20"/>
                <w:highlight w:val="none"/>
              </w:rPr>
              <w:t xml:space="preserve"> </w:t>
            </w:r>
            <w:r>
              <w:rPr>
                <w:rFonts w:ascii="仿宋" w:hAnsi="仿宋" w:eastAsia="仿宋" w:cs="仿宋"/>
                <w:color w:val="auto"/>
                <w:spacing w:val="2"/>
                <w:sz w:val="20"/>
                <w:szCs w:val="20"/>
                <w:highlight w:val="none"/>
              </w:rPr>
              <w:t>格式高清码流接入</w:t>
            </w:r>
          </w:p>
          <w:p w14:paraId="0A7CC24A">
            <w:pPr>
              <w:keepNext w:val="0"/>
              <w:keepLines/>
              <w:pageBreakBefore w:val="0"/>
              <w:widowControl w:val="0"/>
              <w:kinsoku/>
              <w:wordWrap w:val="0"/>
              <w:overflowPunct/>
              <w:topLinePunct w:val="0"/>
              <w:autoSpaceDE/>
              <w:autoSpaceDN/>
              <w:bidi w:val="0"/>
              <w:adjustRightInd/>
              <w:snapToGrid/>
              <w:spacing w:before="159" w:line="230"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解码能力：最大支持</w:t>
            </w:r>
            <w:r>
              <w:rPr>
                <w:rFonts w:ascii="仿宋" w:hAnsi="仿宋" w:eastAsia="仿宋" w:cs="仿宋"/>
                <w:color w:val="auto"/>
                <w:spacing w:val="-30"/>
                <w:sz w:val="20"/>
                <w:szCs w:val="20"/>
                <w:highlight w:val="none"/>
              </w:rPr>
              <w:t xml:space="preserve"> </w:t>
            </w:r>
            <w:r>
              <w:rPr>
                <w:rFonts w:ascii="仿宋" w:hAnsi="仿宋" w:eastAsia="仿宋" w:cs="仿宋"/>
                <w:color w:val="auto"/>
                <w:spacing w:val="6"/>
                <w:sz w:val="20"/>
                <w:szCs w:val="20"/>
                <w:highlight w:val="none"/>
              </w:rPr>
              <w:t>6×1080P</w:t>
            </w:r>
          </w:p>
        </w:tc>
      </w:tr>
      <w:tr w14:paraId="39652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9" w:type="dxa"/>
          <w:trHeight w:val="418" w:hRule="atLeast"/>
        </w:trPr>
        <w:tc>
          <w:tcPr>
            <w:tcW w:w="1022" w:type="dxa"/>
            <w:noWrap w:val="0"/>
            <w:vAlign w:val="top"/>
          </w:tcPr>
          <w:p w14:paraId="47BD856C">
            <w:pPr>
              <w:keepNext w:val="0"/>
              <w:keepLines/>
              <w:pageBreakBefore w:val="0"/>
              <w:widowControl w:val="0"/>
              <w:kinsoku/>
              <w:wordWrap w:val="0"/>
              <w:overflowPunct/>
              <w:topLinePunct w:val="0"/>
              <w:autoSpaceDE/>
              <w:autoSpaceDN/>
              <w:bidi w:val="0"/>
              <w:adjustRightInd/>
              <w:snapToGrid/>
              <w:spacing w:before="33" w:line="270" w:lineRule="exact"/>
              <w:ind w:left="119"/>
              <w:textAlignment w:val="auto"/>
              <w:rPr>
                <w:rFonts w:ascii="仿宋" w:hAnsi="仿宋" w:eastAsia="仿宋" w:cs="仿宋"/>
                <w:color w:val="auto"/>
                <w:sz w:val="20"/>
                <w:szCs w:val="20"/>
                <w:highlight w:val="none"/>
              </w:rPr>
            </w:pPr>
            <w:r>
              <w:rPr>
                <w:rFonts w:ascii="仿宋" w:hAnsi="仿宋" w:eastAsia="仿宋" w:cs="仿宋"/>
                <w:color w:val="auto"/>
                <w:position w:val="1"/>
                <w:sz w:val="20"/>
                <w:szCs w:val="20"/>
                <w:highlight w:val="none"/>
              </w:rPr>
              <w:t>3</w:t>
            </w:r>
          </w:p>
        </w:tc>
        <w:tc>
          <w:tcPr>
            <w:tcW w:w="1596" w:type="dxa"/>
            <w:gridSpan w:val="2"/>
            <w:noWrap w:val="0"/>
            <w:vAlign w:val="top"/>
          </w:tcPr>
          <w:p w14:paraId="1907BF62">
            <w:pPr>
              <w:keepNext w:val="0"/>
              <w:keepLines/>
              <w:pageBreakBefore w:val="0"/>
              <w:widowControl w:val="0"/>
              <w:kinsoku/>
              <w:wordWrap w:val="0"/>
              <w:overflowPunct/>
              <w:topLinePunct w:val="0"/>
              <w:autoSpaceDE/>
              <w:autoSpaceDN/>
              <w:bidi w:val="0"/>
              <w:adjustRightInd/>
              <w:snapToGrid/>
              <w:spacing w:before="33" w:line="230" w:lineRule="auto"/>
              <w:ind w:left="140"/>
              <w:textAlignment w:val="auto"/>
              <w:rPr>
                <w:rFonts w:ascii="仿宋" w:hAnsi="仿宋" w:eastAsia="仿宋" w:cs="仿宋"/>
                <w:color w:val="auto"/>
                <w:sz w:val="20"/>
                <w:szCs w:val="20"/>
                <w:highlight w:val="none"/>
              </w:rPr>
            </w:pPr>
            <w:r>
              <w:rPr>
                <w:rFonts w:ascii="仿宋" w:hAnsi="仿宋" w:eastAsia="仿宋" w:cs="仿宋"/>
                <w:color w:val="auto"/>
                <w:sz w:val="20"/>
                <w:szCs w:val="20"/>
                <w:highlight w:val="none"/>
              </w:rPr>
              <w:t>网络服务</w:t>
            </w:r>
          </w:p>
        </w:tc>
        <w:tc>
          <w:tcPr>
            <w:tcW w:w="6841" w:type="dxa"/>
            <w:gridSpan w:val="2"/>
            <w:noWrap w:val="0"/>
            <w:vAlign w:val="top"/>
          </w:tcPr>
          <w:p w14:paraId="36D151CA">
            <w:pPr>
              <w:keepNext w:val="0"/>
              <w:keepLines/>
              <w:pageBreakBefore w:val="0"/>
              <w:widowControl w:val="0"/>
              <w:kinsoku/>
              <w:wordWrap w:val="0"/>
              <w:overflowPunct/>
              <w:topLinePunct w:val="0"/>
              <w:autoSpaceDE/>
              <w:autoSpaceDN/>
              <w:bidi w:val="0"/>
              <w:adjustRightInd/>
              <w:snapToGrid/>
              <w:spacing w:before="33" w:line="231"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提供不低于 20M</w:t>
            </w:r>
            <w:r>
              <w:rPr>
                <w:rFonts w:ascii="仿宋" w:hAnsi="仿宋" w:eastAsia="仿宋" w:cs="仿宋"/>
                <w:color w:val="auto"/>
                <w:spacing w:val="35"/>
                <w:sz w:val="20"/>
                <w:szCs w:val="20"/>
                <w:highlight w:val="none"/>
              </w:rPr>
              <w:t xml:space="preserve"> </w:t>
            </w:r>
            <w:r>
              <w:rPr>
                <w:rFonts w:ascii="仿宋" w:hAnsi="仿宋" w:eastAsia="仿宋" w:cs="仿宋"/>
                <w:color w:val="auto"/>
                <w:spacing w:val="6"/>
                <w:sz w:val="20"/>
                <w:szCs w:val="20"/>
                <w:highlight w:val="none"/>
              </w:rPr>
              <w:t>互联网专线传输服务。</w:t>
            </w:r>
          </w:p>
        </w:tc>
      </w:tr>
      <w:tr w14:paraId="10526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9" w:type="dxa"/>
          <w:trHeight w:val="3389" w:hRule="atLeast"/>
        </w:trPr>
        <w:tc>
          <w:tcPr>
            <w:tcW w:w="1022" w:type="dxa"/>
            <w:noWrap w:val="0"/>
            <w:vAlign w:val="top"/>
          </w:tcPr>
          <w:p w14:paraId="5507F7D4">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41B6FE9B">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15733F5E">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4C80B7B3">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62CDC217">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740934EE">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7C9FC3B4">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21B57001">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1BA01A9F">
            <w:pPr>
              <w:keepNext w:val="0"/>
              <w:keepLines/>
              <w:pageBreakBefore w:val="0"/>
              <w:widowControl w:val="0"/>
              <w:kinsoku/>
              <w:wordWrap w:val="0"/>
              <w:overflowPunct/>
              <w:topLinePunct w:val="0"/>
              <w:autoSpaceDE/>
              <w:autoSpaceDN/>
              <w:bidi w:val="0"/>
              <w:adjustRightInd/>
              <w:snapToGrid/>
              <w:spacing w:before="65" w:line="272" w:lineRule="exact"/>
              <w:ind w:left="114"/>
              <w:textAlignment w:val="auto"/>
              <w:rPr>
                <w:rFonts w:ascii="仿宋" w:hAnsi="仿宋" w:eastAsia="仿宋" w:cs="仿宋"/>
                <w:color w:val="auto"/>
                <w:sz w:val="20"/>
                <w:szCs w:val="20"/>
                <w:highlight w:val="none"/>
              </w:rPr>
            </w:pPr>
            <w:r>
              <w:rPr>
                <w:rFonts w:ascii="仿宋" w:hAnsi="仿宋" w:eastAsia="仿宋" w:cs="仿宋"/>
                <w:color w:val="auto"/>
                <w:position w:val="1"/>
                <w:sz w:val="20"/>
                <w:szCs w:val="20"/>
                <w:highlight w:val="none"/>
              </w:rPr>
              <w:t>4</w:t>
            </w:r>
          </w:p>
        </w:tc>
        <w:tc>
          <w:tcPr>
            <w:tcW w:w="1596" w:type="dxa"/>
            <w:gridSpan w:val="2"/>
            <w:noWrap w:val="0"/>
            <w:vAlign w:val="top"/>
          </w:tcPr>
          <w:p w14:paraId="4DB23D69">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0A1AE645">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012C7455">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13B7AF9F">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535F4C6B">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6411B9B9">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2C976860">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213146D3">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62F29A8B">
            <w:pPr>
              <w:keepNext w:val="0"/>
              <w:keepLines/>
              <w:pageBreakBefore w:val="0"/>
              <w:widowControl w:val="0"/>
              <w:kinsoku/>
              <w:wordWrap w:val="0"/>
              <w:overflowPunct/>
              <w:topLinePunct w:val="0"/>
              <w:autoSpaceDE/>
              <w:autoSpaceDN/>
              <w:bidi w:val="0"/>
              <w:adjustRightInd/>
              <w:snapToGrid/>
              <w:spacing w:before="65" w:line="230" w:lineRule="auto"/>
              <w:ind w:left="121"/>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维护服务</w:t>
            </w:r>
          </w:p>
        </w:tc>
        <w:tc>
          <w:tcPr>
            <w:tcW w:w="6841" w:type="dxa"/>
            <w:gridSpan w:val="2"/>
            <w:noWrap w:val="0"/>
            <w:vAlign w:val="top"/>
          </w:tcPr>
          <w:p w14:paraId="29E4556A">
            <w:pPr>
              <w:keepNext w:val="0"/>
              <w:keepLines/>
              <w:pageBreakBefore w:val="0"/>
              <w:widowControl w:val="0"/>
              <w:kinsoku/>
              <w:wordWrap w:val="0"/>
              <w:overflowPunct/>
              <w:topLinePunct w:val="0"/>
              <w:autoSpaceDE/>
              <w:autoSpaceDN/>
              <w:bidi w:val="0"/>
              <w:adjustRightInd/>
              <w:snapToGrid/>
              <w:spacing w:before="35"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5AF98170">
            <w:pPr>
              <w:keepNext w:val="0"/>
              <w:keepLines/>
              <w:pageBreakBefore w:val="0"/>
              <w:widowControl w:val="0"/>
              <w:kinsoku/>
              <w:wordWrap w:val="0"/>
              <w:overflowPunct/>
              <w:topLinePunct w:val="0"/>
              <w:autoSpaceDE/>
              <w:autoSpaceDN/>
              <w:bidi w:val="0"/>
              <w:adjustRightInd/>
              <w:snapToGrid/>
              <w:spacing w:before="156" w:line="328" w:lineRule="auto"/>
              <w:ind w:left="117" w:right="103" w:firstLine="8"/>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1.五年内不间断供电服务及备发电服务：全年的</w:t>
            </w:r>
            <w:r>
              <w:rPr>
                <w:rFonts w:ascii="仿宋" w:hAnsi="仿宋" w:eastAsia="仿宋" w:cs="仿宋"/>
                <w:color w:val="auto"/>
                <w:spacing w:val="12"/>
                <w:sz w:val="20"/>
                <w:szCs w:val="20"/>
                <w:highlight w:val="none"/>
              </w:rPr>
              <w:t xml:space="preserve"> </w:t>
            </w:r>
            <w:r>
              <w:rPr>
                <w:rFonts w:ascii="仿宋" w:hAnsi="仿宋" w:eastAsia="仿宋" w:cs="仿宋"/>
                <w:color w:val="auto"/>
                <w:spacing w:val="7"/>
                <w:sz w:val="20"/>
                <w:szCs w:val="20"/>
                <w:highlight w:val="none"/>
              </w:rPr>
              <w:t>应急备电服务，在发生电力故障时保障项目正常</w:t>
            </w:r>
            <w:r>
              <w:rPr>
                <w:rFonts w:ascii="仿宋" w:hAnsi="仿宋" w:eastAsia="仿宋" w:cs="仿宋"/>
                <w:color w:val="auto"/>
                <w:spacing w:val="3"/>
                <w:sz w:val="20"/>
                <w:szCs w:val="20"/>
                <w:highlight w:val="none"/>
              </w:rPr>
              <w:t xml:space="preserve"> </w:t>
            </w:r>
            <w:r>
              <w:rPr>
                <w:rFonts w:ascii="仿宋" w:hAnsi="仿宋" w:eastAsia="仿宋" w:cs="仿宋"/>
                <w:color w:val="auto"/>
                <w:spacing w:val="7"/>
                <w:sz w:val="20"/>
                <w:szCs w:val="20"/>
                <w:highlight w:val="none"/>
              </w:rPr>
              <w:t>运行的备发电服务；</w:t>
            </w:r>
          </w:p>
          <w:p w14:paraId="4F129851">
            <w:pPr>
              <w:keepNext w:val="0"/>
              <w:keepLines/>
              <w:pageBreakBefore w:val="0"/>
              <w:widowControl w:val="0"/>
              <w:kinsoku/>
              <w:wordWrap w:val="0"/>
              <w:overflowPunct/>
              <w:topLinePunct w:val="0"/>
              <w:autoSpaceDE/>
              <w:autoSpaceDN/>
              <w:bidi w:val="0"/>
              <w:adjustRightInd/>
              <w:snapToGrid/>
              <w:spacing w:before="160" w:line="328" w:lineRule="auto"/>
              <w:ind w:left="116" w:right="103" w:hanging="3"/>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2.五年内巡检维护服务：每季度现场巡检维护保</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障服务，每季度针对项目的定期人工现场巡检维</w:t>
            </w:r>
            <w:r>
              <w:rPr>
                <w:rFonts w:ascii="仿宋" w:hAnsi="仿宋" w:eastAsia="仿宋" w:cs="仿宋"/>
                <w:color w:val="auto"/>
                <w:spacing w:val="6"/>
                <w:sz w:val="20"/>
                <w:szCs w:val="20"/>
                <w:highlight w:val="none"/>
              </w:rPr>
              <w:t xml:space="preserve"> </w:t>
            </w:r>
            <w:r>
              <w:rPr>
                <w:rFonts w:ascii="仿宋" w:hAnsi="仿宋" w:eastAsia="仿宋" w:cs="仿宋"/>
                <w:color w:val="auto"/>
                <w:spacing w:val="7"/>
                <w:sz w:val="20"/>
                <w:szCs w:val="20"/>
                <w:highlight w:val="none"/>
              </w:rPr>
              <w:t>护，保证项目的服务质量；</w:t>
            </w:r>
          </w:p>
          <w:p w14:paraId="3659EA42">
            <w:pPr>
              <w:keepNext w:val="0"/>
              <w:keepLines/>
              <w:pageBreakBefore w:val="0"/>
              <w:widowControl w:val="0"/>
              <w:kinsoku/>
              <w:wordWrap w:val="0"/>
              <w:overflowPunct/>
              <w:topLinePunct w:val="0"/>
              <w:autoSpaceDE/>
              <w:autoSpaceDN/>
              <w:bidi w:val="0"/>
              <w:adjustRightInd/>
              <w:snapToGrid/>
              <w:spacing w:before="160" w:line="328" w:lineRule="auto"/>
              <w:ind w:left="118" w:right="47" w:hanging="3"/>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3.五年内演练、应急现场支撑保障服务，在进行</w:t>
            </w:r>
            <w:r>
              <w:rPr>
                <w:rFonts w:ascii="仿宋" w:hAnsi="仿宋" w:eastAsia="仿宋" w:cs="仿宋"/>
                <w:color w:val="auto"/>
                <w:spacing w:val="1"/>
                <w:sz w:val="20"/>
                <w:szCs w:val="20"/>
                <w:highlight w:val="none"/>
              </w:rPr>
              <w:t xml:space="preserve"> </w:t>
            </w:r>
            <w:r>
              <w:rPr>
                <w:rFonts w:ascii="仿宋" w:hAnsi="仿宋" w:eastAsia="仿宋" w:cs="仿宋"/>
                <w:color w:val="auto"/>
                <w:spacing w:val="5"/>
                <w:sz w:val="20"/>
                <w:szCs w:val="20"/>
                <w:highlight w:val="none"/>
              </w:rPr>
              <w:t>项目相关重要任务执行、演练 及有救援需</w:t>
            </w:r>
            <w:r>
              <w:rPr>
                <w:rFonts w:ascii="仿宋" w:hAnsi="仿宋" w:eastAsia="仿宋" w:cs="仿宋"/>
                <w:color w:val="auto"/>
                <w:spacing w:val="4"/>
                <w:sz w:val="20"/>
                <w:szCs w:val="20"/>
                <w:highlight w:val="none"/>
              </w:rPr>
              <w:t>求时，</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派专人值守保障运行。</w:t>
            </w:r>
          </w:p>
          <w:p w14:paraId="32770B48">
            <w:pPr>
              <w:keepNext w:val="0"/>
              <w:keepLines/>
              <w:pageBreakBefore w:val="0"/>
              <w:widowControl w:val="0"/>
              <w:kinsoku/>
              <w:wordWrap w:val="0"/>
              <w:overflowPunct/>
              <w:topLinePunct w:val="0"/>
              <w:autoSpaceDE/>
              <w:autoSpaceDN/>
              <w:bidi w:val="0"/>
              <w:adjustRightInd/>
              <w:snapToGrid/>
              <w:spacing w:before="159" w:line="231" w:lineRule="auto"/>
              <w:ind w:left="110"/>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4.五年内</w:t>
            </w:r>
            <w:r>
              <w:rPr>
                <w:rFonts w:ascii="仿宋" w:hAnsi="仿宋" w:eastAsia="仿宋" w:cs="仿宋"/>
                <w:color w:val="auto"/>
                <w:spacing w:val="-18"/>
                <w:sz w:val="20"/>
                <w:szCs w:val="20"/>
                <w:highlight w:val="none"/>
              </w:rPr>
              <w:t xml:space="preserve"> </w:t>
            </w:r>
            <w:r>
              <w:rPr>
                <w:rFonts w:ascii="仿宋" w:hAnsi="仿宋" w:eastAsia="仿宋" w:cs="仿宋"/>
                <w:color w:val="auto"/>
                <w:spacing w:val="6"/>
                <w:sz w:val="20"/>
                <w:szCs w:val="20"/>
                <w:highlight w:val="none"/>
              </w:rPr>
              <w:t>7*24 小时监控中心客户服务。</w:t>
            </w:r>
          </w:p>
        </w:tc>
      </w:tr>
      <w:tr w14:paraId="1A13A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9" w:type="dxa"/>
          <w:trHeight w:val="427" w:hRule="atLeast"/>
        </w:trPr>
        <w:tc>
          <w:tcPr>
            <w:tcW w:w="1022" w:type="dxa"/>
            <w:noWrap w:val="0"/>
            <w:vAlign w:val="top"/>
          </w:tcPr>
          <w:p w14:paraId="503A62F9">
            <w:pPr>
              <w:keepNext w:val="0"/>
              <w:keepLines/>
              <w:pageBreakBefore w:val="0"/>
              <w:widowControl w:val="0"/>
              <w:kinsoku/>
              <w:wordWrap w:val="0"/>
              <w:overflowPunct/>
              <w:topLinePunct w:val="0"/>
              <w:autoSpaceDE/>
              <w:autoSpaceDN/>
              <w:bidi w:val="0"/>
              <w:adjustRightInd/>
              <w:snapToGrid/>
              <w:spacing w:before="38" w:line="270" w:lineRule="exact"/>
              <w:ind w:left="119"/>
              <w:textAlignment w:val="auto"/>
              <w:rPr>
                <w:rFonts w:ascii="仿宋" w:hAnsi="仿宋" w:eastAsia="仿宋" w:cs="仿宋"/>
                <w:color w:val="auto"/>
                <w:sz w:val="20"/>
                <w:szCs w:val="20"/>
                <w:highlight w:val="none"/>
              </w:rPr>
            </w:pPr>
            <w:r>
              <w:rPr>
                <w:rFonts w:ascii="仿宋" w:hAnsi="仿宋" w:eastAsia="仿宋" w:cs="仿宋"/>
                <w:color w:val="auto"/>
                <w:position w:val="2"/>
                <w:sz w:val="20"/>
                <w:szCs w:val="20"/>
                <w:highlight w:val="none"/>
              </w:rPr>
              <w:t>5</w:t>
            </w:r>
          </w:p>
        </w:tc>
        <w:tc>
          <w:tcPr>
            <w:tcW w:w="1596" w:type="dxa"/>
            <w:gridSpan w:val="2"/>
            <w:noWrap w:val="0"/>
            <w:vAlign w:val="top"/>
          </w:tcPr>
          <w:p w14:paraId="43026348">
            <w:pPr>
              <w:keepNext w:val="0"/>
              <w:keepLines/>
              <w:pageBreakBefore w:val="0"/>
              <w:widowControl w:val="0"/>
              <w:kinsoku/>
              <w:wordWrap w:val="0"/>
              <w:overflowPunct/>
              <w:topLinePunct w:val="0"/>
              <w:autoSpaceDE/>
              <w:autoSpaceDN/>
              <w:bidi w:val="0"/>
              <w:adjustRightInd/>
              <w:snapToGrid/>
              <w:spacing w:before="38" w:line="231"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综合服务</w:t>
            </w:r>
          </w:p>
        </w:tc>
        <w:tc>
          <w:tcPr>
            <w:tcW w:w="6841" w:type="dxa"/>
            <w:gridSpan w:val="2"/>
            <w:noWrap w:val="0"/>
            <w:vAlign w:val="top"/>
          </w:tcPr>
          <w:p w14:paraId="394074F2">
            <w:pPr>
              <w:keepNext w:val="0"/>
              <w:keepLines/>
              <w:pageBreakBefore w:val="0"/>
              <w:widowControl w:val="0"/>
              <w:kinsoku/>
              <w:wordWrap w:val="0"/>
              <w:overflowPunct/>
              <w:topLinePunct w:val="0"/>
              <w:autoSpaceDE/>
              <w:autoSpaceDN/>
              <w:bidi w:val="0"/>
              <w:adjustRightInd/>
              <w:snapToGrid/>
              <w:spacing w:before="38" w:line="231" w:lineRule="auto"/>
              <w:ind w:left="124"/>
              <w:textAlignment w:val="auto"/>
              <w:rPr>
                <w:rFonts w:ascii="仿宋" w:hAnsi="仿宋" w:eastAsia="仿宋" w:cs="仿宋"/>
                <w:color w:val="auto"/>
                <w:spacing w:val="7"/>
                <w:sz w:val="20"/>
                <w:szCs w:val="20"/>
                <w:highlight w:val="none"/>
              </w:rPr>
            </w:pPr>
            <w:r>
              <w:rPr>
                <w:rFonts w:ascii="仿宋" w:hAnsi="仿宋" w:eastAsia="仿宋" w:cs="仿宋"/>
                <w:color w:val="auto"/>
                <w:spacing w:val="7"/>
                <w:sz w:val="20"/>
                <w:szCs w:val="20"/>
                <w:highlight w:val="none"/>
              </w:rPr>
              <w:t>为满足服务要求，需满足以下参数：</w:t>
            </w:r>
          </w:p>
          <w:p w14:paraId="66335E6F">
            <w:pPr>
              <w:keepNext w:val="0"/>
              <w:keepLines/>
              <w:pageBreakBefore w:val="0"/>
              <w:widowControl w:val="0"/>
              <w:kinsoku/>
              <w:wordWrap w:val="0"/>
              <w:overflowPunct/>
              <w:topLinePunct w:val="0"/>
              <w:autoSpaceDE/>
              <w:autoSpaceDN/>
              <w:bidi w:val="0"/>
              <w:adjustRightInd/>
              <w:snapToGrid/>
              <w:spacing w:before="38" w:line="231" w:lineRule="auto"/>
              <w:ind w:left="124"/>
              <w:textAlignment w:val="auto"/>
              <w:rPr>
                <w:rFonts w:ascii="仿宋" w:hAnsi="仿宋" w:eastAsia="仿宋" w:cs="仿宋"/>
                <w:color w:val="auto"/>
                <w:spacing w:val="7"/>
                <w:sz w:val="20"/>
                <w:szCs w:val="20"/>
                <w:highlight w:val="none"/>
              </w:rPr>
            </w:pPr>
            <w:r>
              <w:rPr>
                <w:rFonts w:ascii="仿宋" w:hAnsi="仿宋" w:eastAsia="仿宋" w:cs="仿宋"/>
                <w:color w:val="auto"/>
                <w:spacing w:val="2"/>
                <w:sz w:val="20"/>
                <w:szCs w:val="20"/>
                <w:highlight w:val="none"/>
              </w:rPr>
              <w:t>包含</w:t>
            </w:r>
            <w:r>
              <w:rPr>
                <w:rFonts w:ascii="仿宋" w:hAnsi="仿宋" w:eastAsia="仿宋" w:cs="仿宋"/>
                <w:color w:val="auto"/>
                <w:spacing w:val="-33"/>
                <w:sz w:val="20"/>
                <w:szCs w:val="20"/>
                <w:highlight w:val="none"/>
              </w:rPr>
              <w:t xml:space="preserve"> </w:t>
            </w:r>
            <w:r>
              <w:rPr>
                <w:rFonts w:ascii="仿宋" w:hAnsi="仿宋" w:eastAsia="仿宋" w:cs="仿宋"/>
                <w:color w:val="auto"/>
                <w:spacing w:val="2"/>
                <w:sz w:val="20"/>
                <w:szCs w:val="20"/>
                <w:highlight w:val="none"/>
              </w:rPr>
              <w:t>5</w:t>
            </w:r>
            <w:r>
              <w:rPr>
                <w:rFonts w:ascii="仿宋" w:hAnsi="仿宋" w:eastAsia="仿宋" w:cs="仿宋"/>
                <w:color w:val="auto"/>
                <w:spacing w:val="-29"/>
                <w:sz w:val="20"/>
                <w:szCs w:val="20"/>
                <w:highlight w:val="none"/>
              </w:rPr>
              <w:t xml:space="preserve"> </w:t>
            </w:r>
            <w:r>
              <w:rPr>
                <w:rFonts w:ascii="仿宋" w:hAnsi="仿宋" w:eastAsia="仿宋" w:cs="仿宋"/>
                <w:color w:val="auto"/>
                <w:spacing w:val="2"/>
                <w:sz w:val="20"/>
                <w:szCs w:val="20"/>
                <w:highlight w:val="none"/>
              </w:rPr>
              <w:t>年电费、24</w:t>
            </w:r>
            <w:r>
              <w:rPr>
                <w:rFonts w:ascii="仿宋" w:hAnsi="仿宋" w:eastAsia="仿宋" w:cs="仿宋"/>
                <w:color w:val="auto"/>
                <w:spacing w:val="-34"/>
                <w:sz w:val="20"/>
                <w:szCs w:val="20"/>
                <w:highlight w:val="none"/>
              </w:rPr>
              <w:t xml:space="preserve"> </w:t>
            </w:r>
            <w:r>
              <w:rPr>
                <w:rFonts w:ascii="仿宋" w:hAnsi="仿宋" w:eastAsia="仿宋" w:cs="仿宋"/>
                <w:color w:val="auto"/>
                <w:spacing w:val="2"/>
                <w:sz w:val="20"/>
                <w:szCs w:val="20"/>
                <w:highlight w:val="none"/>
              </w:rPr>
              <w:t>小时备电、塔上设备巡</w:t>
            </w:r>
            <w:r>
              <w:rPr>
                <w:rFonts w:ascii="仿宋" w:hAnsi="仿宋" w:eastAsia="仿宋" w:cs="仿宋"/>
                <w:color w:val="auto"/>
                <w:spacing w:val="1"/>
                <w:sz w:val="20"/>
                <w:szCs w:val="20"/>
                <w:highlight w:val="none"/>
              </w:rPr>
              <w:t>检、故</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障处理、抱杆新增、7*24</w:t>
            </w:r>
            <w:r>
              <w:rPr>
                <w:rFonts w:ascii="仿宋" w:hAnsi="仿宋" w:eastAsia="仿宋" w:cs="仿宋"/>
                <w:color w:val="auto"/>
                <w:spacing w:val="-25"/>
                <w:sz w:val="20"/>
                <w:szCs w:val="20"/>
                <w:highlight w:val="none"/>
              </w:rPr>
              <w:t xml:space="preserve"> </w:t>
            </w:r>
            <w:r>
              <w:rPr>
                <w:rFonts w:ascii="仿宋" w:hAnsi="仿宋" w:eastAsia="仿宋" w:cs="仿宋"/>
                <w:color w:val="auto"/>
                <w:spacing w:val="6"/>
                <w:sz w:val="20"/>
                <w:szCs w:val="20"/>
                <w:highlight w:val="none"/>
              </w:rPr>
              <w:t>监控值班服务。</w:t>
            </w:r>
          </w:p>
        </w:tc>
      </w:tr>
      <w:tr w14:paraId="7539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0" w:hRule="atLeast"/>
        </w:trPr>
        <w:tc>
          <w:tcPr>
            <w:tcW w:w="1163" w:type="dxa"/>
            <w:gridSpan w:val="2"/>
            <w:noWrap w:val="0"/>
            <w:vAlign w:val="top"/>
          </w:tcPr>
          <w:p w14:paraId="2AB12220">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25BECFC7">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40768ECA">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172EE571">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52B3DA24">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3602179B">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5E537B1D">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5D40B9FE">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59A15CC2">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300F8478">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331BAD3B">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3099117B">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0B3B74B7">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7CE99CBB">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277E401C">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243E7EBF">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4CAED05A">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09E111A2">
            <w:pPr>
              <w:keepNext w:val="0"/>
              <w:keepLines/>
              <w:pageBreakBefore w:val="0"/>
              <w:widowControl w:val="0"/>
              <w:kinsoku/>
              <w:wordWrap w:val="0"/>
              <w:overflowPunct/>
              <w:topLinePunct w:val="0"/>
              <w:autoSpaceDE/>
              <w:autoSpaceDN/>
              <w:bidi w:val="0"/>
              <w:adjustRightInd/>
              <w:snapToGrid/>
              <w:spacing w:line="242" w:lineRule="auto"/>
              <w:textAlignment w:val="auto"/>
              <w:rPr>
                <w:rFonts w:ascii="Arial"/>
                <w:color w:val="auto"/>
                <w:sz w:val="21"/>
                <w:highlight w:val="none"/>
              </w:rPr>
            </w:pPr>
          </w:p>
          <w:p w14:paraId="71379886">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36B446F5">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50AB3CB1">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119784DC">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3BB55B5C">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223250A4">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5CBD9D26">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2F8D98EA">
            <w:pPr>
              <w:keepNext w:val="0"/>
              <w:keepLines/>
              <w:pageBreakBefore w:val="0"/>
              <w:widowControl w:val="0"/>
              <w:kinsoku/>
              <w:wordWrap w:val="0"/>
              <w:overflowPunct/>
              <w:topLinePunct w:val="0"/>
              <w:autoSpaceDE/>
              <w:autoSpaceDN/>
              <w:bidi w:val="0"/>
              <w:adjustRightInd/>
              <w:snapToGrid/>
              <w:spacing w:before="65" w:line="270" w:lineRule="exact"/>
              <w:ind w:left="116"/>
              <w:textAlignment w:val="auto"/>
              <w:rPr>
                <w:rFonts w:ascii="仿宋" w:hAnsi="仿宋" w:eastAsia="仿宋" w:cs="仿宋"/>
                <w:color w:val="auto"/>
                <w:sz w:val="20"/>
                <w:szCs w:val="20"/>
                <w:highlight w:val="none"/>
              </w:rPr>
            </w:pPr>
            <w:r>
              <w:rPr>
                <w:rFonts w:ascii="仿宋" w:hAnsi="仿宋" w:eastAsia="仿宋" w:cs="仿宋"/>
                <w:color w:val="auto"/>
                <w:position w:val="1"/>
                <w:sz w:val="20"/>
                <w:szCs w:val="20"/>
                <w:highlight w:val="none"/>
              </w:rPr>
              <w:t>6</w:t>
            </w:r>
          </w:p>
        </w:tc>
        <w:tc>
          <w:tcPr>
            <w:tcW w:w="1816" w:type="dxa"/>
            <w:gridSpan w:val="2"/>
            <w:noWrap w:val="0"/>
            <w:vAlign w:val="top"/>
          </w:tcPr>
          <w:p w14:paraId="4F0B80A1">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53249621">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416ED8AB">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3AB3BF56">
            <w:pPr>
              <w:keepNext w:val="0"/>
              <w:keepLines/>
              <w:pageBreakBefore w:val="0"/>
              <w:widowControl w:val="0"/>
              <w:kinsoku/>
              <w:wordWrap w:val="0"/>
              <w:overflowPunct/>
              <w:topLinePunct w:val="0"/>
              <w:autoSpaceDE/>
              <w:autoSpaceDN/>
              <w:bidi w:val="0"/>
              <w:adjustRightInd/>
              <w:snapToGrid/>
              <w:spacing w:line="243" w:lineRule="auto"/>
              <w:textAlignment w:val="auto"/>
              <w:rPr>
                <w:rFonts w:ascii="Arial"/>
                <w:color w:val="auto"/>
                <w:sz w:val="21"/>
                <w:highlight w:val="none"/>
              </w:rPr>
            </w:pPr>
          </w:p>
          <w:p w14:paraId="75CF9AE9">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7AED683F">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2F00A325">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2F76CD73">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40F704B9">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325EE100">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67287828">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249E20B4">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18DC9891">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6E72E1F5">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492AE8A5">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5E3D8F7D">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40EBC1FB">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20702742">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76190B8B">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7DCF89B0">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3821A191">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1E2A6E08">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35806D94">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56158822">
            <w:pPr>
              <w:keepNext w:val="0"/>
              <w:keepLines/>
              <w:pageBreakBefore w:val="0"/>
              <w:widowControl w:val="0"/>
              <w:kinsoku/>
              <w:wordWrap w:val="0"/>
              <w:overflowPunct/>
              <w:topLinePunct w:val="0"/>
              <w:autoSpaceDE/>
              <w:autoSpaceDN/>
              <w:bidi w:val="0"/>
              <w:adjustRightInd/>
              <w:snapToGrid/>
              <w:spacing w:line="244" w:lineRule="auto"/>
              <w:textAlignment w:val="auto"/>
              <w:rPr>
                <w:rFonts w:ascii="Arial"/>
                <w:color w:val="auto"/>
                <w:sz w:val="21"/>
                <w:highlight w:val="none"/>
              </w:rPr>
            </w:pPr>
          </w:p>
          <w:p w14:paraId="7E2C3566">
            <w:pPr>
              <w:keepNext w:val="0"/>
              <w:keepLines/>
              <w:pageBreakBefore w:val="0"/>
              <w:widowControl w:val="0"/>
              <w:kinsoku/>
              <w:wordWrap w:val="0"/>
              <w:overflowPunct/>
              <w:topLinePunct w:val="0"/>
              <w:autoSpaceDE/>
              <w:autoSpaceDN/>
              <w:bidi w:val="0"/>
              <w:adjustRightInd/>
              <w:snapToGrid/>
              <w:spacing w:before="65" w:line="377" w:lineRule="auto"/>
              <w:ind w:left="122" w:right="107" w:hanging="3"/>
              <w:textAlignment w:val="auto"/>
              <w:rPr>
                <w:rFonts w:ascii="仿宋" w:hAnsi="仿宋" w:eastAsia="仿宋" w:cs="仿宋"/>
                <w:color w:val="auto"/>
                <w:sz w:val="20"/>
                <w:szCs w:val="20"/>
                <w:highlight w:val="none"/>
              </w:rPr>
            </w:pPr>
            <w:r>
              <w:rPr>
                <w:rFonts w:ascii="仿宋" w:hAnsi="仿宋" w:eastAsia="仿宋" w:cs="仿宋"/>
                <w:color w:val="auto"/>
                <w:spacing w:val="20"/>
                <w:sz w:val="20"/>
                <w:szCs w:val="20"/>
                <w:highlight w:val="none"/>
              </w:rPr>
              <w:t>无</w:t>
            </w:r>
            <w:r>
              <w:rPr>
                <w:rFonts w:ascii="仿宋" w:hAnsi="仿宋" w:eastAsia="仿宋" w:cs="仿宋"/>
                <w:color w:val="auto"/>
                <w:spacing w:val="-57"/>
                <w:sz w:val="20"/>
                <w:szCs w:val="20"/>
                <w:highlight w:val="none"/>
              </w:rPr>
              <w:t xml:space="preserve"> </w:t>
            </w:r>
            <w:r>
              <w:rPr>
                <w:rFonts w:ascii="仿宋" w:hAnsi="仿宋" w:eastAsia="仿宋" w:cs="仿宋"/>
                <w:color w:val="auto"/>
                <w:spacing w:val="20"/>
                <w:sz w:val="20"/>
                <w:szCs w:val="20"/>
                <w:highlight w:val="none"/>
              </w:rPr>
              <w:t>人机机场服</w:t>
            </w:r>
            <w:r>
              <w:rPr>
                <w:rFonts w:ascii="仿宋" w:hAnsi="仿宋" w:eastAsia="仿宋" w:cs="仿宋"/>
                <w:color w:val="auto"/>
                <w:sz w:val="20"/>
                <w:szCs w:val="20"/>
                <w:highlight w:val="none"/>
              </w:rPr>
              <w:t xml:space="preserve"> 务</w:t>
            </w:r>
          </w:p>
        </w:tc>
        <w:tc>
          <w:tcPr>
            <w:tcW w:w="6759" w:type="dxa"/>
            <w:gridSpan w:val="2"/>
            <w:noWrap w:val="0"/>
            <w:vAlign w:val="top"/>
          </w:tcPr>
          <w:p w14:paraId="271A9627">
            <w:pPr>
              <w:keepNext w:val="0"/>
              <w:keepLines/>
              <w:pageBreakBefore w:val="0"/>
              <w:widowControl w:val="0"/>
              <w:kinsoku/>
              <w:wordWrap w:val="0"/>
              <w:overflowPunct/>
              <w:topLinePunct w:val="0"/>
              <w:autoSpaceDE/>
              <w:autoSpaceDN/>
              <w:bidi w:val="0"/>
              <w:adjustRightInd/>
              <w:snapToGrid/>
              <w:spacing w:before="32"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4D4A0FB3">
            <w:pPr>
              <w:keepNext w:val="0"/>
              <w:keepLines/>
              <w:pageBreakBefore w:val="0"/>
              <w:widowControl w:val="0"/>
              <w:kinsoku/>
              <w:wordWrap w:val="0"/>
              <w:overflowPunct/>
              <w:topLinePunct w:val="0"/>
              <w:autoSpaceDE/>
              <w:autoSpaceDN/>
              <w:bidi w:val="0"/>
              <w:adjustRightInd/>
              <w:snapToGrid/>
              <w:spacing w:before="158" w:line="230" w:lineRule="auto"/>
              <w:ind w:left="121"/>
              <w:textAlignment w:val="auto"/>
              <w:rPr>
                <w:rFonts w:ascii="仿宋" w:hAnsi="仿宋" w:eastAsia="仿宋" w:cs="仿宋"/>
                <w:color w:val="auto"/>
                <w:sz w:val="20"/>
                <w:szCs w:val="20"/>
                <w:highlight w:val="none"/>
              </w:rPr>
            </w:pPr>
            <w:r>
              <w:rPr>
                <w:rFonts w:ascii="仿宋" w:hAnsi="仿宋" w:eastAsia="仿宋" w:cs="仿宋"/>
                <w:b/>
                <w:bCs/>
                <w:color w:val="auto"/>
                <w:spacing w:val="5"/>
                <w:sz w:val="20"/>
                <w:szCs w:val="20"/>
                <w:highlight w:val="none"/>
              </w:rPr>
              <w:t>（1）无人机机场功能：</w:t>
            </w:r>
          </w:p>
          <w:p w14:paraId="73D8AD69">
            <w:pPr>
              <w:keepNext w:val="0"/>
              <w:keepLines/>
              <w:pageBreakBefore w:val="0"/>
              <w:widowControl w:val="0"/>
              <w:kinsoku/>
              <w:wordWrap w:val="0"/>
              <w:overflowPunct/>
              <w:topLinePunct w:val="0"/>
              <w:autoSpaceDE/>
              <w:autoSpaceDN/>
              <w:bidi w:val="0"/>
              <w:adjustRightInd/>
              <w:snapToGrid/>
              <w:spacing w:before="158" w:line="328" w:lineRule="auto"/>
              <w:ind w:left="118" w:right="37" w:firstLine="8"/>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1.具备无人机管理控制软件，可支持查看机场显</w:t>
            </w:r>
            <w:r>
              <w:rPr>
                <w:rFonts w:ascii="仿宋" w:hAnsi="仿宋" w:eastAsia="仿宋" w:cs="仿宋"/>
                <w:color w:val="auto"/>
                <w:spacing w:val="9"/>
                <w:sz w:val="20"/>
                <w:szCs w:val="20"/>
                <w:highlight w:val="none"/>
              </w:rPr>
              <w:t xml:space="preserve"> </w:t>
            </w:r>
            <w:r>
              <w:rPr>
                <w:rFonts w:ascii="仿宋" w:hAnsi="仿宋" w:eastAsia="仿宋" w:cs="仿宋"/>
                <w:color w:val="auto"/>
                <w:sz w:val="20"/>
                <w:szCs w:val="20"/>
                <w:highlight w:val="none"/>
              </w:rPr>
              <w:t>示位置、飞行器轨迹、飞行器坐标、高度、电量、</w:t>
            </w:r>
            <w:r>
              <w:rPr>
                <w:rFonts w:ascii="仿宋" w:hAnsi="仿宋" w:eastAsia="仿宋" w:cs="仿宋"/>
                <w:color w:val="auto"/>
                <w:spacing w:val="17"/>
                <w:sz w:val="20"/>
                <w:szCs w:val="20"/>
                <w:highlight w:val="none"/>
              </w:rPr>
              <w:t xml:space="preserve"> </w:t>
            </w:r>
            <w:r>
              <w:rPr>
                <w:rFonts w:ascii="仿宋" w:hAnsi="仿宋" w:eastAsia="仿宋" w:cs="仿宋"/>
                <w:color w:val="auto"/>
                <w:spacing w:val="5"/>
                <w:sz w:val="20"/>
                <w:szCs w:val="20"/>
                <w:highlight w:val="none"/>
              </w:rPr>
              <w:t>姿态等信息。</w:t>
            </w:r>
          </w:p>
          <w:p w14:paraId="2E7AE7B8">
            <w:pPr>
              <w:keepNext w:val="0"/>
              <w:keepLines/>
              <w:pageBreakBefore w:val="0"/>
              <w:widowControl w:val="0"/>
              <w:kinsoku/>
              <w:wordWrap w:val="0"/>
              <w:overflowPunct/>
              <w:topLinePunct w:val="0"/>
              <w:autoSpaceDE/>
              <w:autoSpaceDN/>
              <w:bidi w:val="0"/>
              <w:adjustRightInd/>
              <w:snapToGrid/>
              <w:spacing w:before="157" w:line="329" w:lineRule="auto"/>
              <w:ind w:left="110" w:right="103" w:firstLine="3"/>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2.具备-25 °C 至</w:t>
            </w:r>
            <w:r>
              <w:rPr>
                <w:rFonts w:ascii="仿宋" w:hAnsi="仿宋" w:eastAsia="仿宋" w:cs="仿宋"/>
                <w:color w:val="auto"/>
                <w:spacing w:val="23"/>
                <w:sz w:val="20"/>
                <w:szCs w:val="20"/>
                <w:highlight w:val="none"/>
              </w:rPr>
              <w:t xml:space="preserve"> </w:t>
            </w:r>
            <w:r>
              <w:rPr>
                <w:rFonts w:ascii="仿宋" w:hAnsi="仿宋" w:eastAsia="仿宋" w:cs="仿宋"/>
                <w:color w:val="auto"/>
                <w:spacing w:val="4"/>
                <w:sz w:val="20"/>
                <w:szCs w:val="20"/>
                <w:highlight w:val="none"/>
              </w:rPr>
              <w:t>45</w:t>
            </w:r>
            <w:r>
              <w:rPr>
                <w:rFonts w:ascii="仿宋" w:hAnsi="仿宋" w:eastAsia="仿宋" w:cs="仿宋"/>
                <w:color w:val="auto"/>
                <w:spacing w:val="13"/>
                <w:sz w:val="20"/>
                <w:szCs w:val="20"/>
                <w:highlight w:val="none"/>
              </w:rPr>
              <w:t xml:space="preserve"> </w:t>
            </w:r>
            <w:r>
              <w:rPr>
                <w:rFonts w:ascii="仿宋" w:hAnsi="仿宋" w:eastAsia="仿宋" w:cs="仿宋"/>
                <w:color w:val="auto"/>
                <w:spacing w:val="4"/>
                <w:sz w:val="20"/>
                <w:szCs w:val="20"/>
                <w:highlight w:val="none"/>
              </w:rPr>
              <w:t>°C</w:t>
            </w:r>
            <w:r>
              <w:rPr>
                <w:rFonts w:ascii="仿宋" w:hAnsi="仿宋" w:eastAsia="仿宋" w:cs="仿宋"/>
                <w:color w:val="auto"/>
                <w:spacing w:val="21"/>
                <w:sz w:val="20"/>
                <w:szCs w:val="20"/>
                <w:highlight w:val="none"/>
              </w:rPr>
              <w:t xml:space="preserve"> </w:t>
            </w:r>
            <w:r>
              <w:rPr>
                <w:rFonts w:ascii="仿宋" w:hAnsi="仿宋" w:eastAsia="仿宋" w:cs="仿宋"/>
                <w:color w:val="auto"/>
                <w:spacing w:val="4"/>
                <w:sz w:val="20"/>
                <w:szCs w:val="20"/>
                <w:highlight w:val="none"/>
              </w:rPr>
              <w:t>环境下全天候作业能</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力。最大抗风速度:作业阶段抗风能力：</w:t>
            </w:r>
            <w:r>
              <w:rPr>
                <w:rFonts w:ascii="仿宋" w:hAnsi="仿宋" w:eastAsia="仿宋" w:cs="仿宋"/>
                <w:color w:val="auto"/>
                <w:spacing w:val="-9"/>
                <w:sz w:val="20"/>
                <w:szCs w:val="20"/>
                <w:highlight w:val="none"/>
              </w:rPr>
              <w:t xml:space="preserve"> </w:t>
            </w:r>
            <w:r>
              <w:rPr>
                <w:rFonts w:ascii="仿宋" w:hAnsi="仿宋" w:eastAsia="仿宋" w:cs="仿宋"/>
                <w:color w:val="auto"/>
                <w:spacing w:val="3"/>
                <w:sz w:val="20"/>
                <w:szCs w:val="20"/>
                <w:highlight w:val="none"/>
              </w:rPr>
              <w:t>≥12 米</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/秒</w:t>
            </w:r>
            <w:r>
              <w:rPr>
                <w:rFonts w:ascii="仿宋" w:hAnsi="仿宋" w:eastAsia="仿宋" w:cs="仿宋"/>
                <w:color w:val="auto"/>
                <w:spacing w:val="37"/>
                <w:sz w:val="20"/>
                <w:szCs w:val="20"/>
                <w:highlight w:val="none"/>
              </w:rPr>
              <w:t xml:space="preserve"> </w:t>
            </w:r>
            <w:r>
              <w:rPr>
                <w:rFonts w:ascii="仿宋" w:hAnsi="仿宋" w:eastAsia="仿宋" w:cs="仿宋"/>
                <w:color w:val="auto"/>
                <w:spacing w:val="4"/>
                <w:sz w:val="20"/>
                <w:szCs w:val="20"/>
                <w:highlight w:val="none"/>
              </w:rPr>
              <w:t>;起降阶段抗风能力：</w:t>
            </w:r>
            <w:r>
              <w:rPr>
                <w:rFonts w:ascii="仿宋" w:hAnsi="仿宋" w:eastAsia="仿宋" w:cs="仿宋"/>
                <w:color w:val="auto"/>
                <w:spacing w:val="45"/>
                <w:sz w:val="20"/>
                <w:szCs w:val="20"/>
                <w:highlight w:val="none"/>
              </w:rPr>
              <w:t xml:space="preserve"> </w:t>
            </w:r>
            <w:r>
              <w:rPr>
                <w:rFonts w:ascii="仿宋" w:hAnsi="仿宋" w:eastAsia="仿宋" w:cs="仿宋"/>
                <w:color w:val="auto"/>
                <w:spacing w:val="4"/>
                <w:sz w:val="20"/>
                <w:szCs w:val="20"/>
                <w:highlight w:val="none"/>
              </w:rPr>
              <w:t>≥8 米/秒；</w:t>
            </w:r>
          </w:p>
          <w:p w14:paraId="25C58F8A">
            <w:pPr>
              <w:keepNext w:val="0"/>
              <w:keepLines/>
              <w:pageBreakBefore w:val="0"/>
              <w:widowControl w:val="0"/>
              <w:kinsoku/>
              <w:wordWrap w:val="0"/>
              <w:overflowPunct/>
              <w:topLinePunct w:val="0"/>
              <w:autoSpaceDE/>
              <w:autoSpaceDN/>
              <w:bidi w:val="0"/>
              <w:adjustRightInd/>
              <w:snapToGrid/>
              <w:spacing w:before="161" w:line="347" w:lineRule="auto"/>
              <w:ind w:left="117" w:right="103" w:hanging="2"/>
              <w:textAlignment w:val="auto"/>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3.无人机机库与飞行器影像及测控数据全向传</w:t>
            </w:r>
            <w:r>
              <w:rPr>
                <w:rFonts w:ascii="仿宋" w:hAnsi="仿宋" w:eastAsia="仿宋" w:cs="仿宋"/>
                <w:color w:val="auto"/>
                <w:spacing w:val="17"/>
                <w:sz w:val="20"/>
                <w:szCs w:val="20"/>
                <w:highlight w:val="none"/>
              </w:rPr>
              <w:t xml:space="preserve"> </w:t>
            </w:r>
            <w:r>
              <w:rPr>
                <w:rFonts w:ascii="仿宋" w:hAnsi="仿宋" w:eastAsia="仿宋" w:cs="仿宋"/>
                <w:color w:val="auto"/>
                <w:spacing w:val="12"/>
                <w:sz w:val="20"/>
                <w:szCs w:val="20"/>
                <w:highlight w:val="none"/>
              </w:rPr>
              <w:t>输距离≥5</w:t>
            </w:r>
            <w:r>
              <w:rPr>
                <w:rFonts w:ascii="仿宋" w:hAnsi="仿宋" w:eastAsia="仿宋" w:cs="仿宋"/>
                <w:color w:val="auto"/>
                <w:sz w:val="20"/>
                <w:szCs w:val="20"/>
                <w:highlight w:val="none"/>
              </w:rPr>
              <w:t>km</w:t>
            </w:r>
            <w:r>
              <w:rPr>
                <w:rFonts w:ascii="仿宋" w:hAnsi="仿宋" w:eastAsia="仿宋" w:cs="仿宋"/>
                <w:color w:val="auto"/>
                <w:spacing w:val="12"/>
                <w:sz w:val="20"/>
                <w:szCs w:val="20"/>
                <w:highlight w:val="none"/>
              </w:rPr>
              <w:t>；并支持根据无人机飞行绘制飞行</w:t>
            </w:r>
            <w:r>
              <w:rPr>
                <w:rFonts w:ascii="仿宋" w:hAnsi="仿宋" w:eastAsia="仿宋" w:cs="仿宋"/>
                <w:color w:val="auto"/>
                <w:spacing w:val="10"/>
                <w:sz w:val="20"/>
                <w:szCs w:val="20"/>
                <w:highlight w:val="none"/>
              </w:rPr>
              <w:t xml:space="preserve"> </w:t>
            </w:r>
            <w:r>
              <w:rPr>
                <w:rFonts w:ascii="仿宋" w:hAnsi="仿宋" w:eastAsia="仿宋" w:cs="仿宋"/>
                <w:color w:val="auto"/>
                <w:spacing w:val="7"/>
                <w:sz w:val="20"/>
                <w:szCs w:val="20"/>
                <w:highlight w:val="none"/>
              </w:rPr>
              <w:t>轨迹、获得无人机携带相机拍摄视频的推流，同</w:t>
            </w:r>
            <w:r>
              <w:rPr>
                <w:rFonts w:ascii="仿宋" w:hAnsi="仿宋" w:eastAsia="仿宋" w:cs="仿宋"/>
                <w:color w:val="auto"/>
                <w:spacing w:val="6"/>
                <w:sz w:val="20"/>
                <w:szCs w:val="20"/>
                <w:highlight w:val="none"/>
              </w:rPr>
              <w:t xml:space="preserve"> </w:t>
            </w:r>
            <w:r>
              <w:rPr>
                <w:rFonts w:ascii="仿宋" w:hAnsi="仿宋" w:eastAsia="仿宋" w:cs="仿宋"/>
                <w:color w:val="auto"/>
                <w:spacing w:val="7"/>
                <w:sz w:val="20"/>
                <w:szCs w:val="20"/>
                <w:highlight w:val="none"/>
              </w:rPr>
              <w:t>时播放多个视频，支持大屏投放，具备在历史记</w:t>
            </w:r>
            <w:r>
              <w:rPr>
                <w:rFonts w:ascii="仿宋" w:hAnsi="仿宋" w:eastAsia="仿宋" w:cs="仿宋"/>
                <w:color w:val="auto"/>
                <w:spacing w:val="3"/>
                <w:sz w:val="20"/>
                <w:szCs w:val="20"/>
                <w:highlight w:val="none"/>
              </w:rPr>
              <w:t xml:space="preserve"> </w:t>
            </w:r>
            <w:r>
              <w:rPr>
                <w:rFonts w:ascii="仿宋" w:hAnsi="仿宋" w:eastAsia="仿宋" w:cs="仿宋"/>
                <w:color w:val="auto"/>
                <w:spacing w:val="8"/>
                <w:sz w:val="20"/>
                <w:szCs w:val="20"/>
                <w:highlight w:val="none"/>
              </w:rPr>
              <w:t>录中能够查看航线轨迹作业记录；</w:t>
            </w:r>
          </w:p>
          <w:p w14:paraId="08AEEC2C">
            <w:pPr>
              <w:keepNext w:val="0"/>
              <w:keepLines/>
              <w:pageBreakBefore w:val="0"/>
              <w:widowControl w:val="0"/>
              <w:kinsoku/>
              <w:wordWrap w:val="0"/>
              <w:overflowPunct/>
              <w:topLinePunct w:val="0"/>
              <w:autoSpaceDE/>
              <w:autoSpaceDN/>
              <w:bidi w:val="0"/>
              <w:adjustRightInd/>
              <w:snapToGrid/>
              <w:spacing w:before="158" w:line="341" w:lineRule="auto"/>
              <w:ind w:left="116" w:right="103" w:hanging="6"/>
              <w:textAlignment w:val="auto"/>
              <w:rPr>
                <w:rFonts w:ascii="仿宋" w:hAnsi="仿宋" w:eastAsia="仿宋" w:cs="仿宋"/>
                <w:color w:val="auto"/>
                <w:sz w:val="20"/>
                <w:szCs w:val="20"/>
                <w:highlight w:val="none"/>
              </w:rPr>
            </w:pPr>
            <w:r>
              <w:rPr>
                <w:rFonts w:ascii="仿宋" w:hAnsi="仿宋" w:eastAsia="仿宋" w:cs="仿宋"/>
                <w:color w:val="auto"/>
                <w:spacing w:val="11"/>
                <w:sz w:val="20"/>
                <w:szCs w:val="20"/>
                <w:highlight w:val="none"/>
              </w:rPr>
              <w:t>4. 支持通过无人机姿态及相机参数，可在地图</w:t>
            </w:r>
            <w:r>
              <w:rPr>
                <w:rFonts w:ascii="仿宋" w:hAnsi="仿宋" w:eastAsia="仿宋" w:cs="仿宋"/>
                <w:color w:val="auto"/>
                <w:spacing w:val="16"/>
                <w:sz w:val="20"/>
                <w:szCs w:val="20"/>
                <w:highlight w:val="none"/>
              </w:rPr>
              <w:t xml:space="preserve"> </w:t>
            </w:r>
            <w:r>
              <w:rPr>
                <w:rFonts w:ascii="仿宋" w:hAnsi="仿宋" w:eastAsia="仿宋" w:cs="仿宋"/>
                <w:color w:val="auto"/>
                <w:spacing w:val="7"/>
                <w:sz w:val="20"/>
                <w:szCs w:val="20"/>
                <w:highlight w:val="none"/>
              </w:rPr>
              <w:t>上将拍摄区域的视频直接变形显示，无人机负载 相机可实现广角，变焦，红外方式成像，可拍摄</w:t>
            </w:r>
            <w:r>
              <w:rPr>
                <w:rFonts w:ascii="仿宋" w:hAnsi="仿宋" w:eastAsia="仿宋" w:cs="仿宋"/>
                <w:color w:val="auto"/>
                <w:spacing w:val="4"/>
                <w:sz w:val="20"/>
                <w:szCs w:val="20"/>
                <w:highlight w:val="none"/>
              </w:rPr>
              <w:t xml:space="preserve"> </w:t>
            </w:r>
            <w:r>
              <w:rPr>
                <w:rFonts w:ascii="仿宋" w:hAnsi="仿宋" w:eastAsia="仿宋" w:cs="仿宋"/>
                <w:color w:val="auto"/>
                <w:spacing w:val="6"/>
                <w:sz w:val="20"/>
                <w:szCs w:val="20"/>
                <w:highlight w:val="none"/>
              </w:rPr>
              <w:t>尺寸为 8064x6068，录制视分辨。</w:t>
            </w:r>
          </w:p>
          <w:p w14:paraId="65B6B7F4">
            <w:pPr>
              <w:keepNext w:val="0"/>
              <w:keepLines/>
              <w:pageBreakBefore w:val="0"/>
              <w:widowControl w:val="0"/>
              <w:kinsoku/>
              <w:wordWrap w:val="0"/>
              <w:overflowPunct/>
              <w:topLinePunct w:val="0"/>
              <w:autoSpaceDE/>
              <w:autoSpaceDN/>
              <w:bidi w:val="0"/>
              <w:adjustRightInd/>
              <w:snapToGrid/>
              <w:spacing w:before="159" w:line="375" w:lineRule="auto"/>
              <w:ind w:left="115" w:right="103" w:firstLine="8"/>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率 4K，支持机场执行航线任务中拍摄的</w:t>
            </w:r>
            <w:r>
              <w:rPr>
                <w:rFonts w:ascii="仿宋" w:hAnsi="仿宋" w:eastAsia="仿宋" w:cs="仿宋"/>
                <w:color w:val="auto"/>
                <w:spacing w:val="58"/>
                <w:sz w:val="20"/>
                <w:szCs w:val="20"/>
                <w:highlight w:val="none"/>
              </w:rPr>
              <w:t xml:space="preserve"> </w:t>
            </w:r>
            <w:r>
              <w:rPr>
                <w:rFonts w:ascii="仿宋" w:hAnsi="仿宋" w:eastAsia="仿宋" w:cs="仿宋"/>
                <w:color w:val="auto"/>
                <w:spacing w:val="4"/>
                <w:sz w:val="20"/>
                <w:szCs w:val="20"/>
                <w:highlight w:val="none"/>
              </w:rPr>
              <w:t>图片及</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视频自动上传到媒体库进行存储展示；</w:t>
            </w:r>
          </w:p>
          <w:p w14:paraId="4000A568">
            <w:pPr>
              <w:keepNext w:val="0"/>
              <w:keepLines/>
              <w:pageBreakBefore w:val="0"/>
              <w:widowControl w:val="0"/>
              <w:kinsoku/>
              <w:wordWrap w:val="0"/>
              <w:overflowPunct/>
              <w:topLinePunct w:val="0"/>
              <w:autoSpaceDE/>
              <w:autoSpaceDN/>
              <w:bidi w:val="0"/>
              <w:adjustRightInd/>
              <w:snapToGrid/>
              <w:spacing w:before="2" w:line="304" w:lineRule="auto"/>
              <w:ind w:left="121" w:right="103" w:hanging="6"/>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5.无人机机库外部供电中断时，</w:t>
            </w:r>
            <w:r>
              <w:rPr>
                <w:rFonts w:ascii="仿宋" w:hAnsi="仿宋" w:eastAsia="仿宋" w:cs="仿宋"/>
                <w:color w:val="auto"/>
                <w:sz w:val="20"/>
                <w:szCs w:val="20"/>
                <w:highlight w:val="none"/>
              </w:rPr>
              <w:t>UPS</w:t>
            </w:r>
            <w:r>
              <w:rPr>
                <w:rFonts w:ascii="仿宋" w:hAnsi="仿宋" w:eastAsia="仿宋" w:cs="仿宋"/>
                <w:color w:val="auto"/>
                <w:spacing w:val="7"/>
                <w:sz w:val="20"/>
                <w:szCs w:val="20"/>
                <w:highlight w:val="none"/>
              </w:rPr>
              <w:t xml:space="preserve"> 维持机库稳</w:t>
            </w:r>
            <w:r>
              <w:rPr>
                <w:rFonts w:ascii="仿宋" w:hAnsi="仿宋" w:eastAsia="仿宋" w:cs="仿宋"/>
                <w:color w:val="auto"/>
                <w:spacing w:val="8"/>
                <w:sz w:val="20"/>
                <w:szCs w:val="20"/>
                <w:highlight w:val="none"/>
              </w:rPr>
              <w:t xml:space="preserve"> </w:t>
            </w:r>
            <w:r>
              <w:rPr>
                <w:rFonts w:ascii="仿宋" w:hAnsi="仿宋" w:eastAsia="仿宋" w:cs="仿宋"/>
                <w:color w:val="auto"/>
                <w:spacing w:val="6"/>
                <w:sz w:val="20"/>
                <w:szCs w:val="20"/>
                <w:highlight w:val="none"/>
              </w:rPr>
              <w:t>定运行时间≥3 小时；</w:t>
            </w:r>
          </w:p>
          <w:p w14:paraId="045A6375">
            <w:pPr>
              <w:keepNext w:val="0"/>
              <w:keepLines/>
              <w:pageBreakBefore w:val="0"/>
              <w:widowControl w:val="0"/>
              <w:kinsoku/>
              <w:wordWrap w:val="0"/>
              <w:overflowPunct/>
              <w:topLinePunct w:val="0"/>
              <w:autoSpaceDE/>
              <w:autoSpaceDN/>
              <w:bidi w:val="0"/>
              <w:adjustRightInd/>
              <w:snapToGrid/>
              <w:spacing w:before="160" w:line="303" w:lineRule="auto"/>
              <w:ind w:left="116" w:right="105" w:hanging="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6.无人机场支持被多级组织统一管理，可查询与</w:t>
            </w:r>
            <w:r>
              <w:rPr>
                <w:rFonts w:ascii="仿宋" w:hAnsi="仿宋" w:eastAsia="仿宋" w:cs="仿宋"/>
                <w:color w:val="auto"/>
                <w:spacing w:val="1"/>
                <w:sz w:val="20"/>
                <w:szCs w:val="20"/>
                <w:highlight w:val="none"/>
              </w:rPr>
              <w:t xml:space="preserve"> </w:t>
            </w:r>
            <w:r>
              <w:rPr>
                <w:rFonts w:ascii="仿宋" w:hAnsi="仿宋" w:eastAsia="仿宋" w:cs="仿宋"/>
                <w:color w:val="auto"/>
                <w:spacing w:val="8"/>
                <w:sz w:val="20"/>
                <w:szCs w:val="20"/>
                <w:highlight w:val="none"/>
              </w:rPr>
              <w:t>修改组织的信息，新增或删除组织人员。</w:t>
            </w:r>
          </w:p>
          <w:p w14:paraId="78E958D8">
            <w:pPr>
              <w:keepNext w:val="0"/>
              <w:keepLines/>
              <w:pageBreakBefore w:val="0"/>
              <w:widowControl w:val="0"/>
              <w:kinsoku/>
              <w:wordWrap w:val="0"/>
              <w:overflowPunct/>
              <w:topLinePunct w:val="0"/>
              <w:autoSpaceDE/>
              <w:autoSpaceDN/>
              <w:bidi w:val="0"/>
              <w:adjustRightInd/>
              <w:snapToGrid/>
              <w:spacing w:before="159" w:line="230" w:lineRule="auto"/>
              <w:ind w:left="121"/>
              <w:textAlignment w:val="auto"/>
              <w:rPr>
                <w:rFonts w:ascii="仿宋" w:hAnsi="仿宋" w:eastAsia="仿宋" w:cs="仿宋"/>
                <w:color w:val="auto"/>
                <w:sz w:val="20"/>
                <w:szCs w:val="20"/>
                <w:highlight w:val="none"/>
              </w:rPr>
            </w:pPr>
            <w:r>
              <w:rPr>
                <w:rFonts w:ascii="仿宋" w:hAnsi="仿宋" w:eastAsia="仿宋" w:cs="仿宋"/>
                <w:b/>
                <w:bCs/>
                <w:color w:val="auto"/>
                <w:spacing w:val="4"/>
                <w:sz w:val="20"/>
                <w:szCs w:val="20"/>
                <w:highlight w:val="none"/>
              </w:rPr>
              <w:t>（2）机巢参数：</w:t>
            </w:r>
          </w:p>
          <w:p w14:paraId="6295A580">
            <w:pPr>
              <w:keepNext w:val="0"/>
              <w:keepLines/>
              <w:pageBreakBefore w:val="0"/>
              <w:widowControl w:val="0"/>
              <w:kinsoku/>
              <w:wordWrap w:val="0"/>
              <w:overflowPunct/>
              <w:topLinePunct w:val="0"/>
              <w:autoSpaceDE/>
              <w:autoSpaceDN/>
              <w:bidi w:val="0"/>
              <w:adjustRightInd/>
              <w:snapToGrid/>
              <w:spacing w:before="161" w:line="229"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1.整机重量：</w:t>
            </w:r>
            <w:r>
              <w:rPr>
                <w:rFonts w:ascii="仿宋" w:hAnsi="仿宋" w:eastAsia="仿宋" w:cs="仿宋"/>
                <w:color w:val="auto"/>
                <w:spacing w:val="51"/>
                <w:sz w:val="20"/>
                <w:szCs w:val="20"/>
                <w:highlight w:val="none"/>
              </w:rPr>
              <w:t xml:space="preserve"> </w:t>
            </w:r>
            <w:r>
              <w:rPr>
                <w:rFonts w:ascii="仿宋" w:hAnsi="仿宋" w:eastAsia="仿宋" w:cs="仿宋"/>
                <w:color w:val="auto"/>
                <w:spacing w:val="5"/>
                <w:sz w:val="20"/>
                <w:szCs w:val="20"/>
                <w:highlight w:val="none"/>
              </w:rPr>
              <w:t>≤55 千克（不包含飞行器）</w:t>
            </w:r>
          </w:p>
          <w:p w14:paraId="6E69D55F">
            <w:pPr>
              <w:keepNext w:val="0"/>
              <w:keepLines/>
              <w:pageBreakBefore w:val="0"/>
              <w:widowControl w:val="0"/>
              <w:kinsoku/>
              <w:wordWrap w:val="0"/>
              <w:overflowPunct/>
              <w:topLinePunct w:val="0"/>
              <w:autoSpaceDE/>
              <w:autoSpaceDN/>
              <w:bidi w:val="0"/>
              <w:adjustRightInd/>
              <w:snapToGrid/>
              <w:spacing w:before="159" w:line="232" w:lineRule="auto"/>
              <w:ind w:left="113"/>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2.外形尺寸：/</w:t>
            </w:r>
          </w:p>
          <w:p w14:paraId="5255AA22">
            <w:pPr>
              <w:keepNext w:val="0"/>
              <w:keepLines/>
              <w:pageBreakBefore w:val="0"/>
              <w:widowControl w:val="0"/>
              <w:kinsoku/>
              <w:wordWrap w:val="0"/>
              <w:overflowPunct/>
              <w:topLinePunct w:val="0"/>
              <w:autoSpaceDE/>
              <w:autoSpaceDN/>
              <w:bidi w:val="0"/>
              <w:adjustRightInd/>
              <w:snapToGrid/>
              <w:spacing w:before="157" w:line="232"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3.输入电压：100 伏至 240</w:t>
            </w:r>
            <w:r>
              <w:rPr>
                <w:rFonts w:ascii="仿宋" w:hAnsi="仿宋" w:eastAsia="仿宋" w:cs="仿宋"/>
                <w:color w:val="auto"/>
                <w:spacing w:val="24"/>
                <w:sz w:val="20"/>
                <w:szCs w:val="20"/>
                <w:highlight w:val="none"/>
              </w:rPr>
              <w:t xml:space="preserve"> </w:t>
            </w:r>
            <w:r>
              <w:rPr>
                <w:rFonts w:ascii="仿宋" w:hAnsi="仿宋" w:eastAsia="仿宋" w:cs="仿宋"/>
                <w:color w:val="auto"/>
                <w:spacing w:val="6"/>
                <w:sz w:val="20"/>
                <w:szCs w:val="20"/>
                <w:highlight w:val="none"/>
              </w:rPr>
              <w:t>伏（交流电）</w:t>
            </w:r>
          </w:p>
          <w:p w14:paraId="30A67D6F">
            <w:pPr>
              <w:keepNext w:val="0"/>
              <w:keepLines/>
              <w:pageBreakBefore w:val="0"/>
              <w:widowControl w:val="0"/>
              <w:kinsoku/>
              <w:wordWrap w:val="0"/>
              <w:overflowPunct/>
              <w:topLinePunct w:val="0"/>
              <w:autoSpaceDE/>
              <w:autoSpaceDN/>
              <w:bidi w:val="0"/>
              <w:adjustRightInd/>
              <w:snapToGrid/>
              <w:spacing w:before="157" w:line="231" w:lineRule="auto"/>
              <w:ind w:left="110"/>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4.输入功率：最大 800</w:t>
            </w:r>
            <w:r>
              <w:rPr>
                <w:rFonts w:ascii="仿宋" w:hAnsi="仿宋" w:eastAsia="仿宋" w:cs="仿宋"/>
                <w:color w:val="auto"/>
                <w:spacing w:val="36"/>
                <w:sz w:val="20"/>
                <w:szCs w:val="20"/>
                <w:highlight w:val="none"/>
              </w:rPr>
              <w:t xml:space="preserve"> </w:t>
            </w:r>
            <w:r>
              <w:rPr>
                <w:rFonts w:ascii="仿宋" w:hAnsi="仿宋" w:eastAsia="仿宋" w:cs="仿宋"/>
                <w:color w:val="auto"/>
                <w:spacing w:val="6"/>
                <w:sz w:val="20"/>
                <w:szCs w:val="20"/>
                <w:highlight w:val="none"/>
              </w:rPr>
              <w:t>瓦</w:t>
            </w:r>
          </w:p>
          <w:p w14:paraId="62428046">
            <w:pPr>
              <w:keepNext w:val="0"/>
              <w:keepLines/>
              <w:pageBreakBefore w:val="0"/>
              <w:widowControl w:val="0"/>
              <w:kinsoku/>
              <w:wordWrap w:val="0"/>
              <w:overflowPunct/>
              <w:topLinePunct w:val="0"/>
              <w:autoSpaceDE/>
              <w:autoSpaceDN/>
              <w:bidi w:val="0"/>
              <w:adjustRightInd/>
              <w:snapToGrid/>
              <w:spacing w:before="158" w:line="229"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5.工作环境温度：-30</w:t>
            </w:r>
            <w:r>
              <w:rPr>
                <w:rFonts w:ascii="仿宋" w:hAnsi="仿宋" w:eastAsia="仿宋" w:cs="仿宋"/>
                <w:color w:val="auto"/>
                <w:spacing w:val="40"/>
                <w:sz w:val="20"/>
                <w:szCs w:val="20"/>
                <w:highlight w:val="none"/>
              </w:rPr>
              <w:t xml:space="preserve"> </w:t>
            </w:r>
            <w:r>
              <w:rPr>
                <w:rFonts w:ascii="仿宋" w:hAnsi="仿宋" w:eastAsia="仿宋" w:cs="仿宋"/>
                <w:color w:val="auto"/>
                <w:spacing w:val="3"/>
                <w:sz w:val="20"/>
                <w:szCs w:val="20"/>
                <w:highlight w:val="none"/>
              </w:rPr>
              <w:t>°C 至</w:t>
            </w:r>
            <w:r>
              <w:rPr>
                <w:rFonts w:ascii="仿宋" w:hAnsi="仿宋" w:eastAsia="仿宋" w:cs="仿宋"/>
                <w:color w:val="auto"/>
                <w:spacing w:val="19"/>
                <w:sz w:val="20"/>
                <w:szCs w:val="20"/>
                <w:highlight w:val="none"/>
              </w:rPr>
              <w:t xml:space="preserve"> </w:t>
            </w:r>
            <w:r>
              <w:rPr>
                <w:rFonts w:ascii="仿宋" w:hAnsi="仿宋" w:eastAsia="仿宋" w:cs="仿宋"/>
                <w:color w:val="auto"/>
                <w:spacing w:val="3"/>
                <w:sz w:val="20"/>
                <w:szCs w:val="20"/>
                <w:highlight w:val="none"/>
              </w:rPr>
              <w:t>50</w:t>
            </w:r>
            <w:r>
              <w:rPr>
                <w:rFonts w:ascii="仿宋" w:hAnsi="仿宋" w:eastAsia="仿宋" w:cs="仿宋"/>
                <w:color w:val="auto"/>
                <w:spacing w:val="33"/>
                <w:sz w:val="20"/>
                <w:szCs w:val="20"/>
                <w:highlight w:val="none"/>
              </w:rPr>
              <w:t xml:space="preserve"> </w:t>
            </w:r>
            <w:r>
              <w:rPr>
                <w:rFonts w:ascii="仿宋" w:hAnsi="仿宋" w:eastAsia="仿宋" w:cs="仿宋"/>
                <w:color w:val="auto"/>
                <w:spacing w:val="3"/>
                <w:sz w:val="20"/>
                <w:szCs w:val="20"/>
                <w:highlight w:val="none"/>
              </w:rPr>
              <w:t>°C</w:t>
            </w:r>
          </w:p>
          <w:p w14:paraId="7FDE0ABB">
            <w:pPr>
              <w:keepNext w:val="0"/>
              <w:keepLines/>
              <w:pageBreakBefore w:val="0"/>
              <w:widowControl w:val="0"/>
              <w:kinsoku/>
              <w:wordWrap w:val="0"/>
              <w:overflowPunct/>
              <w:topLinePunct w:val="0"/>
              <w:autoSpaceDE/>
              <w:autoSpaceDN/>
              <w:bidi w:val="0"/>
              <w:adjustRightInd/>
              <w:snapToGrid/>
              <w:spacing w:before="160" w:line="231" w:lineRule="auto"/>
              <w:ind w:left="112"/>
              <w:textAlignment w:val="auto"/>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6.防护等级：</w:t>
            </w:r>
            <w:r>
              <w:rPr>
                <w:rFonts w:ascii="仿宋" w:hAnsi="仿宋" w:eastAsia="仿宋" w:cs="仿宋"/>
                <w:color w:val="auto"/>
                <w:sz w:val="20"/>
                <w:szCs w:val="20"/>
                <w:highlight w:val="none"/>
              </w:rPr>
              <w:t>IP</w:t>
            </w:r>
            <w:r>
              <w:rPr>
                <w:rFonts w:ascii="仿宋" w:hAnsi="仿宋" w:eastAsia="仿宋" w:cs="仿宋"/>
                <w:color w:val="auto"/>
                <w:spacing w:val="8"/>
                <w:sz w:val="20"/>
                <w:szCs w:val="20"/>
                <w:highlight w:val="none"/>
              </w:rPr>
              <w:t>56</w:t>
            </w:r>
          </w:p>
          <w:p w14:paraId="572520F9">
            <w:pPr>
              <w:keepNext w:val="0"/>
              <w:keepLines/>
              <w:pageBreakBefore w:val="0"/>
              <w:widowControl w:val="0"/>
              <w:kinsoku/>
              <w:wordWrap w:val="0"/>
              <w:overflowPunct/>
              <w:topLinePunct w:val="0"/>
              <w:autoSpaceDE/>
              <w:autoSpaceDN/>
              <w:bidi w:val="0"/>
              <w:adjustRightInd/>
              <w:snapToGrid/>
              <w:spacing w:before="160"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7.最大允许降落风速：</w:t>
            </w:r>
            <w:r>
              <w:rPr>
                <w:rFonts w:ascii="仿宋" w:hAnsi="仿宋" w:eastAsia="仿宋" w:cs="仿宋"/>
                <w:color w:val="auto"/>
                <w:spacing w:val="51"/>
                <w:sz w:val="20"/>
                <w:szCs w:val="20"/>
                <w:highlight w:val="none"/>
              </w:rPr>
              <w:t xml:space="preserve"> </w:t>
            </w:r>
            <w:r>
              <w:rPr>
                <w:rFonts w:ascii="仿宋" w:hAnsi="仿宋" w:eastAsia="仿宋" w:cs="仿宋"/>
                <w:color w:val="auto"/>
                <w:spacing w:val="5"/>
                <w:sz w:val="20"/>
                <w:szCs w:val="20"/>
                <w:highlight w:val="none"/>
              </w:rPr>
              <w:t>≥12 米/秒</w:t>
            </w:r>
          </w:p>
        </w:tc>
      </w:tr>
    </w:tbl>
    <w:p w14:paraId="108FAD17">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69607925">
      <w:pPr>
        <w:keepNext w:val="0"/>
        <w:keepLines/>
        <w:pageBreakBefore w:val="0"/>
        <w:widowControl w:val="0"/>
        <w:kinsoku/>
        <w:wordWrap w:val="0"/>
        <w:overflowPunct/>
        <w:topLinePunct w:val="0"/>
        <w:autoSpaceDE/>
        <w:autoSpaceDN/>
        <w:bidi w:val="0"/>
        <w:adjustRightInd/>
        <w:snapToGrid/>
        <w:textAlignment w:val="auto"/>
        <w:rPr>
          <w:rFonts w:ascii="Arial" w:hAnsi="Arial" w:eastAsia="Arial" w:cs="Arial"/>
          <w:color w:val="auto"/>
          <w:sz w:val="21"/>
          <w:szCs w:val="21"/>
          <w:highlight w:val="none"/>
        </w:rPr>
        <w:sectPr>
          <w:footerReference r:id="rId12" w:type="default"/>
          <w:pgSz w:w="11906" w:h="16840"/>
          <w:pgMar w:top="1599" w:right="1649" w:bottom="1253" w:left="1502" w:header="0" w:footer="0" w:gutter="0"/>
          <w:pgNumType w:fmt="decimal" w:start="1"/>
          <w:cols w:space="720" w:num="1"/>
        </w:sectPr>
      </w:pPr>
    </w:p>
    <w:tbl>
      <w:tblPr>
        <w:tblStyle w:val="18"/>
        <w:tblW w:w="94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9"/>
        <w:gridCol w:w="1764"/>
        <w:gridCol w:w="6565"/>
      </w:tblGrid>
      <w:tr w14:paraId="1909C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7" w:hRule="atLeast"/>
        </w:trPr>
        <w:tc>
          <w:tcPr>
            <w:tcW w:w="1129" w:type="dxa"/>
            <w:noWrap w:val="0"/>
            <w:vAlign w:val="top"/>
          </w:tcPr>
          <w:p w14:paraId="2C000E1A">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1764" w:type="dxa"/>
            <w:noWrap w:val="0"/>
            <w:vAlign w:val="top"/>
          </w:tcPr>
          <w:p w14:paraId="0AB0118A">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6565" w:type="dxa"/>
            <w:noWrap w:val="0"/>
            <w:vAlign w:val="top"/>
          </w:tcPr>
          <w:p w14:paraId="242E18B0">
            <w:pPr>
              <w:keepNext w:val="0"/>
              <w:keepLines/>
              <w:pageBreakBefore w:val="0"/>
              <w:widowControl w:val="0"/>
              <w:kinsoku/>
              <w:wordWrap w:val="0"/>
              <w:overflowPunct/>
              <w:topLinePunct w:val="0"/>
              <w:autoSpaceDE/>
              <w:autoSpaceDN/>
              <w:bidi w:val="0"/>
              <w:adjustRightInd/>
              <w:snapToGrid/>
              <w:spacing w:before="37" w:line="229" w:lineRule="auto"/>
              <w:ind w:left="111"/>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8.最大运行海拔高度：</w:t>
            </w:r>
            <w:r>
              <w:rPr>
                <w:rFonts w:ascii="仿宋" w:hAnsi="仿宋" w:eastAsia="仿宋" w:cs="仿宋"/>
                <w:color w:val="auto"/>
                <w:spacing w:val="57"/>
                <w:sz w:val="20"/>
                <w:szCs w:val="20"/>
                <w:highlight w:val="none"/>
              </w:rPr>
              <w:t xml:space="preserve"> </w:t>
            </w:r>
            <w:r>
              <w:rPr>
                <w:rFonts w:ascii="仿宋" w:hAnsi="仿宋" w:eastAsia="仿宋" w:cs="仿宋"/>
                <w:color w:val="auto"/>
                <w:spacing w:val="5"/>
                <w:sz w:val="20"/>
                <w:szCs w:val="20"/>
                <w:highlight w:val="none"/>
              </w:rPr>
              <w:t>≥4500 米</w:t>
            </w:r>
          </w:p>
          <w:p w14:paraId="03DF114D">
            <w:pPr>
              <w:keepNext w:val="0"/>
              <w:keepLines/>
              <w:pageBreakBefore w:val="0"/>
              <w:widowControl w:val="0"/>
              <w:kinsoku/>
              <w:wordWrap w:val="0"/>
              <w:overflowPunct/>
              <w:topLinePunct w:val="0"/>
              <w:autoSpaceDE/>
              <w:autoSpaceDN/>
              <w:bidi w:val="0"/>
              <w:adjustRightInd/>
              <w:snapToGrid/>
              <w:spacing w:before="160" w:line="300" w:lineRule="auto"/>
              <w:ind w:left="121" w:right="102" w:hanging="10"/>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9.</w:t>
            </w:r>
            <w:r>
              <w:rPr>
                <w:rFonts w:ascii="仿宋" w:hAnsi="仿宋" w:eastAsia="仿宋" w:cs="仿宋"/>
                <w:color w:val="auto"/>
                <w:sz w:val="20"/>
                <w:szCs w:val="20"/>
                <w:highlight w:val="none"/>
              </w:rPr>
              <w:t>RTK</w:t>
            </w:r>
            <w:r>
              <w:rPr>
                <w:rFonts w:ascii="仿宋" w:hAnsi="仿宋" w:eastAsia="仿宋" w:cs="仿宋"/>
                <w:color w:val="auto"/>
                <w:spacing w:val="6"/>
                <w:sz w:val="20"/>
                <w:szCs w:val="20"/>
                <w:highlight w:val="none"/>
              </w:rPr>
              <w:t xml:space="preserve"> 基站定位精准度：水平：1</w:t>
            </w:r>
            <w:r>
              <w:rPr>
                <w:rFonts w:ascii="仿宋" w:hAnsi="仿宋" w:eastAsia="仿宋" w:cs="仿宋"/>
                <w:color w:val="auto"/>
                <w:spacing w:val="28"/>
                <w:sz w:val="20"/>
                <w:szCs w:val="20"/>
                <w:highlight w:val="none"/>
              </w:rPr>
              <w:t xml:space="preserve"> </w:t>
            </w:r>
            <w:r>
              <w:rPr>
                <w:rFonts w:ascii="仿宋" w:hAnsi="仿宋" w:eastAsia="仿宋" w:cs="仿宋"/>
                <w:color w:val="auto"/>
                <w:spacing w:val="6"/>
                <w:sz w:val="20"/>
                <w:szCs w:val="20"/>
                <w:highlight w:val="none"/>
              </w:rPr>
              <w:t xml:space="preserve">厘米 + 1 </w:t>
            </w:r>
            <w:r>
              <w:rPr>
                <w:rFonts w:ascii="仿宋" w:hAnsi="仿宋" w:eastAsia="仿宋" w:cs="仿宋"/>
                <w:color w:val="auto"/>
                <w:sz w:val="20"/>
                <w:szCs w:val="20"/>
                <w:highlight w:val="none"/>
              </w:rPr>
              <w:t xml:space="preserve">ppm </w:t>
            </w:r>
            <w:r>
              <w:rPr>
                <w:rFonts w:ascii="仿宋" w:hAnsi="仿宋" w:eastAsia="仿宋" w:cs="仿宋"/>
                <w:color w:val="auto"/>
                <w:spacing w:val="7"/>
                <w:sz w:val="20"/>
                <w:szCs w:val="20"/>
                <w:highlight w:val="none"/>
              </w:rPr>
              <w:t>（</w:t>
            </w:r>
            <w:r>
              <w:rPr>
                <w:rFonts w:ascii="仿宋" w:hAnsi="仿宋" w:eastAsia="仿宋" w:cs="仿宋"/>
                <w:color w:val="auto"/>
                <w:sz w:val="20"/>
                <w:szCs w:val="20"/>
                <w:highlight w:val="none"/>
              </w:rPr>
              <w:t>RMS</w:t>
            </w:r>
            <w:r>
              <w:rPr>
                <w:rFonts w:ascii="仿宋" w:hAnsi="仿宋" w:eastAsia="仿宋" w:cs="仿宋"/>
                <w:color w:val="auto"/>
                <w:spacing w:val="7"/>
                <w:sz w:val="20"/>
                <w:szCs w:val="20"/>
                <w:highlight w:val="none"/>
              </w:rPr>
              <w:t>）垂直：2 厘米</w:t>
            </w:r>
            <w:r>
              <w:rPr>
                <w:rFonts w:ascii="仿宋" w:hAnsi="仿宋" w:eastAsia="仿宋" w:cs="仿宋"/>
                <w:color w:val="auto"/>
                <w:spacing w:val="14"/>
                <w:sz w:val="20"/>
                <w:szCs w:val="20"/>
                <w:highlight w:val="none"/>
              </w:rPr>
              <w:t xml:space="preserve"> </w:t>
            </w:r>
            <w:r>
              <w:rPr>
                <w:rFonts w:ascii="仿宋" w:hAnsi="仿宋" w:eastAsia="仿宋" w:cs="仿宋"/>
                <w:color w:val="auto"/>
                <w:spacing w:val="7"/>
                <w:sz w:val="20"/>
                <w:szCs w:val="20"/>
                <w:highlight w:val="none"/>
              </w:rPr>
              <w:t>+</w:t>
            </w:r>
            <w:r>
              <w:rPr>
                <w:rFonts w:ascii="仿宋" w:hAnsi="仿宋" w:eastAsia="仿宋" w:cs="仿宋"/>
                <w:color w:val="auto"/>
                <w:spacing w:val="29"/>
                <w:sz w:val="20"/>
                <w:szCs w:val="20"/>
                <w:highlight w:val="none"/>
              </w:rPr>
              <w:t xml:space="preserve"> </w:t>
            </w:r>
            <w:r>
              <w:rPr>
                <w:rFonts w:ascii="仿宋" w:hAnsi="仿宋" w:eastAsia="仿宋" w:cs="仿宋"/>
                <w:color w:val="auto"/>
                <w:spacing w:val="7"/>
                <w:sz w:val="20"/>
                <w:szCs w:val="20"/>
                <w:highlight w:val="none"/>
              </w:rPr>
              <w:t xml:space="preserve">1 </w:t>
            </w:r>
            <w:r>
              <w:rPr>
                <w:rFonts w:ascii="仿宋" w:hAnsi="仿宋" w:eastAsia="仿宋" w:cs="仿宋"/>
                <w:color w:val="auto"/>
                <w:sz w:val="20"/>
                <w:szCs w:val="20"/>
                <w:highlight w:val="none"/>
              </w:rPr>
              <w:t>ppm</w:t>
            </w:r>
            <w:r>
              <w:rPr>
                <w:rFonts w:ascii="仿宋" w:hAnsi="仿宋" w:eastAsia="仿宋" w:cs="仿宋"/>
                <w:color w:val="auto"/>
                <w:spacing w:val="7"/>
                <w:sz w:val="20"/>
                <w:szCs w:val="20"/>
                <w:highlight w:val="none"/>
              </w:rPr>
              <w:t>（</w:t>
            </w:r>
            <w:r>
              <w:rPr>
                <w:rFonts w:ascii="仿宋" w:hAnsi="仿宋" w:eastAsia="仿宋" w:cs="仿宋"/>
                <w:color w:val="auto"/>
                <w:sz w:val="20"/>
                <w:szCs w:val="20"/>
                <w:highlight w:val="none"/>
              </w:rPr>
              <w:t>RMS</w:t>
            </w:r>
            <w:r>
              <w:rPr>
                <w:rFonts w:ascii="仿宋" w:hAnsi="仿宋" w:eastAsia="仿宋" w:cs="仿宋"/>
                <w:color w:val="auto"/>
                <w:spacing w:val="7"/>
                <w:sz w:val="20"/>
                <w:szCs w:val="20"/>
                <w:highlight w:val="none"/>
              </w:rPr>
              <w:t>）</w:t>
            </w:r>
          </w:p>
          <w:p w14:paraId="6B86CB95">
            <w:pPr>
              <w:keepNext w:val="0"/>
              <w:keepLines/>
              <w:pageBreakBefore w:val="0"/>
              <w:widowControl w:val="0"/>
              <w:kinsoku/>
              <w:wordWrap w:val="0"/>
              <w:overflowPunct/>
              <w:topLinePunct w:val="0"/>
              <w:autoSpaceDE/>
              <w:autoSpaceDN/>
              <w:bidi w:val="0"/>
              <w:adjustRightInd/>
              <w:snapToGrid/>
              <w:spacing w:before="164" w:line="329" w:lineRule="auto"/>
              <w:ind w:left="117" w:right="104" w:firstLine="8"/>
              <w:textAlignment w:val="auto"/>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10.</w:t>
            </w:r>
            <w:r>
              <w:rPr>
                <w:rFonts w:ascii="仿宋" w:hAnsi="仿宋" w:eastAsia="仿宋" w:cs="仿宋"/>
                <w:color w:val="auto"/>
                <w:spacing w:val="11"/>
                <w:sz w:val="20"/>
                <w:szCs w:val="20"/>
                <w:highlight w:val="none"/>
              </w:rPr>
              <w:t xml:space="preserve">   </w:t>
            </w:r>
            <w:r>
              <w:rPr>
                <w:rFonts w:ascii="仿宋" w:hAnsi="仿宋" w:eastAsia="仿宋" w:cs="仿宋"/>
                <w:color w:val="auto"/>
                <w:spacing w:val="-8"/>
                <w:sz w:val="20"/>
                <w:szCs w:val="20"/>
                <w:highlight w:val="none"/>
              </w:rPr>
              <w:t>网  络  接</w:t>
            </w:r>
            <w:r>
              <w:rPr>
                <w:rFonts w:ascii="仿宋" w:hAnsi="仿宋" w:eastAsia="仿宋" w:cs="仿宋"/>
                <w:color w:val="auto"/>
                <w:spacing w:val="98"/>
                <w:sz w:val="20"/>
                <w:szCs w:val="20"/>
                <w:highlight w:val="none"/>
              </w:rPr>
              <w:t xml:space="preserve"> </w:t>
            </w:r>
            <w:r>
              <w:rPr>
                <w:rFonts w:ascii="仿宋" w:hAnsi="仿宋" w:eastAsia="仿宋" w:cs="仿宋"/>
                <w:color w:val="auto"/>
                <w:spacing w:val="-8"/>
                <w:sz w:val="20"/>
                <w:szCs w:val="20"/>
                <w:highlight w:val="none"/>
              </w:rPr>
              <w:t>入</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支</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持</w:t>
            </w:r>
            <w:r>
              <w:rPr>
                <w:rFonts w:ascii="仿宋" w:hAnsi="仿宋" w:eastAsia="仿宋" w:cs="仿宋"/>
                <w:color w:val="auto"/>
                <w:spacing w:val="11"/>
                <w:sz w:val="20"/>
                <w:szCs w:val="20"/>
                <w:highlight w:val="none"/>
              </w:rPr>
              <w:t xml:space="preserve">  </w:t>
            </w:r>
            <w:r>
              <w:rPr>
                <w:rFonts w:ascii="仿宋" w:hAnsi="仿宋" w:eastAsia="仿宋" w:cs="仿宋"/>
                <w:color w:val="auto"/>
                <w:spacing w:val="-8"/>
                <w:sz w:val="20"/>
                <w:szCs w:val="20"/>
                <w:highlight w:val="none"/>
              </w:rPr>
              <w:t>以</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太</w:t>
            </w:r>
            <w:r>
              <w:rPr>
                <w:rFonts w:ascii="仿宋" w:hAnsi="仿宋" w:eastAsia="仿宋" w:cs="仿宋"/>
                <w:color w:val="auto"/>
                <w:spacing w:val="12"/>
                <w:sz w:val="20"/>
                <w:szCs w:val="20"/>
                <w:highlight w:val="none"/>
              </w:rPr>
              <w:t xml:space="preserve">  </w:t>
            </w:r>
            <w:r>
              <w:rPr>
                <w:rFonts w:ascii="仿宋" w:hAnsi="仿宋" w:eastAsia="仿宋" w:cs="仿宋"/>
                <w:color w:val="auto"/>
                <w:spacing w:val="-8"/>
                <w:sz w:val="20"/>
                <w:szCs w:val="20"/>
                <w:highlight w:val="none"/>
              </w:rPr>
              <w:t>网</w:t>
            </w:r>
            <w:r>
              <w:rPr>
                <w:rFonts w:ascii="仿宋" w:hAnsi="仿宋" w:eastAsia="仿宋" w:cs="仿宋"/>
                <w:color w:val="auto"/>
                <w:spacing w:val="100"/>
                <w:sz w:val="20"/>
                <w:szCs w:val="20"/>
                <w:highlight w:val="none"/>
              </w:rPr>
              <w:t xml:space="preserve"> </w:t>
            </w:r>
            <w:r>
              <w:rPr>
                <w:rFonts w:ascii="仿宋" w:hAnsi="仿宋" w:eastAsia="仿宋" w:cs="仿宋"/>
                <w:color w:val="auto"/>
                <w:spacing w:val="-8"/>
                <w:sz w:val="20"/>
                <w:szCs w:val="20"/>
                <w:highlight w:val="none"/>
              </w:rPr>
              <w:t>接</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入</w:t>
            </w:r>
            <w:r>
              <w:rPr>
                <w:rFonts w:ascii="仿宋" w:hAnsi="仿宋" w:eastAsia="仿宋" w:cs="仿宋"/>
                <w:color w:val="auto"/>
                <w:spacing w:val="-44"/>
                <w:sz w:val="20"/>
                <w:szCs w:val="20"/>
                <w:highlight w:val="none"/>
              </w:rPr>
              <w:t xml:space="preserve"> </w:t>
            </w:r>
            <w:r>
              <w:rPr>
                <w:rFonts w:ascii="仿宋" w:hAnsi="仿宋" w:eastAsia="仿宋" w:cs="仿宋"/>
                <w:color w:val="auto"/>
                <w:spacing w:val="3"/>
                <w:sz w:val="20"/>
                <w:szCs w:val="20"/>
                <w:highlight w:val="none"/>
              </w:rPr>
              <w:t>:10/100/1000</w:t>
            </w:r>
            <w:r>
              <w:rPr>
                <w:rFonts w:ascii="仿宋" w:hAnsi="仿宋" w:eastAsia="仿宋" w:cs="仿宋"/>
                <w:color w:val="auto"/>
                <w:sz w:val="20"/>
                <w:szCs w:val="20"/>
                <w:highlight w:val="none"/>
              </w:rPr>
              <w:t>Mbps</w:t>
            </w:r>
            <w:r>
              <w:rPr>
                <w:rFonts w:ascii="仿宋" w:hAnsi="仿宋" w:eastAsia="仿宋" w:cs="仿宋"/>
                <w:color w:val="auto"/>
                <w:spacing w:val="72"/>
                <w:sz w:val="20"/>
                <w:szCs w:val="20"/>
                <w:highlight w:val="none"/>
              </w:rPr>
              <w:t xml:space="preserve"> </w:t>
            </w:r>
            <w:r>
              <w:rPr>
                <w:rFonts w:ascii="仿宋" w:hAnsi="仿宋" w:eastAsia="仿宋" w:cs="仿宋"/>
                <w:color w:val="auto"/>
                <w:spacing w:val="3"/>
                <w:sz w:val="20"/>
                <w:szCs w:val="20"/>
                <w:highlight w:val="none"/>
              </w:rPr>
              <w:t>自适应以太网</w:t>
            </w:r>
            <w:r>
              <w:rPr>
                <w:rFonts w:ascii="仿宋" w:hAnsi="仿宋" w:eastAsia="仿宋" w:cs="仿宋"/>
                <w:color w:val="auto"/>
                <w:spacing w:val="-32"/>
                <w:sz w:val="20"/>
                <w:szCs w:val="20"/>
                <w:highlight w:val="none"/>
              </w:rPr>
              <w:t xml:space="preserve"> </w:t>
            </w:r>
            <w:r>
              <w:rPr>
                <w:rFonts w:ascii="仿宋" w:hAnsi="仿宋" w:eastAsia="仿宋" w:cs="仿宋"/>
                <w:color w:val="auto"/>
                <w:spacing w:val="3"/>
                <w:sz w:val="20"/>
                <w:szCs w:val="20"/>
                <w:highlight w:val="none"/>
              </w:rPr>
              <w:t>口</w:t>
            </w:r>
            <w:r>
              <w:rPr>
                <w:rFonts w:ascii="仿宋" w:hAnsi="仿宋" w:eastAsia="仿宋" w:cs="仿宋"/>
                <w:color w:val="auto"/>
                <w:spacing w:val="-57"/>
                <w:sz w:val="20"/>
                <w:szCs w:val="20"/>
                <w:highlight w:val="none"/>
              </w:rPr>
              <w:t xml:space="preserve"> </w:t>
            </w:r>
            <w:r>
              <w:rPr>
                <w:rFonts w:ascii="仿宋" w:hAnsi="仿宋" w:eastAsia="仿宋" w:cs="仿宋"/>
                <w:color w:val="auto"/>
                <w:spacing w:val="3"/>
                <w:sz w:val="20"/>
                <w:szCs w:val="20"/>
                <w:highlight w:val="none"/>
              </w:rPr>
              <w:t>，或</w:t>
            </w:r>
            <w:r>
              <w:rPr>
                <w:rFonts w:ascii="仿宋" w:hAnsi="仿宋" w:eastAsia="仿宋" w:cs="仿宋"/>
                <w:color w:val="auto"/>
                <w:spacing w:val="41"/>
                <w:sz w:val="20"/>
                <w:szCs w:val="20"/>
                <w:highlight w:val="none"/>
              </w:rPr>
              <w:t xml:space="preserve"> </w:t>
            </w:r>
            <w:r>
              <w:rPr>
                <w:rFonts w:ascii="仿宋" w:hAnsi="仿宋" w:eastAsia="仿宋" w:cs="仿宋"/>
                <w:color w:val="auto"/>
                <w:spacing w:val="3"/>
                <w:sz w:val="20"/>
                <w:szCs w:val="20"/>
                <w:highlight w:val="none"/>
              </w:rPr>
              <w:t>4G</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接入；</w:t>
            </w:r>
          </w:p>
          <w:p w14:paraId="3D863096">
            <w:pPr>
              <w:keepNext w:val="0"/>
              <w:keepLines/>
              <w:pageBreakBefore w:val="0"/>
              <w:widowControl w:val="0"/>
              <w:kinsoku/>
              <w:wordWrap w:val="0"/>
              <w:overflowPunct/>
              <w:topLinePunct w:val="0"/>
              <w:autoSpaceDE/>
              <w:autoSpaceDN/>
              <w:bidi w:val="0"/>
              <w:adjustRightInd/>
              <w:snapToGrid/>
              <w:spacing w:before="157" w:line="329" w:lineRule="auto"/>
              <w:ind w:left="116" w:right="47" w:firstLine="9"/>
              <w:textAlignment w:val="auto"/>
              <w:rPr>
                <w:rFonts w:ascii="仿宋" w:hAnsi="仿宋" w:eastAsia="仿宋" w:cs="仿宋"/>
                <w:color w:val="auto"/>
                <w:sz w:val="20"/>
                <w:szCs w:val="20"/>
                <w:highlight w:val="none"/>
              </w:rPr>
            </w:pPr>
            <w:r>
              <w:rPr>
                <w:rFonts w:ascii="仿宋" w:hAnsi="仿宋" w:eastAsia="仿宋" w:cs="仿宋"/>
                <w:color w:val="auto"/>
                <w:spacing w:val="11"/>
                <w:sz w:val="20"/>
                <w:szCs w:val="20"/>
                <w:highlight w:val="none"/>
              </w:rPr>
              <w:t>11.传感器支持：风速传感器，雨量传感器，环</w:t>
            </w:r>
            <w:r>
              <w:rPr>
                <w:rFonts w:ascii="仿宋" w:hAnsi="仿宋" w:eastAsia="仿宋" w:cs="仿宋"/>
                <w:color w:val="auto"/>
                <w:sz w:val="20"/>
                <w:szCs w:val="20"/>
                <w:highlight w:val="none"/>
              </w:rPr>
              <w:t xml:space="preserve"> </w:t>
            </w:r>
            <w:r>
              <w:rPr>
                <w:rFonts w:ascii="仿宋" w:hAnsi="仿宋" w:eastAsia="仿宋" w:cs="仿宋"/>
                <w:color w:val="auto"/>
                <w:spacing w:val="5"/>
                <w:sz w:val="20"/>
                <w:szCs w:val="20"/>
                <w:highlight w:val="none"/>
              </w:rPr>
              <w:t>境温度传感器，水浸传 感器，舱内温度传感器，</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舱内湿度传感器；</w:t>
            </w:r>
          </w:p>
          <w:p w14:paraId="2E2089A2">
            <w:pPr>
              <w:keepNext w:val="0"/>
              <w:keepLines/>
              <w:pageBreakBefore w:val="0"/>
              <w:widowControl w:val="0"/>
              <w:kinsoku/>
              <w:wordWrap w:val="0"/>
              <w:overflowPunct/>
              <w:topLinePunct w:val="0"/>
              <w:autoSpaceDE/>
              <w:autoSpaceDN/>
              <w:bidi w:val="0"/>
              <w:adjustRightInd/>
              <w:snapToGrid/>
              <w:spacing w:before="158" w:line="229" w:lineRule="auto"/>
              <w:ind w:left="121"/>
              <w:textAlignment w:val="auto"/>
              <w:rPr>
                <w:rFonts w:ascii="仿宋" w:hAnsi="仿宋" w:eastAsia="仿宋" w:cs="仿宋"/>
                <w:color w:val="auto"/>
                <w:sz w:val="20"/>
                <w:szCs w:val="20"/>
                <w:highlight w:val="none"/>
              </w:rPr>
            </w:pPr>
            <w:r>
              <w:rPr>
                <w:rFonts w:ascii="仿宋" w:hAnsi="仿宋" w:eastAsia="仿宋" w:cs="仿宋"/>
                <w:b/>
                <w:bCs/>
                <w:color w:val="auto"/>
                <w:spacing w:val="5"/>
                <w:sz w:val="20"/>
                <w:szCs w:val="20"/>
                <w:highlight w:val="none"/>
              </w:rPr>
              <w:t>（3）飞行器机身参数：</w:t>
            </w:r>
          </w:p>
          <w:p w14:paraId="629C2777">
            <w:pPr>
              <w:keepNext w:val="0"/>
              <w:keepLines/>
              <w:pageBreakBefore w:val="0"/>
              <w:widowControl w:val="0"/>
              <w:kinsoku/>
              <w:wordWrap w:val="0"/>
              <w:overflowPunct/>
              <w:topLinePunct w:val="0"/>
              <w:autoSpaceDE/>
              <w:autoSpaceDN/>
              <w:bidi w:val="0"/>
              <w:adjustRightInd/>
              <w:snapToGrid/>
              <w:spacing w:before="159" w:line="229"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1.裸机重量：</w:t>
            </w:r>
            <w:r>
              <w:rPr>
                <w:rFonts w:ascii="仿宋" w:hAnsi="仿宋" w:eastAsia="仿宋" w:cs="仿宋"/>
                <w:color w:val="auto"/>
                <w:spacing w:val="45"/>
                <w:sz w:val="20"/>
                <w:szCs w:val="20"/>
                <w:highlight w:val="none"/>
              </w:rPr>
              <w:t xml:space="preserve"> </w:t>
            </w:r>
            <w:r>
              <w:rPr>
                <w:rFonts w:ascii="仿宋" w:hAnsi="仿宋" w:eastAsia="仿宋" w:cs="仿宋"/>
                <w:color w:val="auto"/>
                <w:spacing w:val="2"/>
                <w:sz w:val="20"/>
                <w:szCs w:val="20"/>
                <w:highlight w:val="none"/>
              </w:rPr>
              <w:t>≤1850</w:t>
            </w:r>
            <w:r>
              <w:rPr>
                <w:rFonts w:ascii="仿宋" w:hAnsi="仿宋" w:eastAsia="仿宋" w:cs="仿宋"/>
                <w:color w:val="auto"/>
                <w:spacing w:val="24"/>
                <w:sz w:val="20"/>
                <w:szCs w:val="20"/>
                <w:highlight w:val="none"/>
              </w:rPr>
              <w:t xml:space="preserve"> </w:t>
            </w:r>
            <w:r>
              <w:rPr>
                <w:rFonts w:ascii="仿宋" w:hAnsi="仿宋" w:eastAsia="仿宋" w:cs="仿宋"/>
                <w:color w:val="auto"/>
                <w:spacing w:val="2"/>
                <w:sz w:val="20"/>
                <w:szCs w:val="20"/>
                <w:highlight w:val="none"/>
              </w:rPr>
              <w:t>克</w:t>
            </w:r>
          </w:p>
          <w:p w14:paraId="55ABCA82">
            <w:pPr>
              <w:keepNext w:val="0"/>
              <w:keepLines/>
              <w:pageBreakBefore w:val="0"/>
              <w:widowControl w:val="0"/>
              <w:kinsoku/>
              <w:wordWrap w:val="0"/>
              <w:overflowPunct/>
              <w:topLinePunct w:val="0"/>
              <w:autoSpaceDE/>
              <w:autoSpaceDN/>
              <w:bidi w:val="0"/>
              <w:adjustRightInd/>
              <w:snapToGrid/>
              <w:spacing w:before="159" w:line="231" w:lineRule="auto"/>
              <w:ind w:left="113"/>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2.最大起飞重量：</w:t>
            </w:r>
            <w:r>
              <w:rPr>
                <w:rFonts w:ascii="仿宋" w:hAnsi="仿宋" w:eastAsia="仿宋" w:cs="仿宋"/>
                <w:color w:val="auto"/>
                <w:spacing w:val="48"/>
                <w:sz w:val="20"/>
                <w:szCs w:val="20"/>
                <w:highlight w:val="none"/>
              </w:rPr>
              <w:t xml:space="preserve"> </w:t>
            </w:r>
            <w:r>
              <w:rPr>
                <w:rFonts w:ascii="仿宋" w:hAnsi="仿宋" w:eastAsia="仿宋" w:cs="仿宋"/>
                <w:color w:val="auto"/>
                <w:spacing w:val="5"/>
                <w:sz w:val="20"/>
                <w:szCs w:val="20"/>
                <w:highlight w:val="none"/>
              </w:rPr>
              <w:t>≥2000 克</w:t>
            </w:r>
          </w:p>
          <w:p w14:paraId="34062488">
            <w:pPr>
              <w:keepNext w:val="0"/>
              <w:keepLines/>
              <w:pageBreakBefore w:val="0"/>
              <w:widowControl w:val="0"/>
              <w:kinsoku/>
              <w:wordWrap w:val="0"/>
              <w:overflowPunct/>
              <w:topLinePunct w:val="0"/>
              <w:autoSpaceDE/>
              <w:autoSpaceDN/>
              <w:bidi w:val="0"/>
              <w:adjustRightInd/>
              <w:snapToGrid/>
              <w:spacing w:before="157" w:line="232"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3.尺寸：/</w:t>
            </w:r>
          </w:p>
          <w:p w14:paraId="252F834E">
            <w:pPr>
              <w:keepNext w:val="0"/>
              <w:keepLines/>
              <w:pageBreakBefore w:val="0"/>
              <w:widowControl w:val="0"/>
              <w:kinsoku/>
              <w:wordWrap w:val="0"/>
              <w:overflowPunct/>
              <w:topLinePunct w:val="0"/>
              <w:autoSpaceDE/>
              <w:autoSpaceDN/>
              <w:bidi w:val="0"/>
              <w:adjustRightInd/>
              <w:snapToGrid/>
              <w:spacing w:before="157" w:line="305" w:lineRule="auto"/>
              <w:ind w:left="119" w:right="102" w:hanging="9"/>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4.最大上升速度： ≥6 米/秒（普通挡</w:t>
            </w:r>
            <w:r>
              <w:rPr>
                <w:rFonts w:ascii="仿宋" w:hAnsi="仿宋" w:eastAsia="仿宋" w:cs="仿宋"/>
                <w:color w:val="auto"/>
                <w:spacing w:val="-6"/>
                <w:sz w:val="20"/>
                <w:szCs w:val="20"/>
                <w:highlight w:val="none"/>
              </w:rPr>
              <w:t>）；</w:t>
            </w:r>
            <w:r>
              <w:rPr>
                <w:rFonts w:ascii="仿宋" w:hAnsi="仿宋" w:eastAsia="仿宋" w:cs="仿宋"/>
                <w:color w:val="auto"/>
                <w:spacing w:val="4"/>
                <w:sz w:val="20"/>
                <w:szCs w:val="20"/>
                <w:highlight w:val="none"/>
              </w:rPr>
              <w:t xml:space="preserve"> </w:t>
            </w:r>
            <w:r>
              <w:rPr>
                <w:rFonts w:ascii="仿宋" w:hAnsi="仿宋" w:eastAsia="仿宋" w:cs="仿宋"/>
                <w:color w:val="auto"/>
                <w:spacing w:val="3"/>
                <w:sz w:val="20"/>
                <w:szCs w:val="20"/>
                <w:highlight w:val="none"/>
              </w:rPr>
              <w:t>≥10</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米/秒（运动挡）</w:t>
            </w:r>
          </w:p>
          <w:p w14:paraId="2FE18959">
            <w:pPr>
              <w:keepNext w:val="0"/>
              <w:keepLines/>
              <w:pageBreakBefore w:val="0"/>
              <w:widowControl w:val="0"/>
              <w:kinsoku/>
              <w:wordWrap w:val="0"/>
              <w:overflowPunct/>
              <w:topLinePunct w:val="0"/>
              <w:autoSpaceDE/>
              <w:autoSpaceDN/>
              <w:bidi w:val="0"/>
              <w:adjustRightInd/>
              <w:snapToGrid/>
              <w:spacing w:before="158" w:line="304" w:lineRule="auto"/>
              <w:ind w:left="110" w:right="103" w:firstLine="5"/>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5.最大下降速度：≥6 米/秒（普通挡</w:t>
            </w:r>
            <w:r>
              <w:rPr>
                <w:rFonts w:ascii="仿宋" w:hAnsi="仿宋" w:eastAsia="仿宋" w:cs="仿宋"/>
                <w:color w:val="auto"/>
                <w:spacing w:val="-6"/>
                <w:sz w:val="20"/>
                <w:szCs w:val="20"/>
                <w:highlight w:val="none"/>
              </w:rPr>
              <w:t>）；</w:t>
            </w:r>
            <w:r>
              <w:rPr>
                <w:rFonts w:ascii="仿宋" w:hAnsi="仿宋" w:eastAsia="仿宋" w:cs="仿宋"/>
                <w:color w:val="auto"/>
                <w:spacing w:val="2"/>
                <w:sz w:val="20"/>
                <w:szCs w:val="20"/>
                <w:highlight w:val="none"/>
              </w:rPr>
              <w:t>≥8</w:t>
            </w:r>
            <w:r>
              <w:rPr>
                <w:rFonts w:ascii="仿宋" w:hAnsi="仿宋" w:eastAsia="仿宋" w:cs="仿宋"/>
                <w:color w:val="auto"/>
                <w:spacing w:val="23"/>
                <w:sz w:val="20"/>
                <w:szCs w:val="20"/>
                <w:highlight w:val="none"/>
              </w:rPr>
              <w:t xml:space="preserve"> </w:t>
            </w:r>
            <w:r>
              <w:rPr>
                <w:rFonts w:ascii="仿宋" w:hAnsi="仿宋" w:eastAsia="仿宋" w:cs="仿宋"/>
                <w:color w:val="auto"/>
                <w:spacing w:val="2"/>
                <w:sz w:val="20"/>
                <w:szCs w:val="20"/>
                <w:highlight w:val="none"/>
              </w:rPr>
              <w:t>米</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/秒（运动挡）</w:t>
            </w:r>
          </w:p>
          <w:p w14:paraId="01233433">
            <w:pPr>
              <w:keepNext w:val="0"/>
              <w:keepLines/>
              <w:pageBreakBefore w:val="0"/>
              <w:widowControl w:val="0"/>
              <w:kinsoku/>
              <w:wordWrap w:val="0"/>
              <w:overflowPunct/>
              <w:topLinePunct w:val="0"/>
              <w:autoSpaceDE/>
              <w:autoSpaceDN/>
              <w:bidi w:val="0"/>
              <w:adjustRightInd/>
              <w:snapToGrid/>
              <w:spacing w:before="157" w:line="348" w:lineRule="auto"/>
              <w:ind w:left="110" w:right="103" w:firstLine="2"/>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6.最大水平飞行速度（海平面附近无风）：普通</w:t>
            </w:r>
            <w:r>
              <w:rPr>
                <w:rFonts w:ascii="仿宋" w:hAnsi="仿宋" w:eastAsia="仿宋" w:cs="仿宋"/>
                <w:color w:val="auto"/>
                <w:spacing w:val="1"/>
                <w:sz w:val="20"/>
                <w:szCs w:val="20"/>
                <w:highlight w:val="none"/>
              </w:rPr>
              <w:t xml:space="preserve"> </w:t>
            </w:r>
            <w:r>
              <w:rPr>
                <w:rFonts w:ascii="仿宋" w:hAnsi="仿宋" w:eastAsia="仿宋" w:cs="仿宋"/>
                <w:color w:val="auto"/>
                <w:spacing w:val="4"/>
                <w:sz w:val="20"/>
                <w:szCs w:val="20"/>
                <w:highlight w:val="none"/>
              </w:rPr>
              <w:t>挡，开启避障：前飞≥15 米/秒，后飞</w:t>
            </w:r>
            <w:r>
              <w:rPr>
                <w:rFonts w:ascii="仿宋" w:hAnsi="仿宋" w:eastAsia="仿宋" w:cs="仿宋"/>
                <w:color w:val="auto"/>
                <w:spacing w:val="45"/>
                <w:sz w:val="20"/>
                <w:szCs w:val="20"/>
                <w:highlight w:val="none"/>
              </w:rPr>
              <w:t xml:space="preserve"> </w:t>
            </w:r>
            <w:r>
              <w:rPr>
                <w:rFonts w:ascii="仿宋" w:hAnsi="仿宋" w:eastAsia="仿宋" w:cs="仿宋"/>
                <w:color w:val="auto"/>
                <w:spacing w:val="4"/>
                <w:sz w:val="20"/>
                <w:szCs w:val="20"/>
                <w:highlight w:val="none"/>
              </w:rPr>
              <w:t>≥12</w:t>
            </w:r>
            <w:r>
              <w:rPr>
                <w:rFonts w:ascii="仿宋" w:hAnsi="仿宋" w:eastAsia="仿宋" w:cs="仿宋"/>
                <w:color w:val="auto"/>
                <w:spacing w:val="23"/>
                <w:sz w:val="20"/>
                <w:szCs w:val="20"/>
                <w:highlight w:val="none"/>
              </w:rPr>
              <w:t xml:space="preserve"> </w:t>
            </w:r>
            <w:r>
              <w:rPr>
                <w:rFonts w:ascii="仿宋" w:hAnsi="仿宋" w:eastAsia="仿宋" w:cs="仿宋"/>
                <w:color w:val="auto"/>
                <w:spacing w:val="4"/>
                <w:sz w:val="20"/>
                <w:szCs w:val="20"/>
                <w:highlight w:val="none"/>
              </w:rPr>
              <w:t>米</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/秒，侧飞</w:t>
            </w:r>
            <w:r>
              <w:rPr>
                <w:rFonts w:ascii="仿宋" w:hAnsi="仿宋" w:eastAsia="仿宋" w:cs="仿宋"/>
                <w:color w:val="auto"/>
                <w:spacing w:val="40"/>
                <w:sz w:val="20"/>
                <w:szCs w:val="20"/>
                <w:highlight w:val="none"/>
              </w:rPr>
              <w:t xml:space="preserve"> </w:t>
            </w:r>
            <w:r>
              <w:rPr>
                <w:rFonts w:ascii="仿宋" w:hAnsi="仿宋" w:eastAsia="仿宋" w:cs="仿宋"/>
                <w:color w:val="auto"/>
                <w:spacing w:val="4"/>
                <w:sz w:val="20"/>
                <w:szCs w:val="20"/>
                <w:highlight w:val="none"/>
              </w:rPr>
              <w:t>≥10 米/秒，运动挡：前飞≥21</w:t>
            </w:r>
            <w:r>
              <w:rPr>
                <w:rFonts w:ascii="仿宋" w:hAnsi="仿宋" w:eastAsia="仿宋" w:cs="仿宋"/>
                <w:color w:val="auto"/>
                <w:spacing w:val="23"/>
                <w:sz w:val="20"/>
                <w:szCs w:val="20"/>
                <w:highlight w:val="none"/>
              </w:rPr>
              <w:t xml:space="preserve"> </w:t>
            </w:r>
            <w:r>
              <w:rPr>
                <w:rFonts w:ascii="仿宋" w:hAnsi="仿宋" w:eastAsia="仿宋" w:cs="仿宋"/>
                <w:color w:val="auto"/>
                <w:spacing w:val="4"/>
                <w:sz w:val="20"/>
                <w:szCs w:val="20"/>
                <w:highlight w:val="none"/>
              </w:rPr>
              <w:t>米/</w:t>
            </w:r>
            <w:r>
              <w:rPr>
                <w:rFonts w:ascii="仿宋" w:hAnsi="仿宋" w:eastAsia="仿宋" w:cs="仿宋"/>
                <w:color w:val="auto"/>
                <w:sz w:val="20"/>
                <w:szCs w:val="20"/>
                <w:highlight w:val="none"/>
              </w:rPr>
              <w:t xml:space="preserve"> </w:t>
            </w:r>
            <w:r>
              <w:rPr>
                <w:rFonts w:ascii="仿宋" w:hAnsi="仿宋" w:eastAsia="仿宋" w:cs="仿宋"/>
                <w:color w:val="auto"/>
                <w:spacing w:val="5"/>
                <w:sz w:val="20"/>
                <w:szCs w:val="20"/>
                <w:highlight w:val="none"/>
              </w:rPr>
              <w:t>秒，后飞</w:t>
            </w:r>
            <w:r>
              <w:rPr>
                <w:rFonts w:ascii="仿宋" w:hAnsi="仿宋" w:eastAsia="仿宋" w:cs="仿宋"/>
                <w:color w:val="auto"/>
                <w:spacing w:val="37"/>
                <w:sz w:val="20"/>
                <w:szCs w:val="20"/>
                <w:highlight w:val="none"/>
              </w:rPr>
              <w:t xml:space="preserve"> </w:t>
            </w:r>
            <w:r>
              <w:rPr>
                <w:rFonts w:ascii="仿宋" w:hAnsi="仿宋" w:eastAsia="仿宋" w:cs="仿宋"/>
                <w:color w:val="auto"/>
                <w:spacing w:val="5"/>
                <w:sz w:val="20"/>
                <w:szCs w:val="20"/>
                <w:highlight w:val="none"/>
              </w:rPr>
              <w:t>≥19 米/秒，侧飞≥ 15 米/</w:t>
            </w:r>
            <w:r>
              <w:rPr>
                <w:rFonts w:ascii="仿宋" w:hAnsi="仿宋" w:eastAsia="仿宋" w:cs="仿宋"/>
                <w:color w:val="auto"/>
                <w:spacing w:val="4"/>
                <w:sz w:val="20"/>
                <w:szCs w:val="20"/>
                <w:highlight w:val="none"/>
              </w:rPr>
              <w:t>秒。配合</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机场使用仅支持普通挡。</w:t>
            </w:r>
          </w:p>
          <w:p w14:paraId="63726993">
            <w:pPr>
              <w:keepNext w:val="0"/>
              <w:keepLines/>
              <w:pageBreakBefore w:val="0"/>
              <w:widowControl w:val="0"/>
              <w:kinsoku/>
              <w:wordWrap w:val="0"/>
              <w:overflowPunct/>
              <w:topLinePunct w:val="0"/>
              <w:autoSpaceDE/>
              <w:autoSpaceDN/>
              <w:bidi w:val="0"/>
              <w:adjustRightInd/>
              <w:snapToGrid/>
              <w:spacing w:before="159" w:line="303" w:lineRule="auto"/>
              <w:ind w:left="110" w:right="103" w:firstLine="5"/>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7.最大抗风速度：作业阶段抗风能力： ≥12</w:t>
            </w:r>
            <w:r>
              <w:rPr>
                <w:rFonts w:ascii="仿宋" w:hAnsi="仿宋" w:eastAsia="仿宋" w:cs="仿宋"/>
                <w:color w:val="auto"/>
                <w:spacing w:val="39"/>
                <w:sz w:val="20"/>
                <w:szCs w:val="20"/>
                <w:highlight w:val="none"/>
              </w:rPr>
              <w:t xml:space="preserve"> </w:t>
            </w:r>
            <w:r>
              <w:rPr>
                <w:rFonts w:ascii="仿宋" w:hAnsi="仿宋" w:eastAsia="仿宋" w:cs="仿宋"/>
                <w:color w:val="auto"/>
                <w:spacing w:val="5"/>
                <w:sz w:val="20"/>
                <w:szCs w:val="20"/>
                <w:highlight w:val="none"/>
              </w:rPr>
              <w:t>米</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/秒，起降阶段抗风能力：</w:t>
            </w:r>
            <w:r>
              <w:rPr>
                <w:rFonts w:ascii="仿宋" w:hAnsi="仿宋" w:eastAsia="仿宋" w:cs="仿宋"/>
                <w:color w:val="auto"/>
                <w:spacing w:val="47"/>
                <w:sz w:val="20"/>
                <w:szCs w:val="20"/>
                <w:highlight w:val="none"/>
              </w:rPr>
              <w:t xml:space="preserve"> </w:t>
            </w:r>
            <w:r>
              <w:rPr>
                <w:rFonts w:ascii="仿宋" w:hAnsi="仿宋" w:eastAsia="仿宋" w:cs="仿宋"/>
                <w:color w:val="auto"/>
                <w:spacing w:val="6"/>
                <w:sz w:val="20"/>
                <w:szCs w:val="20"/>
                <w:highlight w:val="none"/>
              </w:rPr>
              <w:t>≥12 米/秒</w:t>
            </w:r>
          </w:p>
          <w:p w14:paraId="4A4D44FA">
            <w:pPr>
              <w:keepNext w:val="0"/>
              <w:keepLines/>
              <w:pageBreakBefore w:val="0"/>
              <w:widowControl w:val="0"/>
              <w:kinsoku/>
              <w:wordWrap w:val="0"/>
              <w:overflowPunct/>
              <w:topLinePunct w:val="0"/>
              <w:autoSpaceDE/>
              <w:autoSpaceDN/>
              <w:bidi w:val="0"/>
              <w:adjustRightInd/>
              <w:snapToGrid/>
              <w:spacing w:before="161" w:line="231" w:lineRule="auto"/>
              <w:ind w:left="111"/>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8.最大起飞海拔高度：</w:t>
            </w:r>
            <w:r>
              <w:rPr>
                <w:rFonts w:ascii="仿宋" w:hAnsi="仿宋" w:eastAsia="仿宋" w:cs="仿宋"/>
                <w:color w:val="auto"/>
                <w:spacing w:val="57"/>
                <w:sz w:val="20"/>
                <w:szCs w:val="20"/>
                <w:highlight w:val="none"/>
              </w:rPr>
              <w:t xml:space="preserve"> </w:t>
            </w:r>
            <w:r>
              <w:rPr>
                <w:rFonts w:ascii="仿宋" w:hAnsi="仿宋" w:eastAsia="仿宋" w:cs="仿宋"/>
                <w:color w:val="auto"/>
                <w:spacing w:val="5"/>
                <w:sz w:val="20"/>
                <w:szCs w:val="20"/>
                <w:highlight w:val="none"/>
              </w:rPr>
              <w:t>≥6500 米</w:t>
            </w:r>
          </w:p>
          <w:p w14:paraId="3077DE10">
            <w:pPr>
              <w:keepNext w:val="0"/>
              <w:keepLines/>
              <w:pageBreakBefore w:val="0"/>
              <w:widowControl w:val="0"/>
              <w:kinsoku/>
              <w:wordWrap w:val="0"/>
              <w:overflowPunct/>
              <w:topLinePunct w:val="0"/>
              <w:autoSpaceDE/>
              <w:autoSpaceDN/>
              <w:bidi w:val="0"/>
              <w:adjustRightInd/>
              <w:snapToGrid/>
              <w:spacing w:before="158" w:line="229" w:lineRule="auto"/>
              <w:ind w:left="111"/>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9.最长飞行时间：</w:t>
            </w:r>
            <w:r>
              <w:rPr>
                <w:rFonts w:ascii="仿宋" w:hAnsi="仿宋" w:eastAsia="仿宋" w:cs="仿宋"/>
                <w:color w:val="auto"/>
                <w:spacing w:val="45"/>
                <w:sz w:val="20"/>
                <w:szCs w:val="20"/>
                <w:highlight w:val="none"/>
              </w:rPr>
              <w:t xml:space="preserve"> </w:t>
            </w:r>
            <w:r>
              <w:rPr>
                <w:rFonts w:ascii="仿宋" w:hAnsi="仿宋" w:eastAsia="仿宋" w:cs="仿宋"/>
                <w:color w:val="auto"/>
                <w:spacing w:val="5"/>
                <w:sz w:val="20"/>
                <w:szCs w:val="20"/>
                <w:highlight w:val="none"/>
              </w:rPr>
              <w:t>≥54 分钟</w:t>
            </w:r>
          </w:p>
          <w:p w14:paraId="25017C6A">
            <w:pPr>
              <w:keepNext w:val="0"/>
              <w:keepLines/>
              <w:pageBreakBefore w:val="0"/>
              <w:widowControl w:val="0"/>
              <w:kinsoku/>
              <w:wordWrap w:val="0"/>
              <w:overflowPunct/>
              <w:topLinePunct w:val="0"/>
              <w:autoSpaceDE/>
              <w:autoSpaceDN/>
              <w:bidi w:val="0"/>
              <w:adjustRightInd/>
              <w:snapToGrid/>
              <w:spacing w:before="159" w:line="229"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10.有效作业半径：</w:t>
            </w:r>
            <w:r>
              <w:rPr>
                <w:rFonts w:ascii="仿宋" w:hAnsi="仿宋" w:eastAsia="仿宋" w:cs="仿宋"/>
                <w:color w:val="auto"/>
                <w:spacing w:val="52"/>
                <w:sz w:val="20"/>
                <w:szCs w:val="20"/>
                <w:highlight w:val="none"/>
              </w:rPr>
              <w:t xml:space="preserve"> </w:t>
            </w:r>
            <w:r>
              <w:rPr>
                <w:rFonts w:ascii="仿宋" w:hAnsi="仿宋" w:eastAsia="仿宋" w:cs="仿宋"/>
                <w:color w:val="auto"/>
                <w:spacing w:val="2"/>
                <w:sz w:val="20"/>
                <w:szCs w:val="20"/>
                <w:highlight w:val="none"/>
              </w:rPr>
              <w:t>≥5</w:t>
            </w:r>
            <w:r>
              <w:rPr>
                <w:rFonts w:ascii="仿宋" w:hAnsi="仿宋" w:eastAsia="仿宋" w:cs="仿宋"/>
                <w:color w:val="auto"/>
                <w:spacing w:val="25"/>
                <w:sz w:val="20"/>
                <w:szCs w:val="20"/>
                <w:highlight w:val="none"/>
              </w:rPr>
              <w:t xml:space="preserve"> </w:t>
            </w:r>
            <w:r>
              <w:rPr>
                <w:rFonts w:ascii="仿宋" w:hAnsi="仿宋" w:eastAsia="仿宋" w:cs="仿宋"/>
                <w:color w:val="auto"/>
                <w:spacing w:val="2"/>
                <w:sz w:val="20"/>
                <w:szCs w:val="20"/>
                <w:highlight w:val="none"/>
              </w:rPr>
              <w:t>公里</w:t>
            </w:r>
          </w:p>
          <w:p w14:paraId="0E233159">
            <w:pPr>
              <w:keepNext w:val="0"/>
              <w:keepLines/>
              <w:pageBreakBefore w:val="0"/>
              <w:widowControl w:val="0"/>
              <w:kinsoku/>
              <w:wordWrap w:val="0"/>
              <w:overflowPunct/>
              <w:topLinePunct w:val="0"/>
              <w:autoSpaceDE/>
              <w:autoSpaceDN/>
              <w:bidi w:val="0"/>
              <w:adjustRightInd/>
              <w:snapToGrid/>
              <w:spacing w:before="161" w:line="328" w:lineRule="auto"/>
              <w:ind w:left="121" w:right="103" w:firstLine="4"/>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11.悬停精度（无风或微风环境</w:t>
            </w:r>
            <w:r>
              <w:rPr>
                <w:rFonts w:ascii="仿宋" w:hAnsi="仿宋" w:eastAsia="仿宋" w:cs="仿宋"/>
                <w:color w:val="auto"/>
                <w:spacing w:val="7"/>
                <w:sz w:val="20"/>
                <w:szCs w:val="20"/>
                <w:highlight w:val="none"/>
              </w:rPr>
              <w:t>）：</w:t>
            </w:r>
            <w:r>
              <w:rPr>
                <w:rFonts w:ascii="仿宋" w:hAnsi="仿宋" w:eastAsia="仿宋" w:cs="仿宋"/>
                <w:color w:val="auto"/>
                <w:spacing w:val="20"/>
                <w:sz w:val="20"/>
                <w:szCs w:val="20"/>
                <w:highlight w:val="none"/>
              </w:rPr>
              <w:t xml:space="preserve"> </w:t>
            </w:r>
            <w:r>
              <w:rPr>
                <w:rFonts w:ascii="仿宋" w:hAnsi="仿宋" w:eastAsia="仿宋" w:cs="仿宋"/>
                <w:color w:val="auto"/>
                <w:spacing w:val="5"/>
                <w:sz w:val="20"/>
                <w:szCs w:val="20"/>
                <w:highlight w:val="none"/>
              </w:rPr>
              <w:t>≤±0.1 米</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（视觉定位正常工作时） ≤±0.5 米（</w:t>
            </w:r>
            <w:r>
              <w:rPr>
                <w:rFonts w:ascii="仿宋" w:hAnsi="仿宋" w:eastAsia="仿宋" w:cs="仿宋"/>
                <w:color w:val="auto"/>
                <w:sz w:val="20"/>
                <w:szCs w:val="20"/>
                <w:highlight w:val="none"/>
              </w:rPr>
              <w:t>GNSS</w:t>
            </w:r>
            <w:r>
              <w:rPr>
                <w:rFonts w:ascii="仿宋" w:hAnsi="仿宋" w:eastAsia="仿宋" w:cs="仿宋"/>
                <w:color w:val="auto"/>
                <w:spacing w:val="22"/>
                <w:sz w:val="20"/>
                <w:szCs w:val="20"/>
                <w:highlight w:val="none"/>
              </w:rPr>
              <w:t xml:space="preserve"> </w:t>
            </w:r>
            <w:r>
              <w:rPr>
                <w:rFonts w:ascii="仿宋" w:hAnsi="仿宋" w:eastAsia="仿宋" w:cs="仿宋"/>
                <w:color w:val="auto"/>
                <w:spacing w:val="6"/>
                <w:sz w:val="20"/>
                <w:szCs w:val="20"/>
                <w:highlight w:val="none"/>
              </w:rPr>
              <w:t>正</w:t>
            </w:r>
            <w:r>
              <w:rPr>
                <w:rFonts w:ascii="仿宋" w:hAnsi="仿宋" w:eastAsia="仿宋" w:cs="仿宋"/>
                <w:color w:val="auto"/>
                <w:sz w:val="20"/>
                <w:szCs w:val="20"/>
                <w:highlight w:val="none"/>
              </w:rPr>
              <w:t xml:space="preserve"> </w:t>
            </w:r>
            <w:r>
              <w:rPr>
                <w:rFonts w:ascii="仿宋" w:hAnsi="仿宋" w:eastAsia="仿宋" w:cs="仿宋"/>
                <w:color w:val="auto"/>
                <w:spacing w:val="5"/>
                <w:sz w:val="20"/>
                <w:szCs w:val="20"/>
                <w:highlight w:val="none"/>
              </w:rPr>
              <w:t>常工作时）</w:t>
            </w:r>
            <w:r>
              <w:rPr>
                <w:rFonts w:ascii="仿宋" w:hAnsi="仿宋" w:eastAsia="仿宋" w:cs="仿宋"/>
                <w:color w:val="auto"/>
                <w:spacing w:val="-55"/>
                <w:sz w:val="20"/>
                <w:szCs w:val="20"/>
                <w:highlight w:val="none"/>
              </w:rPr>
              <w:t xml:space="preserve"> </w:t>
            </w:r>
            <w:r>
              <w:rPr>
                <w:rFonts w:ascii="仿宋" w:hAnsi="仿宋" w:eastAsia="仿宋" w:cs="仿宋"/>
                <w:color w:val="auto"/>
                <w:spacing w:val="5"/>
                <w:sz w:val="20"/>
                <w:szCs w:val="20"/>
                <w:highlight w:val="none"/>
              </w:rPr>
              <w:t>≤±0.1 米（</w:t>
            </w:r>
            <w:r>
              <w:rPr>
                <w:rFonts w:ascii="仿宋" w:hAnsi="仿宋" w:eastAsia="仿宋" w:cs="仿宋"/>
                <w:color w:val="auto"/>
                <w:sz w:val="20"/>
                <w:szCs w:val="20"/>
                <w:highlight w:val="none"/>
              </w:rPr>
              <w:t>RTK</w:t>
            </w:r>
            <w:r>
              <w:rPr>
                <w:rFonts w:ascii="仿宋" w:hAnsi="仿宋" w:eastAsia="仿宋" w:cs="仿宋"/>
                <w:color w:val="auto"/>
                <w:spacing w:val="20"/>
                <w:sz w:val="20"/>
                <w:szCs w:val="20"/>
                <w:highlight w:val="none"/>
              </w:rPr>
              <w:t xml:space="preserve"> </w:t>
            </w:r>
            <w:r>
              <w:rPr>
                <w:rFonts w:ascii="仿宋" w:hAnsi="仿宋" w:eastAsia="仿宋" w:cs="仿宋"/>
                <w:color w:val="auto"/>
                <w:spacing w:val="5"/>
                <w:sz w:val="20"/>
                <w:szCs w:val="20"/>
                <w:highlight w:val="none"/>
              </w:rPr>
              <w:t>正常工作时）</w:t>
            </w:r>
          </w:p>
          <w:p w14:paraId="044DD81A">
            <w:pPr>
              <w:keepNext w:val="0"/>
              <w:keepLines/>
              <w:pageBreakBefore w:val="0"/>
              <w:widowControl w:val="0"/>
              <w:kinsoku/>
              <w:wordWrap w:val="0"/>
              <w:overflowPunct/>
              <w:topLinePunct w:val="0"/>
              <w:autoSpaceDE/>
              <w:autoSpaceDN/>
              <w:bidi w:val="0"/>
              <w:adjustRightInd/>
              <w:snapToGrid/>
              <w:spacing w:before="159" w:line="376" w:lineRule="auto"/>
              <w:ind w:left="125" w:right="303" w:hanging="9"/>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水平：</w:t>
            </w:r>
            <w:r>
              <w:rPr>
                <w:rFonts w:ascii="仿宋" w:hAnsi="仿宋" w:eastAsia="仿宋" w:cs="仿宋"/>
                <w:color w:val="auto"/>
                <w:spacing w:val="-57"/>
                <w:sz w:val="20"/>
                <w:szCs w:val="20"/>
                <w:highlight w:val="none"/>
              </w:rPr>
              <w:t xml:space="preserve"> </w:t>
            </w:r>
            <w:r>
              <w:rPr>
                <w:rFonts w:ascii="仿宋" w:hAnsi="仿宋" w:eastAsia="仿宋" w:cs="仿宋"/>
                <w:color w:val="auto"/>
                <w:spacing w:val="5"/>
                <w:sz w:val="20"/>
                <w:szCs w:val="20"/>
                <w:highlight w:val="none"/>
              </w:rPr>
              <w:t>≤±0.3 米（视觉定位正常工作时）。</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≤±0.5 米（</w:t>
            </w:r>
            <w:r>
              <w:rPr>
                <w:rFonts w:ascii="仿宋" w:hAnsi="仿宋" w:eastAsia="仿宋" w:cs="仿宋"/>
                <w:color w:val="auto"/>
                <w:sz w:val="20"/>
                <w:szCs w:val="20"/>
                <w:highlight w:val="none"/>
              </w:rPr>
              <w:t>GNSS</w:t>
            </w:r>
            <w:r>
              <w:rPr>
                <w:rFonts w:ascii="仿宋" w:hAnsi="仿宋" w:eastAsia="仿宋" w:cs="仿宋"/>
                <w:color w:val="auto"/>
                <w:spacing w:val="26"/>
                <w:sz w:val="20"/>
                <w:szCs w:val="20"/>
                <w:highlight w:val="none"/>
              </w:rPr>
              <w:t xml:space="preserve"> </w:t>
            </w:r>
            <w:r>
              <w:rPr>
                <w:rFonts w:ascii="仿宋" w:hAnsi="仿宋" w:eastAsia="仿宋" w:cs="仿宋"/>
                <w:color w:val="auto"/>
                <w:spacing w:val="6"/>
                <w:sz w:val="20"/>
                <w:szCs w:val="20"/>
                <w:highlight w:val="none"/>
              </w:rPr>
              <w:t>正常工作时）</w:t>
            </w:r>
          </w:p>
          <w:p w14:paraId="269727C0">
            <w:pPr>
              <w:keepNext w:val="0"/>
              <w:keepLines/>
              <w:pageBreakBefore w:val="0"/>
              <w:widowControl w:val="0"/>
              <w:kinsoku/>
              <w:wordWrap w:val="0"/>
              <w:overflowPunct/>
              <w:topLinePunct w:val="0"/>
              <w:autoSpaceDE/>
              <w:autoSpaceDN/>
              <w:bidi w:val="0"/>
              <w:adjustRightInd/>
              <w:snapToGrid/>
              <w:spacing w:before="4" w:line="229"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≤±0.1 米（</w:t>
            </w:r>
            <w:r>
              <w:rPr>
                <w:rFonts w:ascii="仿宋" w:hAnsi="仿宋" w:eastAsia="仿宋" w:cs="仿宋"/>
                <w:color w:val="auto"/>
                <w:sz w:val="20"/>
                <w:szCs w:val="20"/>
                <w:highlight w:val="none"/>
              </w:rPr>
              <w:t>RTK</w:t>
            </w:r>
            <w:r>
              <w:rPr>
                <w:rFonts w:ascii="仿宋" w:hAnsi="仿宋" w:eastAsia="仿宋" w:cs="仿宋"/>
                <w:color w:val="auto"/>
                <w:spacing w:val="21"/>
                <w:sz w:val="20"/>
                <w:szCs w:val="20"/>
                <w:highlight w:val="none"/>
              </w:rPr>
              <w:t xml:space="preserve"> </w:t>
            </w:r>
            <w:r>
              <w:rPr>
                <w:rFonts w:ascii="仿宋" w:hAnsi="仿宋" w:eastAsia="仿宋" w:cs="仿宋"/>
                <w:color w:val="auto"/>
                <w:spacing w:val="6"/>
                <w:sz w:val="20"/>
                <w:szCs w:val="20"/>
                <w:highlight w:val="none"/>
              </w:rPr>
              <w:t>正常工作时）</w:t>
            </w:r>
          </w:p>
          <w:p w14:paraId="1D44A920">
            <w:pPr>
              <w:keepNext w:val="0"/>
              <w:keepLines/>
              <w:pageBreakBefore w:val="0"/>
              <w:widowControl w:val="0"/>
              <w:kinsoku/>
              <w:wordWrap w:val="0"/>
              <w:overflowPunct/>
              <w:topLinePunct w:val="0"/>
              <w:autoSpaceDE/>
              <w:autoSpaceDN/>
              <w:bidi w:val="0"/>
              <w:adjustRightInd/>
              <w:snapToGrid/>
              <w:spacing w:before="160" w:line="229"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11.工作环境温度：-20℃ 至</w:t>
            </w:r>
            <w:r>
              <w:rPr>
                <w:rFonts w:ascii="仿宋" w:hAnsi="仿宋" w:eastAsia="仿宋" w:cs="仿宋"/>
                <w:color w:val="auto"/>
                <w:spacing w:val="30"/>
                <w:sz w:val="20"/>
                <w:szCs w:val="20"/>
                <w:highlight w:val="none"/>
              </w:rPr>
              <w:t xml:space="preserve"> </w:t>
            </w:r>
            <w:r>
              <w:rPr>
                <w:rFonts w:ascii="仿宋" w:hAnsi="仿宋" w:eastAsia="仿宋" w:cs="仿宋"/>
                <w:color w:val="auto"/>
                <w:spacing w:val="5"/>
                <w:sz w:val="20"/>
                <w:szCs w:val="20"/>
                <w:highlight w:val="none"/>
              </w:rPr>
              <w:t>50℃</w:t>
            </w:r>
          </w:p>
        </w:tc>
      </w:tr>
    </w:tbl>
    <w:p w14:paraId="66AB20D6">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2520FA09">
      <w:pPr>
        <w:keepNext w:val="0"/>
        <w:keepLines/>
        <w:pageBreakBefore w:val="0"/>
        <w:widowControl w:val="0"/>
        <w:kinsoku/>
        <w:wordWrap w:val="0"/>
        <w:overflowPunct/>
        <w:topLinePunct w:val="0"/>
        <w:autoSpaceDE/>
        <w:autoSpaceDN/>
        <w:bidi w:val="0"/>
        <w:adjustRightInd/>
        <w:snapToGrid/>
        <w:textAlignment w:val="auto"/>
        <w:rPr>
          <w:rFonts w:ascii="Arial" w:hAnsi="Arial" w:eastAsia="Arial" w:cs="Arial"/>
          <w:color w:val="auto"/>
          <w:sz w:val="21"/>
          <w:szCs w:val="21"/>
          <w:highlight w:val="none"/>
        </w:rPr>
        <w:sectPr>
          <w:pgSz w:w="11906" w:h="16840"/>
          <w:pgMar w:top="1430" w:right="1649" w:bottom="400" w:left="1502" w:header="0" w:footer="0" w:gutter="0"/>
          <w:pgNumType w:fmt="decimal"/>
          <w:cols w:space="720" w:num="1"/>
        </w:sectPr>
      </w:pPr>
    </w:p>
    <w:tbl>
      <w:tblPr>
        <w:tblStyle w:val="18"/>
        <w:tblW w:w="9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2106"/>
        <w:gridCol w:w="6044"/>
      </w:tblGrid>
      <w:tr w14:paraId="41F42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3" w:hRule="atLeast"/>
        </w:trPr>
        <w:tc>
          <w:tcPr>
            <w:tcW w:w="1348" w:type="dxa"/>
            <w:noWrap w:val="0"/>
            <w:vAlign w:val="top"/>
          </w:tcPr>
          <w:p w14:paraId="278CF76E">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2106" w:type="dxa"/>
            <w:noWrap w:val="0"/>
            <w:vAlign w:val="top"/>
          </w:tcPr>
          <w:p w14:paraId="65300A7E">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6044" w:type="dxa"/>
            <w:noWrap w:val="0"/>
            <w:vAlign w:val="top"/>
          </w:tcPr>
          <w:p w14:paraId="0D7A47F4">
            <w:pPr>
              <w:keepNext w:val="0"/>
              <w:keepLines/>
              <w:pageBreakBefore w:val="0"/>
              <w:widowControl w:val="0"/>
              <w:kinsoku/>
              <w:wordWrap w:val="0"/>
              <w:overflowPunct/>
              <w:topLinePunct w:val="0"/>
              <w:autoSpaceDE/>
              <w:autoSpaceDN/>
              <w:bidi w:val="0"/>
              <w:adjustRightInd/>
              <w:snapToGrid/>
              <w:spacing w:before="36" w:line="231"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12.防护等级：</w:t>
            </w:r>
            <w:r>
              <w:rPr>
                <w:rFonts w:ascii="仿宋" w:hAnsi="仿宋" w:eastAsia="仿宋" w:cs="仿宋"/>
                <w:color w:val="auto"/>
                <w:sz w:val="20"/>
                <w:szCs w:val="20"/>
                <w:highlight w:val="none"/>
              </w:rPr>
              <w:t>IP</w:t>
            </w:r>
            <w:r>
              <w:rPr>
                <w:rFonts w:ascii="仿宋" w:hAnsi="仿宋" w:eastAsia="仿宋" w:cs="仿宋"/>
                <w:color w:val="auto"/>
                <w:spacing w:val="6"/>
                <w:sz w:val="20"/>
                <w:szCs w:val="20"/>
                <w:highlight w:val="none"/>
              </w:rPr>
              <w:t>55</w:t>
            </w:r>
          </w:p>
          <w:p w14:paraId="4BF3E158">
            <w:pPr>
              <w:keepNext w:val="0"/>
              <w:keepLines/>
              <w:pageBreakBefore w:val="0"/>
              <w:widowControl w:val="0"/>
              <w:kinsoku/>
              <w:wordWrap w:val="0"/>
              <w:overflowPunct/>
              <w:topLinePunct w:val="0"/>
              <w:autoSpaceDE/>
              <w:autoSpaceDN/>
              <w:bidi w:val="0"/>
              <w:adjustRightInd/>
              <w:snapToGrid/>
              <w:spacing w:before="158" w:line="230"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13.影像传感器</w:t>
            </w:r>
            <w:r>
              <w:rPr>
                <w:rFonts w:ascii="仿宋" w:hAnsi="仿宋" w:eastAsia="仿宋" w:cs="仿宋"/>
                <w:color w:val="auto"/>
                <w:spacing w:val="40"/>
                <w:sz w:val="20"/>
                <w:szCs w:val="20"/>
                <w:highlight w:val="none"/>
              </w:rPr>
              <w:t xml:space="preserve"> </w:t>
            </w:r>
            <w:r>
              <w:rPr>
                <w:rFonts w:ascii="仿宋" w:hAnsi="仿宋" w:eastAsia="仿宋" w:cs="仿宋"/>
                <w:color w:val="auto"/>
                <w:spacing w:val="4"/>
                <w:sz w:val="20"/>
                <w:szCs w:val="20"/>
                <w:highlight w:val="none"/>
              </w:rPr>
              <w:t>:</w:t>
            </w:r>
          </w:p>
          <w:p w14:paraId="194AFB4B">
            <w:pPr>
              <w:keepNext w:val="0"/>
              <w:keepLines/>
              <w:pageBreakBefore w:val="0"/>
              <w:widowControl w:val="0"/>
              <w:kinsoku/>
              <w:wordWrap w:val="0"/>
              <w:overflowPunct/>
              <w:topLinePunct w:val="0"/>
              <w:autoSpaceDE/>
              <w:autoSpaceDN/>
              <w:bidi w:val="0"/>
              <w:adjustRightInd/>
              <w:snapToGrid/>
              <w:spacing w:before="158" w:line="230" w:lineRule="auto"/>
              <w:ind w:left="116"/>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广角相机: 有效像素≥4800</w:t>
            </w:r>
            <w:r>
              <w:rPr>
                <w:rFonts w:ascii="仿宋" w:hAnsi="仿宋" w:eastAsia="仿宋" w:cs="仿宋"/>
                <w:color w:val="auto"/>
                <w:spacing w:val="30"/>
                <w:sz w:val="20"/>
                <w:szCs w:val="20"/>
                <w:highlight w:val="none"/>
              </w:rPr>
              <w:t xml:space="preserve"> </w:t>
            </w:r>
            <w:r>
              <w:rPr>
                <w:rFonts w:ascii="仿宋" w:hAnsi="仿宋" w:eastAsia="仿宋" w:cs="仿宋"/>
                <w:color w:val="auto"/>
                <w:spacing w:val="6"/>
                <w:sz w:val="20"/>
                <w:szCs w:val="20"/>
                <w:highlight w:val="none"/>
              </w:rPr>
              <w:t>万</w:t>
            </w:r>
          </w:p>
          <w:p w14:paraId="230561FD">
            <w:pPr>
              <w:keepNext w:val="0"/>
              <w:keepLines/>
              <w:pageBreakBefore w:val="0"/>
              <w:widowControl w:val="0"/>
              <w:kinsoku/>
              <w:wordWrap w:val="0"/>
              <w:overflowPunct/>
              <w:topLinePunct w:val="0"/>
              <w:autoSpaceDE/>
              <w:autoSpaceDN/>
              <w:bidi w:val="0"/>
              <w:adjustRightInd/>
              <w:snapToGrid/>
              <w:spacing w:before="158" w:line="230" w:lineRule="auto"/>
              <w:ind w:left="144"/>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中长焦相机:有效像素≥4800 万</w:t>
            </w:r>
          </w:p>
          <w:p w14:paraId="07356F15">
            <w:pPr>
              <w:keepNext w:val="0"/>
              <w:keepLines/>
              <w:pageBreakBefore w:val="0"/>
              <w:widowControl w:val="0"/>
              <w:kinsoku/>
              <w:wordWrap w:val="0"/>
              <w:overflowPunct/>
              <w:topLinePunct w:val="0"/>
              <w:autoSpaceDE/>
              <w:autoSpaceDN/>
              <w:bidi w:val="0"/>
              <w:adjustRightInd/>
              <w:snapToGrid/>
              <w:spacing w:before="161" w:line="230" w:lineRule="auto"/>
              <w:ind w:left="117"/>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长焦相机: 有效像素≥4800</w:t>
            </w:r>
            <w:r>
              <w:rPr>
                <w:rFonts w:ascii="仿宋" w:hAnsi="仿宋" w:eastAsia="仿宋" w:cs="仿宋"/>
                <w:color w:val="auto"/>
                <w:spacing w:val="30"/>
                <w:sz w:val="20"/>
                <w:szCs w:val="20"/>
                <w:highlight w:val="none"/>
              </w:rPr>
              <w:t xml:space="preserve"> </w:t>
            </w:r>
            <w:r>
              <w:rPr>
                <w:rFonts w:ascii="仿宋" w:hAnsi="仿宋" w:eastAsia="仿宋" w:cs="仿宋"/>
                <w:color w:val="auto"/>
                <w:spacing w:val="6"/>
                <w:sz w:val="20"/>
                <w:szCs w:val="20"/>
                <w:highlight w:val="none"/>
              </w:rPr>
              <w:t>万</w:t>
            </w:r>
          </w:p>
          <w:p w14:paraId="1668DD7C">
            <w:pPr>
              <w:keepNext w:val="0"/>
              <w:keepLines/>
              <w:pageBreakBefore w:val="0"/>
              <w:widowControl w:val="0"/>
              <w:kinsoku/>
              <w:wordWrap w:val="0"/>
              <w:overflowPunct/>
              <w:topLinePunct w:val="0"/>
              <w:autoSpaceDE/>
              <w:autoSpaceDN/>
              <w:bidi w:val="0"/>
              <w:adjustRightInd/>
              <w:snapToGrid/>
              <w:spacing w:before="158" w:line="304" w:lineRule="auto"/>
              <w:ind w:left="119" w:right="102" w:firstLine="7"/>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14.数字变焦:长焦相机：</w:t>
            </w:r>
            <w:r>
              <w:rPr>
                <w:rFonts w:ascii="仿宋" w:hAnsi="仿宋" w:eastAsia="仿宋" w:cs="仿宋"/>
                <w:color w:val="auto"/>
                <w:spacing w:val="-43"/>
                <w:sz w:val="20"/>
                <w:szCs w:val="20"/>
                <w:highlight w:val="none"/>
              </w:rPr>
              <w:t xml:space="preserve"> </w:t>
            </w:r>
            <w:r>
              <w:rPr>
                <w:rFonts w:ascii="仿宋" w:hAnsi="仿宋" w:eastAsia="仿宋" w:cs="仿宋"/>
                <w:color w:val="auto"/>
                <w:spacing w:val="6"/>
                <w:sz w:val="20"/>
                <w:szCs w:val="20"/>
                <w:highlight w:val="none"/>
              </w:rPr>
              <w:t>16 倍（混合变焦</w:t>
            </w:r>
            <w:r>
              <w:rPr>
                <w:rFonts w:ascii="仿宋" w:hAnsi="仿宋" w:eastAsia="仿宋" w:cs="仿宋"/>
                <w:color w:val="auto"/>
                <w:spacing w:val="38"/>
                <w:sz w:val="20"/>
                <w:szCs w:val="20"/>
                <w:highlight w:val="none"/>
              </w:rPr>
              <w:t xml:space="preserve"> </w:t>
            </w:r>
            <w:r>
              <w:rPr>
                <w:rFonts w:ascii="仿宋" w:hAnsi="仿宋" w:eastAsia="仿宋" w:cs="仿宋"/>
                <w:color w:val="auto"/>
                <w:spacing w:val="6"/>
                <w:sz w:val="20"/>
                <w:szCs w:val="20"/>
                <w:highlight w:val="none"/>
              </w:rPr>
              <w:t>112</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倍）</w:t>
            </w:r>
          </w:p>
          <w:p w14:paraId="70F4FD76">
            <w:pPr>
              <w:keepNext w:val="0"/>
              <w:keepLines/>
              <w:pageBreakBefore w:val="0"/>
              <w:widowControl w:val="0"/>
              <w:kinsoku/>
              <w:wordWrap w:val="0"/>
              <w:overflowPunct/>
              <w:topLinePunct w:val="0"/>
              <w:autoSpaceDE/>
              <w:autoSpaceDN/>
              <w:bidi w:val="0"/>
              <w:adjustRightInd/>
              <w:snapToGrid/>
              <w:spacing w:before="158" w:line="230"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15.红外补光:</w:t>
            </w:r>
            <w:r>
              <w:rPr>
                <w:rFonts w:ascii="仿宋" w:hAnsi="仿宋" w:eastAsia="仿宋" w:cs="仿宋"/>
                <w:color w:val="auto"/>
                <w:sz w:val="20"/>
                <w:szCs w:val="20"/>
                <w:highlight w:val="none"/>
              </w:rPr>
              <w:t>FOV</w:t>
            </w:r>
            <w:r>
              <w:rPr>
                <w:rFonts w:ascii="仿宋" w:hAnsi="仿宋" w:eastAsia="仿宋" w:cs="仿宋"/>
                <w:color w:val="auto"/>
                <w:spacing w:val="2"/>
                <w:sz w:val="20"/>
                <w:szCs w:val="20"/>
                <w:highlight w:val="none"/>
              </w:rPr>
              <w:t>：5.7</w:t>
            </w:r>
            <w:r>
              <w:rPr>
                <w:rFonts w:ascii="仿宋" w:hAnsi="仿宋" w:eastAsia="仿宋" w:cs="仿宋"/>
                <w:color w:val="auto"/>
                <w:spacing w:val="49"/>
                <w:sz w:val="20"/>
                <w:szCs w:val="20"/>
                <w:highlight w:val="none"/>
              </w:rPr>
              <w:t xml:space="preserve"> </w:t>
            </w:r>
            <w:r>
              <w:rPr>
                <w:rFonts w:ascii="仿宋" w:hAnsi="仿宋" w:eastAsia="仿宋" w:cs="仿宋"/>
                <w:color w:val="auto"/>
                <w:spacing w:val="2"/>
                <w:sz w:val="20"/>
                <w:szCs w:val="20"/>
                <w:highlight w:val="none"/>
              </w:rPr>
              <w:t>°</w:t>
            </w:r>
            <w:r>
              <w:rPr>
                <w:rFonts w:ascii="仿宋" w:hAnsi="仿宋" w:eastAsia="仿宋" w:cs="仿宋"/>
                <w:color w:val="auto"/>
                <w:spacing w:val="38"/>
                <w:sz w:val="20"/>
                <w:szCs w:val="20"/>
                <w:highlight w:val="none"/>
              </w:rPr>
              <w:t xml:space="preserve"> </w:t>
            </w:r>
            <w:r>
              <w:rPr>
                <w:rFonts w:ascii="仿宋" w:hAnsi="仿宋" w:eastAsia="仿宋" w:cs="仿宋"/>
                <w:color w:val="auto"/>
                <w:spacing w:val="2"/>
                <w:sz w:val="20"/>
                <w:szCs w:val="20"/>
                <w:highlight w:val="none"/>
              </w:rPr>
              <w:t>±0.3</w:t>
            </w:r>
            <w:r>
              <w:rPr>
                <w:rFonts w:ascii="仿宋" w:hAnsi="仿宋" w:eastAsia="仿宋" w:cs="仿宋"/>
                <w:color w:val="auto"/>
                <w:spacing w:val="32"/>
                <w:sz w:val="20"/>
                <w:szCs w:val="20"/>
                <w:highlight w:val="none"/>
              </w:rPr>
              <w:t xml:space="preserve"> </w:t>
            </w:r>
            <w:r>
              <w:rPr>
                <w:rFonts w:ascii="仿宋" w:hAnsi="仿宋" w:eastAsia="仿宋" w:cs="仿宋"/>
                <w:color w:val="auto"/>
                <w:spacing w:val="2"/>
                <w:sz w:val="20"/>
                <w:szCs w:val="20"/>
                <w:highlight w:val="none"/>
              </w:rPr>
              <w:t>°</w:t>
            </w:r>
          </w:p>
          <w:p w14:paraId="7BB508B0">
            <w:pPr>
              <w:keepNext w:val="0"/>
              <w:keepLines/>
              <w:pageBreakBefore w:val="0"/>
              <w:widowControl w:val="0"/>
              <w:kinsoku/>
              <w:wordWrap w:val="0"/>
              <w:overflowPunct/>
              <w:topLinePunct w:val="0"/>
              <w:autoSpaceDE/>
              <w:autoSpaceDN/>
              <w:bidi w:val="0"/>
              <w:adjustRightInd/>
              <w:snapToGrid/>
              <w:spacing w:before="161" w:line="304" w:lineRule="auto"/>
              <w:ind w:left="118" w:right="104" w:firstLine="8"/>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 xml:space="preserve">16.激光测距:正入射量程：1800 </w:t>
            </w:r>
            <w:r>
              <w:rPr>
                <w:rFonts w:ascii="仿宋" w:hAnsi="仿宋" w:eastAsia="仿宋" w:cs="仿宋"/>
                <w:color w:val="auto"/>
                <w:spacing w:val="-2"/>
                <w:sz w:val="20"/>
                <w:szCs w:val="20"/>
                <w:highlight w:val="none"/>
              </w:rPr>
              <w:t>米（</w:t>
            </w:r>
            <w:r>
              <w:rPr>
                <w:rFonts w:ascii="仿宋" w:hAnsi="仿宋" w:eastAsia="仿宋" w:cs="仿宋"/>
                <w:color w:val="auto"/>
                <w:spacing w:val="28"/>
                <w:sz w:val="20"/>
                <w:szCs w:val="20"/>
                <w:highlight w:val="none"/>
              </w:rPr>
              <w:t xml:space="preserve"> </w:t>
            </w:r>
            <w:r>
              <w:rPr>
                <w:rFonts w:ascii="仿宋" w:hAnsi="仿宋" w:eastAsia="仿宋" w:cs="仿宋"/>
                <w:color w:val="auto"/>
                <w:spacing w:val="-2"/>
                <w:sz w:val="20"/>
                <w:szCs w:val="20"/>
                <w:highlight w:val="none"/>
              </w:rPr>
              <w:t>1</w:t>
            </w:r>
            <w:r>
              <w:rPr>
                <w:rFonts w:ascii="仿宋" w:hAnsi="仿宋" w:eastAsia="仿宋" w:cs="仿宋"/>
                <w:color w:val="auto"/>
                <w:spacing w:val="-46"/>
                <w:sz w:val="20"/>
                <w:szCs w:val="20"/>
                <w:highlight w:val="none"/>
              </w:rPr>
              <w:t xml:space="preserve"> </w:t>
            </w:r>
            <w:r>
              <w:rPr>
                <w:rFonts w:ascii="仿宋" w:hAnsi="仿宋" w:eastAsia="仿宋" w:cs="仿宋"/>
                <w:color w:val="auto"/>
                <w:spacing w:val="-2"/>
                <w:sz w:val="20"/>
                <w:szCs w:val="20"/>
                <w:highlight w:val="none"/>
              </w:rPr>
              <w:t>HZ）@20%</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反射率目标</w:t>
            </w:r>
          </w:p>
          <w:p w14:paraId="59704A33">
            <w:pPr>
              <w:keepNext w:val="0"/>
              <w:keepLines/>
              <w:pageBreakBefore w:val="0"/>
              <w:widowControl w:val="0"/>
              <w:kinsoku/>
              <w:wordWrap w:val="0"/>
              <w:overflowPunct/>
              <w:topLinePunct w:val="0"/>
              <w:autoSpaceDE/>
              <w:autoSpaceDN/>
              <w:bidi w:val="0"/>
              <w:adjustRightInd/>
              <w:snapToGrid/>
              <w:spacing w:before="158" w:line="230"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17.最大信号有效距离</w:t>
            </w:r>
            <w:r>
              <w:rPr>
                <w:rFonts w:ascii="仿宋" w:hAnsi="仿宋" w:eastAsia="仿宋" w:cs="仿宋"/>
                <w:color w:val="auto"/>
                <w:spacing w:val="41"/>
                <w:sz w:val="20"/>
                <w:szCs w:val="20"/>
                <w:highlight w:val="none"/>
              </w:rPr>
              <w:t xml:space="preserve"> </w:t>
            </w:r>
            <w:r>
              <w:rPr>
                <w:rFonts w:ascii="仿宋" w:hAnsi="仿宋" w:eastAsia="仿宋" w:cs="仿宋"/>
                <w:color w:val="auto"/>
                <w:spacing w:val="3"/>
                <w:sz w:val="20"/>
                <w:szCs w:val="20"/>
                <w:highlight w:val="none"/>
              </w:rPr>
              <w:t>:</w:t>
            </w:r>
            <w:r>
              <w:rPr>
                <w:rFonts w:ascii="仿宋" w:hAnsi="仿宋" w:eastAsia="仿宋" w:cs="仿宋"/>
                <w:color w:val="auto"/>
                <w:spacing w:val="35"/>
                <w:sz w:val="20"/>
                <w:szCs w:val="20"/>
                <w:highlight w:val="none"/>
              </w:rPr>
              <w:t xml:space="preserve"> </w:t>
            </w:r>
            <w:r>
              <w:rPr>
                <w:rFonts w:ascii="仿宋" w:hAnsi="仿宋" w:eastAsia="仿宋" w:cs="仿宋"/>
                <w:color w:val="auto"/>
                <w:spacing w:val="3"/>
                <w:sz w:val="20"/>
                <w:szCs w:val="20"/>
                <w:highlight w:val="none"/>
              </w:rPr>
              <w:t>≥25 公里</w:t>
            </w:r>
          </w:p>
          <w:p w14:paraId="33D5DDAE">
            <w:pPr>
              <w:keepNext w:val="0"/>
              <w:keepLines/>
              <w:pageBreakBefore w:val="0"/>
              <w:widowControl w:val="0"/>
              <w:kinsoku/>
              <w:wordWrap w:val="0"/>
              <w:overflowPunct/>
              <w:topLinePunct w:val="0"/>
              <w:autoSpaceDE/>
              <w:autoSpaceDN/>
              <w:bidi w:val="0"/>
              <w:adjustRightInd/>
              <w:snapToGrid/>
              <w:spacing w:before="159" w:line="304" w:lineRule="auto"/>
              <w:ind w:left="122" w:right="105" w:firstLine="3"/>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18.</w:t>
            </w:r>
            <w:r>
              <w:rPr>
                <w:rFonts w:ascii="仿宋" w:hAnsi="仿宋" w:eastAsia="仿宋" w:cs="仿宋"/>
                <w:color w:val="auto"/>
                <w:spacing w:val="-42"/>
                <w:sz w:val="20"/>
                <w:szCs w:val="20"/>
                <w:highlight w:val="none"/>
              </w:rPr>
              <w:t xml:space="preserve"> </w:t>
            </w:r>
            <w:r>
              <w:rPr>
                <w:rFonts w:ascii="仿宋" w:hAnsi="仿宋" w:eastAsia="仿宋" w:cs="仿宋"/>
                <w:color w:val="auto"/>
                <w:spacing w:val="-5"/>
                <w:sz w:val="20"/>
                <w:szCs w:val="20"/>
                <w:highlight w:val="none"/>
              </w:rPr>
              <w:t>测</w:t>
            </w:r>
            <w:r>
              <w:rPr>
                <w:rFonts w:ascii="仿宋" w:hAnsi="仿宋" w:eastAsia="仿宋" w:cs="仿宋"/>
                <w:color w:val="auto"/>
                <w:spacing w:val="-38"/>
                <w:sz w:val="20"/>
                <w:szCs w:val="20"/>
                <w:highlight w:val="none"/>
              </w:rPr>
              <w:t xml:space="preserve"> </w:t>
            </w:r>
            <w:r>
              <w:rPr>
                <w:rFonts w:ascii="仿宋" w:hAnsi="仿宋" w:eastAsia="仿宋" w:cs="仿宋"/>
                <w:color w:val="auto"/>
                <w:spacing w:val="-5"/>
                <w:sz w:val="20"/>
                <w:szCs w:val="20"/>
                <w:highlight w:val="none"/>
              </w:rPr>
              <w:t>温</w:t>
            </w:r>
            <w:r>
              <w:rPr>
                <w:rFonts w:ascii="仿宋" w:hAnsi="仿宋" w:eastAsia="仿宋" w:cs="仿宋"/>
                <w:color w:val="auto"/>
                <w:spacing w:val="-27"/>
                <w:sz w:val="20"/>
                <w:szCs w:val="20"/>
                <w:highlight w:val="none"/>
              </w:rPr>
              <w:t xml:space="preserve"> </w:t>
            </w:r>
            <w:r>
              <w:rPr>
                <w:rFonts w:ascii="仿宋" w:hAnsi="仿宋" w:eastAsia="仿宋" w:cs="仿宋"/>
                <w:color w:val="auto"/>
                <w:spacing w:val="-5"/>
                <w:sz w:val="20"/>
                <w:szCs w:val="20"/>
                <w:highlight w:val="none"/>
              </w:rPr>
              <w:t>范 围</w:t>
            </w:r>
            <w:r>
              <w:rPr>
                <w:rFonts w:ascii="仿宋" w:hAnsi="仿宋" w:eastAsia="仿宋" w:cs="仿宋"/>
                <w:color w:val="auto"/>
                <w:spacing w:val="-25"/>
                <w:sz w:val="20"/>
                <w:szCs w:val="20"/>
                <w:highlight w:val="none"/>
              </w:rPr>
              <w:t xml:space="preserve"> </w:t>
            </w:r>
            <w:r>
              <w:rPr>
                <w:rFonts w:ascii="仿宋" w:hAnsi="仿宋" w:eastAsia="仿宋" w:cs="仿宋"/>
                <w:color w:val="auto"/>
                <w:spacing w:val="-5"/>
                <w:sz w:val="20"/>
                <w:szCs w:val="20"/>
                <w:highlight w:val="none"/>
              </w:rPr>
              <w:t>:-20℃</w:t>
            </w:r>
            <w:r>
              <w:rPr>
                <w:rFonts w:ascii="仿宋" w:hAnsi="仿宋" w:eastAsia="仿宋" w:cs="仿宋"/>
                <w:color w:val="auto"/>
                <w:spacing w:val="71"/>
                <w:sz w:val="20"/>
                <w:szCs w:val="20"/>
                <w:highlight w:val="none"/>
              </w:rPr>
              <w:t xml:space="preserve"> </w:t>
            </w:r>
            <w:r>
              <w:rPr>
                <w:rFonts w:ascii="仿宋" w:hAnsi="仿宋" w:eastAsia="仿宋" w:cs="仿宋"/>
                <w:color w:val="auto"/>
                <w:spacing w:val="-5"/>
                <w:sz w:val="20"/>
                <w:szCs w:val="20"/>
                <w:highlight w:val="none"/>
              </w:rPr>
              <w:t>至  150℃</w:t>
            </w:r>
            <w:r>
              <w:rPr>
                <w:rFonts w:ascii="仿宋" w:hAnsi="仿宋" w:eastAsia="仿宋" w:cs="仿宋"/>
                <w:color w:val="auto"/>
                <w:spacing w:val="-49"/>
                <w:sz w:val="20"/>
                <w:szCs w:val="20"/>
                <w:highlight w:val="none"/>
              </w:rPr>
              <w:t xml:space="preserve"> </w:t>
            </w:r>
            <w:r>
              <w:rPr>
                <w:rFonts w:ascii="仿宋" w:hAnsi="仿宋" w:eastAsia="仿宋" w:cs="仿宋"/>
                <w:color w:val="auto"/>
                <w:spacing w:val="-5"/>
                <w:sz w:val="20"/>
                <w:szCs w:val="20"/>
                <w:highlight w:val="none"/>
              </w:rPr>
              <w:t>（ 高</w:t>
            </w:r>
            <w:r>
              <w:rPr>
                <w:rFonts w:ascii="仿宋" w:hAnsi="仿宋" w:eastAsia="仿宋" w:cs="仿宋"/>
                <w:color w:val="auto"/>
                <w:spacing w:val="-39"/>
                <w:sz w:val="20"/>
                <w:szCs w:val="20"/>
                <w:highlight w:val="none"/>
              </w:rPr>
              <w:t xml:space="preserve"> </w:t>
            </w:r>
            <w:r>
              <w:rPr>
                <w:rFonts w:ascii="仿宋" w:hAnsi="仿宋" w:eastAsia="仿宋" w:cs="仿宋"/>
                <w:color w:val="auto"/>
                <w:spacing w:val="-5"/>
                <w:sz w:val="20"/>
                <w:szCs w:val="20"/>
                <w:highlight w:val="none"/>
              </w:rPr>
              <w:t>增</w:t>
            </w:r>
            <w:r>
              <w:rPr>
                <w:rFonts w:ascii="仿宋" w:hAnsi="仿宋" w:eastAsia="仿宋" w:cs="仿宋"/>
                <w:color w:val="auto"/>
                <w:spacing w:val="-38"/>
                <w:sz w:val="20"/>
                <w:szCs w:val="20"/>
                <w:highlight w:val="none"/>
              </w:rPr>
              <w:t xml:space="preserve"> </w:t>
            </w:r>
            <w:r>
              <w:rPr>
                <w:rFonts w:ascii="仿宋" w:hAnsi="仿宋" w:eastAsia="仿宋" w:cs="仿宋"/>
                <w:color w:val="auto"/>
                <w:spacing w:val="-5"/>
                <w:sz w:val="20"/>
                <w:szCs w:val="20"/>
                <w:highlight w:val="none"/>
              </w:rPr>
              <w:t>益</w:t>
            </w:r>
            <w:r>
              <w:rPr>
                <w:rFonts w:ascii="仿宋" w:hAnsi="仿宋" w:eastAsia="仿宋" w:cs="仿宋"/>
                <w:color w:val="auto"/>
                <w:spacing w:val="-42"/>
                <w:sz w:val="20"/>
                <w:szCs w:val="20"/>
                <w:highlight w:val="none"/>
              </w:rPr>
              <w:t xml:space="preserve"> </w:t>
            </w:r>
            <w:r>
              <w:rPr>
                <w:rFonts w:ascii="仿宋" w:hAnsi="仿宋" w:eastAsia="仿宋" w:cs="仿宋"/>
                <w:color w:val="auto"/>
                <w:spacing w:val="-5"/>
                <w:sz w:val="20"/>
                <w:szCs w:val="20"/>
                <w:highlight w:val="none"/>
              </w:rPr>
              <w:t>模</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式）</w:t>
            </w:r>
            <w:r>
              <w:rPr>
                <w:rFonts w:ascii="仿宋" w:hAnsi="仿宋" w:eastAsia="仿宋" w:cs="仿宋"/>
                <w:color w:val="auto"/>
                <w:spacing w:val="-50"/>
                <w:sz w:val="20"/>
                <w:szCs w:val="20"/>
                <w:highlight w:val="none"/>
              </w:rPr>
              <w:t xml:space="preserve"> </w:t>
            </w:r>
            <w:r>
              <w:rPr>
                <w:rFonts w:ascii="仿宋" w:hAnsi="仿宋" w:eastAsia="仿宋" w:cs="仿宋"/>
                <w:color w:val="auto"/>
                <w:spacing w:val="2"/>
                <w:sz w:val="20"/>
                <w:szCs w:val="20"/>
                <w:highlight w:val="none"/>
              </w:rPr>
              <w:t>,0℃ 至</w:t>
            </w:r>
            <w:r>
              <w:rPr>
                <w:rFonts w:ascii="仿宋" w:hAnsi="仿宋" w:eastAsia="仿宋" w:cs="仿宋"/>
                <w:color w:val="auto"/>
                <w:spacing w:val="17"/>
                <w:sz w:val="20"/>
                <w:szCs w:val="20"/>
                <w:highlight w:val="none"/>
              </w:rPr>
              <w:t xml:space="preserve"> </w:t>
            </w:r>
            <w:r>
              <w:rPr>
                <w:rFonts w:ascii="仿宋" w:hAnsi="仿宋" w:eastAsia="仿宋" w:cs="仿宋"/>
                <w:color w:val="auto"/>
                <w:spacing w:val="2"/>
                <w:sz w:val="20"/>
                <w:szCs w:val="20"/>
                <w:highlight w:val="none"/>
              </w:rPr>
              <w:t>550</w:t>
            </w:r>
            <w:r>
              <w:rPr>
                <w:rFonts w:ascii="仿宋" w:hAnsi="仿宋" w:eastAsia="仿宋" w:cs="仿宋"/>
                <w:color w:val="auto"/>
                <w:spacing w:val="26"/>
                <w:sz w:val="20"/>
                <w:szCs w:val="20"/>
                <w:highlight w:val="none"/>
              </w:rPr>
              <w:t xml:space="preserve"> </w:t>
            </w:r>
            <w:r>
              <w:rPr>
                <w:rFonts w:ascii="仿宋" w:hAnsi="仿宋" w:eastAsia="仿宋" w:cs="仿宋"/>
                <w:color w:val="auto"/>
                <w:spacing w:val="2"/>
                <w:sz w:val="20"/>
                <w:szCs w:val="20"/>
                <w:highlight w:val="none"/>
              </w:rPr>
              <w:t>℃（低增益模式）</w:t>
            </w:r>
          </w:p>
          <w:p w14:paraId="7379390D">
            <w:pPr>
              <w:keepNext w:val="0"/>
              <w:keepLines/>
              <w:pageBreakBefore w:val="0"/>
              <w:widowControl w:val="0"/>
              <w:kinsoku/>
              <w:wordWrap w:val="0"/>
              <w:overflowPunct/>
              <w:topLinePunct w:val="0"/>
              <w:autoSpaceDE/>
              <w:autoSpaceDN/>
              <w:bidi w:val="0"/>
              <w:adjustRightInd/>
              <w:snapToGrid/>
              <w:spacing w:before="156" w:line="232"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19.红外波长:8</w:t>
            </w:r>
            <w:r>
              <w:rPr>
                <w:rFonts w:ascii="仿宋" w:hAnsi="仿宋" w:eastAsia="仿宋" w:cs="仿宋"/>
                <w:color w:val="auto"/>
                <w:spacing w:val="72"/>
                <w:sz w:val="20"/>
                <w:szCs w:val="20"/>
                <w:highlight w:val="none"/>
              </w:rPr>
              <w:t xml:space="preserve"> </w:t>
            </w:r>
            <w:r>
              <w:rPr>
                <w:rFonts w:ascii="仿宋" w:hAnsi="仿宋" w:eastAsia="仿宋" w:cs="仿宋"/>
                <w:color w:val="auto"/>
                <w:spacing w:val="-5"/>
                <w:sz w:val="20"/>
                <w:szCs w:val="20"/>
                <w:highlight w:val="none"/>
              </w:rPr>
              <w:t>μm</w:t>
            </w:r>
            <w:r>
              <w:rPr>
                <w:rFonts w:ascii="仿宋" w:hAnsi="仿宋" w:eastAsia="仿宋" w:cs="仿宋"/>
                <w:color w:val="auto"/>
                <w:spacing w:val="27"/>
                <w:sz w:val="20"/>
                <w:szCs w:val="20"/>
                <w:highlight w:val="none"/>
              </w:rPr>
              <w:t xml:space="preserve"> </w:t>
            </w:r>
            <w:r>
              <w:rPr>
                <w:rFonts w:ascii="仿宋" w:hAnsi="仿宋" w:eastAsia="仿宋" w:cs="仿宋"/>
                <w:color w:val="auto"/>
                <w:spacing w:val="-5"/>
                <w:sz w:val="20"/>
                <w:szCs w:val="20"/>
                <w:highlight w:val="none"/>
              </w:rPr>
              <w:t>至</w:t>
            </w:r>
            <w:r>
              <w:rPr>
                <w:rFonts w:ascii="仿宋" w:hAnsi="仿宋" w:eastAsia="仿宋" w:cs="仿宋"/>
                <w:color w:val="auto"/>
                <w:spacing w:val="29"/>
                <w:sz w:val="20"/>
                <w:szCs w:val="20"/>
                <w:highlight w:val="none"/>
              </w:rPr>
              <w:t xml:space="preserve"> </w:t>
            </w:r>
            <w:r>
              <w:rPr>
                <w:rFonts w:ascii="仿宋" w:hAnsi="仿宋" w:eastAsia="仿宋" w:cs="仿宋"/>
                <w:color w:val="auto"/>
                <w:spacing w:val="-5"/>
                <w:sz w:val="20"/>
                <w:szCs w:val="20"/>
                <w:highlight w:val="none"/>
              </w:rPr>
              <w:t>14</w:t>
            </w:r>
            <w:r>
              <w:rPr>
                <w:rFonts w:ascii="仿宋" w:hAnsi="仿宋" w:eastAsia="仿宋" w:cs="仿宋"/>
                <w:color w:val="auto"/>
                <w:spacing w:val="63"/>
                <w:sz w:val="20"/>
                <w:szCs w:val="20"/>
                <w:highlight w:val="none"/>
              </w:rPr>
              <w:t xml:space="preserve"> </w:t>
            </w:r>
            <w:r>
              <w:rPr>
                <w:rFonts w:ascii="仿宋" w:hAnsi="仿宋" w:eastAsia="仿宋" w:cs="仿宋"/>
                <w:color w:val="auto"/>
                <w:spacing w:val="-5"/>
                <w:sz w:val="20"/>
                <w:szCs w:val="20"/>
                <w:highlight w:val="none"/>
              </w:rPr>
              <w:t>μm</w:t>
            </w:r>
          </w:p>
        </w:tc>
      </w:tr>
      <w:tr w14:paraId="18A1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348" w:type="dxa"/>
            <w:noWrap w:val="0"/>
            <w:vAlign w:val="top"/>
          </w:tcPr>
          <w:p w14:paraId="483BDF74">
            <w:pPr>
              <w:keepNext w:val="0"/>
              <w:keepLines/>
              <w:pageBreakBefore w:val="0"/>
              <w:widowControl w:val="0"/>
              <w:kinsoku/>
              <w:wordWrap w:val="0"/>
              <w:overflowPunct/>
              <w:topLinePunct w:val="0"/>
              <w:autoSpaceDE/>
              <w:autoSpaceDN/>
              <w:bidi w:val="0"/>
              <w:adjustRightInd/>
              <w:snapToGrid/>
              <w:spacing w:before="34" w:line="270" w:lineRule="exact"/>
              <w:ind w:left="120"/>
              <w:textAlignment w:val="auto"/>
              <w:rPr>
                <w:rFonts w:ascii="仿宋" w:hAnsi="仿宋" w:eastAsia="仿宋" w:cs="仿宋"/>
                <w:color w:val="auto"/>
                <w:sz w:val="20"/>
                <w:szCs w:val="20"/>
                <w:highlight w:val="none"/>
              </w:rPr>
            </w:pPr>
            <w:r>
              <w:rPr>
                <w:rFonts w:ascii="仿宋" w:hAnsi="仿宋" w:eastAsia="仿宋" w:cs="仿宋"/>
                <w:color w:val="auto"/>
                <w:position w:val="2"/>
                <w:sz w:val="20"/>
                <w:szCs w:val="20"/>
                <w:highlight w:val="none"/>
              </w:rPr>
              <w:t>7</w:t>
            </w:r>
          </w:p>
        </w:tc>
        <w:tc>
          <w:tcPr>
            <w:tcW w:w="2106" w:type="dxa"/>
            <w:noWrap w:val="0"/>
            <w:vAlign w:val="top"/>
          </w:tcPr>
          <w:p w14:paraId="061A1742">
            <w:pPr>
              <w:keepNext w:val="0"/>
              <w:keepLines/>
              <w:pageBreakBefore w:val="0"/>
              <w:widowControl w:val="0"/>
              <w:kinsoku/>
              <w:wordWrap w:val="0"/>
              <w:overflowPunct/>
              <w:topLinePunct w:val="0"/>
              <w:autoSpaceDE/>
              <w:autoSpaceDN/>
              <w:bidi w:val="0"/>
              <w:adjustRightInd/>
              <w:snapToGrid/>
              <w:spacing w:before="34" w:line="230" w:lineRule="auto"/>
              <w:ind w:left="140"/>
              <w:textAlignment w:val="auto"/>
              <w:rPr>
                <w:rFonts w:ascii="仿宋" w:hAnsi="仿宋" w:eastAsia="仿宋" w:cs="仿宋"/>
                <w:color w:val="auto"/>
                <w:sz w:val="20"/>
                <w:szCs w:val="20"/>
                <w:highlight w:val="none"/>
              </w:rPr>
            </w:pPr>
            <w:r>
              <w:rPr>
                <w:rFonts w:ascii="仿宋" w:hAnsi="仿宋" w:eastAsia="仿宋" w:cs="仿宋"/>
                <w:color w:val="auto"/>
                <w:sz w:val="20"/>
                <w:szCs w:val="20"/>
                <w:highlight w:val="none"/>
              </w:rPr>
              <w:t>网络服务</w:t>
            </w:r>
          </w:p>
        </w:tc>
        <w:tc>
          <w:tcPr>
            <w:tcW w:w="6044" w:type="dxa"/>
            <w:noWrap w:val="0"/>
            <w:vAlign w:val="top"/>
          </w:tcPr>
          <w:p w14:paraId="0D487EED">
            <w:pPr>
              <w:keepNext w:val="0"/>
              <w:keepLines/>
              <w:pageBreakBefore w:val="0"/>
              <w:widowControl w:val="0"/>
              <w:kinsoku/>
              <w:wordWrap w:val="0"/>
              <w:overflowPunct/>
              <w:topLinePunct w:val="0"/>
              <w:autoSpaceDE/>
              <w:autoSpaceDN/>
              <w:bidi w:val="0"/>
              <w:adjustRightInd/>
              <w:snapToGrid/>
              <w:spacing w:before="34" w:line="231"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提供不低于</w:t>
            </w:r>
            <w:r>
              <w:rPr>
                <w:rFonts w:ascii="仿宋" w:hAnsi="仿宋" w:eastAsia="仿宋" w:cs="仿宋"/>
                <w:color w:val="auto"/>
                <w:spacing w:val="38"/>
                <w:sz w:val="20"/>
                <w:szCs w:val="20"/>
                <w:highlight w:val="none"/>
              </w:rPr>
              <w:t xml:space="preserve"> </w:t>
            </w:r>
            <w:r>
              <w:rPr>
                <w:rFonts w:ascii="仿宋" w:hAnsi="仿宋" w:eastAsia="仿宋" w:cs="仿宋"/>
                <w:color w:val="auto"/>
                <w:spacing w:val="6"/>
                <w:sz w:val="20"/>
                <w:szCs w:val="20"/>
                <w:highlight w:val="none"/>
              </w:rPr>
              <w:t>100M 互联网专线传输服务</w:t>
            </w:r>
          </w:p>
        </w:tc>
      </w:tr>
      <w:tr w14:paraId="376EB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5" w:hRule="atLeast"/>
        </w:trPr>
        <w:tc>
          <w:tcPr>
            <w:tcW w:w="1348" w:type="dxa"/>
            <w:noWrap w:val="0"/>
            <w:vAlign w:val="top"/>
          </w:tcPr>
          <w:p w14:paraId="37BE135F">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2DC1E584">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276AF209">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4411066A">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440D8224">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2504AE0E">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14E2C6F0">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03825D6B">
            <w:pPr>
              <w:keepNext w:val="0"/>
              <w:keepLines/>
              <w:pageBreakBefore w:val="0"/>
              <w:widowControl w:val="0"/>
              <w:kinsoku/>
              <w:wordWrap w:val="0"/>
              <w:overflowPunct/>
              <w:topLinePunct w:val="0"/>
              <w:autoSpaceDE/>
              <w:autoSpaceDN/>
              <w:bidi w:val="0"/>
              <w:adjustRightInd/>
              <w:snapToGrid/>
              <w:spacing w:line="241" w:lineRule="auto"/>
              <w:textAlignment w:val="auto"/>
              <w:rPr>
                <w:rFonts w:ascii="Arial"/>
                <w:color w:val="auto"/>
                <w:sz w:val="21"/>
                <w:highlight w:val="none"/>
              </w:rPr>
            </w:pPr>
          </w:p>
          <w:p w14:paraId="7497D9C0">
            <w:pPr>
              <w:keepNext w:val="0"/>
              <w:keepLines/>
              <w:pageBreakBefore w:val="0"/>
              <w:widowControl w:val="0"/>
              <w:kinsoku/>
              <w:wordWrap w:val="0"/>
              <w:overflowPunct/>
              <w:topLinePunct w:val="0"/>
              <w:autoSpaceDE/>
              <w:autoSpaceDN/>
              <w:bidi w:val="0"/>
              <w:adjustRightInd/>
              <w:snapToGrid/>
              <w:spacing w:line="241" w:lineRule="auto"/>
              <w:textAlignment w:val="auto"/>
              <w:rPr>
                <w:rFonts w:ascii="Arial"/>
                <w:color w:val="auto"/>
                <w:sz w:val="21"/>
                <w:highlight w:val="none"/>
              </w:rPr>
            </w:pPr>
          </w:p>
          <w:p w14:paraId="779D6D78">
            <w:pPr>
              <w:keepNext w:val="0"/>
              <w:keepLines/>
              <w:pageBreakBefore w:val="0"/>
              <w:widowControl w:val="0"/>
              <w:kinsoku/>
              <w:wordWrap w:val="0"/>
              <w:overflowPunct/>
              <w:topLinePunct w:val="0"/>
              <w:autoSpaceDE/>
              <w:autoSpaceDN/>
              <w:bidi w:val="0"/>
              <w:adjustRightInd/>
              <w:snapToGrid/>
              <w:spacing w:line="241" w:lineRule="auto"/>
              <w:textAlignment w:val="auto"/>
              <w:rPr>
                <w:rFonts w:ascii="Arial"/>
                <w:color w:val="auto"/>
                <w:sz w:val="21"/>
                <w:highlight w:val="none"/>
              </w:rPr>
            </w:pPr>
          </w:p>
          <w:p w14:paraId="1EACC14F">
            <w:pPr>
              <w:keepNext w:val="0"/>
              <w:keepLines/>
              <w:pageBreakBefore w:val="0"/>
              <w:widowControl w:val="0"/>
              <w:kinsoku/>
              <w:wordWrap w:val="0"/>
              <w:overflowPunct/>
              <w:topLinePunct w:val="0"/>
              <w:autoSpaceDE/>
              <w:autoSpaceDN/>
              <w:bidi w:val="0"/>
              <w:adjustRightInd/>
              <w:snapToGrid/>
              <w:spacing w:before="65" w:line="271" w:lineRule="exact"/>
              <w:ind w:left="116"/>
              <w:textAlignment w:val="auto"/>
              <w:rPr>
                <w:rFonts w:ascii="仿宋" w:hAnsi="仿宋" w:eastAsia="仿宋" w:cs="仿宋"/>
                <w:color w:val="auto"/>
                <w:sz w:val="20"/>
                <w:szCs w:val="20"/>
                <w:highlight w:val="none"/>
              </w:rPr>
            </w:pPr>
            <w:r>
              <w:rPr>
                <w:rFonts w:ascii="仿宋" w:hAnsi="仿宋" w:eastAsia="仿宋" w:cs="仿宋"/>
                <w:color w:val="auto"/>
                <w:position w:val="1"/>
                <w:sz w:val="20"/>
                <w:szCs w:val="20"/>
                <w:highlight w:val="none"/>
              </w:rPr>
              <w:t>8</w:t>
            </w:r>
          </w:p>
        </w:tc>
        <w:tc>
          <w:tcPr>
            <w:tcW w:w="2106" w:type="dxa"/>
            <w:noWrap w:val="0"/>
            <w:vAlign w:val="top"/>
          </w:tcPr>
          <w:p w14:paraId="3A42A1DB">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69EC6329">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0AF49263">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2F089041">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6C9CC4C9">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73964083">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19C4F452">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5B650075">
            <w:pPr>
              <w:keepNext w:val="0"/>
              <w:keepLines/>
              <w:pageBreakBefore w:val="0"/>
              <w:widowControl w:val="0"/>
              <w:kinsoku/>
              <w:wordWrap w:val="0"/>
              <w:overflowPunct/>
              <w:topLinePunct w:val="0"/>
              <w:autoSpaceDE/>
              <w:autoSpaceDN/>
              <w:bidi w:val="0"/>
              <w:adjustRightInd/>
              <w:snapToGrid/>
              <w:spacing w:line="241" w:lineRule="auto"/>
              <w:textAlignment w:val="auto"/>
              <w:rPr>
                <w:rFonts w:ascii="Arial"/>
                <w:color w:val="auto"/>
                <w:sz w:val="21"/>
                <w:highlight w:val="none"/>
              </w:rPr>
            </w:pPr>
          </w:p>
          <w:p w14:paraId="1D25829C">
            <w:pPr>
              <w:keepNext w:val="0"/>
              <w:keepLines/>
              <w:pageBreakBefore w:val="0"/>
              <w:widowControl w:val="0"/>
              <w:kinsoku/>
              <w:wordWrap w:val="0"/>
              <w:overflowPunct/>
              <w:topLinePunct w:val="0"/>
              <w:autoSpaceDE/>
              <w:autoSpaceDN/>
              <w:bidi w:val="0"/>
              <w:adjustRightInd/>
              <w:snapToGrid/>
              <w:spacing w:line="241" w:lineRule="auto"/>
              <w:textAlignment w:val="auto"/>
              <w:rPr>
                <w:rFonts w:ascii="Arial"/>
                <w:color w:val="auto"/>
                <w:sz w:val="21"/>
                <w:highlight w:val="none"/>
              </w:rPr>
            </w:pPr>
          </w:p>
          <w:p w14:paraId="0A1C1578">
            <w:pPr>
              <w:keepNext w:val="0"/>
              <w:keepLines/>
              <w:pageBreakBefore w:val="0"/>
              <w:widowControl w:val="0"/>
              <w:kinsoku/>
              <w:wordWrap w:val="0"/>
              <w:overflowPunct/>
              <w:topLinePunct w:val="0"/>
              <w:autoSpaceDE/>
              <w:autoSpaceDN/>
              <w:bidi w:val="0"/>
              <w:adjustRightInd/>
              <w:snapToGrid/>
              <w:spacing w:line="241" w:lineRule="auto"/>
              <w:textAlignment w:val="auto"/>
              <w:rPr>
                <w:rFonts w:ascii="Arial"/>
                <w:color w:val="auto"/>
                <w:sz w:val="21"/>
                <w:highlight w:val="none"/>
              </w:rPr>
            </w:pPr>
          </w:p>
          <w:p w14:paraId="2BF19521">
            <w:pPr>
              <w:keepNext w:val="0"/>
              <w:keepLines/>
              <w:pageBreakBefore w:val="0"/>
              <w:widowControl w:val="0"/>
              <w:kinsoku/>
              <w:wordWrap w:val="0"/>
              <w:overflowPunct/>
              <w:topLinePunct w:val="0"/>
              <w:autoSpaceDE/>
              <w:autoSpaceDN/>
              <w:bidi w:val="0"/>
              <w:adjustRightInd/>
              <w:snapToGrid/>
              <w:spacing w:before="65" w:line="231" w:lineRule="auto"/>
              <w:ind w:left="119"/>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综合服务</w:t>
            </w:r>
          </w:p>
        </w:tc>
        <w:tc>
          <w:tcPr>
            <w:tcW w:w="6044" w:type="dxa"/>
            <w:noWrap w:val="0"/>
            <w:vAlign w:val="top"/>
          </w:tcPr>
          <w:p w14:paraId="2E2E4411">
            <w:pPr>
              <w:keepNext w:val="0"/>
              <w:keepLines/>
              <w:pageBreakBefore w:val="0"/>
              <w:widowControl w:val="0"/>
              <w:kinsoku/>
              <w:wordWrap w:val="0"/>
              <w:overflowPunct/>
              <w:topLinePunct w:val="0"/>
              <w:autoSpaceDE/>
              <w:autoSpaceDN/>
              <w:bidi w:val="0"/>
              <w:adjustRightInd/>
              <w:snapToGrid/>
              <w:spacing w:before="32"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187F576E">
            <w:pPr>
              <w:keepNext w:val="0"/>
              <w:keepLines/>
              <w:pageBreakBefore w:val="0"/>
              <w:widowControl w:val="0"/>
              <w:kinsoku/>
              <w:wordWrap w:val="0"/>
              <w:overflowPunct/>
              <w:topLinePunct w:val="0"/>
              <w:autoSpaceDE/>
              <w:autoSpaceDN/>
              <w:bidi w:val="0"/>
              <w:adjustRightInd/>
              <w:snapToGrid/>
              <w:spacing w:before="157" w:line="341" w:lineRule="auto"/>
              <w:ind w:left="117" w:right="37" w:firstLine="8"/>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1.包含</w:t>
            </w:r>
            <w:r>
              <w:rPr>
                <w:rFonts w:ascii="仿宋" w:hAnsi="仿宋" w:eastAsia="仿宋" w:cs="仿宋"/>
                <w:color w:val="auto"/>
                <w:spacing w:val="-19"/>
                <w:sz w:val="20"/>
                <w:szCs w:val="20"/>
                <w:highlight w:val="none"/>
              </w:rPr>
              <w:t xml:space="preserve"> </w:t>
            </w:r>
            <w:r>
              <w:rPr>
                <w:rFonts w:ascii="仿宋" w:hAnsi="仿宋" w:eastAsia="仿宋" w:cs="仿宋"/>
                <w:color w:val="auto"/>
                <w:spacing w:val="4"/>
                <w:sz w:val="20"/>
                <w:szCs w:val="20"/>
                <w:highlight w:val="none"/>
              </w:rPr>
              <w:t>5</w:t>
            </w:r>
            <w:r>
              <w:rPr>
                <w:rFonts w:ascii="仿宋" w:hAnsi="仿宋" w:eastAsia="仿宋" w:cs="仿宋"/>
                <w:color w:val="auto"/>
                <w:spacing w:val="-30"/>
                <w:sz w:val="20"/>
                <w:szCs w:val="20"/>
                <w:highlight w:val="none"/>
              </w:rPr>
              <w:t xml:space="preserve"> </w:t>
            </w:r>
            <w:r>
              <w:rPr>
                <w:rFonts w:ascii="仿宋" w:hAnsi="仿宋" w:eastAsia="仿宋" w:cs="仿宋"/>
                <w:color w:val="auto"/>
                <w:spacing w:val="4"/>
                <w:sz w:val="20"/>
                <w:szCs w:val="20"/>
                <w:highlight w:val="none"/>
              </w:rPr>
              <w:t>年电费、支架、配件、监控、基础、24</w:t>
            </w:r>
            <w:r>
              <w:rPr>
                <w:rFonts w:ascii="仿宋" w:hAnsi="仿宋" w:eastAsia="仿宋" w:cs="仿宋"/>
                <w:color w:val="auto"/>
                <w:sz w:val="20"/>
                <w:szCs w:val="20"/>
                <w:highlight w:val="none"/>
              </w:rPr>
              <w:t xml:space="preserve"> 小时备电、塔上设备巡检、故障处理、抱杆新增、</w:t>
            </w:r>
            <w:r>
              <w:rPr>
                <w:rFonts w:ascii="仿宋" w:hAnsi="仿宋" w:eastAsia="仿宋" w:cs="仿宋"/>
                <w:color w:val="auto"/>
                <w:spacing w:val="18"/>
                <w:sz w:val="20"/>
                <w:szCs w:val="20"/>
                <w:highlight w:val="none"/>
              </w:rPr>
              <w:t xml:space="preserve"> </w:t>
            </w:r>
            <w:r>
              <w:rPr>
                <w:rFonts w:ascii="仿宋" w:hAnsi="仿宋" w:eastAsia="仿宋" w:cs="仿宋"/>
                <w:color w:val="auto"/>
                <w:spacing w:val="7"/>
                <w:sz w:val="20"/>
                <w:szCs w:val="20"/>
                <w:highlight w:val="none"/>
              </w:rPr>
              <w:t>登高人工等，需出示无人机承台、支架安装设计</w:t>
            </w:r>
            <w:r>
              <w:rPr>
                <w:rFonts w:ascii="仿宋" w:hAnsi="仿宋" w:eastAsia="仿宋" w:cs="仿宋"/>
                <w:color w:val="auto"/>
                <w:spacing w:val="3"/>
                <w:sz w:val="20"/>
                <w:szCs w:val="20"/>
                <w:highlight w:val="none"/>
              </w:rPr>
              <w:t xml:space="preserve"> </w:t>
            </w:r>
            <w:r>
              <w:rPr>
                <w:rFonts w:ascii="仿宋" w:hAnsi="仿宋" w:eastAsia="仿宋" w:cs="仿宋"/>
                <w:color w:val="auto"/>
                <w:spacing w:val="1"/>
                <w:sz w:val="20"/>
                <w:szCs w:val="20"/>
                <w:highlight w:val="none"/>
              </w:rPr>
              <w:t>图纸。</w:t>
            </w:r>
          </w:p>
          <w:p w14:paraId="0798A0CF">
            <w:pPr>
              <w:keepNext w:val="0"/>
              <w:keepLines/>
              <w:pageBreakBefore w:val="0"/>
              <w:widowControl w:val="0"/>
              <w:kinsoku/>
              <w:wordWrap w:val="0"/>
              <w:overflowPunct/>
              <w:topLinePunct w:val="0"/>
              <w:autoSpaceDE/>
              <w:autoSpaceDN/>
              <w:bidi w:val="0"/>
              <w:adjustRightInd/>
              <w:snapToGrid/>
              <w:spacing w:before="157" w:line="340" w:lineRule="auto"/>
              <w:ind w:left="116" w:right="105" w:hanging="3"/>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2.具备设备挂载、架设、放置等挂高资源及场地</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服务，3</w:t>
            </w:r>
            <w:r>
              <w:rPr>
                <w:rFonts w:ascii="仿宋" w:hAnsi="仿宋" w:eastAsia="仿宋" w:cs="仿宋"/>
                <w:color w:val="auto"/>
                <w:spacing w:val="-17"/>
                <w:sz w:val="20"/>
                <w:szCs w:val="20"/>
                <w:highlight w:val="none"/>
              </w:rPr>
              <w:t xml:space="preserve"> </w:t>
            </w:r>
            <w:r>
              <w:rPr>
                <w:rFonts w:ascii="仿宋" w:hAnsi="仿宋" w:eastAsia="仿宋" w:cs="仿宋"/>
                <w:color w:val="auto"/>
                <w:spacing w:val="8"/>
                <w:sz w:val="20"/>
                <w:szCs w:val="20"/>
                <w:highlight w:val="none"/>
              </w:rPr>
              <w:t>处满足无人机场部署空间载体资源，具</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备完善的防雷、稳定的市电接入并提供带经纬度</w:t>
            </w:r>
            <w:r>
              <w:rPr>
                <w:rFonts w:ascii="仿宋" w:hAnsi="仿宋" w:eastAsia="仿宋" w:cs="仿宋"/>
                <w:color w:val="auto"/>
                <w:spacing w:val="4"/>
                <w:sz w:val="20"/>
                <w:szCs w:val="20"/>
                <w:highlight w:val="none"/>
              </w:rPr>
              <w:t xml:space="preserve"> </w:t>
            </w:r>
            <w:r>
              <w:rPr>
                <w:rFonts w:ascii="仿宋" w:hAnsi="仿宋" w:eastAsia="仿宋" w:cs="仿宋"/>
                <w:color w:val="auto"/>
                <w:spacing w:val="6"/>
                <w:sz w:val="20"/>
                <w:szCs w:val="20"/>
                <w:highlight w:val="none"/>
              </w:rPr>
              <w:t>的现场照片佐证；</w:t>
            </w:r>
          </w:p>
          <w:p w14:paraId="5A55FCEC">
            <w:pPr>
              <w:keepNext w:val="0"/>
              <w:keepLines/>
              <w:pageBreakBefore w:val="0"/>
              <w:widowControl w:val="0"/>
              <w:kinsoku/>
              <w:wordWrap w:val="0"/>
              <w:overflowPunct/>
              <w:topLinePunct w:val="0"/>
              <w:autoSpaceDE/>
              <w:autoSpaceDN/>
              <w:bidi w:val="0"/>
              <w:adjustRightInd/>
              <w:snapToGrid/>
              <w:spacing w:before="160" w:line="341" w:lineRule="auto"/>
              <w:ind w:left="117" w:right="103" w:hanging="2"/>
              <w:textAlignment w:val="auto"/>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3.具有外置天线挂载应不低于</w:t>
            </w:r>
            <w:r>
              <w:rPr>
                <w:rFonts w:ascii="仿宋" w:hAnsi="仿宋" w:eastAsia="仿宋" w:cs="仿宋"/>
                <w:color w:val="auto"/>
                <w:spacing w:val="47"/>
                <w:sz w:val="20"/>
                <w:szCs w:val="20"/>
                <w:highlight w:val="none"/>
              </w:rPr>
              <w:t xml:space="preserve"> </w:t>
            </w:r>
            <w:r>
              <w:rPr>
                <w:rFonts w:ascii="仿宋" w:hAnsi="仿宋" w:eastAsia="仿宋" w:cs="仿宋"/>
                <w:color w:val="auto"/>
                <w:spacing w:val="14"/>
                <w:sz w:val="20"/>
                <w:szCs w:val="20"/>
                <w:highlight w:val="none"/>
              </w:rPr>
              <w:t>30 米挂高资源</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及场地服务，便于无人机与机场之间进行信号传</w:t>
            </w:r>
            <w:r>
              <w:rPr>
                <w:rFonts w:ascii="仿宋" w:hAnsi="仿宋" w:eastAsia="仿宋" w:cs="仿宋"/>
                <w:color w:val="auto"/>
                <w:spacing w:val="6"/>
                <w:sz w:val="20"/>
                <w:szCs w:val="20"/>
                <w:highlight w:val="none"/>
              </w:rPr>
              <w:t xml:space="preserve"> </w:t>
            </w:r>
            <w:r>
              <w:rPr>
                <w:rFonts w:ascii="仿宋" w:hAnsi="仿宋" w:eastAsia="仿宋" w:cs="仿宋"/>
                <w:color w:val="auto"/>
                <w:spacing w:val="12"/>
                <w:sz w:val="20"/>
                <w:szCs w:val="20"/>
                <w:highlight w:val="none"/>
              </w:rPr>
              <w:t>输；具体挂高，在实施阶段根据 现场实际</w:t>
            </w:r>
            <w:r>
              <w:rPr>
                <w:rFonts w:ascii="仿宋" w:hAnsi="仿宋" w:eastAsia="仿宋" w:cs="仿宋"/>
                <w:color w:val="auto"/>
                <w:spacing w:val="11"/>
                <w:sz w:val="20"/>
                <w:szCs w:val="20"/>
                <w:highlight w:val="none"/>
              </w:rPr>
              <w:t>情况</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经业主方同意后可做适当调整。</w:t>
            </w:r>
          </w:p>
        </w:tc>
      </w:tr>
      <w:tr w14:paraId="2BF1E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1348" w:type="dxa"/>
            <w:noWrap w:val="0"/>
            <w:vAlign w:val="top"/>
          </w:tcPr>
          <w:p w14:paraId="42FB1CDC">
            <w:pPr>
              <w:keepNext w:val="0"/>
              <w:keepLines/>
              <w:pageBreakBefore w:val="0"/>
              <w:widowControl w:val="0"/>
              <w:kinsoku/>
              <w:wordWrap w:val="0"/>
              <w:overflowPunct/>
              <w:topLinePunct w:val="0"/>
              <w:autoSpaceDE/>
              <w:autoSpaceDN/>
              <w:bidi w:val="0"/>
              <w:adjustRightInd/>
              <w:snapToGrid/>
              <w:spacing w:line="246" w:lineRule="auto"/>
              <w:textAlignment w:val="auto"/>
              <w:rPr>
                <w:rFonts w:ascii="Arial"/>
                <w:color w:val="auto"/>
                <w:sz w:val="21"/>
                <w:highlight w:val="none"/>
              </w:rPr>
            </w:pPr>
          </w:p>
          <w:p w14:paraId="1E23FAF4">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511B5920">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668CFAF6">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0FA86D1F">
            <w:pPr>
              <w:keepNext w:val="0"/>
              <w:keepLines/>
              <w:pageBreakBefore w:val="0"/>
              <w:widowControl w:val="0"/>
              <w:kinsoku/>
              <w:wordWrap w:val="0"/>
              <w:overflowPunct/>
              <w:topLinePunct w:val="0"/>
              <w:autoSpaceDE/>
              <w:autoSpaceDN/>
              <w:bidi w:val="0"/>
              <w:adjustRightInd/>
              <w:snapToGrid/>
              <w:spacing w:before="65" w:line="270" w:lineRule="exact"/>
              <w:ind w:left="116"/>
              <w:textAlignment w:val="auto"/>
              <w:rPr>
                <w:rFonts w:ascii="仿宋" w:hAnsi="仿宋" w:eastAsia="仿宋" w:cs="仿宋"/>
                <w:color w:val="auto"/>
                <w:sz w:val="20"/>
                <w:szCs w:val="20"/>
                <w:highlight w:val="none"/>
              </w:rPr>
            </w:pPr>
            <w:r>
              <w:rPr>
                <w:rFonts w:ascii="仿宋" w:hAnsi="仿宋" w:eastAsia="仿宋" w:cs="仿宋"/>
                <w:color w:val="auto"/>
                <w:position w:val="1"/>
                <w:sz w:val="20"/>
                <w:szCs w:val="20"/>
                <w:highlight w:val="none"/>
              </w:rPr>
              <w:t>9</w:t>
            </w:r>
          </w:p>
        </w:tc>
        <w:tc>
          <w:tcPr>
            <w:tcW w:w="2106" w:type="dxa"/>
            <w:noWrap w:val="0"/>
            <w:vAlign w:val="top"/>
          </w:tcPr>
          <w:p w14:paraId="097F27EA">
            <w:pPr>
              <w:keepNext w:val="0"/>
              <w:keepLines/>
              <w:pageBreakBefore w:val="0"/>
              <w:widowControl w:val="0"/>
              <w:kinsoku/>
              <w:wordWrap w:val="0"/>
              <w:overflowPunct/>
              <w:topLinePunct w:val="0"/>
              <w:autoSpaceDE/>
              <w:autoSpaceDN/>
              <w:bidi w:val="0"/>
              <w:adjustRightInd/>
              <w:snapToGrid/>
              <w:spacing w:line="246" w:lineRule="auto"/>
              <w:textAlignment w:val="auto"/>
              <w:rPr>
                <w:rFonts w:ascii="Arial"/>
                <w:color w:val="auto"/>
                <w:sz w:val="21"/>
                <w:highlight w:val="none"/>
              </w:rPr>
            </w:pPr>
          </w:p>
          <w:p w14:paraId="54E54833">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48E30639">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2E1D3CD8">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1F188C02">
            <w:pPr>
              <w:keepNext w:val="0"/>
              <w:keepLines/>
              <w:pageBreakBefore w:val="0"/>
              <w:widowControl w:val="0"/>
              <w:kinsoku/>
              <w:wordWrap w:val="0"/>
              <w:overflowPunct/>
              <w:topLinePunct w:val="0"/>
              <w:autoSpaceDE/>
              <w:autoSpaceDN/>
              <w:bidi w:val="0"/>
              <w:adjustRightInd/>
              <w:snapToGrid/>
              <w:spacing w:before="65" w:line="230" w:lineRule="auto"/>
              <w:ind w:left="121"/>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维护服务</w:t>
            </w:r>
          </w:p>
        </w:tc>
        <w:tc>
          <w:tcPr>
            <w:tcW w:w="6044" w:type="dxa"/>
            <w:noWrap w:val="0"/>
            <w:vAlign w:val="top"/>
          </w:tcPr>
          <w:p w14:paraId="516FA287">
            <w:pPr>
              <w:keepNext w:val="0"/>
              <w:keepLines/>
              <w:pageBreakBefore w:val="0"/>
              <w:widowControl w:val="0"/>
              <w:kinsoku/>
              <w:wordWrap w:val="0"/>
              <w:overflowPunct/>
              <w:topLinePunct w:val="0"/>
              <w:autoSpaceDE/>
              <w:autoSpaceDN/>
              <w:bidi w:val="0"/>
              <w:adjustRightInd/>
              <w:snapToGrid/>
              <w:spacing w:before="35"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7242F307">
            <w:pPr>
              <w:keepNext w:val="0"/>
              <w:keepLines/>
              <w:pageBreakBefore w:val="0"/>
              <w:widowControl w:val="0"/>
              <w:kinsoku/>
              <w:wordWrap w:val="0"/>
              <w:overflowPunct/>
              <w:topLinePunct w:val="0"/>
              <w:autoSpaceDE/>
              <w:autoSpaceDN/>
              <w:bidi w:val="0"/>
              <w:adjustRightInd/>
              <w:snapToGrid/>
              <w:spacing w:before="158" w:line="328" w:lineRule="auto"/>
              <w:ind w:left="117" w:right="103" w:firstLine="8"/>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1.五年内不间断供电服务及备发电服务：全年的</w:t>
            </w:r>
            <w:r>
              <w:rPr>
                <w:rFonts w:ascii="仿宋" w:hAnsi="仿宋" w:eastAsia="仿宋" w:cs="仿宋"/>
                <w:color w:val="auto"/>
                <w:spacing w:val="12"/>
                <w:sz w:val="20"/>
                <w:szCs w:val="20"/>
                <w:highlight w:val="none"/>
              </w:rPr>
              <w:t xml:space="preserve"> </w:t>
            </w:r>
            <w:r>
              <w:rPr>
                <w:rFonts w:ascii="仿宋" w:hAnsi="仿宋" w:eastAsia="仿宋" w:cs="仿宋"/>
                <w:color w:val="auto"/>
                <w:spacing w:val="7"/>
                <w:sz w:val="20"/>
                <w:szCs w:val="20"/>
                <w:highlight w:val="none"/>
              </w:rPr>
              <w:t>应急备电服务，在发生电力故障时保障项目正常</w:t>
            </w:r>
            <w:r>
              <w:rPr>
                <w:rFonts w:ascii="仿宋" w:hAnsi="仿宋" w:eastAsia="仿宋" w:cs="仿宋"/>
                <w:color w:val="auto"/>
                <w:spacing w:val="3"/>
                <w:sz w:val="20"/>
                <w:szCs w:val="20"/>
                <w:highlight w:val="none"/>
              </w:rPr>
              <w:t xml:space="preserve"> </w:t>
            </w:r>
            <w:r>
              <w:rPr>
                <w:rFonts w:ascii="仿宋" w:hAnsi="仿宋" w:eastAsia="仿宋" w:cs="仿宋"/>
                <w:color w:val="auto"/>
                <w:spacing w:val="7"/>
                <w:sz w:val="20"/>
                <w:szCs w:val="20"/>
                <w:highlight w:val="none"/>
              </w:rPr>
              <w:t>运行的备发电服务；</w:t>
            </w:r>
          </w:p>
          <w:p w14:paraId="1AA2DA1E">
            <w:pPr>
              <w:keepNext w:val="0"/>
              <w:keepLines/>
              <w:pageBreakBefore w:val="0"/>
              <w:widowControl w:val="0"/>
              <w:kinsoku/>
              <w:wordWrap w:val="0"/>
              <w:overflowPunct/>
              <w:topLinePunct w:val="0"/>
              <w:autoSpaceDE/>
              <w:autoSpaceDN/>
              <w:bidi w:val="0"/>
              <w:adjustRightInd/>
              <w:snapToGrid/>
              <w:spacing w:before="158" w:line="303" w:lineRule="auto"/>
              <w:ind w:left="128" w:right="103" w:hanging="15"/>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2.五年内巡检维护服务：每季度现场巡检维护保</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障服务，每季度针对项目的定期人工现场巡检维</w:t>
            </w:r>
          </w:p>
        </w:tc>
      </w:tr>
    </w:tbl>
    <w:p w14:paraId="6889F6B2">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70E7844A">
      <w:pPr>
        <w:keepNext w:val="0"/>
        <w:keepLines/>
        <w:pageBreakBefore w:val="0"/>
        <w:widowControl w:val="0"/>
        <w:kinsoku/>
        <w:wordWrap w:val="0"/>
        <w:overflowPunct/>
        <w:topLinePunct w:val="0"/>
        <w:autoSpaceDE/>
        <w:autoSpaceDN/>
        <w:bidi w:val="0"/>
        <w:adjustRightInd/>
        <w:snapToGrid/>
        <w:textAlignment w:val="auto"/>
        <w:rPr>
          <w:rFonts w:ascii="Arial" w:hAnsi="Arial" w:eastAsia="Arial" w:cs="Arial"/>
          <w:color w:val="auto"/>
          <w:sz w:val="21"/>
          <w:szCs w:val="21"/>
          <w:highlight w:val="none"/>
        </w:rPr>
        <w:sectPr>
          <w:pgSz w:w="11906" w:h="16840"/>
          <w:pgMar w:top="1430" w:right="1649" w:bottom="400" w:left="1502" w:header="0" w:footer="0" w:gutter="0"/>
          <w:pgNumType w:fmt="decimal"/>
          <w:cols w:space="720" w:num="1"/>
        </w:sectPr>
      </w:pPr>
    </w:p>
    <w:tbl>
      <w:tblPr>
        <w:tblStyle w:val="18"/>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2084"/>
        <w:gridCol w:w="5981"/>
      </w:tblGrid>
      <w:tr w14:paraId="2DF4F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64" w:hRule="atLeast"/>
        </w:trPr>
        <w:tc>
          <w:tcPr>
            <w:tcW w:w="1334" w:type="dxa"/>
            <w:noWrap w:val="0"/>
            <w:vAlign w:val="top"/>
          </w:tcPr>
          <w:p w14:paraId="79FE9E4B">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2084" w:type="dxa"/>
            <w:noWrap w:val="0"/>
            <w:vAlign w:val="top"/>
          </w:tcPr>
          <w:p w14:paraId="1F13D54D">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5981" w:type="dxa"/>
            <w:noWrap w:val="0"/>
            <w:vAlign w:val="top"/>
          </w:tcPr>
          <w:p w14:paraId="274C19C1">
            <w:pPr>
              <w:keepNext w:val="0"/>
              <w:keepLines/>
              <w:pageBreakBefore w:val="0"/>
              <w:widowControl w:val="0"/>
              <w:kinsoku/>
              <w:wordWrap w:val="0"/>
              <w:overflowPunct/>
              <w:topLinePunct w:val="0"/>
              <w:autoSpaceDE/>
              <w:autoSpaceDN/>
              <w:bidi w:val="0"/>
              <w:adjustRightInd/>
              <w:snapToGrid/>
              <w:spacing w:before="37" w:line="229" w:lineRule="auto"/>
              <w:ind w:left="116"/>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护，保证项目的服务质量；</w:t>
            </w:r>
          </w:p>
          <w:p w14:paraId="57865B26">
            <w:pPr>
              <w:keepNext w:val="0"/>
              <w:keepLines/>
              <w:pageBreakBefore w:val="0"/>
              <w:widowControl w:val="0"/>
              <w:kinsoku/>
              <w:wordWrap w:val="0"/>
              <w:overflowPunct/>
              <w:topLinePunct w:val="0"/>
              <w:autoSpaceDE/>
              <w:autoSpaceDN/>
              <w:bidi w:val="0"/>
              <w:adjustRightInd/>
              <w:snapToGrid/>
              <w:spacing w:before="158" w:line="328" w:lineRule="auto"/>
              <w:ind w:left="118" w:right="47" w:hanging="3"/>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3.五年内演练、应急现场支撑保障服务，在进行</w:t>
            </w:r>
            <w:r>
              <w:rPr>
                <w:rFonts w:ascii="仿宋" w:hAnsi="仿宋" w:eastAsia="仿宋" w:cs="仿宋"/>
                <w:color w:val="auto"/>
                <w:spacing w:val="1"/>
                <w:sz w:val="20"/>
                <w:szCs w:val="20"/>
                <w:highlight w:val="none"/>
              </w:rPr>
              <w:t xml:space="preserve"> </w:t>
            </w:r>
            <w:r>
              <w:rPr>
                <w:rFonts w:ascii="仿宋" w:hAnsi="仿宋" w:eastAsia="仿宋" w:cs="仿宋"/>
                <w:color w:val="auto"/>
                <w:spacing w:val="5"/>
                <w:sz w:val="20"/>
                <w:szCs w:val="20"/>
                <w:highlight w:val="none"/>
              </w:rPr>
              <w:t>项目相关重要任务执行、演练 及有救援需</w:t>
            </w:r>
            <w:r>
              <w:rPr>
                <w:rFonts w:ascii="仿宋" w:hAnsi="仿宋" w:eastAsia="仿宋" w:cs="仿宋"/>
                <w:color w:val="auto"/>
                <w:spacing w:val="4"/>
                <w:sz w:val="20"/>
                <w:szCs w:val="20"/>
                <w:highlight w:val="none"/>
              </w:rPr>
              <w:t>求时，</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派专人值守保障运行。</w:t>
            </w:r>
          </w:p>
          <w:p w14:paraId="74C52E78">
            <w:pPr>
              <w:keepNext w:val="0"/>
              <w:keepLines/>
              <w:pageBreakBefore w:val="0"/>
              <w:widowControl w:val="0"/>
              <w:kinsoku/>
              <w:wordWrap w:val="0"/>
              <w:overflowPunct/>
              <w:topLinePunct w:val="0"/>
              <w:autoSpaceDE/>
              <w:autoSpaceDN/>
              <w:bidi w:val="0"/>
              <w:adjustRightInd/>
              <w:snapToGrid/>
              <w:spacing w:before="161" w:line="231" w:lineRule="auto"/>
              <w:ind w:left="110"/>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4.五年内</w:t>
            </w:r>
            <w:r>
              <w:rPr>
                <w:rFonts w:ascii="仿宋" w:hAnsi="仿宋" w:eastAsia="仿宋" w:cs="仿宋"/>
                <w:color w:val="auto"/>
                <w:spacing w:val="-18"/>
                <w:sz w:val="20"/>
                <w:szCs w:val="20"/>
                <w:highlight w:val="none"/>
              </w:rPr>
              <w:t xml:space="preserve"> </w:t>
            </w:r>
            <w:r>
              <w:rPr>
                <w:rFonts w:ascii="仿宋" w:hAnsi="仿宋" w:eastAsia="仿宋" w:cs="仿宋"/>
                <w:color w:val="auto"/>
                <w:spacing w:val="6"/>
                <w:sz w:val="20"/>
                <w:szCs w:val="20"/>
                <w:highlight w:val="none"/>
              </w:rPr>
              <w:t>7*24 小时监控中心客户服务。</w:t>
            </w:r>
          </w:p>
        </w:tc>
      </w:tr>
      <w:tr w14:paraId="3AB3E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0" w:hRule="atLeast"/>
        </w:trPr>
        <w:tc>
          <w:tcPr>
            <w:tcW w:w="1334" w:type="dxa"/>
            <w:noWrap w:val="0"/>
            <w:vAlign w:val="top"/>
          </w:tcPr>
          <w:p w14:paraId="4A4D7229">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6EA5DA03">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3C455AD1">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290154C4">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4639974D">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2CBD7A8A">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16A097CD">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461F68F1">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3FE96C7F">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5C524DBB">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4CDB142B">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5EE57311">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70217B1F">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2B56BCE6">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4A8816E3">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1488EE91">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3226F9EF">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2AB408F9">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1228C250">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50A2E09D">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6ECD0EFB">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76D1F67C">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75CF0C99">
            <w:pPr>
              <w:keepNext w:val="0"/>
              <w:keepLines/>
              <w:pageBreakBefore w:val="0"/>
              <w:widowControl w:val="0"/>
              <w:kinsoku/>
              <w:wordWrap w:val="0"/>
              <w:overflowPunct/>
              <w:topLinePunct w:val="0"/>
              <w:autoSpaceDE/>
              <w:autoSpaceDN/>
              <w:bidi w:val="0"/>
              <w:adjustRightInd/>
              <w:snapToGrid/>
              <w:spacing w:before="65" w:line="271" w:lineRule="exact"/>
              <w:ind w:left="130"/>
              <w:textAlignment w:val="auto"/>
              <w:rPr>
                <w:rFonts w:ascii="仿宋" w:hAnsi="仿宋" w:eastAsia="仿宋" w:cs="仿宋"/>
                <w:color w:val="auto"/>
                <w:sz w:val="20"/>
                <w:szCs w:val="20"/>
                <w:highlight w:val="none"/>
              </w:rPr>
            </w:pPr>
            <w:r>
              <w:rPr>
                <w:rFonts w:ascii="仿宋" w:hAnsi="仿宋" w:eastAsia="仿宋" w:cs="仿宋"/>
                <w:color w:val="auto"/>
                <w:spacing w:val="-7"/>
                <w:position w:val="1"/>
                <w:sz w:val="20"/>
                <w:szCs w:val="20"/>
                <w:highlight w:val="none"/>
              </w:rPr>
              <w:t>10</w:t>
            </w:r>
          </w:p>
        </w:tc>
        <w:tc>
          <w:tcPr>
            <w:tcW w:w="2084" w:type="dxa"/>
            <w:noWrap w:val="0"/>
            <w:vAlign w:val="top"/>
          </w:tcPr>
          <w:p w14:paraId="7811B737">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28DEBF71">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7E2EF3A1">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508730AC">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25DE5458">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5AFB9980">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4DC49EE6">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6653B215">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5FCD63E0">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3F5F5EAF">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71A605BB">
            <w:pPr>
              <w:keepNext w:val="0"/>
              <w:keepLines/>
              <w:pageBreakBefore w:val="0"/>
              <w:widowControl w:val="0"/>
              <w:kinsoku/>
              <w:wordWrap w:val="0"/>
              <w:overflowPunct/>
              <w:topLinePunct w:val="0"/>
              <w:autoSpaceDE/>
              <w:autoSpaceDN/>
              <w:bidi w:val="0"/>
              <w:adjustRightInd/>
              <w:snapToGrid/>
              <w:spacing w:line="247" w:lineRule="auto"/>
              <w:textAlignment w:val="auto"/>
              <w:rPr>
                <w:rFonts w:ascii="Arial"/>
                <w:color w:val="auto"/>
                <w:sz w:val="21"/>
                <w:highlight w:val="none"/>
              </w:rPr>
            </w:pPr>
          </w:p>
          <w:p w14:paraId="0404F883">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0D06FA45">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3DE80653">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68E9AB93">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0F8C467B">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7F8343C6">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20584C13">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5D225E00">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4EA2058E">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5EA542BE">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11266A50">
            <w:pPr>
              <w:keepNext w:val="0"/>
              <w:keepLines/>
              <w:pageBreakBefore w:val="0"/>
              <w:widowControl w:val="0"/>
              <w:kinsoku/>
              <w:wordWrap w:val="0"/>
              <w:overflowPunct/>
              <w:topLinePunct w:val="0"/>
              <w:autoSpaceDE/>
              <w:autoSpaceDN/>
              <w:bidi w:val="0"/>
              <w:adjustRightInd/>
              <w:snapToGrid/>
              <w:spacing w:line="248" w:lineRule="auto"/>
              <w:textAlignment w:val="auto"/>
              <w:rPr>
                <w:rFonts w:ascii="Arial"/>
                <w:color w:val="auto"/>
                <w:sz w:val="21"/>
                <w:highlight w:val="none"/>
              </w:rPr>
            </w:pPr>
          </w:p>
          <w:p w14:paraId="358FE8EC">
            <w:pPr>
              <w:keepNext w:val="0"/>
              <w:keepLines/>
              <w:pageBreakBefore w:val="0"/>
              <w:widowControl w:val="0"/>
              <w:kinsoku/>
              <w:wordWrap w:val="0"/>
              <w:overflowPunct/>
              <w:topLinePunct w:val="0"/>
              <w:autoSpaceDE/>
              <w:autoSpaceDN/>
              <w:bidi w:val="0"/>
              <w:adjustRightInd/>
              <w:snapToGrid/>
              <w:spacing w:before="65" w:line="231" w:lineRule="auto"/>
              <w:ind w:left="120"/>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配套遥控服务</w:t>
            </w:r>
          </w:p>
        </w:tc>
        <w:tc>
          <w:tcPr>
            <w:tcW w:w="5981" w:type="dxa"/>
            <w:noWrap w:val="0"/>
            <w:vAlign w:val="top"/>
          </w:tcPr>
          <w:p w14:paraId="2318C745">
            <w:pPr>
              <w:keepNext w:val="0"/>
              <w:keepLines/>
              <w:pageBreakBefore w:val="0"/>
              <w:widowControl w:val="0"/>
              <w:kinsoku/>
              <w:wordWrap w:val="0"/>
              <w:overflowPunct/>
              <w:topLinePunct w:val="0"/>
              <w:autoSpaceDE/>
              <w:autoSpaceDN/>
              <w:bidi w:val="0"/>
              <w:adjustRightInd/>
              <w:snapToGrid/>
              <w:spacing w:before="31"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55D96618">
            <w:pPr>
              <w:keepNext w:val="0"/>
              <w:keepLines/>
              <w:pageBreakBefore w:val="0"/>
              <w:widowControl w:val="0"/>
              <w:kinsoku/>
              <w:wordWrap w:val="0"/>
              <w:overflowPunct/>
              <w:topLinePunct w:val="0"/>
              <w:autoSpaceDE/>
              <w:autoSpaceDN/>
              <w:bidi w:val="0"/>
              <w:adjustRightInd/>
              <w:snapToGrid/>
              <w:spacing w:before="158" w:line="230"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1. 最大信号有效距离：</w:t>
            </w:r>
            <w:r>
              <w:rPr>
                <w:rFonts w:ascii="仿宋" w:hAnsi="仿宋" w:eastAsia="仿宋" w:cs="仿宋"/>
                <w:color w:val="auto"/>
                <w:spacing w:val="9"/>
                <w:sz w:val="20"/>
                <w:szCs w:val="20"/>
                <w:highlight w:val="none"/>
              </w:rPr>
              <w:t xml:space="preserve"> </w:t>
            </w:r>
            <w:r>
              <w:rPr>
                <w:rFonts w:ascii="仿宋" w:hAnsi="仿宋" w:eastAsia="仿宋" w:cs="仿宋"/>
                <w:color w:val="auto"/>
                <w:spacing w:val="2"/>
                <w:sz w:val="20"/>
                <w:szCs w:val="20"/>
                <w:highlight w:val="none"/>
              </w:rPr>
              <w:t>≥15</w:t>
            </w:r>
            <w:r>
              <w:rPr>
                <w:rFonts w:ascii="仿宋" w:hAnsi="仿宋" w:eastAsia="仿宋" w:cs="仿宋"/>
                <w:color w:val="auto"/>
                <w:spacing w:val="22"/>
                <w:sz w:val="20"/>
                <w:szCs w:val="20"/>
                <w:highlight w:val="none"/>
              </w:rPr>
              <w:t xml:space="preserve"> </w:t>
            </w:r>
            <w:r>
              <w:rPr>
                <w:rFonts w:ascii="仿宋" w:hAnsi="仿宋" w:eastAsia="仿宋" w:cs="仿宋"/>
                <w:color w:val="auto"/>
                <w:spacing w:val="2"/>
                <w:sz w:val="20"/>
                <w:szCs w:val="20"/>
                <w:highlight w:val="none"/>
              </w:rPr>
              <w:t>公里（</w:t>
            </w:r>
            <w:r>
              <w:rPr>
                <w:rFonts w:ascii="仿宋" w:hAnsi="仿宋" w:eastAsia="仿宋" w:cs="仿宋"/>
                <w:color w:val="auto"/>
                <w:sz w:val="20"/>
                <w:szCs w:val="20"/>
                <w:highlight w:val="none"/>
              </w:rPr>
              <w:t>FCC</w:t>
            </w:r>
            <w:r>
              <w:rPr>
                <w:rFonts w:ascii="仿宋" w:hAnsi="仿宋" w:eastAsia="仿宋" w:cs="仿宋"/>
                <w:color w:val="auto"/>
                <w:spacing w:val="-5"/>
                <w:sz w:val="20"/>
                <w:szCs w:val="20"/>
                <w:highlight w:val="none"/>
              </w:rPr>
              <w:t>），</w:t>
            </w:r>
            <w:r>
              <w:rPr>
                <w:rFonts w:ascii="仿宋" w:hAnsi="仿宋" w:eastAsia="仿宋" w:cs="仿宋"/>
                <w:color w:val="auto"/>
                <w:spacing w:val="5"/>
                <w:sz w:val="20"/>
                <w:szCs w:val="20"/>
                <w:highlight w:val="none"/>
              </w:rPr>
              <w:t xml:space="preserve"> </w:t>
            </w:r>
            <w:r>
              <w:rPr>
                <w:rFonts w:ascii="仿宋" w:hAnsi="仿宋" w:eastAsia="仿宋" w:cs="仿宋"/>
                <w:color w:val="auto"/>
                <w:spacing w:val="2"/>
                <w:sz w:val="20"/>
                <w:szCs w:val="20"/>
                <w:highlight w:val="none"/>
              </w:rPr>
              <w:t>≥</w:t>
            </w:r>
          </w:p>
          <w:p w14:paraId="513C7A5C">
            <w:pPr>
              <w:keepNext w:val="0"/>
              <w:keepLines/>
              <w:pageBreakBefore w:val="0"/>
              <w:widowControl w:val="0"/>
              <w:kinsoku/>
              <w:wordWrap w:val="0"/>
              <w:overflowPunct/>
              <w:topLinePunct w:val="0"/>
              <w:autoSpaceDE/>
              <w:autoSpaceDN/>
              <w:bidi w:val="0"/>
              <w:adjustRightInd/>
              <w:snapToGrid/>
              <w:spacing w:before="158" w:line="231" w:lineRule="auto"/>
              <w:ind w:left="111"/>
              <w:textAlignment w:val="auto"/>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8</w:t>
            </w:r>
            <w:r>
              <w:rPr>
                <w:rFonts w:ascii="仿宋" w:hAnsi="仿宋" w:eastAsia="仿宋" w:cs="仿宋"/>
                <w:color w:val="auto"/>
                <w:spacing w:val="26"/>
                <w:sz w:val="20"/>
                <w:szCs w:val="20"/>
                <w:highlight w:val="none"/>
              </w:rPr>
              <w:t xml:space="preserve"> </w:t>
            </w:r>
            <w:r>
              <w:rPr>
                <w:rFonts w:ascii="仿宋" w:hAnsi="仿宋" w:eastAsia="仿宋" w:cs="仿宋"/>
                <w:color w:val="auto"/>
                <w:spacing w:val="10"/>
                <w:sz w:val="20"/>
                <w:szCs w:val="20"/>
                <w:highlight w:val="none"/>
              </w:rPr>
              <w:t>公里（</w:t>
            </w:r>
            <w:r>
              <w:rPr>
                <w:rFonts w:ascii="仿宋" w:hAnsi="仿宋" w:eastAsia="仿宋" w:cs="仿宋"/>
                <w:color w:val="auto"/>
                <w:sz w:val="20"/>
                <w:szCs w:val="20"/>
                <w:highlight w:val="none"/>
              </w:rPr>
              <w:t>CE</w:t>
            </w:r>
            <w:r>
              <w:rPr>
                <w:rFonts w:ascii="仿宋" w:hAnsi="仿宋" w:eastAsia="仿宋" w:cs="仿宋"/>
                <w:color w:val="auto"/>
                <w:spacing w:val="10"/>
                <w:sz w:val="20"/>
                <w:szCs w:val="20"/>
                <w:highlight w:val="none"/>
              </w:rPr>
              <w:t>/</w:t>
            </w:r>
            <w:r>
              <w:rPr>
                <w:rFonts w:ascii="仿宋" w:hAnsi="仿宋" w:eastAsia="仿宋" w:cs="仿宋"/>
                <w:color w:val="auto"/>
                <w:sz w:val="20"/>
                <w:szCs w:val="20"/>
                <w:highlight w:val="none"/>
              </w:rPr>
              <w:t>SRRC</w:t>
            </w:r>
            <w:r>
              <w:rPr>
                <w:rFonts w:ascii="仿宋" w:hAnsi="仿宋" w:eastAsia="仿宋" w:cs="仿宋"/>
                <w:color w:val="auto"/>
                <w:spacing w:val="10"/>
                <w:sz w:val="20"/>
                <w:szCs w:val="20"/>
                <w:highlight w:val="none"/>
              </w:rPr>
              <w:t>/</w:t>
            </w:r>
            <w:r>
              <w:rPr>
                <w:rFonts w:ascii="仿宋" w:hAnsi="仿宋" w:eastAsia="仿宋" w:cs="仿宋"/>
                <w:color w:val="auto"/>
                <w:sz w:val="20"/>
                <w:szCs w:val="20"/>
                <w:highlight w:val="none"/>
              </w:rPr>
              <w:t>MIC）；</w:t>
            </w:r>
          </w:p>
          <w:p w14:paraId="2D430DAB">
            <w:pPr>
              <w:keepNext w:val="0"/>
              <w:keepLines/>
              <w:pageBreakBefore w:val="0"/>
              <w:widowControl w:val="0"/>
              <w:kinsoku/>
              <w:wordWrap w:val="0"/>
              <w:overflowPunct/>
              <w:topLinePunct w:val="0"/>
              <w:autoSpaceDE/>
              <w:autoSpaceDN/>
              <w:bidi w:val="0"/>
              <w:adjustRightInd/>
              <w:snapToGrid/>
              <w:spacing w:before="157" w:line="305" w:lineRule="auto"/>
              <w:ind w:left="114" w:right="153" w:hanging="1"/>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2.</w:t>
            </w:r>
            <w:r>
              <w:rPr>
                <w:rFonts w:ascii="仿宋" w:hAnsi="仿宋" w:eastAsia="仿宋" w:cs="仿宋"/>
                <w:color w:val="auto"/>
                <w:spacing w:val="-26"/>
                <w:sz w:val="20"/>
                <w:szCs w:val="20"/>
                <w:highlight w:val="none"/>
              </w:rPr>
              <w:t xml:space="preserve"> </w:t>
            </w:r>
            <w:r>
              <w:rPr>
                <w:rFonts w:ascii="仿宋" w:hAnsi="仿宋" w:eastAsia="仿宋" w:cs="仿宋"/>
                <w:color w:val="auto"/>
                <w:spacing w:val="6"/>
                <w:sz w:val="20"/>
                <w:szCs w:val="20"/>
                <w:highlight w:val="none"/>
              </w:rPr>
              <w:t>图传工作频段</w:t>
            </w:r>
            <w:r>
              <w:rPr>
                <w:rFonts w:ascii="仿宋" w:hAnsi="仿宋" w:eastAsia="仿宋" w:cs="仿宋"/>
                <w:color w:val="auto"/>
                <w:spacing w:val="-47"/>
                <w:sz w:val="20"/>
                <w:szCs w:val="20"/>
                <w:highlight w:val="none"/>
              </w:rPr>
              <w:t xml:space="preserve"> </w:t>
            </w:r>
            <w:r>
              <w:rPr>
                <w:rFonts w:ascii="仿宋" w:hAnsi="仿宋" w:eastAsia="仿宋" w:cs="仿宋"/>
                <w:color w:val="auto"/>
                <w:spacing w:val="6"/>
                <w:sz w:val="20"/>
                <w:szCs w:val="20"/>
                <w:highlight w:val="none"/>
              </w:rPr>
              <w:t>：</w:t>
            </w:r>
            <w:r>
              <w:rPr>
                <w:rFonts w:ascii="仿宋" w:hAnsi="仿宋" w:eastAsia="仿宋" w:cs="仿宋"/>
                <w:color w:val="auto"/>
                <w:spacing w:val="-60"/>
                <w:sz w:val="20"/>
                <w:szCs w:val="20"/>
                <w:highlight w:val="none"/>
              </w:rPr>
              <w:t xml:space="preserve"> </w:t>
            </w:r>
            <w:r>
              <w:rPr>
                <w:rFonts w:ascii="仿宋" w:hAnsi="仿宋" w:eastAsia="仿宋" w:cs="仿宋"/>
                <w:color w:val="auto"/>
                <w:spacing w:val="6"/>
                <w:sz w:val="20"/>
                <w:szCs w:val="20"/>
                <w:highlight w:val="none"/>
              </w:rPr>
              <w:t>2.400</w:t>
            </w:r>
            <w:r>
              <w:rPr>
                <w:rFonts w:ascii="仿宋" w:hAnsi="仿宋" w:eastAsia="仿宋" w:cs="仿宋"/>
                <w:color w:val="auto"/>
                <w:sz w:val="20"/>
                <w:szCs w:val="20"/>
                <w:highlight w:val="none"/>
              </w:rPr>
              <w:t>GHz</w:t>
            </w:r>
            <w:r>
              <w:rPr>
                <w:rFonts w:ascii="仿宋" w:hAnsi="仿宋" w:eastAsia="仿宋" w:cs="仿宋"/>
                <w:color w:val="auto"/>
                <w:spacing w:val="47"/>
                <w:sz w:val="20"/>
                <w:szCs w:val="20"/>
                <w:highlight w:val="none"/>
              </w:rPr>
              <w:t xml:space="preserve"> </w:t>
            </w:r>
            <w:r>
              <w:rPr>
                <w:rFonts w:ascii="仿宋" w:hAnsi="仿宋" w:eastAsia="仿宋" w:cs="仿宋"/>
                <w:color w:val="auto"/>
                <w:spacing w:val="6"/>
                <w:sz w:val="20"/>
                <w:szCs w:val="20"/>
                <w:highlight w:val="none"/>
              </w:rPr>
              <w:t>至</w:t>
            </w:r>
            <w:r>
              <w:rPr>
                <w:rFonts w:ascii="仿宋" w:hAnsi="仿宋" w:eastAsia="仿宋" w:cs="仿宋"/>
                <w:color w:val="auto"/>
                <w:spacing w:val="61"/>
                <w:sz w:val="20"/>
                <w:szCs w:val="20"/>
                <w:highlight w:val="none"/>
              </w:rPr>
              <w:t xml:space="preserve"> </w:t>
            </w:r>
            <w:r>
              <w:rPr>
                <w:rFonts w:ascii="仿宋" w:hAnsi="仿宋" w:eastAsia="仿宋" w:cs="仿宋"/>
                <w:color w:val="auto"/>
                <w:spacing w:val="6"/>
                <w:sz w:val="20"/>
                <w:szCs w:val="20"/>
                <w:highlight w:val="none"/>
              </w:rPr>
              <w:t>2.4835</w:t>
            </w:r>
            <w:r>
              <w:rPr>
                <w:rFonts w:ascii="仿宋" w:hAnsi="仿宋" w:eastAsia="仿宋" w:cs="仿宋"/>
                <w:color w:val="auto"/>
                <w:sz w:val="20"/>
                <w:szCs w:val="20"/>
                <w:highlight w:val="none"/>
              </w:rPr>
              <w:t>GHz</w:t>
            </w:r>
            <w:r>
              <w:rPr>
                <w:rFonts w:ascii="仿宋" w:hAnsi="仿宋" w:eastAsia="仿宋" w:cs="仿宋"/>
                <w:color w:val="auto"/>
                <w:spacing w:val="6"/>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5.725</w:t>
            </w:r>
            <w:r>
              <w:rPr>
                <w:rFonts w:ascii="仿宋" w:hAnsi="仿宋" w:eastAsia="仿宋" w:cs="仿宋"/>
                <w:color w:val="auto"/>
                <w:sz w:val="20"/>
                <w:szCs w:val="20"/>
                <w:highlight w:val="none"/>
              </w:rPr>
              <w:t>GHz</w:t>
            </w:r>
            <w:r>
              <w:rPr>
                <w:rFonts w:ascii="仿宋" w:hAnsi="仿宋" w:eastAsia="仿宋" w:cs="仿宋"/>
                <w:color w:val="auto"/>
                <w:spacing w:val="24"/>
                <w:sz w:val="20"/>
                <w:szCs w:val="20"/>
                <w:highlight w:val="none"/>
              </w:rPr>
              <w:t xml:space="preserve"> </w:t>
            </w:r>
            <w:r>
              <w:rPr>
                <w:rFonts w:ascii="仿宋" w:hAnsi="仿宋" w:eastAsia="仿宋" w:cs="仿宋"/>
                <w:color w:val="auto"/>
                <w:spacing w:val="4"/>
                <w:sz w:val="20"/>
                <w:szCs w:val="20"/>
                <w:highlight w:val="none"/>
              </w:rPr>
              <w:t>至</w:t>
            </w:r>
            <w:r>
              <w:rPr>
                <w:rFonts w:ascii="仿宋" w:hAnsi="仿宋" w:eastAsia="仿宋" w:cs="仿宋"/>
                <w:color w:val="auto"/>
                <w:spacing w:val="-36"/>
                <w:sz w:val="20"/>
                <w:szCs w:val="20"/>
                <w:highlight w:val="none"/>
              </w:rPr>
              <w:t xml:space="preserve"> </w:t>
            </w:r>
            <w:r>
              <w:rPr>
                <w:rFonts w:ascii="仿宋" w:hAnsi="仿宋" w:eastAsia="仿宋" w:cs="仿宋"/>
                <w:color w:val="auto"/>
                <w:spacing w:val="4"/>
                <w:sz w:val="20"/>
                <w:szCs w:val="20"/>
                <w:highlight w:val="none"/>
              </w:rPr>
              <w:t>5.850</w:t>
            </w:r>
            <w:r>
              <w:rPr>
                <w:rFonts w:ascii="仿宋" w:hAnsi="仿宋" w:eastAsia="仿宋" w:cs="仿宋"/>
                <w:color w:val="auto"/>
                <w:sz w:val="20"/>
                <w:szCs w:val="20"/>
                <w:highlight w:val="none"/>
              </w:rPr>
              <w:t>GHz</w:t>
            </w:r>
            <w:r>
              <w:rPr>
                <w:rFonts w:ascii="仿宋" w:hAnsi="仿宋" w:eastAsia="仿宋" w:cs="仿宋"/>
                <w:color w:val="auto"/>
                <w:spacing w:val="4"/>
                <w:sz w:val="20"/>
                <w:szCs w:val="20"/>
                <w:highlight w:val="none"/>
              </w:rPr>
              <w:t>；</w:t>
            </w:r>
          </w:p>
          <w:p w14:paraId="3C2CDEAE">
            <w:pPr>
              <w:keepNext w:val="0"/>
              <w:keepLines/>
              <w:pageBreakBefore w:val="0"/>
              <w:widowControl w:val="0"/>
              <w:kinsoku/>
              <w:wordWrap w:val="0"/>
              <w:overflowPunct/>
              <w:topLinePunct w:val="0"/>
              <w:autoSpaceDE/>
              <w:autoSpaceDN/>
              <w:bidi w:val="0"/>
              <w:adjustRightInd/>
              <w:snapToGrid/>
              <w:spacing w:before="157"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3.天线：4 天线，2</w:t>
            </w:r>
            <w:r>
              <w:rPr>
                <w:rFonts w:ascii="仿宋" w:hAnsi="仿宋" w:eastAsia="仿宋" w:cs="仿宋"/>
                <w:color w:val="auto"/>
                <w:spacing w:val="39"/>
                <w:sz w:val="20"/>
                <w:szCs w:val="20"/>
                <w:highlight w:val="none"/>
              </w:rPr>
              <w:t xml:space="preserve"> </w:t>
            </w:r>
            <w:r>
              <w:rPr>
                <w:rFonts w:ascii="仿宋" w:hAnsi="仿宋" w:eastAsia="仿宋" w:cs="仿宋"/>
                <w:color w:val="auto"/>
                <w:spacing w:val="2"/>
                <w:sz w:val="20"/>
                <w:szCs w:val="20"/>
                <w:highlight w:val="none"/>
              </w:rPr>
              <w:t>发</w:t>
            </w:r>
            <w:r>
              <w:rPr>
                <w:rFonts w:ascii="仿宋" w:hAnsi="仿宋" w:eastAsia="仿宋" w:cs="仿宋"/>
                <w:color w:val="auto"/>
                <w:spacing w:val="12"/>
                <w:sz w:val="20"/>
                <w:szCs w:val="20"/>
                <w:highlight w:val="none"/>
              </w:rPr>
              <w:t xml:space="preserve"> </w:t>
            </w:r>
            <w:r>
              <w:rPr>
                <w:rFonts w:ascii="仿宋" w:hAnsi="仿宋" w:eastAsia="仿宋" w:cs="仿宋"/>
                <w:color w:val="auto"/>
                <w:spacing w:val="2"/>
                <w:sz w:val="20"/>
                <w:szCs w:val="20"/>
                <w:highlight w:val="none"/>
              </w:rPr>
              <w:t>4</w:t>
            </w:r>
            <w:r>
              <w:rPr>
                <w:rFonts w:ascii="仿宋" w:hAnsi="仿宋" w:eastAsia="仿宋" w:cs="仿宋"/>
                <w:color w:val="auto"/>
                <w:spacing w:val="32"/>
                <w:sz w:val="20"/>
                <w:szCs w:val="20"/>
                <w:highlight w:val="none"/>
              </w:rPr>
              <w:t xml:space="preserve"> </w:t>
            </w:r>
            <w:r>
              <w:rPr>
                <w:rFonts w:ascii="仿宋" w:hAnsi="仿宋" w:eastAsia="仿宋" w:cs="仿宋"/>
                <w:color w:val="auto"/>
                <w:spacing w:val="2"/>
                <w:sz w:val="20"/>
                <w:szCs w:val="20"/>
                <w:highlight w:val="none"/>
              </w:rPr>
              <w:t>收；</w:t>
            </w:r>
          </w:p>
          <w:p w14:paraId="67F57426">
            <w:pPr>
              <w:keepNext w:val="0"/>
              <w:keepLines/>
              <w:pageBreakBefore w:val="0"/>
              <w:widowControl w:val="0"/>
              <w:kinsoku/>
              <w:wordWrap w:val="0"/>
              <w:overflowPunct/>
              <w:topLinePunct w:val="0"/>
              <w:autoSpaceDE/>
              <w:autoSpaceDN/>
              <w:bidi w:val="0"/>
              <w:adjustRightInd/>
              <w:snapToGrid/>
              <w:spacing w:before="157" w:line="329" w:lineRule="auto"/>
              <w:ind w:left="115" w:right="50" w:hanging="5"/>
              <w:textAlignment w:val="auto"/>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4.图传工作频段和发射功率（</w:t>
            </w:r>
            <w:r>
              <w:rPr>
                <w:rFonts w:ascii="仿宋" w:hAnsi="仿宋" w:eastAsia="仿宋" w:cs="仿宋"/>
                <w:color w:val="auto"/>
                <w:sz w:val="20"/>
                <w:szCs w:val="20"/>
                <w:highlight w:val="none"/>
              </w:rPr>
              <w:t>EIRP</w:t>
            </w:r>
            <w:r>
              <w:rPr>
                <w:rFonts w:ascii="仿宋" w:hAnsi="仿宋" w:eastAsia="仿宋" w:cs="仿宋"/>
                <w:color w:val="auto"/>
                <w:spacing w:val="15"/>
                <w:sz w:val="20"/>
                <w:szCs w:val="20"/>
                <w:highlight w:val="none"/>
              </w:rPr>
              <w:t>）：</w:t>
            </w:r>
            <w:r>
              <w:rPr>
                <w:rFonts w:ascii="仿宋" w:hAnsi="仿宋" w:eastAsia="仿宋" w:cs="仿宋"/>
                <w:color w:val="auto"/>
                <w:spacing w:val="9"/>
                <w:sz w:val="20"/>
                <w:szCs w:val="20"/>
                <w:highlight w:val="none"/>
              </w:rPr>
              <w:t>2.4</w:t>
            </w:r>
            <w:r>
              <w:rPr>
                <w:rFonts w:ascii="仿宋" w:hAnsi="仿宋" w:eastAsia="仿宋" w:cs="仿宋"/>
                <w:color w:val="auto"/>
                <w:sz w:val="20"/>
                <w:szCs w:val="20"/>
                <w:highlight w:val="none"/>
              </w:rPr>
              <w:t>GHz</w:t>
            </w:r>
            <w:r>
              <w:rPr>
                <w:rFonts w:ascii="仿宋" w:hAnsi="仿宋" w:eastAsia="仿宋" w:cs="仿宋"/>
                <w:color w:val="auto"/>
                <w:spacing w:val="9"/>
                <w:sz w:val="20"/>
                <w:szCs w:val="20"/>
                <w:highlight w:val="none"/>
              </w:rPr>
              <w:t>：</w:t>
            </w:r>
            <w:r>
              <w:rPr>
                <w:rFonts w:ascii="仿宋" w:hAnsi="仿宋" w:eastAsia="仿宋" w:cs="仿宋"/>
                <w:color w:val="auto"/>
                <w:spacing w:val="1"/>
                <w:sz w:val="20"/>
                <w:szCs w:val="20"/>
                <w:highlight w:val="none"/>
              </w:rPr>
              <w:t xml:space="preserve"> </w:t>
            </w:r>
            <w:r>
              <w:rPr>
                <w:rFonts w:ascii="仿宋" w:hAnsi="仿宋" w:eastAsia="仿宋" w:cs="仿宋"/>
                <w:color w:val="auto"/>
                <w:spacing w:val="-5"/>
                <w:sz w:val="20"/>
                <w:szCs w:val="20"/>
                <w:highlight w:val="none"/>
              </w:rPr>
              <w:t>&lt;33dBm（FCC）、&lt;20dBm（CE/SRRC/MIC）、5.8GHz：</w:t>
            </w:r>
            <w:r>
              <w:rPr>
                <w:rFonts w:ascii="仿宋" w:hAnsi="仿宋" w:eastAsia="仿宋" w:cs="仿宋"/>
                <w:color w:val="auto"/>
                <w:spacing w:val="2"/>
                <w:sz w:val="20"/>
                <w:szCs w:val="20"/>
                <w:highlight w:val="none"/>
              </w:rPr>
              <w:t xml:space="preserve"> </w:t>
            </w:r>
            <w:r>
              <w:rPr>
                <w:rFonts w:ascii="仿宋" w:hAnsi="仿宋" w:eastAsia="仿宋" w:cs="仿宋"/>
                <w:color w:val="auto"/>
                <w:spacing w:val="-4"/>
                <w:sz w:val="20"/>
                <w:szCs w:val="20"/>
                <w:highlight w:val="none"/>
              </w:rPr>
              <w:t>&lt;33dBm（FCC）、&lt;14dBm</w:t>
            </w:r>
            <w:r>
              <w:rPr>
                <w:rFonts w:ascii="仿宋" w:hAnsi="仿宋" w:eastAsia="仿宋" w:cs="仿宋"/>
                <w:color w:val="auto"/>
                <w:spacing w:val="-52"/>
                <w:sz w:val="20"/>
                <w:szCs w:val="20"/>
                <w:highlight w:val="none"/>
              </w:rPr>
              <w:t xml:space="preserve"> </w:t>
            </w:r>
            <w:r>
              <w:rPr>
                <w:rFonts w:ascii="仿宋" w:hAnsi="仿宋" w:eastAsia="仿宋" w:cs="仿宋"/>
                <w:color w:val="auto"/>
                <w:spacing w:val="-4"/>
                <w:sz w:val="20"/>
                <w:szCs w:val="20"/>
                <w:highlight w:val="none"/>
              </w:rPr>
              <w:t>（CE）</w:t>
            </w:r>
            <w:r>
              <w:rPr>
                <w:rFonts w:ascii="仿宋" w:hAnsi="仿宋" w:eastAsia="仿宋" w:cs="仿宋"/>
                <w:color w:val="auto"/>
                <w:spacing w:val="-5"/>
                <w:sz w:val="20"/>
                <w:szCs w:val="20"/>
                <w:highlight w:val="none"/>
              </w:rPr>
              <w:t>、&lt;23dBm</w:t>
            </w:r>
            <w:r>
              <w:rPr>
                <w:rFonts w:ascii="仿宋" w:hAnsi="仿宋" w:eastAsia="仿宋" w:cs="仿宋"/>
                <w:color w:val="auto"/>
                <w:spacing w:val="47"/>
                <w:sz w:val="20"/>
                <w:szCs w:val="20"/>
                <w:highlight w:val="none"/>
              </w:rPr>
              <w:t xml:space="preserve"> </w:t>
            </w:r>
            <w:r>
              <w:rPr>
                <w:rFonts w:ascii="仿宋" w:hAnsi="仿宋" w:eastAsia="仿宋" w:cs="仿宋"/>
                <w:color w:val="auto"/>
                <w:spacing w:val="-5"/>
                <w:sz w:val="20"/>
                <w:szCs w:val="20"/>
                <w:highlight w:val="none"/>
              </w:rPr>
              <w:t>（SRRC</w:t>
            </w:r>
            <w:r>
              <w:rPr>
                <w:rFonts w:ascii="仿宋" w:hAnsi="仿宋" w:eastAsia="仿宋" w:cs="仿宋"/>
                <w:color w:val="auto"/>
                <w:spacing w:val="-50"/>
                <w:w w:val="90"/>
                <w:sz w:val="20"/>
                <w:szCs w:val="20"/>
                <w:highlight w:val="none"/>
              </w:rPr>
              <w:t>）；</w:t>
            </w:r>
          </w:p>
          <w:p w14:paraId="225F4BE1">
            <w:pPr>
              <w:keepNext w:val="0"/>
              <w:keepLines/>
              <w:pageBreakBefore w:val="0"/>
              <w:widowControl w:val="0"/>
              <w:kinsoku/>
              <w:wordWrap w:val="0"/>
              <w:overflowPunct/>
              <w:topLinePunct w:val="0"/>
              <w:autoSpaceDE/>
              <w:autoSpaceDN/>
              <w:bidi w:val="0"/>
              <w:adjustRightInd/>
              <w:snapToGrid/>
              <w:spacing w:before="157" w:line="304" w:lineRule="auto"/>
              <w:ind w:left="142" w:right="104" w:hanging="27"/>
              <w:textAlignment w:val="auto"/>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5.</w:t>
            </w:r>
            <w:r>
              <w:rPr>
                <w:rFonts w:ascii="仿宋" w:hAnsi="仿宋" w:eastAsia="仿宋" w:cs="仿宋"/>
                <w:color w:val="auto"/>
                <w:sz w:val="20"/>
                <w:szCs w:val="20"/>
                <w:highlight w:val="none"/>
              </w:rPr>
              <w:t>Wi</w:t>
            </w:r>
            <w:r>
              <w:rPr>
                <w:rFonts w:ascii="仿宋" w:hAnsi="仿宋" w:eastAsia="仿宋" w:cs="仿宋"/>
                <w:color w:val="auto"/>
                <w:spacing w:val="8"/>
                <w:sz w:val="20"/>
                <w:szCs w:val="20"/>
                <w:highlight w:val="none"/>
              </w:rPr>
              <w:t>-</w:t>
            </w:r>
            <w:r>
              <w:rPr>
                <w:rFonts w:ascii="仿宋" w:hAnsi="仿宋" w:eastAsia="仿宋" w:cs="仿宋"/>
                <w:color w:val="auto"/>
                <w:sz w:val="20"/>
                <w:szCs w:val="20"/>
                <w:highlight w:val="none"/>
              </w:rPr>
              <w:t>Fi</w:t>
            </w:r>
            <w:r>
              <w:rPr>
                <w:rFonts w:ascii="仿宋" w:hAnsi="仿宋" w:eastAsia="仿宋" w:cs="仿宋"/>
                <w:color w:val="auto"/>
                <w:spacing w:val="8"/>
                <w:sz w:val="20"/>
                <w:szCs w:val="20"/>
                <w:highlight w:val="none"/>
              </w:rPr>
              <w:t xml:space="preserve"> 协议：802.11a/b/g/n/</w:t>
            </w:r>
            <w:r>
              <w:rPr>
                <w:rFonts w:ascii="仿宋" w:hAnsi="仿宋" w:eastAsia="仿宋" w:cs="仿宋"/>
                <w:color w:val="auto"/>
                <w:sz w:val="20"/>
                <w:szCs w:val="20"/>
                <w:highlight w:val="none"/>
              </w:rPr>
              <w:t>ac</w:t>
            </w:r>
            <w:r>
              <w:rPr>
                <w:rFonts w:ascii="仿宋" w:hAnsi="仿宋" w:eastAsia="仿宋" w:cs="仿宋"/>
                <w:color w:val="auto"/>
                <w:spacing w:val="8"/>
                <w:sz w:val="20"/>
                <w:szCs w:val="20"/>
                <w:highlight w:val="none"/>
              </w:rPr>
              <w:t>/</w:t>
            </w:r>
            <w:r>
              <w:rPr>
                <w:rFonts w:ascii="仿宋" w:hAnsi="仿宋" w:eastAsia="仿宋" w:cs="仿宋"/>
                <w:color w:val="auto"/>
                <w:sz w:val="20"/>
                <w:szCs w:val="20"/>
                <w:highlight w:val="none"/>
              </w:rPr>
              <w:t>ax</w:t>
            </w:r>
            <w:r>
              <w:rPr>
                <w:rFonts w:ascii="仿宋" w:hAnsi="仿宋" w:eastAsia="仿宋" w:cs="仿宋"/>
                <w:color w:val="auto"/>
                <w:spacing w:val="8"/>
                <w:sz w:val="20"/>
                <w:szCs w:val="20"/>
                <w:highlight w:val="none"/>
              </w:rPr>
              <w:t>、支持</w:t>
            </w:r>
            <w:r>
              <w:rPr>
                <w:rFonts w:ascii="仿宋" w:hAnsi="仿宋" w:eastAsia="仿宋" w:cs="仿宋"/>
                <w:color w:val="auto"/>
                <w:spacing w:val="46"/>
                <w:sz w:val="20"/>
                <w:szCs w:val="20"/>
                <w:highlight w:val="none"/>
              </w:rPr>
              <w:t xml:space="preserve"> </w:t>
            </w:r>
            <w:r>
              <w:rPr>
                <w:rFonts w:ascii="仿宋" w:hAnsi="仿宋" w:eastAsia="仿宋" w:cs="仿宋"/>
                <w:color w:val="auto"/>
                <w:spacing w:val="8"/>
                <w:sz w:val="20"/>
                <w:szCs w:val="20"/>
                <w:highlight w:val="none"/>
              </w:rPr>
              <w:t>2</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w:t>
            </w:r>
            <w:r>
              <w:rPr>
                <w:rFonts w:ascii="仿宋" w:hAnsi="仿宋" w:eastAsia="仿宋" w:cs="仿宋"/>
                <w:color w:val="auto"/>
                <w:spacing w:val="18"/>
                <w:sz w:val="20"/>
                <w:szCs w:val="20"/>
                <w:highlight w:val="none"/>
              </w:rPr>
              <w:t xml:space="preserve"> </w:t>
            </w:r>
            <w:r>
              <w:rPr>
                <w:rFonts w:ascii="仿宋" w:hAnsi="仿宋" w:eastAsia="仿宋" w:cs="仿宋"/>
                <w:color w:val="auto"/>
                <w:spacing w:val="2"/>
                <w:sz w:val="20"/>
                <w:szCs w:val="20"/>
                <w:highlight w:val="none"/>
              </w:rPr>
              <w:t>2</w:t>
            </w:r>
            <w:r>
              <w:rPr>
                <w:rFonts w:ascii="仿宋" w:hAnsi="仿宋" w:eastAsia="仿宋" w:cs="仿宋"/>
                <w:color w:val="auto"/>
                <w:sz w:val="20"/>
                <w:szCs w:val="20"/>
                <w:highlight w:val="none"/>
              </w:rPr>
              <w:t>MIMOWi</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Fi</w:t>
            </w:r>
            <w:r>
              <w:rPr>
                <w:rFonts w:ascii="仿宋" w:hAnsi="仿宋" w:eastAsia="仿宋" w:cs="仿宋"/>
                <w:color w:val="auto"/>
                <w:spacing w:val="2"/>
                <w:sz w:val="20"/>
                <w:szCs w:val="20"/>
                <w:highlight w:val="none"/>
              </w:rPr>
              <w:t>；</w:t>
            </w:r>
          </w:p>
          <w:p w14:paraId="27A32F48">
            <w:pPr>
              <w:keepNext w:val="0"/>
              <w:keepLines/>
              <w:pageBreakBefore w:val="0"/>
              <w:widowControl w:val="0"/>
              <w:kinsoku/>
              <w:wordWrap w:val="0"/>
              <w:overflowPunct/>
              <w:topLinePunct w:val="0"/>
              <w:autoSpaceDE/>
              <w:autoSpaceDN/>
              <w:bidi w:val="0"/>
              <w:adjustRightInd/>
              <w:snapToGrid/>
              <w:spacing w:before="158" w:line="328" w:lineRule="auto"/>
              <w:ind w:left="114" w:right="105" w:hanging="2"/>
              <w:textAlignment w:val="auto"/>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6.</w:t>
            </w:r>
            <w:r>
              <w:rPr>
                <w:rFonts w:ascii="仿宋" w:hAnsi="仿宋" w:eastAsia="仿宋" w:cs="仿宋"/>
                <w:color w:val="auto"/>
                <w:sz w:val="20"/>
                <w:szCs w:val="20"/>
                <w:highlight w:val="none"/>
              </w:rPr>
              <w:t>Wi</w:t>
            </w:r>
            <w:r>
              <w:rPr>
                <w:rFonts w:ascii="仿宋" w:hAnsi="仿宋" w:eastAsia="仿宋" w:cs="仿宋"/>
                <w:color w:val="auto"/>
                <w:spacing w:val="9"/>
                <w:sz w:val="20"/>
                <w:szCs w:val="20"/>
                <w:highlight w:val="none"/>
              </w:rPr>
              <w:t>-</w:t>
            </w:r>
            <w:r>
              <w:rPr>
                <w:rFonts w:ascii="仿宋" w:hAnsi="仿宋" w:eastAsia="仿宋" w:cs="仿宋"/>
                <w:color w:val="auto"/>
                <w:sz w:val="20"/>
                <w:szCs w:val="20"/>
                <w:highlight w:val="none"/>
              </w:rPr>
              <w:t>Fi</w:t>
            </w:r>
            <w:r>
              <w:rPr>
                <w:rFonts w:ascii="仿宋" w:hAnsi="仿宋" w:eastAsia="仿宋" w:cs="仿宋"/>
                <w:color w:val="auto"/>
                <w:spacing w:val="9"/>
                <w:sz w:val="20"/>
                <w:szCs w:val="20"/>
                <w:highlight w:val="none"/>
              </w:rPr>
              <w:t xml:space="preserve"> 工作频段：2.400</w:t>
            </w:r>
            <w:r>
              <w:rPr>
                <w:rFonts w:ascii="仿宋" w:hAnsi="仿宋" w:eastAsia="仿宋" w:cs="仿宋"/>
                <w:color w:val="auto"/>
                <w:sz w:val="20"/>
                <w:szCs w:val="20"/>
                <w:highlight w:val="none"/>
              </w:rPr>
              <w:t>GHz</w:t>
            </w:r>
            <w:r>
              <w:rPr>
                <w:rFonts w:ascii="仿宋" w:hAnsi="仿宋" w:eastAsia="仿宋" w:cs="仿宋"/>
                <w:color w:val="auto"/>
                <w:spacing w:val="32"/>
                <w:sz w:val="20"/>
                <w:szCs w:val="20"/>
                <w:highlight w:val="none"/>
              </w:rPr>
              <w:t xml:space="preserve"> </w:t>
            </w:r>
            <w:r>
              <w:rPr>
                <w:rFonts w:ascii="仿宋" w:hAnsi="仿宋" w:eastAsia="仿宋" w:cs="仿宋"/>
                <w:color w:val="auto"/>
                <w:spacing w:val="9"/>
                <w:sz w:val="20"/>
                <w:szCs w:val="20"/>
                <w:highlight w:val="none"/>
              </w:rPr>
              <w:t>至</w:t>
            </w:r>
            <w:r>
              <w:rPr>
                <w:rFonts w:ascii="仿宋" w:hAnsi="仿宋" w:eastAsia="仿宋" w:cs="仿宋"/>
                <w:color w:val="auto"/>
                <w:spacing w:val="27"/>
                <w:sz w:val="20"/>
                <w:szCs w:val="20"/>
                <w:highlight w:val="none"/>
              </w:rPr>
              <w:t xml:space="preserve"> </w:t>
            </w:r>
            <w:r>
              <w:rPr>
                <w:rFonts w:ascii="仿宋" w:hAnsi="仿宋" w:eastAsia="仿宋" w:cs="仿宋"/>
                <w:color w:val="auto"/>
                <w:spacing w:val="9"/>
                <w:sz w:val="20"/>
                <w:szCs w:val="20"/>
                <w:highlight w:val="none"/>
              </w:rPr>
              <w:t>2.483</w:t>
            </w:r>
            <w:r>
              <w:rPr>
                <w:rFonts w:ascii="仿宋" w:hAnsi="仿宋" w:eastAsia="仿宋" w:cs="仿宋"/>
                <w:color w:val="auto"/>
                <w:spacing w:val="8"/>
                <w:sz w:val="20"/>
                <w:szCs w:val="20"/>
                <w:highlight w:val="none"/>
              </w:rPr>
              <w:t>5</w:t>
            </w:r>
            <w:r>
              <w:rPr>
                <w:rFonts w:ascii="仿宋" w:hAnsi="仿宋" w:eastAsia="仿宋" w:cs="仿宋"/>
                <w:color w:val="auto"/>
                <w:sz w:val="20"/>
                <w:szCs w:val="20"/>
                <w:highlight w:val="none"/>
              </w:rPr>
              <w:t>GHz</w:t>
            </w:r>
            <w:r>
              <w:rPr>
                <w:rFonts w:ascii="仿宋" w:hAnsi="仿宋" w:eastAsia="仿宋" w:cs="仿宋"/>
                <w:color w:val="auto"/>
                <w:spacing w:val="8"/>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5.150</w:t>
            </w:r>
            <w:r>
              <w:rPr>
                <w:rFonts w:ascii="仿宋" w:hAnsi="仿宋" w:eastAsia="仿宋" w:cs="仿宋"/>
                <w:color w:val="auto"/>
                <w:sz w:val="20"/>
                <w:szCs w:val="20"/>
                <w:highlight w:val="none"/>
              </w:rPr>
              <w:t>GHz</w:t>
            </w:r>
            <w:r>
              <w:rPr>
                <w:rFonts w:ascii="仿宋" w:hAnsi="仿宋" w:eastAsia="仿宋" w:cs="仿宋"/>
                <w:color w:val="auto"/>
                <w:spacing w:val="34"/>
                <w:sz w:val="20"/>
                <w:szCs w:val="20"/>
                <w:highlight w:val="none"/>
              </w:rPr>
              <w:t xml:space="preserve">  </w:t>
            </w:r>
            <w:r>
              <w:rPr>
                <w:rFonts w:ascii="仿宋" w:hAnsi="仿宋" w:eastAsia="仿宋" w:cs="仿宋"/>
                <w:color w:val="auto"/>
                <w:spacing w:val="2"/>
                <w:sz w:val="20"/>
                <w:szCs w:val="20"/>
                <w:highlight w:val="none"/>
              </w:rPr>
              <w:t>至  5.250</w:t>
            </w:r>
            <w:r>
              <w:rPr>
                <w:rFonts w:ascii="仿宋" w:hAnsi="仿宋" w:eastAsia="仿宋" w:cs="仿宋"/>
                <w:color w:val="auto"/>
                <w:sz w:val="20"/>
                <w:szCs w:val="20"/>
                <w:highlight w:val="none"/>
              </w:rPr>
              <w:t>GHz</w:t>
            </w:r>
            <w:r>
              <w:rPr>
                <w:rFonts w:ascii="仿宋" w:hAnsi="仿宋" w:eastAsia="仿宋" w:cs="仿宋"/>
                <w:color w:val="auto"/>
                <w:spacing w:val="70"/>
                <w:sz w:val="20"/>
                <w:szCs w:val="20"/>
                <w:highlight w:val="none"/>
              </w:rPr>
              <w:t xml:space="preserve"> </w:t>
            </w:r>
            <w:r>
              <w:rPr>
                <w:rFonts w:ascii="仿宋" w:hAnsi="仿宋" w:eastAsia="仿宋" w:cs="仿宋"/>
                <w:color w:val="auto"/>
                <w:spacing w:val="2"/>
                <w:sz w:val="20"/>
                <w:szCs w:val="20"/>
                <w:highlight w:val="none"/>
              </w:rPr>
              <w:t>、    5.725</w:t>
            </w:r>
            <w:r>
              <w:rPr>
                <w:rFonts w:ascii="仿宋" w:hAnsi="仿宋" w:eastAsia="仿宋" w:cs="仿宋"/>
                <w:color w:val="auto"/>
                <w:sz w:val="20"/>
                <w:szCs w:val="20"/>
                <w:highlight w:val="none"/>
              </w:rPr>
              <w:t>GHz</w:t>
            </w:r>
            <w:r>
              <w:rPr>
                <w:rFonts w:ascii="仿宋" w:hAnsi="仿宋" w:eastAsia="仿宋" w:cs="仿宋"/>
                <w:color w:val="auto"/>
                <w:spacing w:val="33"/>
                <w:sz w:val="20"/>
                <w:szCs w:val="20"/>
                <w:highlight w:val="none"/>
              </w:rPr>
              <w:t xml:space="preserve">  </w:t>
            </w:r>
            <w:r>
              <w:rPr>
                <w:rFonts w:ascii="仿宋" w:hAnsi="仿宋" w:eastAsia="仿宋" w:cs="仿宋"/>
                <w:color w:val="auto"/>
                <w:spacing w:val="2"/>
                <w:sz w:val="20"/>
                <w:szCs w:val="20"/>
                <w:highlight w:val="none"/>
              </w:rPr>
              <w:t>至</w:t>
            </w:r>
            <w:r>
              <w:rPr>
                <w:rFonts w:ascii="仿宋" w:hAnsi="仿宋" w:eastAsia="仿宋" w:cs="仿宋"/>
                <w:color w:val="auto"/>
                <w:spacing w:val="1"/>
                <w:sz w:val="20"/>
                <w:szCs w:val="20"/>
                <w:highlight w:val="none"/>
              </w:rPr>
              <w:t xml:space="preserve"> </w:t>
            </w:r>
            <w:r>
              <w:rPr>
                <w:rFonts w:ascii="仿宋" w:hAnsi="仿宋" w:eastAsia="仿宋" w:cs="仿宋"/>
                <w:color w:val="auto"/>
                <w:spacing w:val="4"/>
                <w:sz w:val="20"/>
                <w:szCs w:val="20"/>
                <w:highlight w:val="none"/>
              </w:rPr>
              <w:t>5.850</w:t>
            </w:r>
            <w:r>
              <w:rPr>
                <w:rFonts w:ascii="仿宋" w:hAnsi="仿宋" w:eastAsia="仿宋" w:cs="仿宋"/>
                <w:color w:val="auto"/>
                <w:sz w:val="20"/>
                <w:szCs w:val="20"/>
                <w:highlight w:val="none"/>
              </w:rPr>
              <w:t>GHz</w:t>
            </w:r>
            <w:r>
              <w:rPr>
                <w:rFonts w:ascii="仿宋" w:hAnsi="仿宋" w:eastAsia="仿宋" w:cs="仿宋"/>
                <w:color w:val="auto"/>
                <w:spacing w:val="4"/>
                <w:sz w:val="20"/>
                <w:szCs w:val="20"/>
                <w:highlight w:val="none"/>
              </w:rPr>
              <w:t>；</w:t>
            </w:r>
          </w:p>
          <w:p w14:paraId="22ED691D">
            <w:pPr>
              <w:keepNext w:val="0"/>
              <w:keepLines/>
              <w:pageBreakBefore w:val="0"/>
              <w:widowControl w:val="0"/>
              <w:kinsoku/>
              <w:wordWrap w:val="0"/>
              <w:overflowPunct/>
              <w:topLinePunct w:val="0"/>
              <w:autoSpaceDE/>
              <w:autoSpaceDN/>
              <w:bidi w:val="0"/>
              <w:adjustRightInd/>
              <w:snapToGrid/>
              <w:spacing w:before="161" w:line="340" w:lineRule="auto"/>
              <w:ind w:left="115" w:right="51"/>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7.</w:t>
            </w:r>
            <w:r>
              <w:rPr>
                <w:rFonts w:ascii="仿宋" w:hAnsi="仿宋" w:eastAsia="仿宋" w:cs="仿宋"/>
                <w:color w:val="auto"/>
                <w:sz w:val="20"/>
                <w:szCs w:val="20"/>
                <w:highlight w:val="none"/>
              </w:rPr>
              <w:t>Wi</w:t>
            </w:r>
            <w:r>
              <w:rPr>
                <w:rFonts w:ascii="仿宋" w:hAnsi="仿宋" w:eastAsia="仿宋" w:cs="仿宋"/>
                <w:color w:val="auto"/>
                <w:spacing w:val="4"/>
                <w:sz w:val="20"/>
                <w:szCs w:val="20"/>
                <w:highlight w:val="none"/>
              </w:rPr>
              <w:t>-</w:t>
            </w:r>
            <w:r>
              <w:rPr>
                <w:rFonts w:ascii="仿宋" w:hAnsi="仿宋" w:eastAsia="仿宋" w:cs="仿宋"/>
                <w:color w:val="auto"/>
                <w:sz w:val="20"/>
                <w:szCs w:val="20"/>
                <w:highlight w:val="none"/>
              </w:rPr>
              <w:t>Fi</w:t>
            </w:r>
            <w:r>
              <w:rPr>
                <w:rFonts w:ascii="仿宋" w:hAnsi="仿宋" w:eastAsia="仿宋" w:cs="仿宋"/>
                <w:color w:val="auto"/>
                <w:spacing w:val="4"/>
                <w:sz w:val="20"/>
                <w:szCs w:val="20"/>
                <w:highlight w:val="none"/>
              </w:rPr>
              <w:t xml:space="preserve"> 工作频段和发射功率（</w:t>
            </w:r>
            <w:r>
              <w:rPr>
                <w:rFonts w:ascii="仿宋" w:hAnsi="仿宋" w:eastAsia="仿宋" w:cs="仿宋"/>
                <w:color w:val="auto"/>
                <w:sz w:val="20"/>
                <w:szCs w:val="20"/>
                <w:highlight w:val="none"/>
              </w:rPr>
              <w:t>EIRP</w:t>
            </w:r>
            <w:r>
              <w:rPr>
                <w:rFonts w:ascii="仿宋" w:hAnsi="仿宋" w:eastAsia="仿宋" w:cs="仿宋"/>
                <w:color w:val="auto"/>
                <w:spacing w:val="-33"/>
                <w:sz w:val="20"/>
                <w:szCs w:val="20"/>
                <w:highlight w:val="none"/>
              </w:rPr>
              <w:t>）：</w:t>
            </w:r>
            <w:r>
              <w:rPr>
                <w:rFonts w:ascii="仿宋" w:hAnsi="仿宋" w:eastAsia="仿宋" w:cs="仿宋"/>
                <w:color w:val="auto"/>
                <w:spacing w:val="4"/>
                <w:sz w:val="20"/>
                <w:szCs w:val="20"/>
                <w:highlight w:val="none"/>
              </w:rPr>
              <w:t>2.4</w:t>
            </w:r>
            <w:r>
              <w:rPr>
                <w:rFonts w:ascii="仿宋" w:hAnsi="仿宋" w:eastAsia="仿宋" w:cs="仿宋"/>
                <w:color w:val="auto"/>
                <w:sz w:val="20"/>
                <w:szCs w:val="20"/>
                <w:highlight w:val="none"/>
              </w:rPr>
              <w:t>GHz</w:t>
            </w:r>
            <w:r>
              <w:rPr>
                <w:rFonts w:ascii="仿宋" w:hAnsi="仿宋" w:eastAsia="仿宋" w:cs="仿宋"/>
                <w:color w:val="auto"/>
                <w:spacing w:val="4"/>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5"/>
                <w:sz w:val="20"/>
                <w:szCs w:val="20"/>
                <w:highlight w:val="none"/>
              </w:rPr>
              <w:t>&lt;26dBm（FCC）、&lt;20dBm（CE/SRRC/MIC）、5.1GHz：</w:t>
            </w:r>
            <w:r>
              <w:rPr>
                <w:rFonts w:ascii="仿宋" w:hAnsi="仿宋" w:eastAsia="仿宋" w:cs="仿宋"/>
                <w:color w:val="auto"/>
                <w:spacing w:val="1"/>
                <w:sz w:val="20"/>
                <w:szCs w:val="20"/>
                <w:highlight w:val="none"/>
              </w:rPr>
              <w:t xml:space="preserve"> </w:t>
            </w:r>
            <w:r>
              <w:rPr>
                <w:rFonts w:ascii="仿宋" w:hAnsi="仿宋" w:eastAsia="仿宋" w:cs="仿宋"/>
                <w:color w:val="auto"/>
                <w:spacing w:val="-6"/>
                <w:sz w:val="20"/>
                <w:szCs w:val="20"/>
                <w:highlight w:val="none"/>
              </w:rPr>
              <w:t>&lt;26dBm（FCC）、&lt;23dBm（CE/SRRC/MIC）、</w:t>
            </w:r>
            <w:r>
              <w:rPr>
                <w:rFonts w:ascii="仿宋" w:hAnsi="仿宋" w:eastAsia="仿宋" w:cs="仿宋"/>
                <w:color w:val="auto"/>
                <w:spacing w:val="-54"/>
                <w:sz w:val="20"/>
                <w:szCs w:val="20"/>
                <w:highlight w:val="none"/>
              </w:rPr>
              <w:t xml:space="preserve"> </w:t>
            </w:r>
            <w:r>
              <w:rPr>
                <w:rFonts w:ascii="仿宋" w:hAnsi="仿宋" w:eastAsia="仿宋" w:cs="仿宋"/>
                <w:color w:val="auto"/>
                <w:spacing w:val="-6"/>
                <w:sz w:val="20"/>
                <w:szCs w:val="20"/>
                <w:highlight w:val="none"/>
              </w:rPr>
              <w:t>5</w:t>
            </w:r>
            <w:r>
              <w:rPr>
                <w:rFonts w:ascii="仿宋" w:hAnsi="仿宋" w:eastAsia="仿宋" w:cs="仿宋"/>
                <w:color w:val="auto"/>
                <w:spacing w:val="-7"/>
                <w:sz w:val="20"/>
                <w:szCs w:val="20"/>
                <w:highlight w:val="none"/>
              </w:rPr>
              <w:t>.8GHz：</w:t>
            </w:r>
            <w:r>
              <w:rPr>
                <w:rFonts w:ascii="仿宋" w:hAnsi="仿宋" w:eastAsia="仿宋" w:cs="仿宋"/>
                <w:color w:val="auto"/>
                <w:sz w:val="20"/>
                <w:szCs w:val="20"/>
                <w:highlight w:val="none"/>
              </w:rPr>
              <w:t xml:space="preserve"> </w:t>
            </w:r>
            <w:r>
              <w:rPr>
                <w:rFonts w:ascii="仿宋" w:hAnsi="仿宋" w:eastAsia="仿宋" w:cs="仿宋"/>
                <w:color w:val="auto"/>
                <w:spacing w:val="11"/>
                <w:sz w:val="20"/>
                <w:szCs w:val="20"/>
                <w:highlight w:val="none"/>
              </w:rPr>
              <w:t>&lt;26</w:t>
            </w:r>
            <w:r>
              <w:rPr>
                <w:rFonts w:ascii="仿宋" w:hAnsi="仿宋" w:eastAsia="仿宋" w:cs="仿宋"/>
                <w:color w:val="auto"/>
                <w:sz w:val="20"/>
                <w:szCs w:val="20"/>
                <w:highlight w:val="none"/>
              </w:rPr>
              <w:t>dBm</w:t>
            </w:r>
            <w:r>
              <w:rPr>
                <w:rFonts w:ascii="仿宋" w:hAnsi="仿宋" w:eastAsia="仿宋" w:cs="仿宋"/>
                <w:color w:val="auto"/>
                <w:spacing w:val="11"/>
                <w:sz w:val="20"/>
                <w:szCs w:val="20"/>
                <w:highlight w:val="none"/>
              </w:rPr>
              <w:t>（</w:t>
            </w:r>
            <w:r>
              <w:rPr>
                <w:rFonts w:ascii="仿宋" w:hAnsi="仿宋" w:eastAsia="仿宋" w:cs="仿宋"/>
                <w:color w:val="auto"/>
                <w:sz w:val="20"/>
                <w:szCs w:val="20"/>
                <w:highlight w:val="none"/>
              </w:rPr>
              <w:t>FCC</w:t>
            </w:r>
            <w:r>
              <w:rPr>
                <w:rFonts w:ascii="仿宋" w:hAnsi="仿宋" w:eastAsia="仿宋" w:cs="仿宋"/>
                <w:color w:val="auto"/>
                <w:spacing w:val="11"/>
                <w:sz w:val="20"/>
                <w:szCs w:val="20"/>
                <w:highlight w:val="none"/>
              </w:rPr>
              <w:t>/</w:t>
            </w:r>
            <w:r>
              <w:rPr>
                <w:rFonts w:ascii="仿宋" w:hAnsi="仿宋" w:eastAsia="仿宋" w:cs="仿宋"/>
                <w:color w:val="auto"/>
                <w:sz w:val="20"/>
                <w:szCs w:val="20"/>
                <w:highlight w:val="none"/>
              </w:rPr>
              <w:t>SRRC</w:t>
            </w:r>
            <w:r>
              <w:rPr>
                <w:rFonts w:ascii="仿宋" w:hAnsi="仿宋" w:eastAsia="仿宋" w:cs="仿宋"/>
                <w:color w:val="auto"/>
                <w:spacing w:val="11"/>
                <w:sz w:val="20"/>
                <w:szCs w:val="20"/>
                <w:highlight w:val="none"/>
              </w:rPr>
              <w:t>）、 &lt;14</w:t>
            </w:r>
            <w:r>
              <w:rPr>
                <w:rFonts w:ascii="仿宋" w:hAnsi="仿宋" w:eastAsia="仿宋" w:cs="仿宋"/>
                <w:color w:val="auto"/>
                <w:sz w:val="20"/>
                <w:szCs w:val="20"/>
                <w:highlight w:val="none"/>
              </w:rPr>
              <w:t>dBm</w:t>
            </w:r>
            <w:r>
              <w:rPr>
                <w:rFonts w:ascii="仿宋" w:hAnsi="仿宋" w:eastAsia="仿宋" w:cs="仿宋"/>
                <w:color w:val="auto"/>
                <w:spacing w:val="11"/>
                <w:sz w:val="20"/>
                <w:szCs w:val="20"/>
                <w:highlight w:val="none"/>
              </w:rPr>
              <w:t>（</w:t>
            </w:r>
            <w:r>
              <w:rPr>
                <w:rFonts w:ascii="仿宋" w:hAnsi="仿宋" w:eastAsia="仿宋" w:cs="仿宋"/>
                <w:color w:val="auto"/>
                <w:sz w:val="20"/>
                <w:szCs w:val="20"/>
                <w:highlight w:val="none"/>
              </w:rPr>
              <w:t>CE</w:t>
            </w:r>
            <w:r>
              <w:rPr>
                <w:rFonts w:ascii="仿宋" w:hAnsi="仿宋" w:eastAsia="仿宋" w:cs="仿宋"/>
                <w:color w:val="auto"/>
                <w:spacing w:val="5"/>
                <w:sz w:val="20"/>
                <w:szCs w:val="20"/>
                <w:highlight w:val="none"/>
              </w:rPr>
              <w:t>）；</w:t>
            </w:r>
          </w:p>
          <w:p w14:paraId="3A212A1E">
            <w:pPr>
              <w:keepNext w:val="0"/>
              <w:keepLines/>
              <w:pageBreakBefore w:val="0"/>
              <w:widowControl w:val="0"/>
              <w:kinsoku/>
              <w:wordWrap w:val="0"/>
              <w:overflowPunct/>
              <w:topLinePunct w:val="0"/>
              <w:autoSpaceDE/>
              <w:autoSpaceDN/>
              <w:bidi w:val="0"/>
              <w:adjustRightInd/>
              <w:snapToGrid/>
              <w:spacing w:before="160" w:line="304" w:lineRule="auto"/>
              <w:ind w:left="123" w:right="50" w:hanging="12"/>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8.蓝牙协议：蓝牙 5.1、蓝牙工作频段：2.400GHz</w:t>
            </w:r>
            <w:r>
              <w:rPr>
                <w:rFonts w:ascii="仿宋" w:hAnsi="仿宋" w:eastAsia="仿宋" w:cs="仿宋"/>
                <w:color w:val="auto"/>
                <w:spacing w:val="15"/>
                <w:sz w:val="20"/>
                <w:szCs w:val="20"/>
                <w:highlight w:val="none"/>
              </w:rPr>
              <w:t xml:space="preserve"> </w:t>
            </w:r>
            <w:r>
              <w:rPr>
                <w:rFonts w:ascii="仿宋" w:hAnsi="仿宋" w:eastAsia="仿宋" w:cs="仿宋"/>
                <w:color w:val="auto"/>
                <w:spacing w:val="2"/>
                <w:sz w:val="20"/>
                <w:szCs w:val="20"/>
                <w:highlight w:val="none"/>
              </w:rPr>
              <w:t>至</w:t>
            </w:r>
            <w:r>
              <w:rPr>
                <w:rFonts w:ascii="仿宋" w:hAnsi="仿宋" w:eastAsia="仿宋" w:cs="仿宋"/>
                <w:color w:val="auto"/>
                <w:spacing w:val="-35"/>
                <w:sz w:val="20"/>
                <w:szCs w:val="20"/>
                <w:highlight w:val="none"/>
              </w:rPr>
              <w:t xml:space="preserve"> </w:t>
            </w:r>
            <w:r>
              <w:rPr>
                <w:rFonts w:ascii="仿宋" w:hAnsi="仿宋" w:eastAsia="仿宋" w:cs="仿宋"/>
                <w:color w:val="auto"/>
                <w:spacing w:val="2"/>
                <w:sz w:val="20"/>
                <w:szCs w:val="20"/>
                <w:highlight w:val="none"/>
              </w:rPr>
              <w:t>2.4835</w:t>
            </w:r>
            <w:r>
              <w:rPr>
                <w:rFonts w:ascii="仿宋" w:hAnsi="仿宋" w:eastAsia="仿宋" w:cs="仿宋"/>
                <w:color w:val="auto"/>
                <w:sz w:val="20"/>
                <w:szCs w:val="20"/>
                <w:highlight w:val="none"/>
              </w:rPr>
              <w:t>GHz</w:t>
            </w:r>
            <w:r>
              <w:rPr>
                <w:rFonts w:ascii="仿宋" w:hAnsi="仿宋" w:eastAsia="仿宋" w:cs="仿宋"/>
                <w:color w:val="auto"/>
                <w:spacing w:val="2"/>
                <w:sz w:val="20"/>
                <w:szCs w:val="20"/>
                <w:highlight w:val="none"/>
              </w:rPr>
              <w:t>、蓝牙发射功率（</w:t>
            </w:r>
            <w:r>
              <w:rPr>
                <w:rFonts w:ascii="仿宋" w:hAnsi="仿宋" w:eastAsia="仿宋" w:cs="仿宋"/>
                <w:color w:val="auto"/>
                <w:sz w:val="20"/>
                <w:szCs w:val="20"/>
                <w:highlight w:val="none"/>
              </w:rPr>
              <w:t>EIRP</w:t>
            </w:r>
            <w:r>
              <w:rPr>
                <w:rFonts w:ascii="仿宋" w:hAnsi="仿宋" w:eastAsia="仿宋" w:cs="仿宋"/>
                <w:color w:val="auto"/>
                <w:spacing w:val="-2"/>
                <w:sz w:val="20"/>
                <w:szCs w:val="20"/>
                <w:highlight w:val="none"/>
              </w:rPr>
              <w:t>）：</w:t>
            </w:r>
            <w:r>
              <w:rPr>
                <w:rFonts w:ascii="仿宋" w:hAnsi="仿宋" w:eastAsia="仿宋" w:cs="仿宋"/>
                <w:color w:val="auto"/>
                <w:spacing w:val="2"/>
                <w:sz w:val="20"/>
                <w:szCs w:val="20"/>
                <w:highlight w:val="none"/>
              </w:rPr>
              <w:t>&lt;10</w:t>
            </w:r>
            <w:r>
              <w:rPr>
                <w:rFonts w:ascii="仿宋" w:hAnsi="仿宋" w:eastAsia="仿宋" w:cs="仿宋"/>
                <w:color w:val="auto"/>
                <w:sz w:val="20"/>
                <w:szCs w:val="20"/>
                <w:highlight w:val="none"/>
              </w:rPr>
              <w:t>dBm</w:t>
            </w:r>
            <w:r>
              <w:rPr>
                <w:rFonts w:ascii="仿宋" w:hAnsi="仿宋" w:eastAsia="仿宋" w:cs="仿宋"/>
                <w:color w:val="auto"/>
                <w:spacing w:val="2"/>
                <w:sz w:val="20"/>
                <w:szCs w:val="20"/>
                <w:highlight w:val="none"/>
              </w:rPr>
              <w:t>；</w:t>
            </w:r>
          </w:p>
          <w:p w14:paraId="122A9E6E">
            <w:pPr>
              <w:keepNext w:val="0"/>
              <w:keepLines/>
              <w:pageBreakBefore w:val="0"/>
              <w:widowControl w:val="0"/>
              <w:kinsoku/>
              <w:wordWrap w:val="0"/>
              <w:overflowPunct/>
              <w:topLinePunct w:val="0"/>
              <w:autoSpaceDE/>
              <w:autoSpaceDN/>
              <w:bidi w:val="0"/>
              <w:adjustRightInd/>
              <w:snapToGrid/>
              <w:spacing w:before="159" w:line="229" w:lineRule="auto"/>
              <w:ind w:left="111"/>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9.屏幕分辨率： ≥1920×1080、屏幕尺寸：</w:t>
            </w:r>
            <w:r>
              <w:rPr>
                <w:rFonts w:ascii="仿宋" w:hAnsi="仿宋" w:eastAsia="仿宋" w:cs="仿宋"/>
                <w:color w:val="auto"/>
                <w:spacing w:val="48"/>
                <w:sz w:val="20"/>
                <w:szCs w:val="20"/>
                <w:highlight w:val="none"/>
              </w:rPr>
              <w:t xml:space="preserve"> </w:t>
            </w:r>
            <w:r>
              <w:rPr>
                <w:rFonts w:ascii="仿宋" w:hAnsi="仿宋" w:eastAsia="仿宋" w:cs="仿宋"/>
                <w:color w:val="auto"/>
                <w:spacing w:val="5"/>
                <w:sz w:val="20"/>
                <w:szCs w:val="20"/>
                <w:highlight w:val="none"/>
              </w:rPr>
              <w:t>≥</w:t>
            </w:r>
          </w:p>
          <w:p w14:paraId="7C94474B">
            <w:pPr>
              <w:keepNext w:val="0"/>
              <w:keepLines/>
              <w:pageBreakBefore w:val="0"/>
              <w:widowControl w:val="0"/>
              <w:kinsoku/>
              <w:wordWrap w:val="0"/>
              <w:overflowPunct/>
              <w:topLinePunct w:val="0"/>
              <w:autoSpaceDE/>
              <w:autoSpaceDN/>
              <w:bidi w:val="0"/>
              <w:adjustRightInd/>
              <w:snapToGrid/>
              <w:spacing w:before="159" w:line="303" w:lineRule="auto"/>
              <w:ind w:left="126" w:right="105" w:hanging="11"/>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5.5 英寸、屏幕帧率：60</w:t>
            </w:r>
            <w:r>
              <w:rPr>
                <w:rFonts w:ascii="仿宋" w:hAnsi="仿宋" w:eastAsia="仿宋" w:cs="仿宋"/>
                <w:color w:val="auto"/>
                <w:sz w:val="20"/>
                <w:szCs w:val="20"/>
                <w:highlight w:val="none"/>
              </w:rPr>
              <w:t>fps</w:t>
            </w:r>
            <w:r>
              <w:rPr>
                <w:rFonts w:ascii="仿宋" w:hAnsi="仿宋" w:eastAsia="仿宋" w:cs="仿宋"/>
                <w:color w:val="auto"/>
                <w:spacing w:val="7"/>
                <w:sz w:val="20"/>
                <w:szCs w:val="20"/>
                <w:highlight w:val="none"/>
              </w:rPr>
              <w:t>、</w:t>
            </w:r>
            <w:r>
              <w:rPr>
                <w:rFonts w:ascii="仿宋" w:hAnsi="仿宋" w:eastAsia="仿宋" w:cs="仿宋"/>
                <w:color w:val="auto"/>
                <w:spacing w:val="53"/>
                <w:sz w:val="20"/>
                <w:szCs w:val="20"/>
                <w:highlight w:val="none"/>
              </w:rPr>
              <w:t xml:space="preserve"> </w:t>
            </w:r>
            <w:r>
              <w:rPr>
                <w:rFonts w:ascii="仿宋" w:hAnsi="仿宋" w:eastAsia="仿宋" w:cs="仿宋"/>
                <w:color w:val="auto"/>
                <w:spacing w:val="7"/>
                <w:sz w:val="20"/>
                <w:szCs w:val="20"/>
                <w:highlight w:val="none"/>
              </w:rPr>
              <w:t>屏幕亮度：</w:t>
            </w:r>
            <w:r>
              <w:rPr>
                <w:rFonts w:ascii="仿宋" w:hAnsi="仿宋" w:eastAsia="仿宋" w:cs="仿宋"/>
                <w:color w:val="auto"/>
                <w:spacing w:val="53"/>
                <w:sz w:val="20"/>
                <w:szCs w:val="20"/>
                <w:highlight w:val="none"/>
              </w:rPr>
              <w:t xml:space="preserve"> </w:t>
            </w:r>
            <w:r>
              <w:rPr>
                <w:rFonts w:ascii="仿宋" w:hAnsi="仿宋" w:eastAsia="仿宋" w:cs="仿宋"/>
                <w:color w:val="auto"/>
                <w:spacing w:val="7"/>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1000 尼特、屏幕触控：</w:t>
            </w:r>
            <w:r>
              <w:rPr>
                <w:rFonts w:ascii="仿宋" w:hAnsi="仿宋" w:eastAsia="仿宋" w:cs="仿宋"/>
                <w:color w:val="auto"/>
                <w:spacing w:val="50"/>
                <w:sz w:val="20"/>
                <w:szCs w:val="20"/>
                <w:highlight w:val="none"/>
              </w:rPr>
              <w:t xml:space="preserve"> </w:t>
            </w:r>
            <w:r>
              <w:rPr>
                <w:rFonts w:ascii="仿宋" w:hAnsi="仿宋" w:eastAsia="仿宋" w:cs="仿宋"/>
                <w:color w:val="auto"/>
                <w:spacing w:val="3"/>
                <w:sz w:val="20"/>
                <w:szCs w:val="20"/>
                <w:highlight w:val="none"/>
              </w:rPr>
              <w:t>≥10</w:t>
            </w:r>
            <w:r>
              <w:rPr>
                <w:rFonts w:ascii="仿宋" w:hAnsi="仿宋" w:eastAsia="仿宋" w:cs="仿宋"/>
                <w:color w:val="auto"/>
                <w:spacing w:val="32"/>
                <w:sz w:val="20"/>
                <w:szCs w:val="20"/>
                <w:highlight w:val="none"/>
              </w:rPr>
              <w:t xml:space="preserve"> </w:t>
            </w:r>
            <w:r>
              <w:rPr>
                <w:rFonts w:ascii="仿宋" w:hAnsi="仿宋" w:eastAsia="仿宋" w:cs="仿宋"/>
                <w:color w:val="auto"/>
                <w:spacing w:val="3"/>
                <w:sz w:val="20"/>
                <w:szCs w:val="20"/>
                <w:highlight w:val="none"/>
              </w:rPr>
              <w:t>点触控；</w:t>
            </w:r>
          </w:p>
          <w:p w14:paraId="7B77702F">
            <w:pPr>
              <w:keepNext w:val="0"/>
              <w:keepLines/>
              <w:pageBreakBefore w:val="0"/>
              <w:widowControl w:val="0"/>
              <w:kinsoku/>
              <w:wordWrap w:val="0"/>
              <w:overflowPunct/>
              <w:topLinePunct w:val="0"/>
              <w:autoSpaceDE/>
              <w:autoSpaceDN/>
              <w:bidi w:val="0"/>
              <w:adjustRightInd/>
              <w:snapToGrid/>
              <w:spacing w:before="159" w:line="305" w:lineRule="auto"/>
              <w:ind w:left="118" w:right="102" w:firstLine="8"/>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10.</w:t>
            </w:r>
            <w:r>
              <w:rPr>
                <w:rFonts w:ascii="仿宋" w:hAnsi="仿宋" w:eastAsia="仿宋" w:cs="仿宋"/>
                <w:color w:val="auto"/>
                <w:spacing w:val="-48"/>
                <w:sz w:val="20"/>
                <w:szCs w:val="20"/>
                <w:highlight w:val="none"/>
              </w:rPr>
              <w:t xml:space="preserve"> </w:t>
            </w:r>
            <w:r>
              <w:rPr>
                <w:rFonts w:ascii="仿宋" w:hAnsi="仿宋" w:eastAsia="仿宋" w:cs="仿宋"/>
                <w:color w:val="auto"/>
                <w:spacing w:val="7"/>
                <w:sz w:val="20"/>
                <w:szCs w:val="20"/>
                <w:highlight w:val="none"/>
              </w:rPr>
              <w:t>电池：</w:t>
            </w:r>
            <w:r>
              <w:rPr>
                <w:rFonts w:ascii="仿宋" w:hAnsi="仿宋" w:eastAsia="仿宋" w:cs="仿宋"/>
                <w:color w:val="auto"/>
                <w:spacing w:val="-43"/>
                <w:sz w:val="20"/>
                <w:szCs w:val="20"/>
                <w:highlight w:val="none"/>
              </w:rPr>
              <w:t xml:space="preserve"> </w:t>
            </w:r>
            <w:r>
              <w:rPr>
                <w:rFonts w:ascii="仿宋" w:hAnsi="仿宋" w:eastAsia="仿宋" w:cs="仿宋"/>
                <w:color w:val="auto"/>
                <w:spacing w:val="7"/>
                <w:sz w:val="20"/>
                <w:szCs w:val="20"/>
                <w:highlight w:val="none"/>
              </w:rPr>
              <w:t>锂离子电池</w:t>
            </w:r>
            <w:r>
              <w:rPr>
                <w:rFonts w:ascii="仿宋" w:hAnsi="仿宋" w:eastAsia="仿宋" w:cs="仿宋"/>
                <w:color w:val="auto"/>
                <w:spacing w:val="83"/>
                <w:sz w:val="20"/>
                <w:szCs w:val="20"/>
                <w:highlight w:val="none"/>
              </w:rPr>
              <w:t xml:space="preserve"> </w:t>
            </w:r>
            <w:r>
              <w:rPr>
                <w:rFonts w:ascii="仿宋" w:hAnsi="仿宋" w:eastAsia="仿宋" w:cs="仿宋"/>
                <w:color w:val="auto"/>
                <w:spacing w:val="7"/>
                <w:sz w:val="20"/>
                <w:szCs w:val="20"/>
                <w:highlight w:val="none"/>
              </w:rPr>
              <w:t>(≥5000</w:t>
            </w:r>
            <w:r>
              <w:rPr>
                <w:rFonts w:ascii="仿宋" w:hAnsi="仿宋" w:eastAsia="仿宋" w:cs="仿宋"/>
                <w:color w:val="auto"/>
                <w:spacing w:val="43"/>
                <w:sz w:val="20"/>
                <w:szCs w:val="20"/>
                <w:highlight w:val="none"/>
              </w:rPr>
              <w:t xml:space="preserve"> </w:t>
            </w:r>
            <w:r>
              <w:rPr>
                <w:rFonts w:ascii="仿宋" w:hAnsi="仿宋" w:eastAsia="仿宋" w:cs="仿宋"/>
                <w:color w:val="auto"/>
                <w:spacing w:val="7"/>
                <w:sz w:val="20"/>
                <w:szCs w:val="20"/>
                <w:highlight w:val="none"/>
              </w:rPr>
              <w:t>毫安时</w:t>
            </w:r>
            <w:r>
              <w:rPr>
                <w:rFonts w:ascii="仿宋" w:hAnsi="仿宋" w:eastAsia="仿宋" w:cs="仿宋"/>
                <w:color w:val="auto"/>
                <w:spacing w:val="-55"/>
                <w:sz w:val="20"/>
                <w:szCs w:val="20"/>
                <w:highlight w:val="none"/>
              </w:rPr>
              <w:t xml:space="preserve"> </w:t>
            </w:r>
            <w:r>
              <w:rPr>
                <w:rFonts w:ascii="仿宋" w:hAnsi="仿宋" w:eastAsia="仿宋" w:cs="仿宋"/>
                <w:color w:val="auto"/>
                <w:spacing w:val="7"/>
                <w:sz w:val="20"/>
                <w:szCs w:val="20"/>
                <w:highlight w:val="none"/>
              </w:rPr>
              <w:t>，</w:t>
            </w:r>
            <w:r>
              <w:rPr>
                <w:rFonts w:ascii="仿宋" w:hAnsi="仿宋" w:eastAsia="仿宋" w:cs="仿宋"/>
                <w:color w:val="auto"/>
                <w:spacing w:val="6"/>
                <w:sz w:val="20"/>
                <w:szCs w:val="20"/>
                <w:highlight w:val="none"/>
              </w:rPr>
              <w:t>7.2</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伏</w:t>
            </w:r>
            <w:r>
              <w:rPr>
                <w:rFonts w:ascii="仿宋" w:hAnsi="仿宋" w:eastAsia="仿宋" w:cs="仿宋"/>
                <w:color w:val="auto"/>
                <w:sz w:val="20"/>
                <w:szCs w:val="20"/>
                <w:highlight w:val="none"/>
              </w:rPr>
              <w:t>）；</w:t>
            </w:r>
          </w:p>
          <w:p w14:paraId="623AE91D">
            <w:pPr>
              <w:keepNext w:val="0"/>
              <w:keepLines/>
              <w:pageBreakBefore w:val="0"/>
              <w:widowControl w:val="0"/>
              <w:kinsoku/>
              <w:wordWrap w:val="0"/>
              <w:overflowPunct/>
              <w:topLinePunct w:val="0"/>
              <w:autoSpaceDE/>
              <w:autoSpaceDN/>
              <w:bidi w:val="0"/>
              <w:adjustRightInd/>
              <w:snapToGrid/>
              <w:spacing w:before="158" w:line="231"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11.额定功耗：</w:t>
            </w:r>
            <w:r>
              <w:rPr>
                <w:rFonts w:ascii="仿宋" w:hAnsi="仿宋" w:eastAsia="仿宋" w:cs="仿宋"/>
                <w:color w:val="auto"/>
                <w:spacing w:val="40"/>
                <w:sz w:val="20"/>
                <w:szCs w:val="20"/>
                <w:highlight w:val="none"/>
              </w:rPr>
              <w:t xml:space="preserve"> </w:t>
            </w:r>
            <w:r>
              <w:rPr>
                <w:rFonts w:ascii="仿宋" w:hAnsi="仿宋" w:eastAsia="仿宋" w:cs="仿宋"/>
                <w:color w:val="auto"/>
                <w:spacing w:val="1"/>
                <w:sz w:val="20"/>
                <w:szCs w:val="20"/>
                <w:highlight w:val="none"/>
              </w:rPr>
              <w:t>≤12</w:t>
            </w:r>
            <w:r>
              <w:rPr>
                <w:rFonts w:ascii="仿宋" w:hAnsi="仿宋" w:eastAsia="仿宋" w:cs="仿宋"/>
                <w:color w:val="auto"/>
                <w:spacing w:val="29"/>
                <w:sz w:val="20"/>
                <w:szCs w:val="20"/>
                <w:highlight w:val="none"/>
              </w:rPr>
              <w:t xml:space="preserve"> </w:t>
            </w:r>
            <w:r>
              <w:rPr>
                <w:rFonts w:ascii="仿宋" w:hAnsi="仿宋" w:eastAsia="仿宋" w:cs="仿宋"/>
                <w:color w:val="auto"/>
                <w:spacing w:val="1"/>
                <w:sz w:val="20"/>
                <w:szCs w:val="20"/>
                <w:highlight w:val="none"/>
              </w:rPr>
              <w:t>瓦；</w:t>
            </w:r>
          </w:p>
          <w:p w14:paraId="5A0100FC">
            <w:pPr>
              <w:keepNext w:val="0"/>
              <w:keepLines/>
              <w:pageBreakBefore w:val="0"/>
              <w:widowControl w:val="0"/>
              <w:kinsoku/>
              <w:wordWrap w:val="0"/>
              <w:overflowPunct/>
              <w:topLinePunct w:val="0"/>
              <w:autoSpaceDE/>
              <w:autoSpaceDN/>
              <w:bidi w:val="0"/>
              <w:adjustRightInd/>
              <w:snapToGrid/>
              <w:spacing w:before="158" w:line="302" w:lineRule="auto"/>
              <w:ind w:left="119" w:right="105" w:firstLine="7"/>
              <w:textAlignment w:val="auto"/>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12.存储空间：机身内存（</w:t>
            </w:r>
            <w:r>
              <w:rPr>
                <w:rFonts w:ascii="仿宋" w:hAnsi="仿宋" w:eastAsia="仿宋" w:cs="仿宋"/>
                <w:color w:val="auto"/>
                <w:sz w:val="20"/>
                <w:szCs w:val="20"/>
                <w:highlight w:val="none"/>
              </w:rPr>
              <w:t>ROM</w:t>
            </w:r>
            <w:r>
              <w:rPr>
                <w:rFonts w:ascii="仿宋" w:hAnsi="仿宋" w:eastAsia="仿宋" w:cs="仿宋"/>
                <w:color w:val="auto"/>
                <w:spacing w:val="-8"/>
                <w:sz w:val="20"/>
                <w:szCs w:val="20"/>
                <w:highlight w:val="none"/>
              </w:rPr>
              <w:t>）</w:t>
            </w:r>
            <w:r>
              <w:rPr>
                <w:rFonts w:ascii="仿宋" w:hAnsi="仿宋" w:eastAsia="仿宋" w:cs="仿宋"/>
                <w:color w:val="auto"/>
                <w:spacing w:val="-52"/>
                <w:sz w:val="20"/>
                <w:szCs w:val="20"/>
                <w:highlight w:val="none"/>
              </w:rPr>
              <w:t xml:space="preserve"> </w:t>
            </w:r>
            <w:r>
              <w:rPr>
                <w:rFonts w:ascii="仿宋" w:hAnsi="仿宋" w:eastAsia="仿宋" w:cs="仿宋"/>
                <w:color w:val="auto"/>
                <w:spacing w:val="-8"/>
                <w:sz w:val="20"/>
                <w:szCs w:val="20"/>
                <w:highlight w:val="none"/>
              </w:rPr>
              <w:t>：</w:t>
            </w:r>
            <w:r>
              <w:rPr>
                <w:rFonts w:ascii="仿宋" w:hAnsi="仿宋" w:eastAsia="仿宋" w:cs="仿宋"/>
                <w:color w:val="auto"/>
                <w:spacing w:val="48"/>
                <w:sz w:val="20"/>
                <w:szCs w:val="20"/>
                <w:highlight w:val="none"/>
              </w:rPr>
              <w:t xml:space="preserve"> </w:t>
            </w:r>
            <w:r>
              <w:rPr>
                <w:rFonts w:ascii="仿宋" w:hAnsi="仿宋" w:eastAsia="仿宋" w:cs="仿宋"/>
                <w:color w:val="auto"/>
                <w:spacing w:val="9"/>
                <w:sz w:val="20"/>
                <w:szCs w:val="20"/>
                <w:highlight w:val="none"/>
              </w:rPr>
              <w:t>≥64</w:t>
            </w:r>
            <w:r>
              <w:rPr>
                <w:rFonts w:ascii="仿宋" w:hAnsi="仿宋" w:eastAsia="仿宋" w:cs="仿宋"/>
                <w:color w:val="auto"/>
                <w:sz w:val="20"/>
                <w:szCs w:val="20"/>
                <w:highlight w:val="none"/>
              </w:rPr>
              <w:t>GB</w:t>
            </w:r>
            <w:r>
              <w:rPr>
                <w:rFonts w:ascii="仿宋" w:hAnsi="仿宋" w:eastAsia="仿宋" w:cs="仿宋"/>
                <w:color w:val="auto"/>
                <w:spacing w:val="9"/>
                <w:sz w:val="20"/>
                <w:szCs w:val="20"/>
                <w:highlight w:val="none"/>
              </w:rPr>
              <w:t>，支</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 xml:space="preserve">持使用 </w:t>
            </w:r>
            <w:r>
              <w:rPr>
                <w:rFonts w:ascii="仿宋" w:hAnsi="仿宋" w:eastAsia="仿宋" w:cs="仿宋"/>
                <w:color w:val="auto"/>
                <w:sz w:val="20"/>
                <w:szCs w:val="20"/>
                <w:highlight w:val="none"/>
              </w:rPr>
              <w:t>microSD</w:t>
            </w:r>
            <w:r>
              <w:rPr>
                <w:rFonts w:ascii="仿宋" w:hAnsi="仿宋" w:eastAsia="仿宋" w:cs="仿宋"/>
                <w:color w:val="auto"/>
                <w:spacing w:val="-20"/>
                <w:sz w:val="20"/>
                <w:szCs w:val="20"/>
                <w:highlight w:val="none"/>
              </w:rPr>
              <w:t xml:space="preserve"> </w:t>
            </w:r>
            <w:r>
              <w:rPr>
                <w:rFonts w:ascii="仿宋" w:hAnsi="仿宋" w:eastAsia="仿宋" w:cs="仿宋"/>
                <w:color w:val="auto"/>
                <w:spacing w:val="8"/>
                <w:sz w:val="20"/>
                <w:szCs w:val="20"/>
                <w:highlight w:val="none"/>
              </w:rPr>
              <w:t>卡拓展存储容量。</w:t>
            </w:r>
          </w:p>
        </w:tc>
      </w:tr>
      <w:tr w14:paraId="3930A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34" w:type="dxa"/>
            <w:noWrap w:val="0"/>
            <w:vAlign w:val="top"/>
          </w:tcPr>
          <w:p w14:paraId="611E4BE5">
            <w:pPr>
              <w:keepNext w:val="0"/>
              <w:keepLines/>
              <w:pageBreakBefore w:val="0"/>
              <w:widowControl w:val="0"/>
              <w:kinsoku/>
              <w:wordWrap w:val="0"/>
              <w:overflowPunct/>
              <w:topLinePunct w:val="0"/>
              <w:autoSpaceDE/>
              <w:autoSpaceDN/>
              <w:bidi w:val="0"/>
              <w:adjustRightInd/>
              <w:snapToGrid/>
              <w:spacing w:before="35" w:line="272" w:lineRule="exact"/>
              <w:ind w:left="130"/>
              <w:textAlignment w:val="auto"/>
              <w:rPr>
                <w:rFonts w:ascii="仿宋" w:hAnsi="仿宋" w:eastAsia="仿宋" w:cs="仿宋"/>
                <w:color w:val="auto"/>
                <w:sz w:val="20"/>
                <w:szCs w:val="20"/>
                <w:highlight w:val="none"/>
              </w:rPr>
            </w:pPr>
            <w:r>
              <w:rPr>
                <w:rFonts w:ascii="仿宋" w:hAnsi="仿宋" w:eastAsia="仿宋" w:cs="仿宋"/>
                <w:color w:val="auto"/>
                <w:spacing w:val="-7"/>
                <w:position w:val="1"/>
                <w:sz w:val="20"/>
                <w:szCs w:val="20"/>
                <w:highlight w:val="none"/>
              </w:rPr>
              <w:t>11</w:t>
            </w:r>
          </w:p>
        </w:tc>
        <w:tc>
          <w:tcPr>
            <w:tcW w:w="2084" w:type="dxa"/>
            <w:noWrap w:val="0"/>
            <w:vAlign w:val="top"/>
          </w:tcPr>
          <w:p w14:paraId="531A8398">
            <w:pPr>
              <w:keepNext w:val="0"/>
              <w:keepLines/>
              <w:pageBreakBefore w:val="0"/>
              <w:widowControl w:val="0"/>
              <w:kinsoku/>
              <w:wordWrap w:val="0"/>
              <w:overflowPunct/>
              <w:topLinePunct w:val="0"/>
              <w:autoSpaceDE/>
              <w:autoSpaceDN/>
              <w:bidi w:val="0"/>
              <w:adjustRightInd/>
              <w:snapToGrid/>
              <w:spacing w:before="35" w:line="231" w:lineRule="auto"/>
              <w:ind w:left="117"/>
              <w:textAlignment w:val="auto"/>
              <w:rPr>
                <w:rFonts w:ascii="仿宋" w:hAnsi="仿宋" w:eastAsia="仿宋" w:cs="仿宋"/>
                <w:color w:val="auto"/>
                <w:sz w:val="20"/>
                <w:szCs w:val="20"/>
                <w:highlight w:val="none"/>
              </w:rPr>
            </w:pPr>
            <w:r>
              <w:rPr>
                <w:rFonts w:ascii="仿宋" w:hAnsi="仿宋" w:eastAsia="仿宋" w:cs="仿宋"/>
                <w:color w:val="auto"/>
                <w:spacing w:val="20"/>
                <w:sz w:val="20"/>
                <w:szCs w:val="20"/>
                <w:highlight w:val="none"/>
              </w:rPr>
              <w:t>探</w:t>
            </w:r>
            <w:r>
              <w:rPr>
                <w:rFonts w:ascii="仿宋" w:hAnsi="仿宋" w:eastAsia="仿宋" w:cs="仿宋"/>
                <w:color w:val="auto"/>
                <w:spacing w:val="-51"/>
                <w:sz w:val="20"/>
                <w:szCs w:val="20"/>
                <w:highlight w:val="none"/>
              </w:rPr>
              <w:t xml:space="preserve"> </w:t>
            </w:r>
            <w:r>
              <w:rPr>
                <w:rFonts w:ascii="仿宋" w:hAnsi="仿宋" w:eastAsia="仿宋" w:cs="仿宋"/>
                <w:color w:val="auto"/>
                <w:spacing w:val="20"/>
                <w:sz w:val="20"/>
                <w:szCs w:val="20"/>
                <w:highlight w:val="none"/>
              </w:rPr>
              <w:t>照灯广播服</w:t>
            </w:r>
          </w:p>
        </w:tc>
        <w:tc>
          <w:tcPr>
            <w:tcW w:w="5981" w:type="dxa"/>
            <w:noWrap w:val="0"/>
            <w:vAlign w:val="top"/>
          </w:tcPr>
          <w:p w14:paraId="7C8457E9">
            <w:pPr>
              <w:keepNext w:val="0"/>
              <w:keepLines/>
              <w:pageBreakBefore w:val="0"/>
              <w:widowControl w:val="0"/>
              <w:kinsoku/>
              <w:wordWrap w:val="0"/>
              <w:overflowPunct/>
              <w:topLinePunct w:val="0"/>
              <w:autoSpaceDE/>
              <w:autoSpaceDN/>
              <w:bidi w:val="0"/>
              <w:adjustRightInd/>
              <w:snapToGrid/>
              <w:spacing w:before="35"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tc>
      </w:tr>
    </w:tbl>
    <w:p w14:paraId="27276E70">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5B0B4ADB">
      <w:pPr>
        <w:keepNext w:val="0"/>
        <w:keepLines/>
        <w:pageBreakBefore w:val="0"/>
        <w:widowControl w:val="0"/>
        <w:kinsoku/>
        <w:wordWrap w:val="0"/>
        <w:overflowPunct/>
        <w:topLinePunct w:val="0"/>
        <w:autoSpaceDE/>
        <w:autoSpaceDN/>
        <w:bidi w:val="0"/>
        <w:adjustRightInd/>
        <w:snapToGrid/>
        <w:textAlignment w:val="auto"/>
        <w:rPr>
          <w:rFonts w:ascii="Arial" w:hAnsi="Arial" w:eastAsia="Arial" w:cs="Arial"/>
          <w:color w:val="auto"/>
          <w:sz w:val="21"/>
          <w:szCs w:val="21"/>
          <w:highlight w:val="none"/>
        </w:rPr>
        <w:sectPr>
          <w:pgSz w:w="11906" w:h="16840"/>
          <w:pgMar w:top="1430" w:right="1649" w:bottom="400" w:left="1502" w:header="0" w:footer="0" w:gutter="0"/>
          <w:pgNumType w:fmt="decimal"/>
          <w:cols w:space="720" w:num="1"/>
        </w:sectPr>
      </w:pPr>
    </w:p>
    <w:tbl>
      <w:tblPr>
        <w:tblStyle w:val="18"/>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2101"/>
        <w:gridCol w:w="6033"/>
      </w:tblGrid>
      <w:tr w14:paraId="47935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3" w:hRule="atLeast"/>
        </w:trPr>
        <w:tc>
          <w:tcPr>
            <w:tcW w:w="1345" w:type="dxa"/>
            <w:noWrap w:val="0"/>
            <w:vAlign w:val="top"/>
          </w:tcPr>
          <w:p w14:paraId="6451F3FF">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2101" w:type="dxa"/>
            <w:noWrap w:val="0"/>
            <w:vAlign w:val="top"/>
          </w:tcPr>
          <w:p w14:paraId="2B85C658">
            <w:pPr>
              <w:keepNext w:val="0"/>
              <w:keepLines/>
              <w:pageBreakBefore w:val="0"/>
              <w:widowControl w:val="0"/>
              <w:kinsoku/>
              <w:wordWrap w:val="0"/>
              <w:overflowPunct/>
              <w:topLinePunct w:val="0"/>
              <w:autoSpaceDE/>
              <w:autoSpaceDN/>
              <w:bidi w:val="0"/>
              <w:adjustRightInd/>
              <w:snapToGrid/>
              <w:spacing w:before="36" w:line="232" w:lineRule="auto"/>
              <w:ind w:left="123"/>
              <w:textAlignment w:val="auto"/>
              <w:rPr>
                <w:rFonts w:ascii="仿宋" w:hAnsi="仿宋" w:eastAsia="仿宋" w:cs="仿宋"/>
                <w:color w:val="auto"/>
                <w:sz w:val="20"/>
                <w:szCs w:val="20"/>
                <w:highlight w:val="none"/>
              </w:rPr>
            </w:pPr>
            <w:r>
              <w:rPr>
                <w:rFonts w:ascii="仿宋" w:hAnsi="仿宋" w:eastAsia="仿宋" w:cs="仿宋"/>
                <w:color w:val="auto"/>
                <w:sz w:val="20"/>
                <w:szCs w:val="20"/>
                <w:highlight w:val="none"/>
              </w:rPr>
              <w:t>务</w:t>
            </w:r>
          </w:p>
        </w:tc>
        <w:tc>
          <w:tcPr>
            <w:tcW w:w="6033" w:type="dxa"/>
            <w:noWrap w:val="0"/>
            <w:vAlign w:val="top"/>
          </w:tcPr>
          <w:p w14:paraId="187BF118">
            <w:pPr>
              <w:keepNext w:val="0"/>
              <w:keepLines/>
              <w:pageBreakBefore w:val="0"/>
              <w:widowControl w:val="0"/>
              <w:kinsoku/>
              <w:wordWrap w:val="0"/>
              <w:overflowPunct/>
              <w:topLinePunct w:val="0"/>
              <w:autoSpaceDE/>
              <w:autoSpaceDN/>
              <w:bidi w:val="0"/>
              <w:adjustRightInd/>
              <w:snapToGrid/>
              <w:spacing w:before="36" w:line="231" w:lineRule="auto"/>
              <w:ind w:left="117"/>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探照灯</w:t>
            </w:r>
          </w:p>
          <w:p w14:paraId="46258F38">
            <w:pPr>
              <w:keepNext w:val="0"/>
              <w:keepLines/>
              <w:pageBreakBefore w:val="0"/>
              <w:widowControl w:val="0"/>
              <w:kinsoku/>
              <w:wordWrap w:val="0"/>
              <w:overflowPunct/>
              <w:topLinePunct w:val="0"/>
              <w:autoSpaceDE/>
              <w:autoSpaceDN/>
              <w:bidi w:val="0"/>
              <w:adjustRightInd/>
              <w:snapToGrid/>
              <w:spacing w:before="157" w:line="304" w:lineRule="auto"/>
              <w:ind w:left="118" w:right="105" w:firstLine="8"/>
              <w:textAlignment w:val="auto"/>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1. 外形尺寸：</w:t>
            </w:r>
            <w:r>
              <w:rPr>
                <w:rFonts w:ascii="仿宋" w:hAnsi="仿宋" w:eastAsia="仿宋" w:cs="仿宋"/>
                <w:color w:val="auto"/>
                <w:spacing w:val="51"/>
                <w:sz w:val="20"/>
                <w:szCs w:val="20"/>
                <w:highlight w:val="none"/>
              </w:rPr>
              <w:t xml:space="preserve"> </w:t>
            </w:r>
            <w:r>
              <w:rPr>
                <w:rFonts w:ascii="仿宋" w:hAnsi="仿宋" w:eastAsia="仿宋" w:cs="仿宋"/>
                <w:color w:val="auto"/>
                <w:spacing w:val="8"/>
                <w:sz w:val="20"/>
                <w:szCs w:val="20"/>
                <w:highlight w:val="none"/>
              </w:rPr>
              <w:t>≤95*165*30</w:t>
            </w:r>
            <w:r>
              <w:rPr>
                <w:rFonts w:ascii="仿宋" w:hAnsi="仿宋" w:eastAsia="仿宋" w:cs="仿宋"/>
                <w:color w:val="auto"/>
                <w:sz w:val="20"/>
                <w:szCs w:val="20"/>
                <w:highlight w:val="none"/>
              </w:rPr>
              <w:t>mm</w:t>
            </w:r>
            <w:r>
              <w:rPr>
                <w:rFonts w:ascii="仿宋" w:hAnsi="仿宋" w:eastAsia="仿宋" w:cs="仿宋"/>
                <w:color w:val="auto"/>
                <w:spacing w:val="-8"/>
                <w:sz w:val="20"/>
                <w:szCs w:val="20"/>
                <w:highlight w:val="none"/>
              </w:rPr>
              <w:t>；</w:t>
            </w:r>
            <w:r>
              <w:rPr>
                <w:rFonts w:ascii="仿宋" w:hAnsi="仿宋" w:eastAsia="仿宋" w:cs="仿宋"/>
                <w:color w:val="auto"/>
                <w:spacing w:val="-78"/>
                <w:sz w:val="20"/>
                <w:szCs w:val="20"/>
                <w:highlight w:val="none"/>
              </w:rPr>
              <w:t xml:space="preserve"> </w:t>
            </w:r>
            <w:r>
              <w:rPr>
                <w:rFonts w:ascii="仿宋" w:hAnsi="仿宋" w:eastAsia="仿宋" w:cs="仿宋"/>
                <w:color w:val="auto"/>
                <w:spacing w:val="-8"/>
                <w:sz w:val="20"/>
                <w:szCs w:val="20"/>
                <w:highlight w:val="none"/>
              </w:rPr>
              <w:t>（</w:t>
            </w:r>
            <w:r>
              <w:rPr>
                <w:rFonts w:ascii="仿宋" w:hAnsi="仿宋" w:eastAsia="仿宋" w:cs="仿宋"/>
                <w:color w:val="auto"/>
                <w:spacing w:val="8"/>
                <w:sz w:val="20"/>
                <w:szCs w:val="20"/>
                <w:highlight w:val="none"/>
              </w:rPr>
              <w:t>长宽高均须</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满足）</w:t>
            </w:r>
          </w:p>
          <w:p w14:paraId="1E609EBE">
            <w:pPr>
              <w:keepNext w:val="0"/>
              <w:keepLines/>
              <w:pageBreakBefore w:val="0"/>
              <w:widowControl w:val="0"/>
              <w:kinsoku/>
              <w:wordWrap w:val="0"/>
              <w:overflowPunct/>
              <w:topLinePunct w:val="0"/>
              <w:autoSpaceDE/>
              <w:autoSpaceDN/>
              <w:bidi w:val="0"/>
              <w:adjustRightInd/>
              <w:snapToGrid/>
              <w:spacing w:before="157" w:line="224" w:lineRule="auto"/>
              <w:ind w:left="113"/>
              <w:textAlignment w:val="auto"/>
              <w:rPr>
                <w:rFonts w:ascii="仿宋" w:hAnsi="仿宋" w:eastAsia="仿宋" w:cs="仿宋"/>
                <w:color w:val="auto"/>
                <w:sz w:val="20"/>
                <w:szCs w:val="20"/>
                <w:highlight w:val="none"/>
              </w:rPr>
            </w:pPr>
            <w:r>
              <w:rPr>
                <w:rFonts w:ascii="仿宋" w:hAnsi="仿宋" w:eastAsia="仿宋" w:cs="仿宋"/>
                <w:color w:val="auto"/>
                <w:sz w:val="20"/>
                <w:szCs w:val="20"/>
                <w:highlight w:val="none"/>
              </w:rPr>
              <w:t>2.</w:t>
            </w:r>
            <w:r>
              <w:rPr>
                <w:rFonts w:ascii="仿宋" w:hAnsi="仿宋" w:eastAsia="仿宋" w:cs="仿宋"/>
                <w:color w:val="auto"/>
                <w:spacing w:val="31"/>
                <w:sz w:val="20"/>
                <w:szCs w:val="20"/>
                <w:highlight w:val="none"/>
              </w:rPr>
              <w:t xml:space="preserve"> </w:t>
            </w:r>
            <w:r>
              <w:rPr>
                <w:rFonts w:ascii="仿宋" w:hAnsi="仿宋" w:eastAsia="仿宋" w:cs="仿宋"/>
                <w:color w:val="auto"/>
                <w:sz w:val="20"/>
                <w:szCs w:val="20"/>
                <w:highlight w:val="none"/>
              </w:rPr>
              <w:t>重量：</w:t>
            </w:r>
            <w:r>
              <w:rPr>
                <w:rFonts w:ascii="仿宋" w:hAnsi="仿宋" w:eastAsia="仿宋" w:cs="仿宋"/>
                <w:color w:val="auto"/>
                <w:spacing w:val="39"/>
                <w:sz w:val="20"/>
                <w:szCs w:val="20"/>
                <w:highlight w:val="none"/>
              </w:rPr>
              <w:t xml:space="preserve"> </w:t>
            </w:r>
            <w:r>
              <w:rPr>
                <w:rFonts w:ascii="仿宋" w:hAnsi="仿宋" w:eastAsia="仿宋" w:cs="仿宋"/>
                <w:color w:val="auto"/>
                <w:sz w:val="20"/>
                <w:szCs w:val="20"/>
                <w:highlight w:val="none"/>
              </w:rPr>
              <w:t>≤100g；</w:t>
            </w:r>
          </w:p>
          <w:p w14:paraId="5E34F468">
            <w:pPr>
              <w:keepNext w:val="0"/>
              <w:keepLines/>
              <w:pageBreakBefore w:val="0"/>
              <w:widowControl w:val="0"/>
              <w:kinsoku/>
              <w:wordWrap w:val="0"/>
              <w:overflowPunct/>
              <w:topLinePunct w:val="0"/>
              <w:autoSpaceDE/>
              <w:autoSpaceDN/>
              <w:bidi w:val="0"/>
              <w:adjustRightInd/>
              <w:snapToGrid/>
              <w:spacing w:before="167"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3.防护等级：</w:t>
            </w:r>
            <w:r>
              <w:rPr>
                <w:rFonts w:ascii="仿宋" w:hAnsi="仿宋" w:eastAsia="仿宋" w:cs="仿宋"/>
                <w:color w:val="auto"/>
                <w:spacing w:val="50"/>
                <w:sz w:val="20"/>
                <w:szCs w:val="20"/>
                <w:highlight w:val="none"/>
              </w:rPr>
              <w:t xml:space="preserve"> </w:t>
            </w:r>
            <w:r>
              <w:rPr>
                <w:rFonts w:ascii="仿宋" w:hAnsi="仿宋" w:eastAsia="仿宋" w:cs="仿宋"/>
                <w:color w:val="auto"/>
                <w:spacing w:val="3"/>
                <w:sz w:val="20"/>
                <w:szCs w:val="20"/>
                <w:highlight w:val="none"/>
              </w:rPr>
              <w:t>≥</w:t>
            </w:r>
            <w:r>
              <w:rPr>
                <w:rFonts w:ascii="仿宋" w:hAnsi="仿宋" w:eastAsia="仿宋" w:cs="仿宋"/>
                <w:color w:val="auto"/>
                <w:sz w:val="20"/>
                <w:szCs w:val="20"/>
                <w:highlight w:val="none"/>
              </w:rPr>
              <w:t>IP</w:t>
            </w:r>
            <w:r>
              <w:rPr>
                <w:rFonts w:ascii="仿宋" w:hAnsi="仿宋" w:eastAsia="仿宋" w:cs="仿宋"/>
                <w:color w:val="auto"/>
                <w:spacing w:val="3"/>
                <w:sz w:val="20"/>
                <w:szCs w:val="20"/>
                <w:highlight w:val="none"/>
              </w:rPr>
              <w:t>55；</w:t>
            </w:r>
          </w:p>
          <w:p w14:paraId="6508737B">
            <w:pPr>
              <w:keepNext w:val="0"/>
              <w:keepLines/>
              <w:pageBreakBefore w:val="0"/>
              <w:widowControl w:val="0"/>
              <w:kinsoku/>
              <w:wordWrap w:val="0"/>
              <w:overflowPunct/>
              <w:topLinePunct w:val="0"/>
              <w:autoSpaceDE/>
              <w:autoSpaceDN/>
              <w:bidi w:val="0"/>
              <w:adjustRightInd/>
              <w:snapToGrid/>
              <w:spacing w:before="157" w:line="229" w:lineRule="auto"/>
              <w:ind w:left="110"/>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4.工作温度：-20℃至 50℃</w:t>
            </w:r>
          </w:p>
          <w:p w14:paraId="2608A2E1">
            <w:pPr>
              <w:keepNext w:val="0"/>
              <w:keepLines/>
              <w:pageBreakBefore w:val="0"/>
              <w:widowControl w:val="0"/>
              <w:kinsoku/>
              <w:wordWrap w:val="0"/>
              <w:overflowPunct/>
              <w:topLinePunct w:val="0"/>
              <w:autoSpaceDE/>
              <w:autoSpaceDN/>
              <w:bidi w:val="0"/>
              <w:adjustRightInd/>
              <w:snapToGrid/>
              <w:spacing w:before="160"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5.总功率：</w:t>
            </w:r>
            <w:r>
              <w:rPr>
                <w:rFonts w:ascii="仿宋" w:hAnsi="仿宋" w:eastAsia="仿宋" w:cs="仿宋"/>
                <w:color w:val="auto"/>
                <w:spacing w:val="46"/>
                <w:sz w:val="20"/>
                <w:szCs w:val="20"/>
                <w:highlight w:val="none"/>
              </w:rPr>
              <w:t xml:space="preserve"> </w:t>
            </w:r>
            <w:r>
              <w:rPr>
                <w:rFonts w:ascii="仿宋" w:hAnsi="仿宋" w:eastAsia="仿宋" w:cs="仿宋"/>
                <w:color w:val="auto"/>
                <w:spacing w:val="2"/>
                <w:sz w:val="20"/>
                <w:szCs w:val="20"/>
                <w:highlight w:val="none"/>
              </w:rPr>
              <w:t>≤40W；</w:t>
            </w:r>
          </w:p>
          <w:p w14:paraId="0197D67B">
            <w:pPr>
              <w:keepNext w:val="0"/>
              <w:keepLines/>
              <w:pageBreakBefore w:val="0"/>
              <w:widowControl w:val="0"/>
              <w:kinsoku/>
              <w:wordWrap w:val="0"/>
              <w:overflowPunct/>
              <w:topLinePunct w:val="0"/>
              <w:autoSpaceDE/>
              <w:autoSpaceDN/>
              <w:bidi w:val="0"/>
              <w:adjustRightInd/>
              <w:snapToGrid/>
              <w:spacing w:before="158" w:line="231" w:lineRule="auto"/>
              <w:ind w:left="112"/>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6.照度：</w:t>
            </w:r>
            <w:r>
              <w:rPr>
                <w:rFonts w:ascii="仿宋" w:hAnsi="仿宋" w:eastAsia="仿宋" w:cs="仿宋"/>
                <w:color w:val="auto"/>
                <w:spacing w:val="64"/>
                <w:sz w:val="20"/>
                <w:szCs w:val="20"/>
                <w:highlight w:val="none"/>
              </w:rPr>
              <w:t xml:space="preserve"> </w:t>
            </w:r>
            <w:r>
              <w:rPr>
                <w:rFonts w:ascii="仿宋" w:hAnsi="仿宋" w:eastAsia="仿宋" w:cs="仿宋"/>
                <w:color w:val="auto"/>
                <w:spacing w:val="3"/>
                <w:sz w:val="20"/>
                <w:szCs w:val="20"/>
                <w:highlight w:val="none"/>
              </w:rPr>
              <w:t xml:space="preserve">≥4.3±0.2 </w:t>
            </w:r>
            <w:r>
              <w:rPr>
                <w:rFonts w:ascii="仿宋" w:hAnsi="仿宋" w:eastAsia="仿宋" w:cs="仿宋"/>
                <w:color w:val="auto"/>
                <w:sz w:val="20"/>
                <w:szCs w:val="20"/>
                <w:highlight w:val="none"/>
              </w:rPr>
              <w:t>lux</w:t>
            </w:r>
            <w:r>
              <w:rPr>
                <w:rFonts w:ascii="仿宋" w:hAnsi="仿宋" w:eastAsia="仿宋" w:cs="仿宋"/>
                <w:color w:val="auto"/>
                <w:spacing w:val="14"/>
                <w:sz w:val="20"/>
                <w:szCs w:val="20"/>
                <w:highlight w:val="none"/>
              </w:rPr>
              <w:t xml:space="preserve"> </w:t>
            </w:r>
            <w:r>
              <w:rPr>
                <w:rFonts w:ascii="仿宋" w:hAnsi="仿宋" w:eastAsia="仿宋" w:cs="仿宋"/>
                <w:color w:val="auto"/>
                <w:spacing w:val="3"/>
                <w:sz w:val="20"/>
                <w:szCs w:val="20"/>
                <w:highlight w:val="none"/>
              </w:rPr>
              <w:t>@</w:t>
            </w:r>
            <w:r>
              <w:rPr>
                <w:rFonts w:ascii="仿宋" w:hAnsi="仿宋" w:eastAsia="仿宋" w:cs="仿宋"/>
                <w:color w:val="auto"/>
                <w:spacing w:val="35"/>
                <w:sz w:val="20"/>
                <w:szCs w:val="20"/>
                <w:highlight w:val="none"/>
              </w:rPr>
              <w:t xml:space="preserve"> </w:t>
            </w:r>
            <w:r>
              <w:rPr>
                <w:rFonts w:ascii="仿宋" w:hAnsi="仿宋" w:eastAsia="仿宋" w:cs="仿宋"/>
                <w:color w:val="auto"/>
                <w:spacing w:val="3"/>
                <w:sz w:val="20"/>
                <w:szCs w:val="20"/>
                <w:highlight w:val="none"/>
              </w:rPr>
              <w:t>100</w:t>
            </w:r>
            <w:r>
              <w:rPr>
                <w:rFonts w:ascii="仿宋" w:hAnsi="仿宋" w:eastAsia="仿宋" w:cs="仿宋"/>
                <w:color w:val="auto"/>
                <w:spacing w:val="23"/>
                <w:sz w:val="20"/>
                <w:szCs w:val="20"/>
                <w:highlight w:val="none"/>
              </w:rPr>
              <w:t xml:space="preserve"> </w:t>
            </w:r>
            <w:r>
              <w:rPr>
                <w:rFonts w:ascii="仿宋" w:hAnsi="仿宋" w:eastAsia="仿宋" w:cs="仿宋"/>
                <w:color w:val="auto"/>
                <w:spacing w:val="3"/>
                <w:sz w:val="20"/>
                <w:szCs w:val="20"/>
                <w:highlight w:val="none"/>
              </w:rPr>
              <w:t>米，</w:t>
            </w:r>
            <w:r>
              <w:rPr>
                <w:rFonts w:ascii="仿宋" w:hAnsi="仿宋" w:eastAsia="仿宋" w:cs="仿宋"/>
                <w:color w:val="auto"/>
                <w:spacing w:val="47"/>
                <w:sz w:val="20"/>
                <w:szCs w:val="20"/>
                <w:highlight w:val="none"/>
              </w:rPr>
              <w:t xml:space="preserve"> </w:t>
            </w:r>
            <w:r>
              <w:rPr>
                <w:rFonts w:ascii="仿宋" w:hAnsi="仿宋" w:eastAsia="仿宋" w:cs="仿宋"/>
                <w:color w:val="auto"/>
                <w:spacing w:val="3"/>
                <w:sz w:val="20"/>
                <w:szCs w:val="20"/>
                <w:highlight w:val="none"/>
              </w:rPr>
              <w:t>≥17±</w:t>
            </w:r>
          </w:p>
          <w:p w14:paraId="5B2041BC">
            <w:pPr>
              <w:keepNext w:val="0"/>
              <w:keepLines/>
              <w:pageBreakBefore w:val="0"/>
              <w:widowControl w:val="0"/>
              <w:kinsoku/>
              <w:wordWrap w:val="0"/>
              <w:overflowPunct/>
              <w:topLinePunct w:val="0"/>
              <w:autoSpaceDE/>
              <w:autoSpaceDN/>
              <w:bidi w:val="0"/>
              <w:adjustRightInd/>
              <w:snapToGrid/>
              <w:spacing w:before="160" w:line="231" w:lineRule="auto"/>
              <w:ind w:left="112"/>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0.2</w:t>
            </w:r>
            <w:r>
              <w:rPr>
                <w:rFonts w:ascii="仿宋" w:hAnsi="仿宋" w:eastAsia="仿宋" w:cs="仿宋"/>
                <w:color w:val="auto"/>
                <w:spacing w:val="31"/>
                <w:sz w:val="20"/>
                <w:szCs w:val="20"/>
                <w:highlight w:val="none"/>
              </w:rPr>
              <w:t xml:space="preserve"> </w:t>
            </w:r>
            <w:r>
              <w:rPr>
                <w:rFonts w:ascii="仿宋" w:hAnsi="仿宋" w:eastAsia="仿宋" w:cs="仿宋"/>
                <w:color w:val="auto"/>
                <w:spacing w:val="-1"/>
                <w:sz w:val="20"/>
                <w:szCs w:val="20"/>
                <w:highlight w:val="none"/>
              </w:rPr>
              <w:t>lux</w:t>
            </w:r>
            <w:r>
              <w:rPr>
                <w:rFonts w:ascii="仿宋" w:hAnsi="仿宋" w:eastAsia="仿宋" w:cs="仿宋"/>
                <w:color w:val="auto"/>
                <w:spacing w:val="12"/>
                <w:sz w:val="20"/>
                <w:szCs w:val="20"/>
                <w:highlight w:val="none"/>
              </w:rPr>
              <w:t xml:space="preserve"> </w:t>
            </w:r>
            <w:r>
              <w:rPr>
                <w:rFonts w:ascii="仿宋" w:hAnsi="仿宋" w:eastAsia="仿宋" w:cs="仿宋"/>
                <w:color w:val="auto"/>
                <w:spacing w:val="-1"/>
                <w:sz w:val="20"/>
                <w:szCs w:val="20"/>
                <w:highlight w:val="none"/>
              </w:rPr>
              <w:t>@</w:t>
            </w:r>
            <w:r>
              <w:rPr>
                <w:rFonts w:ascii="仿宋" w:hAnsi="仿宋" w:eastAsia="仿宋" w:cs="仿宋"/>
                <w:color w:val="auto"/>
                <w:spacing w:val="18"/>
                <w:sz w:val="20"/>
                <w:szCs w:val="20"/>
                <w:highlight w:val="none"/>
              </w:rPr>
              <w:t xml:space="preserve"> </w:t>
            </w:r>
            <w:r>
              <w:rPr>
                <w:rFonts w:ascii="仿宋" w:hAnsi="仿宋" w:eastAsia="仿宋" w:cs="仿宋"/>
                <w:color w:val="auto"/>
                <w:spacing w:val="-1"/>
                <w:sz w:val="20"/>
                <w:szCs w:val="20"/>
                <w:highlight w:val="none"/>
              </w:rPr>
              <w:t>50</w:t>
            </w:r>
            <w:r>
              <w:rPr>
                <w:rFonts w:ascii="仿宋" w:hAnsi="仿宋" w:eastAsia="仿宋" w:cs="仿宋"/>
                <w:color w:val="auto"/>
                <w:spacing w:val="20"/>
                <w:sz w:val="20"/>
                <w:szCs w:val="20"/>
                <w:highlight w:val="none"/>
              </w:rPr>
              <w:t xml:space="preserve"> </w:t>
            </w:r>
            <w:r>
              <w:rPr>
                <w:rFonts w:ascii="仿宋" w:hAnsi="仿宋" w:eastAsia="仿宋" w:cs="仿宋"/>
                <w:color w:val="auto"/>
                <w:spacing w:val="-1"/>
                <w:sz w:val="20"/>
                <w:szCs w:val="20"/>
                <w:highlight w:val="none"/>
              </w:rPr>
              <w:t>米</w:t>
            </w:r>
          </w:p>
          <w:p w14:paraId="5DAD095C">
            <w:pPr>
              <w:keepNext w:val="0"/>
              <w:keepLines/>
              <w:pageBreakBefore w:val="0"/>
              <w:widowControl w:val="0"/>
              <w:kinsoku/>
              <w:wordWrap w:val="0"/>
              <w:overflowPunct/>
              <w:topLinePunct w:val="0"/>
              <w:autoSpaceDE/>
              <w:autoSpaceDN/>
              <w:bidi w:val="0"/>
              <w:adjustRightInd/>
              <w:snapToGrid/>
              <w:spacing w:before="159" w:line="229"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7.云台灯功能：常亮，爆闪；</w:t>
            </w:r>
          </w:p>
          <w:p w14:paraId="6A683FD0">
            <w:pPr>
              <w:keepNext w:val="0"/>
              <w:keepLines/>
              <w:pageBreakBefore w:val="0"/>
              <w:widowControl w:val="0"/>
              <w:kinsoku/>
              <w:wordWrap w:val="0"/>
              <w:overflowPunct/>
              <w:topLinePunct w:val="0"/>
              <w:autoSpaceDE/>
              <w:autoSpaceDN/>
              <w:bidi w:val="0"/>
              <w:adjustRightInd/>
              <w:snapToGrid/>
              <w:spacing w:before="160" w:line="303" w:lineRule="auto"/>
              <w:ind w:left="118" w:right="102" w:hanging="7"/>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8.有效照明面积：</w:t>
            </w:r>
            <w:r>
              <w:rPr>
                <w:rFonts w:ascii="仿宋" w:hAnsi="仿宋" w:eastAsia="仿宋" w:cs="仿宋"/>
                <w:color w:val="auto"/>
                <w:spacing w:val="-53"/>
                <w:sz w:val="20"/>
                <w:szCs w:val="20"/>
                <w:highlight w:val="none"/>
              </w:rPr>
              <w:t xml:space="preserve"> </w:t>
            </w:r>
            <w:r>
              <w:rPr>
                <w:rFonts w:ascii="仿宋" w:hAnsi="仿宋" w:eastAsia="仿宋" w:cs="仿宋"/>
                <w:color w:val="auto"/>
                <w:spacing w:val="5"/>
                <w:sz w:val="20"/>
                <w:szCs w:val="20"/>
                <w:highlight w:val="none"/>
              </w:rPr>
              <w:t>≥1300 平方米@100</w:t>
            </w:r>
            <w:r>
              <w:rPr>
                <w:rFonts w:ascii="仿宋" w:hAnsi="仿宋" w:eastAsia="仿宋" w:cs="仿宋"/>
                <w:color w:val="auto"/>
                <w:spacing w:val="23"/>
                <w:sz w:val="20"/>
                <w:szCs w:val="20"/>
                <w:highlight w:val="none"/>
              </w:rPr>
              <w:t xml:space="preserve"> </w:t>
            </w:r>
            <w:r>
              <w:rPr>
                <w:rFonts w:ascii="仿宋" w:hAnsi="仿宋" w:eastAsia="仿宋" w:cs="仿宋"/>
                <w:color w:val="auto"/>
                <w:spacing w:val="4"/>
                <w:sz w:val="20"/>
                <w:szCs w:val="20"/>
                <w:highlight w:val="none"/>
              </w:rPr>
              <w:t>米（</w:t>
            </w:r>
            <w:r>
              <w:rPr>
                <w:rFonts w:ascii="仿宋" w:hAnsi="仿宋" w:eastAsia="仿宋" w:cs="仿宋"/>
                <w:color w:val="auto"/>
                <w:spacing w:val="-40"/>
                <w:sz w:val="20"/>
                <w:szCs w:val="20"/>
                <w:highlight w:val="none"/>
              </w:rPr>
              <w:t xml:space="preserve"> </w:t>
            </w:r>
            <w:r>
              <w:rPr>
                <w:rFonts w:ascii="仿宋" w:hAnsi="仿宋" w:eastAsia="仿宋" w:cs="仿宋"/>
                <w:color w:val="auto"/>
                <w:spacing w:val="4"/>
                <w:sz w:val="20"/>
                <w:szCs w:val="20"/>
                <w:highlight w:val="none"/>
              </w:rPr>
              <w:t>10%</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相对照度，普通模式）</w:t>
            </w:r>
          </w:p>
          <w:p w14:paraId="61654B36">
            <w:pPr>
              <w:keepNext w:val="0"/>
              <w:keepLines/>
              <w:pageBreakBefore w:val="0"/>
              <w:widowControl w:val="0"/>
              <w:kinsoku/>
              <w:wordWrap w:val="0"/>
              <w:overflowPunct/>
              <w:topLinePunct w:val="0"/>
              <w:autoSpaceDE/>
              <w:autoSpaceDN/>
              <w:bidi w:val="0"/>
              <w:adjustRightInd/>
              <w:snapToGrid/>
              <w:spacing w:before="158" w:line="232"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喊话器</w:t>
            </w:r>
          </w:p>
          <w:p w14:paraId="76856D11">
            <w:pPr>
              <w:keepNext w:val="0"/>
              <w:keepLines/>
              <w:pageBreakBefore w:val="0"/>
              <w:widowControl w:val="0"/>
              <w:kinsoku/>
              <w:wordWrap w:val="0"/>
              <w:overflowPunct/>
              <w:topLinePunct w:val="0"/>
              <w:autoSpaceDE/>
              <w:autoSpaceDN/>
              <w:bidi w:val="0"/>
              <w:adjustRightInd/>
              <w:snapToGrid/>
              <w:spacing w:before="158" w:line="306" w:lineRule="auto"/>
              <w:ind w:left="116" w:right="105" w:firstLine="9"/>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1. 外形尺寸：</w:t>
            </w:r>
            <w:r>
              <w:rPr>
                <w:rFonts w:ascii="仿宋" w:hAnsi="仿宋" w:eastAsia="仿宋" w:cs="仿宋"/>
                <w:color w:val="auto"/>
                <w:spacing w:val="25"/>
                <w:sz w:val="20"/>
                <w:szCs w:val="20"/>
                <w:highlight w:val="none"/>
              </w:rPr>
              <w:t xml:space="preserve"> </w:t>
            </w:r>
            <w:r>
              <w:rPr>
                <w:rFonts w:ascii="仿宋" w:hAnsi="仿宋" w:eastAsia="仿宋" w:cs="仿宋"/>
                <w:color w:val="auto"/>
                <w:spacing w:val="6"/>
                <w:sz w:val="20"/>
                <w:szCs w:val="20"/>
                <w:highlight w:val="none"/>
              </w:rPr>
              <w:t>≤73*70*52</w:t>
            </w:r>
            <w:r>
              <w:rPr>
                <w:rFonts w:ascii="仿宋" w:hAnsi="仿宋" w:eastAsia="仿宋" w:cs="仿宋"/>
                <w:color w:val="auto"/>
                <w:sz w:val="20"/>
                <w:szCs w:val="20"/>
                <w:highlight w:val="none"/>
              </w:rPr>
              <w:t>mm</w:t>
            </w:r>
            <w:r>
              <w:rPr>
                <w:rFonts w:ascii="仿宋" w:hAnsi="仿宋" w:eastAsia="仿宋" w:cs="仿宋"/>
                <w:color w:val="auto"/>
                <w:spacing w:val="-11"/>
                <w:sz w:val="20"/>
                <w:szCs w:val="20"/>
                <w:highlight w:val="none"/>
              </w:rPr>
              <w:t>；（</w:t>
            </w:r>
            <w:r>
              <w:rPr>
                <w:rFonts w:ascii="仿宋" w:hAnsi="仿宋" w:eastAsia="仿宋" w:cs="仿宋"/>
                <w:color w:val="auto"/>
                <w:spacing w:val="6"/>
                <w:sz w:val="20"/>
                <w:szCs w:val="20"/>
                <w:highlight w:val="none"/>
              </w:rPr>
              <w:t>长宽高均须满</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足）</w:t>
            </w:r>
          </w:p>
          <w:p w14:paraId="14BEAA92">
            <w:pPr>
              <w:keepNext w:val="0"/>
              <w:keepLines/>
              <w:pageBreakBefore w:val="0"/>
              <w:widowControl w:val="0"/>
              <w:kinsoku/>
              <w:wordWrap w:val="0"/>
              <w:overflowPunct/>
              <w:topLinePunct w:val="0"/>
              <w:autoSpaceDE/>
              <w:autoSpaceDN/>
              <w:bidi w:val="0"/>
              <w:adjustRightInd/>
              <w:snapToGrid/>
              <w:spacing w:before="154" w:line="224" w:lineRule="auto"/>
              <w:ind w:left="113"/>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pacing w:val="35"/>
                <w:sz w:val="20"/>
                <w:szCs w:val="20"/>
                <w:highlight w:val="none"/>
              </w:rPr>
              <w:t xml:space="preserve"> </w:t>
            </w:r>
            <w:r>
              <w:rPr>
                <w:rFonts w:ascii="仿宋" w:hAnsi="仿宋" w:eastAsia="仿宋" w:cs="仿宋"/>
                <w:color w:val="auto"/>
                <w:spacing w:val="-1"/>
                <w:sz w:val="20"/>
                <w:szCs w:val="20"/>
                <w:highlight w:val="none"/>
              </w:rPr>
              <w:t>重量：</w:t>
            </w:r>
            <w:r>
              <w:rPr>
                <w:rFonts w:ascii="仿宋" w:hAnsi="仿宋" w:eastAsia="仿宋" w:cs="仿宋"/>
                <w:color w:val="auto"/>
                <w:spacing w:val="39"/>
                <w:sz w:val="20"/>
                <w:szCs w:val="20"/>
                <w:highlight w:val="none"/>
              </w:rPr>
              <w:t xml:space="preserve"> </w:t>
            </w:r>
            <w:r>
              <w:rPr>
                <w:rFonts w:ascii="仿宋" w:hAnsi="仿宋" w:eastAsia="仿宋" w:cs="仿宋"/>
                <w:color w:val="auto"/>
                <w:spacing w:val="-1"/>
                <w:sz w:val="20"/>
                <w:szCs w:val="20"/>
                <w:highlight w:val="none"/>
              </w:rPr>
              <w:t>≤95g；</w:t>
            </w:r>
          </w:p>
          <w:p w14:paraId="291D1539">
            <w:pPr>
              <w:keepNext w:val="0"/>
              <w:keepLines/>
              <w:pageBreakBefore w:val="0"/>
              <w:widowControl w:val="0"/>
              <w:kinsoku/>
              <w:wordWrap w:val="0"/>
              <w:overflowPunct/>
              <w:topLinePunct w:val="0"/>
              <w:autoSpaceDE/>
              <w:autoSpaceDN/>
              <w:bidi w:val="0"/>
              <w:adjustRightInd/>
              <w:snapToGrid/>
              <w:spacing w:before="166"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3.防护等级：</w:t>
            </w:r>
            <w:r>
              <w:rPr>
                <w:rFonts w:ascii="仿宋" w:hAnsi="仿宋" w:eastAsia="仿宋" w:cs="仿宋"/>
                <w:color w:val="auto"/>
                <w:spacing w:val="50"/>
                <w:sz w:val="20"/>
                <w:szCs w:val="20"/>
                <w:highlight w:val="none"/>
              </w:rPr>
              <w:t xml:space="preserve"> </w:t>
            </w:r>
            <w:r>
              <w:rPr>
                <w:rFonts w:ascii="仿宋" w:hAnsi="仿宋" w:eastAsia="仿宋" w:cs="仿宋"/>
                <w:color w:val="auto"/>
                <w:spacing w:val="3"/>
                <w:sz w:val="20"/>
                <w:szCs w:val="20"/>
                <w:highlight w:val="none"/>
              </w:rPr>
              <w:t>≥</w:t>
            </w:r>
            <w:r>
              <w:rPr>
                <w:rFonts w:ascii="仿宋" w:hAnsi="仿宋" w:eastAsia="仿宋" w:cs="仿宋"/>
                <w:color w:val="auto"/>
                <w:sz w:val="20"/>
                <w:szCs w:val="20"/>
                <w:highlight w:val="none"/>
              </w:rPr>
              <w:t>IP</w:t>
            </w:r>
            <w:r>
              <w:rPr>
                <w:rFonts w:ascii="仿宋" w:hAnsi="仿宋" w:eastAsia="仿宋" w:cs="仿宋"/>
                <w:color w:val="auto"/>
                <w:spacing w:val="3"/>
                <w:sz w:val="20"/>
                <w:szCs w:val="20"/>
                <w:highlight w:val="none"/>
              </w:rPr>
              <w:t>55；</w:t>
            </w:r>
          </w:p>
          <w:p w14:paraId="5D508B35">
            <w:pPr>
              <w:keepNext w:val="0"/>
              <w:keepLines/>
              <w:pageBreakBefore w:val="0"/>
              <w:widowControl w:val="0"/>
              <w:kinsoku/>
              <w:wordWrap w:val="0"/>
              <w:overflowPunct/>
              <w:topLinePunct w:val="0"/>
              <w:autoSpaceDE/>
              <w:autoSpaceDN/>
              <w:bidi w:val="0"/>
              <w:adjustRightInd/>
              <w:snapToGrid/>
              <w:spacing w:before="157" w:line="229" w:lineRule="auto"/>
              <w:ind w:left="110"/>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4.工作温度：-20</w:t>
            </w:r>
            <w:r>
              <w:rPr>
                <w:rFonts w:ascii="仿宋" w:hAnsi="仿宋" w:eastAsia="仿宋" w:cs="仿宋"/>
                <w:color w:val="auto"/>
                <w:spacing w:val="28"/>
                <w:sz w:val="20"/>
                <w:szCs w:val="20"/>
                <w:highlight w:val="none"/>
              </w:rPr>
              <w:t xml:space="preserve"> </w:t>
            </w:r>
            <w:r>
              <w:rPr>
                <w:rFonts w:ascii="仿宋" w:hAnsi="仿宋" w:eastAsia="仿宋" w:cs="仿宋"/>
                <w:color w:val="auto"/>
                <w:spacing w:val="5"/>
                <w:sz w:val="20"/>
                <w:szCs w:val="20"/>
                <w:highlight w:val="none"/>
              </w:rPr>
              <w:t>℃至 50</w:t>
            </w:r>
            <w:r>
              <w:rPr>
                <w:rFonts w:ascii="仿宋" w:hAnsi="仿宋" w:eastAsia="仿宋" w:cs="仿宋"/>
                <w:color w:val="auto"/>
                <w:spacing w:val="25"/>
                <w:sz w:val="20"/>
                <w:szCs w:val="20"/>
                <w:highlight w:val="none"/>
              </w:rPr>
              <w:t xml:space="preserve"> </w:t>
            </w:r>
            <w:r>
              <w:rPr>
                <w:rFonts w:ascii="仿宋" w:hAnsi="仿宋" w:eastAsia="仿宋" w:cs="仿宋"/>
                <w:color w:val="auto"/>
                <w:spacing w:val="5"/>
                <w:sz w:val="20"/>
                <w:szCs w:val="20"/>
                <w:highlight w:val="none"/>
              </w:rPr>
              <w:t>℃</w:t>
            </w:r>
          </w:p>
          <w:p w14:paraId="3D917CD5">
            <w:pPr>
              <w:keepNext w:val="0"/>
              <w:keepLines/>
              <w:pageBreakBefore w:val="0"/>
              <w:widowControl w:val="0"/>
              <w:kinsoku/>
              <w:wordWrap w:val="0"/>
              <w:overflowPunct/>
              <w:topLinePunct w:val="0"/>
              <w:autoSpaceDE/>
              <w:autoSpaceDN/>
              <w:bidi w:val="0"/>
              <w:adjustRightInd/>
              <w:snapToGrid/>
              <w:spacing w:before="163"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5.总功率：</w:t>
            </w:r>
            <w:r>
              <w:rPr>
                <w:rFonts w:ascii="仿宋" w:hAnsi="仿宋" w:eastAsia="仿宋" w:cs="仿宋"/>
                <w:color w:val="auto"/>
                <w:spacing w:val="46"/>
                <w:sz w:val="20"/>
                <w:szCs w:val="20"/>
                <w:highlight w:val="none"/>
              </w:rPr>
              <w:t xml:space="preserve"> </w:t>
            </w:r>
            <w:r>
              <w:rPr>
                <w:rFonts w:ascii="仿宋" w:hAnsi="仿宋" w:eastAsia="仿宋" w:cs="仿宋"/>
                <w:color w:val="auto"/>
                <w:spacing w:val="2"/>
                <w:sz w:val="20"/>
                <w:szCs w:val="20"/>
                <w:highlight w:val="none"/>
              </w:rPr>
              <w:t>≤40W；</w:t>
            </w:r>
          </w:p>
          <w:p w14:paraId="3D37500E">
            <w:pPr>
              <w:keepNext w:val="0"/>
              <w:keepLines/>
              <w:pageBreakBefore w:val="0"/>
              <w:widowControl w:val="0"/>
              <w:kinsoku/>
              <w:wordWrap w:val="0"/>
              <w:overflowPunct/>
              <w:topLinePunct w:val="0"/>
              <w:autoSpaceDE/>
              <w:autoSpaceDN/>
              <w:bidi w:val="0"/>
              <w:adjustRightInd/>
              <w:snapToGrid/>
              <w:spacing w:before="158" w:line="231" w:lineRule="auto"/>
              <w:ind w:left="112"/>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6.声压：</w:t>
            </w:r>
            <w:r>
              <w:rPr>
                <w:rFonts w:ascii="仿宋" w:hAnsi="仿宋" w:eastAsia="仿宋" w:cs="仿宋"/>
                <w:color w:val="auto"/>
                <w:spacing w:val="52"/>
                <w:sz w:val="20"/>
                <w:szCs w:val="20"/>
                <w:highlight w:val="none"/>
              </w:rPr>
              <w:t xml:space="preserve"> </w:t>
            </w:r>
            <w:r>
              <w:rPr>
                <w:rFonts w:ascii="仿宋" w:hAnsi="仿宋" w:eastAsia="仿宋" w:cs="仿宋"/>
                <w:color w:val="auto"/>
                <w:spacing w:val="3"/>
                <w:sz w:val="20"/>
                <w:szCs w:val="20"/>
                <w:highlight w:val="none"/>
              </w:rPr>
              <w:t>≥110</w:t>
            </w:r>
            <w:r>
              <w:rPr>
                <w:rFonts w:ascii="仿宋" w:hAnsi="仿宋" w:eastAsia="仿宋" w:cs="仿宋"/>
                <w:color w:val="auto"/>
                <w:sz w:val="20"/>
                <w:szCs w:val="20"/>
                <w:highlight w:val="none"/>
              </w:rPr>
              <w:t>dB</w:t>
            </w:r>
            <w:r>
              <w:rPr>
                <w:rFonts w:ascii="仿宋" w:hAnsi="仿宋" w:eastAsia="仿宋" w:cs="仿宋"/>
                <w:color w:val="auto"/>
                <w:spacing w:val="3"/>
                <w:sz w:val="20"/>
                <w:szCs w:val="20"/>
                <w:highlight w:val="none"/>
              </w:rPr>
              <w:t>@</w:t>
            </w:r>
            <w:r>
              <w:rPr>
                <w:rFonts w:ascii="仿宋" w:hAnsi="仿宋" w:eastAsia="仿宋" w:cs="仿宋"/>
                <w:color w:val="auto"/>
                <w:sz w:val="20"/>
                <w:szCs w:val="20"/>
                <w:highlight w:val="none"/>
              </w:rPr>
              <w:t>lm</w:t>
            </w:r>
            <w:r>
              <w:rPr>
                <w:rFonts w:ascii="仿宋" w:hAnsi="仿宋" w:eastAsia="仿宋" w:cs="仿宋"/>
                <w:color w:val="auto"/>
                <w:spacing w:val="3"/>
                <w:sz w:val="20"/>
                <w:szCs w:val="20"/>
                <w:highlight w:val="none"/>
              </w:rPr>
              <w:t>；</w:t>
            </w:r>
          </w:p>
          <w:p w14:paraId="08DAC05B">
            <w:pPr>
              <w:keepNext w:val="0"/>
              <w:keepLines/>
              <w:pageBreakBefore w:val="0"/>
              <w:widowControl w:val="0"/>
              <w:kinsoku/>
              <w:wordWrap w:val="0"/>
              <w:overflowPunct/>
              <w:topLinePunct w:val="0"/>
              <w:autoSpaceDE/>
              <w:autoSpaceDN/>
              <w:bidi w:val="0"/>
              <w:adjustRightInd/>
              <w:snapToGrid/>
              <w:spacing w:before="157" w:line="304" w:lineRule="auto"/>
              <w:ind w:left="116" w:right="47" w:hanging="1"/>
              <w:textAlignment w:val="auto"/>
              <w:rPr>
                <w:rFonts w:ascii="仿宋" w:hAnsi="仿宋" w:eastAsia="仿宋" w:cs="仿宋"/>
                <w:color w:val="auto"/>
                <w:sz w:val="20"/>
                <w:szCs w:val="20"/>
                <w:highlight w:val="none"/>
              </w:rPr>
            </w:pPr>
            <w:r>
              <w:rPr>
                <w:rFonts w:ascii="仿宋" w:hAnsi="仿宋" w:eastAsia="仿宋" w:cs="仿宋"/>
                <w:color w:val="auto"/>
                <w:sz w:val="20"/>
                <w:szCs w:val="20"/>
                <w:highlight w:val="none"/>
              </w:rPr>
              <w:t>7.喊话方式：实时喊话、录音喊话，文字转语音，</w:t>
            </w:r>
            <w:r>
              <w:rPr>
                <w:rFonts w:ascii="仿宋" w:hAnsi="仿宋" w:eastAsia="仿宋" w:cs="仿宋"/>
                <w:color w:val="auto"/>
                <w:spacing w:val="10"/>
                <w:sz w:val="20"/>
                <w:szCs w:val="20"/>
                <w:highlight w:val="none"/>
              </w:rPr>
              <w:t xml:space="preserve"> </w:t>
            </w:r>
            <w:r>
              <w:rPr>
                <w:rFonts w:ascii="仿宋" w:hAnsi="仿宋" w:eastAsia="仿宋" w:cs="仿宋"/>
                <w:color w:val="auto"/>
                <w:spacing w:val="4"/>
                <w:sz w:val="20"/>
                <w:szCs w:val="20"/>
                <w:highlight w:val="none"/>
              </w:rPr>
              <w:t>文件播放；</w:t>
            </w:r>
          </w:p>
          <w:p w14:paraId="62F1C714">
            <w:pPr>
              <w:keepNext w:val="0"/>
              <w:keepLines/>
              <w:pageBreakBefore w:val="0"/>
              <w:widowControl w:val="0"/>
              <w:kinsoku/>
              <w:wordWrap w:val="0"/>
              <w:overflowPunct/>
              <w:topLinePunct w:val="0"/>
              <w:autoSpaceDE/>
              <w:autoSpaceDN/>
              <w:bidi w:val="0"/>
              <w:adjustRightInd/>
              <w:snapToGrid/>
              <w:spacing w:before="158" w:line="231" w:lineRule="auto"/>
              <w:ind w:left="111"/>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8.有效广播距离：</w:t>
            </w:r>
            <w:r>
              <w:rPr>
                <w:rFonts w:ascii="仿宋" w:hAnsi="仿宋" w:eastAsia="仿宋" w:cs="仿宋"/>
                <w:color w:val="auto"/>
                <w:spacing w:val="48"/>
                <w:sz w:val="20"/>
                <w:szCs w:val="20"/>
                <w:highlight w:val="none"/>
              </w:rPr>
              <w:t xml:space="preserve"> </w:t>
            </w:r>
            <w:r>
              <w:rPr>
                <w:rFonts w:ascii="仿宋" w:hAnsi="仿宋" w:eastAsia="仿宋" w:cs="仿宋"/>
                <w:color w:val="auto"/>
                <w:spacing w:val="5"/>
                <w:sz w:val="20"/>
                <w:szCs w:val="20"/>
                <w:highlight w:val="none"/>
              </w:rPr>
              <w:t>≥300 米</w:t>
            </w:r>
          </w:p>
        </w:tc>
      </w:tr>
      <w:tr w14:paraId="08F4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0" w:hRule="atLeast"/>
        </w:trPr>
        <w:tc>
          <w:tcPr>
            <w:tcW w:w="1345" w:type="dxa"/>
            <w:noWrap w:val="0"/>
            <w:vAlign w:val="top"/>
          </w:tcPr>
          <w:p w14:paraId="16D201A7">
            <w:pPr>
              <w:keepNext w:val="0"/>
              <w:keepLines/>
              <w:pageBreakBefore w:val="0"/>
              <w:widowControl w:val="0"/>
              <w:kinsoku/>
              <w:wordWrap w:val="0"/>
              <w:overflowPunct/>
              <w:topLinePunct w:val="0"/>
              <w:autoSpaceDE/>
              <w:autoSpaceDN/>
              <w:bidi w:val="0"/>
              <w:adjustRightInd/>
              <w:snapToGrid/>
              <w:spacing w:line="249" w:lineRule="auto"/>
              <w:textAlignment w:val="auto"/>
              <w:rPr>
                <w:rFonts w:ascii="Arial"/>
                <w:color w:val="auto"/>
                <w:sz w:val="21"/>
                <w:highlight w:val="none"/>
              </w:rPr>
            </w:pPr>
          </w:p>
          <w:p w14:paraId="539A4C10">
            <w:pPr>
              <w:keepNext w:val="0"/>
              <w:keepLines/>
              <w:pageBreakBefore w:val="0"/>
              <w:widowControl w:val="0"/>
              <w:kinsoku/>
              <w:wordWrap w:val="0"/>
              <w:overflowPunct/>
              <w:topLinePunct w:val="0"/>
              <w:autoSpaceDE/>
              <w:autoSpaceDN/>
              <w:bidi w:val="0"/>
              <w:adjustRightInd/>
              <w:snapToGrid/>
              <w:spacing w:line="249" w:lineRule="auto"/>
              <w:textAlignment w:val="auto"/>
              <w:rPr>
                <w:rFonts w:ascii="Arial"/>
                <w:color w:val="auto"/>
                <w:sz w:val="21"/>
                <w:highlight w:val="none"/>
              </w:rPr>
            </w:pPr>
          </w:p>
          <w:p w14:paraId="1D98619E">
            <w:pPr>
              <w:keepNext w:val="0"/>
              <w:keepLines/>
              <w:pageBreakBefore w:val="0"/>
              <w:widowControl w:val="0"/>
              <w:kinsoku/>
              <w:wordWrap w:val="0"/>
              <w:overflowPunct/>
              <w:topLinePunct w:val="0"/>
              <w:autoSpaceDE/>
              <w:autoSpaceDN/>
              <w:bidi w:val="0"/>
              <w:adjustRightInd/>
              <w:snapToGrid/>
              <w:spacing w:line="249" w:lineRule="auto"/>
              <w:textAlignment w:val="auto"/>
              <w:rPr>
                <w:rFonts w:ascii="Arial"/>
                <w:color w:val="auto"/>
                <w:sz w:val="21"/>
                <w:highlight w:val="none"/>
              </w:rPr>
            </w:pPr>
          </w:p>
          <w:p w14:paraId="79E29BE5">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783B5C62">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1F9A2EC5">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0DE11D8A">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44FA6168">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767475E1">
            <w:pPr>
              <w:keepNext w:val="0"/>
              <w:keepLines/>
              <w:pageBreakBefore w:val="0"/>
              <w:widowControl w:val="0"/>
              <w:kinsoku/>
              <w:wordWrap w:val="0"/>
              <w:overflowPunct/>
              <w:topLinePunct w:val="0"/>
              <w:autoSpaceDE/>
              <w:autoSpaceDN/>
              <w:bidi w:val="0"/>
              <w:adjustRightInd/>
              <w:snapToGrid/>
              <w:spacing w:before="65" w:line="272" w:lineRule="exact"/>
              <w:ind w:left="130"/>
              <w:textAlignment w:val="auto"/>
              <w:rPr>
                <w:rFonts w:ascii="仿宋" w:hAnsi="仿宋" w:eastAsia="仿宋" w:cs="仿宋"/>
                <w:color w:val="auto"/>
                <w:sz w:val="20"/>
                <w:szCs w:val="20"/>
                <w:highlight w:val="none"/>
              </w:rPr>
            </w:pPr>
            <w:r>
              <w:rPr>
                <w:rFonts w:ascii="仿宋" w:hAnsi="仿宋" w:eastAsia="仿宋" w:cs="仿宋"/>
                <w:color w:val="auto"/>
                <w:spacing w:val="-7"/>
                <w:position w:val="1"/>
                <w:sz w:val="20"/>
                <w:szCs w:val="20"/>
                <w:highlight w:val="none"/>
              </w:rPr>
              <w:t>12</w:t>
            </w:r>
          </w:p>
        </w:tc>
        <w:tc>
          <w:tcPr>
            <w:tcW w:w="2101" w:type="dxa"/>
            <w:noWrap w:val="0"/>
            <w:vAlign w:val="top"/>
          </w:tcPr>
          <w:p w14:paraId="6DAF496F">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46C53592">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3857DC75">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7435605D">
            <w:pPr>
              <w:keepNext w:val="0"/>
              <w:keepLines/>
              <w:pageBreakBefore w:val="0"/>
              <w:widowControl w:val="0"/>
              <w:kinsoku/>
              <w:wordWrap w:val="0"/>
              <w:overflowPunct/>
              <w:topLinePunct w:val="0"/>
              <w:autoSpaceDE/>
              <w:autoSpaceDN/>
              <w:bidi w:val="0"/>
              <w:adjustRightInd/>
              <w:snapToGrid/>
              <w:spacing w:line="266" w:lineRule="auto"/>
              <w:textAlignment w:val="auto"/>
              <w:rPr>
                <w:rFonts w:ascii="Arial"/>
                <w:color w:val="auto"/>
                <w:sz w:val="21"/>
                <w:highlight w:val="none"/>
              </w:rPr>
            </w:pPr>
          </w:p>
          <w:p w14:paraId="36631586">
            <w:pPr>
              <w:keepNext w:val="0"/>
              <w:keepLines/>
              <w:pageBreakBefore w:val="0"/>
              <w:widowControl w:val="0"/>
              <w:kinsoku/>
              <w:wordWrap w:val="0"/>
              <w:overflowPunct/>
              <w:topLinePunct w:val="0"/>
              <w:autoSpaceDE/>
              <w:autoSpaceDN/>
              <w:bidi w:val="0"/>
              <w:adjustRightInd/>
              <w:snapToGrid/>
              <w:spacing w:line="266" w:lineRule="auto"/>
              <w:textAlignment w:val="auto"/>
              <w:rPr>
                <w:rFonts w:ascii="Arial"/>
                <w:color w:val="auto"/>
                <w:sz w:val="21"/>
                <w:highlight w:val="none"/>
              </w:rPr>
            </w:pPr>
          </w:p>
          <w:p w14:paraId="5CF9473E">
            <w:pPr>
              <w:keepNext w:val="0"/>
              <w:keepLines/>
              <w:pageBreakBefore w:val="0"/>
              <w:widowControl w:val="0"/>
              <w:kinsoku/>
              <w:wordWrap w:val="0"/>
              <w:overflowPunct/>
              <w:topLinePunct w:val="0"/>
              <w:autoSpaceDE/>
              <w:autoSpaceDN/>
              <w:bidi w:val="0"/>
              <w:adjustRightInd/>
              <w:snapToGrid/>
              <w:spacing w:line="266" w:lineRule="auto"/>
              <w:textAlignment w:val="auto"/>
              <w:rPr>
                <w:rFonts w:ascii="Arial"/>
                <w:color w:val="auto"/>
                <w:sz w:val="21"/>
                <w:highlight w:val="none"/>
              </w:rPr>
            </w:pPr>
          </w:p>
          <w:p w14:paraId="343A4EAE">
            <w:pPr>
              <w:keepNext w:val="0"/>
              <w:keepLines/>
              <w:pageBreakBefore w:val="0"/>
              <w:widowControl w:val="0"/>
              <w:kinsoku/>
              <w:wordWrap w:val="0"/>
              <w:overflowPunct/>
              <w:topLinePunct w:val="0"/>
              <w:autoSpaceDE/>
              <w:autoSpaceDN/>
              <w:bidi w:val="0"/>
              <w:adjustRightInd/>
              <w:snapToGrid/>
              <w:spacing w:before="65" w:line="377" w:lineRule="auto"/>
              <w:ind w:left="127" w:right="107" w:hanging="12"/>
              <w:jc w:val="both"/>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5 年</w:t>
            </w:r>
            <w:r>
              <w:rPr>
                <w:rFonts w:ascii="仿宋" w:hAnsi="仿宋" w:eastAsia="仿宋" w:cs="仿宋"/>
                <w:color w:val="auto"/>
                <w:spacing w:val="-44"/>
                <w:sz w:val="20"/>
                <w:szCs w:val="20"/>
                <w:highlight w:val="none"/>
              </w:rPr>
              <w:t xml:space="preserve"> </w:t>
            </w:r>
            <w:r>
              <w:rPr>
                <w:rFonts w:ascii="仿宋" w:hAnsi="仿宋" w:eastAsia="仿宋" w:cs="仿宋"/>
                <w:color w:val="auto"/>
                <w:spacing w:val="-6"/>
                <w:sz w:val="20"/>
                <w:szCs w:val="20"/>
                <w:highlight w:val="none"/>
              </w:rPr>
              <w:t>无</w:t>
            </w:r>
            <w:r>
              <w:rPr>
                <w:rFonts w:ascii="仿宋" w:hAnsi="仿宋" w:eastAsia="仿宋" w:cs="仿宋"/>
                <w:color w:val="auto"/>
                <w:spacing w:val="-47"/>
                <w:sz w:val="20"/>
                <w:szCs w:val="20"/>
                <w:highlight w:val="none"/>
              </w:rPr>
              <w:t xml:space="preserve"> </w:t>
            </w:r>
            <w:r>
              <w:rPr>
                <w:rFonts w:ascii="仿宋" w:hAnsi="仿宋" w:eastAsia="仿宋" w:cs="仿宋"/>
                <w:color w:val="auto"/>
                <w:spacing w:val="-6"/>
                <w:sz w:val="20"/>
                <w:szCs w:val="20"/>
                <w:highlight w:val="none"/>
              </w:rPr>
              <w:t>人</w:t>
            </w:r>
            <w:r>
              <w:rPr>
                <w:rFonts w:ascii="仿宋" w:hAnsi="仿宋" w:eastAsia="仿宋" w:cs="仿宋"/>
                <w:color w:val="auto"/>
                <w:spacing w:val="-50"/>
                <w:sz w:val="20"/>
                <w:szCs w:val="20"/>
                <w:highlight w:val="none"/>
              </w:rPr>
              <w:t xml:space="preserve"> </w:t>
            </w:r>
            <w:r>
              <w:rPr>
                <w:rFonts w:ascii="仿宋" w:hAnsi="仿宋" w:eastAsia="仿宋" w:cs="仿宋"/>
                <w:color w:val="auto"/>
                <w:spacing w:val="-6"/>
                <w:sz w:val="20"/>
                <w:szCs w:val="20"/>
                <w:highlight w:val="none"/>
              </w:rPr>
              <w:t>机</w:t>
            </w:r>
            <w:r>
              <w:rPr>
                <w:rFonts w:ascii="仿宋" w:hAnsi="仿宋" w:eastAsia="仿宋" w:cs="仿宋"/>
                <w:color w:val="auto"/>
                <w:spacing w:val="-50"/>
                <w:sz w:val="20"/>
                <w:szCs w:val="20"/>
                <w:highlight w:val="none"/>
              </w:rPr>
              <w:t xml:space="preserve"> </w:t>
            </w:r>
            <w:r>
              <w:rPr>
                <w:rFonts w:ascii="仿宋" w:hAnsi="仿宋" w:eastAsia="仿宋" w:cs="仿宋"/>
                <w:color w:val="auto"/>
                <w:spacing w:val="-6"/>
                <w:sz w:val="20"/>
                <w:szCs w:val="20"/>
                <w:highlight w:val="none"/>
              </w:rPr>
              <w:t>保</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险服务（含三者</w:t>
            </w:r>
            <w:r>
              <w:rPr>
                <w:rFonts w:ascii="仿宋" w:hAnsi="仿宋" w:eastAsia="仿宋" w:cs="仿宋"/>
                <w:color w:val="auto"/>
                <w:spacing w:val="4"/>
                <w:sz w:val="20"/>
                <w:szCs w:val="20"/>
                <w:highlight w:val="none"/>
              </w:rPr>
              <w:t xml:space="preserve"> </w:t>
            </w:r>
            <w:r>
              <w:rPr>
                <w:rFonts w:ascii="仿宋" w:hAnsi="仿宋" w:eastAsia="仿宋" w:cs="仿宋"/>
                <w:color w:val="auto"/>
                <w:spacing w:val="-8"/>
                <w:sz w:val="20"/>
                <w:szCs w:val="20"/>
                <w:highlight w:val="none"/>
              </w:rPr>
              <w:t>险）</w:t>
            </w:r>
          </w:p>
        </w:tc>
        <w:tc>
          <w:tcPr>
            <w:tcW w:w="6033" w:type="dxa"/>
            <w:noWrap w:val="0"/>
            <w:vAlign w:val="top"/>
          </w:tcPr>
          <w:p w14:paraId="6046C16B">
            <w:pPr>
              <w:keepNext w:val="0"/>
              <w:keepLines/>
              <w:pageBreakBefore w:val="0"/>
              <w:widowControl w:val="0"/>
              <w:kinsoku/>
              <w:wordWrap w:val="0"/>
              <w:overflowPunct/>
              <w:topLinePunct w:val="0"/>
              <w:autoSpaceDE/>
              <w:autoSpaceDN/>
              <w:bidi w:val="0"/>
              <w:adjustRightInd/>
              <w:snapToGrid/>
              <w:spacing w:before="35"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453DE865">
            <w:pPr>
              <w:keepNext w:val="0"/>
              <w:keepLines/>
              <w:pageBreakBefore w:val="0"/>
              <w:widowControl w:val="0"/>
              <w:kinsoku/>
              <w:wordWrap w:val="0"/>
              <w:overflowPunct/>
              <w:topLinePunct w:val="0"/>
              <w:autoSpaceDE/>
              <w:autoSpaceDN/>
              <w:bidi w:val="0"/>
              <w:adjustRightInd/>
              <w:snapToGrid/>
              <w:spacing w:before="157" w:line="328" w:lineRule="auto"/>
              <w:ind w:left="117" w:right="105" w:firstLine="8"/>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1.无人机及机库机身保险服务，撞击跌落、意外</w:t>
            </w:r>
            <w:r>
              <w:rPr>
                <w:rFonts w:ascii="仿宋" w:hAnsi="仿宋" w:eastAsia="仿宋" w:cs="仿宋"/>
                <w:color w:val="auto"/>
                <w:spacing w:val="10"/>
                <w:sz w:val="20"/>
                <w:szCs w:val="20"/>
                <w:highlight w:val="none"/>
              </w:rPr>
              <w:t xml:space="preserve"> </w:t>
            </w:r>
            <w:r>
              <w:rPr>
                <w:rFonts w:ascii="仿宋" w:hAnsi="仿宋" w:eastAsia="仿宋" w:cs="仿宋"/>
                <w:color w:val="auto"/>
                <w:spacing w:val="7"/>
                <w:sz w:val="20"/>
                <w:szCs w:val="20"/>
                <w:highlight w:val="none"/>
              </w:rPr>
              <w:t>进水等无人机意外场景，每年内保障额度内不限</w:t>
            </w:r>
            <w:r>
              <w:rPr>
                <w:rFonts w:ascii="仿宋" w:hAnsi="仿宋" w:eastAsia="仿宋" w:cs="仿宋"/>
                <w:color w:val="auto"/>
                <w:spacing w:val="3"/>
                <w:sz w:val="20"/>
                <w:szCs w:val="20"/>
                <w:highlight w:val="none"/>
              </w:rPr>
              <w:t xml:space="preserve"> </w:t>
            </w:r>
            <w:r>
              <w:rPr>
                <w:rFonts w:ascii="仿宋" w:hAnsi="仿宋" w:eastAsia="仿宋" w:cs="仿宋"/>
                <w:color w:val="auto"/>
                <w:spacing w:val="7"/>
                <w:sz w:val="20"/>
                <w:szCs w:val="20"/>
                <w:highlight w:val="none"/>
              </w:rPr>
              <w:t>次数免费置换或维修服务；</w:t>
            </w:r>
          </w:p>
          <w:p w14:paraId="017BED96">
            <w:pPr>
              <w:keepNext w:val="0"/>
              <w:keepLines/>
              <w:pageBreakBefore w:val="0"/>
              <w:widowControl w:val="0"/>
              <w:kinsoku/>
              <w:wordWrap w:val="0"/>
              <w:overflowPunct/>
              <w:topLinePunct w:val="0"/>
              <w:autoSpaceDE/>
              <w:autoSpaceDN/>
              <w:bidi w:val="0"/>
              <w:adjustRightInd/>
              <w:snapToGrid/>
              <w:spacing w:before="158" w:line="303" w:lineRule="auto"/>
              <w:ind w:left="121" w:right="103" w:hanging="8"/>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2.包含无人机机身（不含电池）邮寄回厂家总部</w:t>
            </w:r>
            <w:r>
              <w:rPr>
                <w:rFonts w:ascii="仿宋" w:hAnsi="仿宋" w:eastAsia="仿宋" w:cs="仿宋"/>
                <w:color w:val="auto"/>
                <w:spacing w:val="3"/>
                <w:sz w:val="20"/>
                <w:szCs w:val="20"/>
                <w:highlight w:val="none"/>
              </w:rPr>
              <w:t xml:space="preserve"> </w:t>
            </w:r>
            <w:r>
              <w:rPr>
                <w:rFonts w:ascii="仿宋" w:hAnsi="仿宋" w:eastAsia="仿宋" w:cs="仿宋"/>
                <w:color w:val="auto"/>
                <w:spacing w:val="8"/>
                <w:sz w:val="20"/>
                <w:szCs w:val="20"/>
                <w:highlight w:val="none"/>
              </w:rPr>
              <w:t>维修，机 库保障额度内免费上门维修；</w:t>
            </w:r>
          </w:p>
          <w:p w14:paraId="56F1A309">
            <w:pPr>
              <w:keepNext w:val="0"/>
              <w:keepLines/>
              <w:pageBreakBefore w:val="0"/>
              <w:widowControl w:val="0"/>
              <w:kinsoku/>
              <w:wordWrap w:val="0"/>
              <w:overflowPunct/>
              <w:topLinePunct w:val="0"/>
              <w:autoSpaceDE/>
              <w:autoSpaceDN/>
              <w:bidi w:val="0"/>
              <w:adjustRightInd/>
              <w:snapToGrid/>
              <w:spacing w:before="161" w:line="328" w:lineRule="auto"/>
              <w:ind w:left="117" w:right="103" w:hanging="2"/>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3.保障部件：包含主控模块、空调控制器、停机</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坪模组、</w:t>
            </w:r>
            <w:r>
              <w:rPr>
                <w:rFonts w:ascii="仿宋" w:hAnsi="仿宋" w:eastAsia="仿宋" w:cs="仿宋"/>
                <w:color w:val="auto"/>
                <w:spacing w:val="63"/>
                <w:sz w:val="20"/>
                <w:szCs w:val="20"/>
                <w:highlight w:val="none"/>
              </w:rPr>
              <w:t xml:space="preserve"> </w:t>
            </w:r>
            <w:r>
              <w:rPr>
                <w:rFonts w:ascii="仿宋" w:hAnsi="仿宋" w:eastAsia="仿宋" w:cs="仿宋"/>
                <w:color w:val="auto"/>
                <w:spacing w:val="8"/>
                <w:sz w:val="20"/>
                <w:szCs w:val="20"/>
                <w:highlight w:val="none"/>
              </w:rPr>
              <w:t>电动推杆组 件、空调模组、</w:t>
            </w:r>
            <w:r>
              <w:rPr>
                <w:rFonts w:ascii="仿宋" w:hAnsi="仿宋" w:eastAsia="仿宋" w:cs="仿宋"/>
                <w:color w:val="auto"/>
                <w:sz w:val="20"/>
                <w:szCs w:val="20"/>
                <w:highlight w:val="none"/>
              </w:rPr>
              <w:t>ACDC</w:t>
            </w:r>
            <w:r>
              <w:rPr>
                <w:rFonts w:ascii="仿宋" w:hAnsi="仿宋" w:eastAsia="仿宋" w:cs="仿宋"/>
                <w:color w:val="auto"/>
                <w:spacing w:val="46"/>
                <w:sz w:val="20"/>
                <w:szCs w:val="20"/>
                <w:highlight w:val="none"/>
              </w:rPr>
              <w:t xml:space="preserve"> </w:t>
            </w:r>
            <w:r>
              <w:rPr>
                <w:rFonts w:ascii="仿宋" w:hAnsi="仿宋" w:eastAsia="仿宋" w:cs="仿宋"/>
                <w:color w:val="auto"/>
                <w:spacing w:val="8"/>
                <w:sz w:val="20"/>
                <w:szCs w:val="20"/>
                <w:highlight w:val="none"/>
              </w:rPr>
              <w:t>电</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源、蓄电池、舱盖、风速计、雨量计。</w:t>
            </w:r>
          </w:p>
          <w:p w14:paraId="39F3BABC">
            <w:pPr>
              <w:keepNext w:val="0"/>
              <w:keepLines/>
              <w:pageBreakBefore w:val="0"/>
              <w:widowControl w:val="0"/>
              <w:kinsoku/>
              <w:wordWrap w:val="0"/>
              <w:overflowPunct/>
              <w:topLinePunct w:val="0"/>
              <w:autoSpaceDE/>
              <w:autoSpaceDN/>
              <w:bidi w:val="0"/>
              <w:adjustRightInd/>
              <w:snapToGrid/>
              <w:spacing w:before="158" w:line="303" w:lineRule="auto"/>
              <w:ind w:left="122" w:right="103" w:hanging="12"/>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4.发生意外情况，第三者责任险服务，额度</w:t>
            </w:r>
            <w:r>
              <w:rPr>
                <w:rFonts w:ascii="仿宋" w:hAnsi="仿宋" w:eastAsia="仿宋" w:cs="仿宋"/>
                <w:color w:val="auto"/>
                <w:spacing w:val="37"/>
                <w:sz w:val="20"/>
                <w:szCs w:val="20"/>
                <w:highlight w:val="none"/>
              </w:rPr>
              <w:t xml:space="preserve"> </w:t>
            </w:r>
            <w:r>
              <w:rPr>
                <w:rFonts w:ascii="仿宋" w:hAnsi="仿宋" w:eastAsia="仿宋" w:cs="仿宋"/>
                <w:color w:val="auto"/>
                <w:spacing w:val="1"/>
                <w:sz w:val="20"/>
                <w:szCs w:val="20"/>
                <w:highlight w:val="none"/>
              </w:rPr>
              <w:t>1 年</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不少于</w:t>
            </w:r>
            <w:r>
              <w:rPr>
                <w:rFonts w:ascii="仿宋" w:hAnsi="仿宋" w:eastAsia="仿宋" w:cs="仿宋"/>
                <w:color w:val="auto"/>
                <w:spacing w:val="39"/>
                <w:sz w:val="20"/>
                <w:szCs w:val="20"/>
                <w:highlight w:val="none"/>
              </w:rPr>
              <w:t xml:space="preserve"> </w:t>
            </w:r>
            <w:r>
              <w:rPr>
                <w:rFonts w:ascii="仿宋" w:hAnsi="仿宋" w:eastAsia="仿宋" w:cs="仿宋"/>
                <w:color w:val="auto"/>
                <w:spacing w:val="2"/>
                <w:sz w:val="20"/>
                <w:szCs w:val="20"/>
                <w:highlight w:val="none"/>
              </w:rPr>
              <w:t>100</w:t>
            </w:r>
            <w:r>
              <w:rPr>
                <w:rFonts w:ascii="仿宋" w:hAnsi="仿宋" w:eastAsia="仿宋" w:cs="仿宋"/>
                <w:color w:val="auto"/>
                <w:spacing w:val="-33"/>
                <w:sz w:val="20"/>
                <w:szCs w:val="20"/>
                <w:highlight w:val="none"/>
              </w:rPr>
              <w:t xml:space="preserve"> </w:t>
            </w:r>
            <w:r>
              <w:rPr>
                <w:rFonts w:ascii="仿宋" w:hAnsi="仿宋" w:eastAsia="仿宋" w:cs="仿宋"/>
                <w:color w:val="auto"/>
                <w:spacing w:val="2"/>
                <w:sz w:val="20"/>
                <w:szCs w:val="20"/>
                <w:highlight w:val="none"/>
              </w:rPr>
              <w:t>万，在保</w:t>
            </w:r>
            <w:r>
              <w:rPr>
                <w:rFonts w:ascii="仿宋" w:hAnsi="仿宋" w:eastAsia="仿宋" w:cs="仿宋"/>
                <w:color w:val="auto"/>
                <w:spacing w:val="29"/>
                <w:sz w:val="20"/>
                <w:szCs w:val="20"/>
                <w:highlight w:val="none"/>
              </w:rPr>
              <w:t xml:space="preserve"> </w:t>
            </w:r>
            <w:r>
              <w:rPr>
                <w:rFonts w:ascii="仿宋" w:hAnsi="仿宋" w:eastAsia="仿宋" w:cs="仿宋"/>
                <w:color w:val="auto"/>
                <w:spacing w:val="2"/>
                <w:sz w:val="20"/>
                <w:szCs w:val="20"/>
                <w:highlight w:val="none"/>
              </w:rPr>
              <w:t>险期间内。</w:t>
            </w:r>
          </w:p>
        </w:tc>
      </w:tr>
    </w:tbl>
    <w:p w14:paraId="40CB0847">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088F6AF0">
      <w:pPr>
        <w:keepNext w:val="0"/>
        <w:keepLines/>
        <w:pageBreakBefore w:val="0"/>
        <w:widowControl w:val="0"/>
        <w:kinsoku/>
        <w:wordWrap w:val="0"/>
        <w:overflowPunct/>
        <w:topLinePunct w:val="0"/>
        <w:autoSpaceDE/>
        <w:autoSpaceDN/>
        <w:bidi w:val="0"/>
        <w:adjustRightInd/>
        <w:snapToGrid/>
        <w:textAlignment w:val="auto"/>
        <w:rPr>
          <w:rFonts w:ascii="Arial" w:hAnsi="Arial" w:eastAsia="Arial" w:cs="Arial"/>
          <w:color w:val="auto"/>
          <w:sz w:val="21"/>
          <w:szCs w:val="21"/>
          <w:highlight w:val="none"/>
        </w:rPr>
        <w:sectPr>
          <w:pgSz w:w="11906" w:h="16840"/>
          <w:pgMar w:top="1430" w:right="1649" w:bottom="400" w:left="1502" w:header="0" w:footer="0" w:gutter="0"/>
          <w:pgNumType w:fmt="decimal"/>
          <w:cols w:space="720" w:num="1"/>
        </w:sectPr>
      </w:pPr>
    </w:p>
    <w:tbl>
      <w:tblPr>
        <w:tblStyle w:val="18"/>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2097"/>
        <w:gridCol w:w="6019"/>
      </w:tblGrid>
      <w:tr w14:paraId="4A4EF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trPr>
        <w:tc>
          <w:tcPr>
            <w:tcW w:w="1343" w:type="dxa"/>
            <w:noWrap w:val="0"/>
            <w:vAlign w:val="top"/>
          </w:tcPr>
          <w:p w14:paraId="2E1AC5BC">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2097" w:type="dxa"/>
            <w:noWrap w:val="0"/>
            <w:vAlign w:val="top"/>
          </w:tcPr>
          <w:p w14:paraId="3FF71AFA">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6019" w:type="dxa"/>
            <w:noWrap w:val="0"/>
            <w:vAlign w:val="top"/>
          </w:tcPr>
          <w:p w14:paraId="574EF5C5">
            <w:pPr>
              <w:keepNext w:val="0"/>
              <w:keepLines/>
              <w:pageBreakBefore w:val="0"/>
              <w:widowControl w:val="0"/>
              <w:kinsoku/>
              <w:wordWrap w:val="0"/>
              <w:overflowPunct/>
              <w:topLinePunct w:val="0"/>
              <w:autoSpaceDE/>
              <w:autoSpaceDN/>
              <w:bidi w:val="0"/>
              <w:adjustRightInd/>
              <w:snapToGrid/>
              <w:spacing w:before="38" w:line="372" w:lineRule="auto"/>
              <w:ind w:left="116" w:right="103" w:hanging="1"/>
              <w:jc w:val="both"/>
              <w:textAlignment w:val="auto"/>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5.</w:t>
            </w:r>
            <w:r>
              <w:rPr>
                <w:rFonts w:ascii="仿宋" w:hAnsi="仿宋" w:eastAsia="仿宋" w:cs="仿宋"/>
                <w:color w:val="auto"/>
                <w:spacing w:val="-41"/>
                <w:sz w:val="20"/>
                <w:szCs w:val="20"/>
                <w:highlight w:val="none"/>
              </w:rPr>
              <w:t xml:space="preserve"> </w:t>
            </w:r>
            <w:r>
              <w:rPr>
                <w:rFonts w:ascii="仿宋" w:hAnsi="仿宋" w:eastAsia="仿宋" w:cs="仿宋"/>
                <w:color w:val="auto"/>
                <w:spacing w:val="14"/>
                <w:sz w:val="20"/>
                <w:szCs w:val="20"/>
                <w:highlight w:val="none"/>
              </w:rPr>
              <w:t>由于被保险无人机在保险单中载明的指定区</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域内飞行过程中发生意外事故，被保险无人机或</w:t>
            </w:r>
            <w:r>
              <w:rPr>
                <w:rFonts w:ascii="仿宋" w:hAnsi="仿宋" w:eastAsia="仿宋" w:cs="仿宋"/>
                <w:color w:val="auto"/>
                <w:spacing w:val="6"/>
                <w:sz w:val="20"/>
                <w:szCs w:val="20"/>
                <w:highlight w:val="none"/>
              </w:rPr>
              <w:t xml:space="preserve"> </w:t>
            </w:r>
            <w:r>
              <w:rPr>
                <w:rFonts w:ascii="仿宋" w:hAnsi="仿宋" w:eastAsia="仿宋" w:cs="仿宋"/>
                <w:color w:val="auto"/>
                <w:spacing w:val="17"/>
                <w:sz w:val="20"/>
                <w:szCs w:val="20"/>
                <w:highlight w:val="none"/>
              </w:rPr>
              <w:t>从被保险无人机上坠落的物品造成第三者人身</w:t>
            </w:r>
            <w:r>
              <w:rPr>
                <w:rFonts w:ascii="仿宋" w:hAnsi="仿宋" w:eastAsia="仿宋" w:cs="仿宋"/>
                <w:color w:val="auto"/>
                <w:spacing w:val="11"/>
                <w:sz w:val="20"/>
                <w:szCs w:val="20"/>
                <w:highlight w:val="none"/>
              </w:rPr>
              <w:t xml:space="preserve"> </w:t>
            </w:r>
            <w:r>
              <w:rPr>
                <w:rFonts w:ascii="仿宋" w:hAnsi="仿宋" w:eastAsia="仿宋" w:cs="仿宋"/>
                <w:color w:val="auto"/>
                <w:spacing w:val="7"/>
                <w:sz w:val="20"/>
                <w:szCs w:val="20"/>
                <w:highlight w:val="none"/>
              </w:rPr>
              <w:t xml:space="preserve">伤亡或财产损失，依照中华人民共和国法律（不 </w:t>
            </w:r>
            <w:r>
              <w:rPr>
                <w:rFonts w:ascii="仿宋" w:hAnsi="仿宋" w:eastAsia="仿宋" w:cs="仿宋"/>
                <w:color w:val="auto"/>
                <w:spacing w:val="12"/>
                <w:sz w:val="20"/>
                <w:szCs w:val="20"/>
                <w:highlight w:val="none"/>
              </w:rPr>
              <w:t>包含香港、澳门和台 湾地区法律）应由被保险</w:t>
            </w:r>
            <w:r>
              <w:rPr>
                <w:rFonts w:ascii="仿宋" w:hAnsi="仿宋" w:eastAsia="仿宋" w:cs="仿宋"/>
                <w:color w:val="auto"/>
                <w:spacing w:val="1"/>
                <w:sz w:val="20"/>
                <w:szCs w:val="20"/>
                <w:highlight w:val="none"/>
              </w:rPr>
              <w:t xml:space="preserve"> </w:t>
            </w:r>
            <w:r>
              <w:rPr>
                <w:rFonts w:ascii="仿宋" w:hAnsi="仿宋" w:eastAsia="仿宋" w:cs="仿宋"/>
                <w:color w:val="auto"/>
                <w:spacing w:val="7"/>
                <w:sz w:val="20"/>
                <w:szCs w:val="20"/>
                <w:highlight w:val="none"/>
              </w:rPr>
              <w:t>人承担的经济赔偿责任，保险人按照保险合同约</w:t>
            </w:r>
            <w:r>
              <w:rPr>
                <w:rFonts w:ascii="仿宋" w:hAnsi="仿宋" w:eastAsia="仿宋" w:cs="仿宋"/>
                <w:color w:val="auto"/>
                <w:spacing w:val="4"/>
                <w:sz w:val="20"/>
                <w:szCs w:val="20"/>
                <w:highlight w:val="none"/>
              </w:rPr>
              <w:t xml:space="preserve"> </w:t>
            </w:r>
            <w:r>
              <w:rPr>
                <w:rFonts w:ascii="仿宋" w:hAnsi="仿宋" w:eastAsia="仿宋" w:cs="仿宋"/>
                <w:color w:val="auto"/>
                <w:spacing w:val="5"/>
                <w:sz w:val="20"/>
                <w:szCs w:val="20"/>
                <w:highlight w:val="none"/>
              </w:rPr>
              <w:t>定负责赔偿。</w:t>
            </w:r>
          </w:p>
        </w:tc>
      </w:tr>
      <w:tr w14:paraId="7AF85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343" w:type="dxa"/>
            <w:noWrap w:val="0"/>
            <w:vAlign w:val="top"/>
          </w:tcPr>
          <w:p w14:paraId="0223DB4A">
            <w:pPr>
              <w:keepNext w:val="0"/>
              <w:keepLines/>
              <w:pageBreakBefore w:val="0"/>
              <w:widowControl w:val="0"/>
              <w:kinsoku/>
              <w:wordWrap w:val="0"/>
              <w:overflowPunct/>
              <w:topLinePunct w:val="0"/>
              <w:autoSpaceDE/>
              <w:autoSpaceDN/>
              <w:bidi w:val="0"/>
              <w:adjustRightInd/>
              <w:snapToGrid/>
              <w:spacing w:line="258" w:lineRule="auto"/>
              <w:textAlignment w:val="auto"/>
              <w:rPr>
                <w:rFonts w:ascii="Arial"/>
                <w:color w:val="auto"/>
                <w:sz w:val="21"/>
                <w:highlight w:val="none"/>
              </w:rPr>
            </w:pPr>
          </w:p>
          <w:p w14:paraId="5527B15A">
            <w:pPr>
              <w:keepNext w:val="0"/>
              <w:keepLines/>
              <w:pageBreakBefore w:val="0"/>
              <w:widowControl w:val="0"/>
              <w:kinsoku/>
              <w:wordWrap w:val="0"/>
              <w:overflowPunct/>
              <w:topLinePunct w:val="0"/>
              <w:autoSpaceDE/>
              <w:autoSpaceDN/>
              <w:bidi w:val="0"/>
              <w:adjustRightInd/>
              <w:snapToGrid/>
              <w:spacing w:line="259" w:lineRule="auto"/>
              <w:textAlignment w:val="auto"/>
              <w:rPr>
                <w:rFonts w:ascii="Arial"/>
                <w:color w:val="auto"/>
                <w:sz w:val="21"/>
                <w:highlight w:val="none"/>
              </w:rPr>
            </w:pPr>
          </w:p>
          <w:p w14:paraId="75E17939">
            <w:pPr>
              <w:keepNext w:val="0"/>
              <w:keepLines/>
              <w:pageBreakBefore w:val="0"/>
              <w:widowControl w:val="0"/>
              <w:kinsoku/>
              <w:wordWrap w:val="0"/>
              <w:overflowPunct/>
              <w:topLinePunct w:val="0"/>
              <w:autoSpaceDE/>
              <w:autoSpaceDN/>
              <w:bidi w:val="0"/>
              <w:adjustRightInd/>
              <w:snapToGrid/>
              <w:spacing w:line="259" w:lineRule="auto"/>
              <w:textAlignment w:val="auto"/>
              <w:rPr>
                <w:rFonts w:ascii="Arial"/>
                <w:color w:val="auto"/>
                <w:sz w:val="21"/>
                <w:highlight w:val="none"/>
              </w:rPr>
            </w:pPr>
          </w:p>
          <w:p w14:paraId="461722D1">
            <w:pPr>
              <w:keepNext w:val="0"/>
              <w:keepLines/>
              <w:pageBreakBefore w:val="0"/>
              <w:widowControl w:val="0"/>
              <w:kinsoku/>
              <w:wordWrap w:val="0"/>
              <w:overflowPunct/>
              <w:topLinePunct w:val="0"/>
              <w:autoSpaceDE/>
              <w:autoSpaceDN/>
              <w:bidi w:val="0"/>
              <w:adjustRightInd/>
              <w:snapToGrid/>
              <w:spacing w:before="65" w:line="271" w:lineRule="exact"/>
              <w:ind w:left="130"/>
              <w:textAlignment w:val="auto"/>
              <w:rPr>
                <w:rFonts w:ascii="仿宋" w:hAnsi="仿宋" w:eastAsia="仿宋" w:cs="仿宋"/>
                <w:color w:val="auto"/>
                <w:sz w:val="20"/>
                <w:szCs w:val="20"/>
                <w:highlight w:val="none"/>
              </w:rPr>
            </w:pPr>
            <w:r>
              <w:rPr>
                <w:rFonts w:ascii="仿宋" w:hAnsi="仿宋" w:eastAsia="仿宋" w:cs="仿宋"/>
                <w:color w:val="auto"/>
                <w:spacing w:val="-7"/>
                <w:position w:val="1"/>
                <w:sz w:val="20"/>
                <w:szCs w:val="20"/>
                <w:highlight w:val="none"/>
              </w:rPr>
              <w:t>13</w:t>
            </w:r>
          </w:p>
        </w:tc>
        <w:tc>
          <w:tcPr>
            <w:tcW w:w="2097" w:type="dxa"/>
            <w:noWrap w:val="0"/>
            <w:vAlign w:val="top"/>
          </w:tcPr>
          <w:p w14:paraId="47881420">
            <w:pPr>
              <w:keepNext w:val="0"/>
              <w:keepLines/>
              <w:pageBreakBefore w:val="0"/>
              <w:widowControl w:val="0"/>
              <w:kinsoku/>
              <w:wordWrap w:val="0"/>
              <w:overflowPunct/>
              <w:topLinePunct w:val="0"/>
              <w:autoSpaceDE/>
              <w:autoSpaceDN/>
              <w:bidi w:val="0"/>
              <w:adjustRightInd/>
              <w:snapToGrid/>
              <w:spacing w:line="371" w:lineRule="auto"/>
              <w:textAlignment w:val="auto"/>
              <w:rPr>
                <w:rFonts w:ascii="Arial"/>
                <w:color w:val="auto"/>
                <w:sz w:val="21"/>
                <w:highlight w:val="none"/>
              </w:rPr>
            </w:pPr>
          </w:p>
          <w:p w14:paraId="35149CFE">
            <w:pPr>
              <w:keepNext w:val="0"/>
              <w:keepLines/>
              <w:pageBreakBefore w:val="0"/>
              <w:widowControl w:val="0"/>
              <w:kinsoku/>
              <w:wordWrap w:val="0"/>
              <w:overflowPunct/>
              <w:topLinePunct w:val="0"/>
              <w:autoSpaceDE/>
              <w:autoSpaceDN/>
              <w:bidi w:val="0"/>
              <w:adjustRightInd/>
              <w:snapToGrid/>
              <w:spacing w:before="65" w:line="231" w:lineRule="auto"/>
              <w:ind w:left="110"/>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4G</w:t>
            </w:r>
            <w:r>
              <w:rPr>
                <w:rFonts w:ascii="仿宋" w:hAnsi="仿宋" w:eastAsia="仿宋" w:cs="仿宋"/>
                <w:color w:val="auto"/>
                <w:spacing w:val="38"/>
                <w:sz w:val="20"/>
                <w:szCs w:val="20"/>
                <w:highlight w:val="none"/>
              </w:rPr>
              <w:t xml:space="preserve"> </w:t>
            </w:r>
            <w:r>
              <w:rPr>
                <w:rFonts w:ascii="仿宋" w:hAnsi="仿宋" w:eastAsia="仿宋" w:cs="仿宋"/>
                <w:color w:val="auto"/>
                <w:spacing w:val="1"/>
                <w:sz w:val="20"/>
                <w:szCs w:val="20"/>
                <w:highlight w:val="none"/>
              </w:rPr>
              <w:t>图传服务</w:t>
            </w:r>
          </w:p>
        </w:tc>
        <w:tc>
          <w:tcPr>
            <w:tcW w:w="6019" w:type="dxa"/>
            <w:noWrap w:val="0"/>
            <w:vAlign w:val="top"/>
          </w:tcPr>
          <w:p w14:paraId="75A24D36">
            <w:pPr>
              <w:keepNext w:val="0"/>
              <w:keepLines/>
              <w:pageBreakBefore w:val="0"/>
              <w:widowControl w:val="0"/>
              <w:kinsoku/>
              <w:wordWrap w:val="0"/>
              <w:overflowPunct/>
              <w:topLinePunct w:val="0"/>
              <w:autoSpaceDE/>
              <w:autoSpaceDN/>
              <w:bidi w:val="0"/>
              <w:adjustRightInd/>
              <w:snapToGrid/>
              <w:spacing w:before="30"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1A43E5BE">
            <w:pPr>
              <w:keepNext w:val="0"/>
              <w:keepLines/>
              <w:pageBreakBefore w:val="0"/>
              <w:widowControl w:val="0"/>
              <w:kinsoku/>
              <w:wordWrap w:val="0"/>
              <w:overflowPunct/>
              <w:topLinePunct w:val="0"/>
              <w:autoSpaceDE/>
              <w:autoSpaceDN/>
              <w:bidi w:val="0"/>
              <w:adjustRightInd/>
              <w:snapToGrid/>
              <w:spacing w:before="157" w:line="232" w:lineRule="auto"/>
              <w:ind w:left="110"/>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4G</w:t>
            </w:r>
            <w:r>
              <w:rPr>
                <w:rFonts w:ascii="仿宋" w:hAnsi="仿宋" w:eastAsia="仿宋" w:cs="仿宋"/>
                <w:color w:val="auto"/>
                <w:spacing w:val="41"/>
                <w:sz w:val="20"/>
                <w:szCs w:val="20"/>
                <w:highlight w:val="none"/>
              </w:rPr>
              <w:t xml:space="preserve"> </w:t>
            </w:r>
            <w:r>
              <w:rPr>
                <w:rFonts w:ascii="仿宋" w:hAnsi="仿宋" w:eastAsia="仿宋" w:cs="仿宋"/>
                <w:color w:val="auto"/>
                <w:spacing w:val="1"/>
                <w:sz w:val="20"/>
                <w:szCs w:val="20"/>
                <w:highlight w:val="none"/>
              </w:rPr>
              <w:t>图传模块</w:t>
            </w:r>
          </w:p>
          <w:p w14:paraId="374F29F4">
            <w:pPr>
              <w:keepNext w:val="0"/>
              <w:keepLines/>
              <w:pageBreakBefore w:val="0"/>
              <w:widowControl w:val="0"/>
              <w:kinsoku/>
              <w:wordWrap w:val="0"/>
              <w:overflowPunct/>
              <w:topLinePunct w:val="0"/>
              <w:autoSpaceDE/>
              <w:autoSpaceDN/>
              <w:bidi w:val="0"/>
              <w:adjustRightInd/>
              <w:snapToGrid/>
              <w:spacing w:before="160" w:line="365" w:lineRule="auto"/>
              <w:ind w:left="109" w:right="103" w:hanging="1"/>
              <w:textAlignment w:val="auto"/>
              <w:rPr>
                <w:rFonts w:ascii="仿宋" w:hAnsi="仿宋" w:eastAsia="仿宋" w:cs="仿宋"/>
                <w:color w:val="auto"/>
                <w:sz w:val="20"/>
                <w:szCs w:val="20"/>
                <w:highlight w:val="none"/>
              </w:rPr>
            </w:pPr>
            <w:r>
              <w:rPr>
                <w:rFonts w:ascii="仿宋" w:hAnsi="仿宋" w:eastAsia="仿宋" w:cs="仿宋"/>
                <w:color w:val="auto"/>
                <w:sz w:val="20"/>
                <w:szCs w:val="20"/>
                <w:highlight w:val="none"/>
              </w:rPr>
              <w:t>TD</w:t>
            </w:r>
            <w:r>
              <w:rPr>
                <w:rFonts w:ascii="仿宋" w:hAnsi="仿宋" w:eastAsia="仿宋" w:cs="仿宋"/>
                <w:color w:val="auto"/>
                <w:spacing w:val="7"/>
                <w:sz w:val="20"/>
                <w:szCs w:val="20"/>
                <w:highlight w:val="none"/>
              </w:rPr>
              <w:t>-</w:t>
            </w:r>
            <w:r>
              <w:rPr>
                <w:rFonts w:ascii="仿宋" w:hAnsi="仿宋" w:eastAsia="仿宋" w:cs="仿宋"/>
                <w:color w:val="auto"/>
                <w:sz w:val="20"/>
                <w:szCs w:val="20"/>
                <w:highlight w:val="none"/>
              </w:rPr>
              <w:t>LTE</w:t>
            </w:r>
            <w:r>
              <w:rPr>
                <w:rFonts w:ascii="仿宋" w:hAnsi="仿宋" w:eastAsia="仿宋" w:cs="仿宋"/>
                <w:color w:val="auto"/>
                <w:spacing w:val="7"/>
                <w:sz w:val="20"/>
                <w:szCs w:val="20"/>
                <w:highlight w:val="none"/>
              </w:rPr>
              <w:t xml:space="preserve"> 无线数据终端，不含 </w:t>
            </w:r>
            <w:r>
              <w:rPr>
                <w:rFonts w:ascii="仿宋" w:hAnsi="仿宋" w:eastAsia="仿宋" w:cs="仿宋"/>
                <w:color w:val="auto"/>
                <w:sz w:val="20"/>
                <w:szCs w:val="20"/>
                <w:highlight w:val="none"/>
              </w:rPr>
              <w:t>SIM</w:t>
            </w:r>
            <w:r>
              <w:rPr>
                <w:rFonts w:ascii="仿宋" w:hAnsi="仿宋" w:eastAsia="仿宋" w:cs="仿宋"/>
                <w:color w:val="auto"/>
                <w:spacing w:val="33"/>
                <w:sz w:val="20"/>
                <w:szCs w:val="20"/>
                <w:highlight w:val="none"/>
              </w:rPr>
              <w:t xml:space="preserve"> </w:t>
            </w:r>
            <w:r>
              <w:rPr>
                <w:rFonts w:ascii="仿宋" w:hAnsi="仿宋" w:eastAsia="仿宋" w:cs="仿宋"/>
                <w:color w:val="auto"/>
                <w:spacing w:val="7"/>
                <w:sz w:val="20"/>
                <w:szCs w:val="20"/>
                <w:highlight w:val="none"/>
              </w:rPr>
              <w:t>卡，支持接入</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4G</w:t>
            </w:r>
            <w:r>
              <w:rPr>
                <w:rFonts w:ascii="仿宋" w:hAnsi="仿宋" w:eastAsia="仿宋" w:cs="仿宋"/>
                <w:color w:val="auto"/>
                <w:spacing w:val="50"/>
                <w:sz w:val="20"/>
                <w:szCs w:val="20"/>
                <w:highlight w:val="none"/>
              </w:rPr>
              <w:t xml:space="preserve"> </w:t>
            </w:r>
            <w:r>
              <w:rPr>
                <w:rFonts w:ascii="仿宋" w:hAnsi="仿宋" w:eastAsia="仿宋" w:cs="仿宋"/>
                <w:color w:val="auto"/>
                <w:spacing w:val="6"/>
                <w:sz w:val="20"/>
                <w:szCs w:val="20"/>
                <w:highlight w:val="none"/>
              </w:rPr>
              <w:t>网络；实现 联网、增强图传、</w:t>
            </w:r>
            <w:r>
              <w:rPr>
                <w:rFonts w:ascii="仿宋" w:hAnsi="仿宋" w:eastAsia="仿宋" w:cs="仿宋"/>
                <w:color w:val="auto"/>
                <w:spacing w:val="-53"/>
                <w:sz w:val="20"/>
                <w:szCs w:val="20"/>
                <w:highlight w:val="none"/>
              </w:rPr>
              <w:t xml:space="preserve"> </w:t>
            </w:r>
            <w:r>
              <w:rPr>
                <w:rFonts w:ascii="仿宋" w:hAnsi="仿宋" w:eastAsia="仿宋" w:cs="仿宋"/>
                <w:color w:val="auto"/>
                <w:spacing w:val="6"/>
                <w:sz w:val="20"/>
                <w:szCs w:val="20"/>
                <w:highlight w:val="none"/>
              </w:rPr>
              <w:t>网络</w:t>
            </w:r>
            <w:r>
              <w:rPr>
                <w:rFonts w:ascii="仿宋" w:hAnsi="仿宋" w:eastAsia="仿宋" w:cs="仿宋"/>
                <w:color w:val="auto"/>
                <w:spacing w:val="19"/>
                <w:sz w:val="20"/>
                <w:szCs w:val="20"/>
                <w:highlight w:val="none"/>
              </w:rPr>
              <w:t xml:space="preserve"> </w:t>
            </w:r>
            <w:r>
              <w:rPr>
                <w:rFonts w:ascii="仿宋" w:hAnsi="仿宋" w:eastAsia="仿宋" w:cs="仿宋"/>
                <w:color w:val="auto"/>
                <w:sz w:val="20"/>
                <w:szCs w:val="20"/>
                <w:highlight w:val="none"/>
              </w:rPr>
              <w:t>RTK</w:t>
            </w:r>
            <w:r>
              <w:rPr>
                <w:rFonts w:ascii="仿宋" w:hAnsi="仿宋" w:eastAsia="仿宋" w:cs="仿宋"/>
                <w:color w:val="auto"/>
                <w:spacing w:val="30"/>
                <w:sz w:val="20"/>
                <w:szCs w:val="20"/>
                <w:highlight w:val="none"/>
              </w:rPr>
              <w:t xml:space="preserve"> </w:t>
            </w:r>
            <w:r>
              <w:rPr>
                <w:rFonts w:ascii="仿宋" w:hAnsi="仿宋" w:eastAsia="仿宋" w:cs="仿宋"/>
                <w:color w:val="auto"/>
                <w:spacing w:val="6"/>
                <w:sz w:val="20"/>
                <w:szCs w:val="20"/>
                <w:highlight w:val="none"/>
              </w:rPr>
              <w:t>等</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多项功能。</w:t>
            </w:r>
          </w:p>
        </w:tc>
      </w:tr>
      <w:tr w14:paraId="1B8EB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1" w:hRule="atLeast"/>
        </w:trPr>
        <w:tc>
          <w:tcPr>
            <w:tcW w:w="1343" w:type="dxa"/>
            <w:noWrap w:val="0"/>
            <w:vAlign w:val="top"/>
          </w:tcPr>
          <w:p w14:paraId="64C6E8B6">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284BA744">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6C176F78">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0B38CED5">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1B9F0C35">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4EE2EE70">
            <w:pPr>
              <w:keepNext w:val="0"/>
              <w:keepLines/>
              <w:pageBreakBefore w:val="0"/>
              <w:widowControl w:val="0"/>
              <w:kinsoku/>
              <w:wordWrap w:val="0"/>
              <w:overflowPunct/>
              <w:topLinePunct w:val="0"/>
              <w:autoSpaceDE/>
              <w:autoSpaceDN/>
              <w:bidi w:val="0"/>
              <w:adjustRightInd/>
              <w:snapToGrid/>
              <w:spacing w:line="266" w:lineRule="auto"/>
              <w:textAlignment w:val="auto"/>
              <w:rPr>
                <w:rFonts w:ascii="Arial"/>
                <w:color w:val="auto"/>
                <w:sz w:val="21"/>
                <w:highlight w:val="none"/>
              </w:rPr>
            </w:pPr>
          </w:p>
          <w:p w14:paraId="7F2AA0BB">
            <w:pPr>
              <w:keepNext w:val="0"/>
              <w:keepLines/>
              <w:pageBreakBefore w:val="0"/>
              <w:widowControl w:val="0"/>
              <w:kinsoku/>
              <w:wordWrap w:val="0"/>
              <w:overflowPunct/>
              <w:topLinePunct w:val="0"/>
              <w:autoSpaceDE/>
              <w:autoSpaceDN/>
              <w:bidi w:val="0"/>
              <w:adjustRightInd/>
              <w:snapToGrid/>
              <w:spacing w:before="65" w:line="272" w:lineRule="exact"/>
              <w:ind w:left="130"/>
              <w:textAlignment w:val="auto"/>
              <w:rPr>
                <w:rFonts w:ascii="仿宋" w:hAnsi="仿宋" w:eastAsia="仿宋" w:cs="仿宋"/>
                <w:color w:val="auto"/>
                <w:sz w:val="20"/>
                <w:szCs w:val="20"/>
                <w:highlight w:val="none"/>
              </w:rPr>
            </w:pPr>
            <w:r>
              <w:rPr>
                <w:rFonts w:ascii="仿宋" w:hAnsi="仿宋" w:eastAsia="仿宋" w:cs="仿宋"/>
                <w:color w:val="auto"/>
                <w:spacing w:val="-7"/>
                <w:position w:val="1"/>
                <w:sz w:val="20"/>
                <w:szCs w:val="20"/>
                <w:highlight w:val="none"/>
              </w:rPr>
              <w:t>14</w:t>
            </w:r>
          </w:p>
        </w:tc>
        <w:tc>
          <w:tcPr>
            <w:tcW w:w="2097" w:type="dxa"/>
            <w:noWrap w:val="0"/>
            <w:vAlign w:val="top"/>
          </w:tcPr>
          <w:p w14:paraId="79CF7A58">
            <w:pPr>
              <w:keepNext w:val="0"/>
              <w:keepLines/>
              <w:pageBreakBefore w:val="0"/>
              <w:widowControl w:val="0"/>
              <w:kinsoku/>
              <w:wordWrap w:val="0"/>
              <w:overflowPunct/>
              <w:topLinePunct w:val="0"/>
              <w:autoSpaceDE/>
              <w:autoSpaceDN/>
              <w:bidi w:val="0"/>
              <w:adjustRightInd/>
              <w:snapToGrid/>
              <w:spacing w:line="249" w:lineRule="auto"/>
              <w:textAlignment w:val="auto"/>
              <w:rPr>
                <w:rFonts w:ascii="Arial"/>
                <w:color w:val="auto"/>
                <w:sz w:val="21"/>
                <w:highlight w:val="none"/>
              </w:rPr>
            </w:pPr>
          </w:p>
          <w:p w14:paraId="4E8FF69C">
            <w:pPr>
              <w:keepNext w:val="0"/>
              <w:keepLines/>
              <w:pageBreakBefore w:val="0"/>
              <w:widowControl w:val="0"/>
              <w:kinsoku/>
              <w:wordWrap w:val="0"/>
              <w:overflowPunct/>
              <w:topLinePunct w:val="0"/>
              <w:autoSpaceDE/>
              <w:autoSpaceDN/>
              <w:bidi w:val="0"/>
              <w:adjustRightInd/>
              <w:snapToGrid/>
              <w:spacing w:line="249" w:lineRule="auto"/>
              <w:textAlignment w:val="auto"/>
              <w:rPr>
                <w:rFonts w:ascii="Arial"/>
                <w:color w:val="auto"/>
                <w:sz w:val="21"/>
                <w:highlight w:val="none"/>
              </w:rPr>
            </w:pPr>
          </w:p>
          <w:p w14:paraId="209B2AE1">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5D8C0D19">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39FAE248">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5EDCC2EB">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0F2B1DD8">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05E5C1CC">
            <w:pPr>
              <w:keepNext w:val="0"/>
              <w:keepLines/>
              <w:pageBreakBefore w:val="0"/>
              <w:widowControl w:val="0"/>
              <w:kinsoku/>
              <w:wordWrap w:val="0"/>
              <w:overflowPunct/>
              <w:topLinePunct w:val="0"/>
              <w:autoSpaceDE/>
              <w:autoSpaceDN/>
              <w:bidi w:val="0"/>
              <w:adjustRightInd/>
              <w:snapToGrid/>
              <w:spacing w:line="250" w:lineRule="auto"/>
              <w:textAlignment w:val="auto"/>
              <w:rPr>
                <w:rFonts w:ascii="Arial"/>
                <w:color w:val="auto"/>
                <w:sz w:val="21"/>
                <w:highlight w:val="none"/>
              </w:rPr>
            </w:pPr>
          </w:p>
          <w:p w14:paraId="0A5478D9">
            <w:pPr>
              <w:keepNext w:val="0"/>
              <w:keepLines/>
              <w:pageBreakBefore w:val="0"/>
              <w:widowControl w:val="0"/>
              <w:kinsoku/>
              <w:wordWrap w:val="0"/>
              <w:overflowPunct/>
              <w:topLinePunct w:val="0"/>
              <w:autoSpaceDE/>
              <w:autoSpaceDN/>
              <w:bidi w:val="0"/>
              <w:adjustRightInd/>
              <w:snapToGrid/>
              <w:spacing w:before="65" w:line="377" w:lineRule="auto"/>
              <w:ind w:left="116" w:right="107"/>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智</w:t>
            </w:r>
            <w:r>
              <w:rPr>
                <w:rFonts w:ascii="仿宋" w:hAnsi="仿宋" w:eastAsia="仿宋" w:cs="仿宋"/>
                <w:color w:val="auto"/>
                <w:spacing w:val="-46"/>
                <w:sz w:val="20"/>
                <w:szCs w:val="20"/>
                <w:highlight w:val="none"/>
              </w:rPr>
              <w:t xml:space="preserve"> </w:t>
            </w:r>
            <w:r>
              <w:rPr>
                <w:rFonts w:ascii="仿宋" w:hAnsi="仿宋" w:eastAsia="仿宋" w:cs="仿宋"/>
                <w:color w:val="auto"/>
                <w:spacing w:val="-3"/>
                <w:sz w:val="20"/>
                <w:szCs w:val="20"/>
                <w:highlight w:val="none"/>
              </w:rPr>
              <w:t>能</w:t>
            </w:r>
            <w:r>
              <w:rPr>
                <w:rFonts w:ascii="仿宋" w:hAnsi="仿宋" w:eastAsia="仿宋" w:cs="仿宋"/>
                <w:color w:val="auto"/>
                <w:spacing w:val="-57"/>
                <w:sz w:val="20"/>
                <w:szCs w:val="20"/>
                <w:highlight w:val="none"/>
              </w:rPr>
              <w:t xml:space="preserve"> </w:t>
            </w:r>
            <w:r>
              <w:rPr>
                <w:rFonts w:ascii="仿宋" w:hAnsi="仿宋" w:eastAsia="仿宋" w:cs="仿宋"/>
                <w:color w:val="auto"/>
                <w:spacing w:val="-3"/>
                <w:sz w:val="20"/>
                <w:szCs w:val="20"/>
                <w:highlight w:val="none"/>
              </w:rPr>
              <w:t>飞</w:t>
            </w:r>
            <w:r>
              <w:rPr>
                <w:rFonts w:ascii="仿宋" w:hAnsi="仿宋" w:eastAsia="仿宋" w:cs="仿宋"/>
                <w:color w:val="auto"/>
                <w:spacing w:val="-58"/>
                <w:sz w:val="20"/>
                <w:szCs w:val="20"/>
                <w:highlight w:val="none"/>
              </w:rPr>
              <w:t xml:space="preserve"> </w:t>
            </w:r>
            <w:r>
              <w:rPr>
                <w:rFonts w:ascii="仿宋" w:hAnsi="仿宋" w:eastAsia="仿宋" w:cs="仿宋"/>
                <w:color w:val="auto"/>
                <w:spacing w:val="-3"/>
                <w:sz w:val="20"/>
                <w:szCs w:val="20"/>
                <w:highlight w:val="none"/>
              </w:rPr>
              <w:t>行电</w:t>
            </w:r>
            <w:r>
              <w:rPr>
                <w:rFonts w:ascii="仿宋" w:hAnsi="仿宋" w:eastAsia="仿宋" w:cs="仿宋"/>
                <w:color w:val="auto"/>
                <w:spacing w:val="-56"/>
                <w:sz w:val="20"/>
                <w:szCs w:val="20"/>
                <w:highlight w:val="none"/>
              </w:rPr>
              <w:t xml:space="preserve"> </w:t>
            </w:r>
            <w:r>
              <w:rPr>
                <w:rFonts w:ascii="仿宋" w:hAnsi="仿宋" w:eastAsia="仿宋" w:cs="仿宋"/>
                <w:color w:val="auto"/>
                <w:spacing w:val="-3"/>
                <w:sz w:val="20"/>
                <w:szCs w:val="20"/>
                <w:highlight w:val="none"/>
              </w:rPr>
              <w:t>池</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服务</w:t>
            </w:r>
          </w:p>
        </w:tc>
        <w:tc>
          <w:tcPr>
            <w:tcW w:w="6019" w:type="dxa"/>
            <w:noWrap w:val="0"/>
            <w:vAlign w:val="top"/>
          </w:tcPr>
          <w:p w14:paraId="2472E9A1">
            <w:pPr>
              <w:keepNext w:val="0"/>
              <w:keepLines/>
              <w:pageBreakBefore w:val="0"/>
              <w:widowControl w:val="0"/>
              <w:kinsoku/>
              <w:wordWrap w:val="0"/>
              <w:overflowPunct/>
              <w:topLinePunct w:val="0"/>
              <w:autoSpaceDE/>
              <w:autoSpaceDN/>
              <w:bidi w:val="0"/>
              <w:adjustRightInd/>
              <w:snapToGrid/>
              <w:spacing w:before="33"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1DCED18C">
            <w:pPr>
              <w:keepNext w:val="0"/>
              <w:keepLines/>
              <w:pageBreakBefore w:val="0"/>
              <w:widowControl w:val="0"/>
              <w:kinsoku/>
              <w:wordWrap w:val="0"/>
              <w:overflowPunct/>
              <w:topLinePunct w:val="0"/>
              <w:autoSpaceDE/>
              <w:autoSpaceDN/>
              <w:bidi w:val="0"/>
              <w:adjustRightInd/>
              <w:snapToGrid/>
              <w:spacing w:before="158" w:line="229"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1. 飞行器电池容量：</w:t>
            </w:r>
            <w:r>
              <w:rPr>
                <w:rFonts w:ascii="仿宋" w:hAnsi="仿宋" w:eastAsia="仿宋" w:cs="仿宋"/>
                <w:color w:val="auto"/>
                <w:spacing w:val="56"/>
                <w:sz w:val="20"/>
                <w:szCs w:val="20"/>
                <w:highlight w:val="none"/>
              </w:rPr>
              <w:t xml:space="preserve"> </w:t>
            </w:r>
            <w:r>
              <w:rPr>
                <w:rFonts w:ascii="仿宋" w:hAnsi="仿宋" w:eastAsia="仿宋" w:cs="仿宋"/>
                <w:color w:val="auto"/>
                <w:spacing w:val="3"/>
                <w:sz w:val="20"/>
                <w:szCs w:val="20"/>
                <w:highlight w:val="none"/>
              </w:rPr>
              <w:t>≥6700</w:t>
            </w:r>
            <w:r>
              <w:rPr>
                <w:rFonts w:ascii="仿宋" w:hAnsi="仿宋" w:eastAsia="仿宋" w:cs="仿宋"/>
                <w:color w:val="auto"/>
                <w:spacing w:val="26"/>
                <w:sz w:val="20"/>
                <w:szCs w:val="20"/>
                <w:highlight w:val="none"/>
              </w:rPr>
              <w:t xml:space="preserve"> </w:t>
            </w:r>
            <w:r>
              <w:rPr>
                <w:rFonts w:ascii="仿宋" w:hAnsi="仿宋" w:eastAsia="仿宋" w:cs="仿宋"/>
                <w:color w:val="auto"/>
                <w:spacing w:val="3"/>
                <w:sz w:val="20"/>
                <w:szCs w:val="20"/>
                <w:highlight w:val="none"/>
              </w:rPr>
              <w:t>毫安时；</w:t>
            </w:r>
          </w:p>
          <w:p w14:paraId="2A74EDFD">
            <w:pPr>
              <w:keepNext w:val="0"/>
              <w:keepLines/>
              <w:pageBreakBefore w:val="0"/>
              <w:widowControl w:val="0"/>
              <w:kinsoku/>
              <w:wordWrap w:val="0"/>
              <w:overflowPunct/>
              <w:topLinePunct w:val="0"/>
              <w:autoSpaceDE/>
              <w:autoSpaceDN/>
              <w:bidi w:val="0"/>
              <w:adjustRightInd/>
              <w:snapToGrid/>
              <w:spacing w:before="159" w:line="230" w:lineRule="auto"/>
              <w:ind w:left="113"/>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2.电压：22.14 伏，充电限制电压：2</w:t>
            </w:r>
            <w:r>
              <w:rPr>
                <w:rFonts w:ascii="仿宋" w:hAnsi="仿宋" w:eastAsia="仿宋" w:cs="仿宋"/>
                <w:color w:val="auto"/>
                <w:spacing w:val="6"/>
                <w:sz w:val="20"/>
                <w:szCs w:val="20"/>
                <w:highlight w:val="none"/>
              </w:rPr>
              <w:t>5.5 伏；</w:t>
            </w:r>
          </w:p>
          <w:p w14:paraId="4EFCEC6C">
            <w:pPr>
              <w:keepNext w:val="0"/>
              <w:keepLines/>
              <w:pageBreakBefore w:val="0"/>
              <w:widowControl w:val="0"/>
              <w:kinsoku/>
              <w:wordWrap w:val="0"/>
              <w:overflowPunct/>
              <w:topLinePunct w:val="0"/>
              <w:autoSpaceDE/>
              <w:autoSpaceDN/>
              <w:bidi w:val="0"/>
              <w:adjustRightInd/>
              <w:snapToGrid/>
              <w:spacing w:before="158"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3.</w:t>
            </w:r>
            <w:r>
              <w:rPr>
                <w:rFonts w:ascii="仿宋" w:hAnsi="仿宋" w:eastAsia="仿宋" w:cs="仿宋"/>
                <w:color w:val="auto"/>
                <w:spacing w:val="49"/>
                <w:sz w:val="20"/>
                <w:szCs w:val="20"/>
                <w:highlight w:val="none"/>
              </w:rPr>
              <w:t xml:space="preserve"> </w:t>
            </w:r>
            <w:r>
              <w:rPr>
                <w:rFonts w:ascii="仿宋" w:hAnsi="仿宋" w:eastAsia="仿宋" w:cs="仿宋"/>
                <w:color w:val="auto"/>
                <w:spacing w:val="4"/>
                <w:sz w:val="20"/>
                <w:szCs w:val="20"/>
                <w:highlight w:val="none"/>
              </w:rPr>
              <w:t>电池类型：</w:t>
            </w:r>
            <w:r>
              <w:rPr>
                <w:rFonts w:ascii="仿宋" w:hAnsi="仿宋" w:eastAsia="仿宋" w:cs="仿宋"/>
                <w:color w:val="auto"/>
                <w:sz w:val="20"/>
                <w:szCs w:val="20"/>
                <w:highlight w:val="none"/>
              </w:rPr>
              <w:t>Li</w:t>
            </w:r>
            <w:r>
              <w:rPr>
                <w:rFonts w:ascii="仿宋" w:hAnsi="仿宋" w:eastAsia="仿宋" w:cs="仿宋"/>
                <w:color w:val="auto"/>
                <w:spacing w:val="4"/>
                <w:sz w:val="20"/>
                <w:szCs w:val="20"/>
                <w:highlight w:val="none"/>
              </w:rPr>
              <w:t>-</w:t>
            </w:r>
            <w:r>
              <w:rPr>
                <w:rFonts w:ascii="仿宋" w:hAnsi="仿宋" w:eastAsia="仿宋" w:cs="仿宋"/>
                <w:color w:val="auto"/>
                <w:sz w:val="20"/>
                <w:szCs w:val="20"/>
                <w:highlight w:val="none"/>
              </w:rPr>
              <w:t>ion</w:t>
            </w:r>
            <w:r>
              <w:rPr>
                <w:rFonts w:ascii="仿宋" w:hAnsi="仿宋" w:eastAsia="仿宋" w:cs="仿宋"/>
                <w:color w:val="auto"/>
                <w:spacing w:val="4"/>
                <w:sz w:val="20"/>
                <w:szCs w:val="20"/>
                <w:highlight w:val="none"/>
              </w:rPr>
              <w:t xml:space="preserve"> 6S；</w:t>
            </w:r>
          </w:p>
          <w:p w14:paraId="50412A81">
            <w:pPr>
              <w:keepNext w:val="0"/>
              <w:keepLines/>
              <w:pageBreakBefore w:val="0"/>
              <w:widowControl w:val="0"/>
              <w:kinsoku/>
              <w:wordWrap w:val="0"/>
              <w:overflowPunct/>
              <w:topLinePunct w:val="0"/>
              <w:autoSpaceDE/>
              <w:autoSpaceDN/>
              <w:bidi w:val="0"/>
              <w:adjustRightInd/>
              <w:snapToGrid/>
              <w:spacing w:before="160" w:line="231" w:lineRule="auto"/>
              <w:ind w:left="110"/>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4.化学体系：镍钴锰酸锂；</w:t>
            </w:r>
          </w:p>
          <w:p w14:paraId="20C91332">
            <w:pPr>
              <w:keepNext w:val="0"/>
              <w:keepLines/>
              <w:pageBreakBefore w:val="0"/>
              <w:widowControl w:val="0"/>
              <w:kinsoku/>
              <w:wordWrap w:val="0"/>
              <w:overflowPunct/>
              <w:topLinePunct w:val="0"/>
              <w:autoSpaceDE/>
              <w:autoSpaceDN/>
              <w:bidi w:val="0"/>
              <w:adjustRightInd/>
              <w:snapToGrid/>
              <w:spacing w:before="158" w:line="230" w:lineRule="auto"/>
              <w:ind w:left="115"/>
              <w:textAlignment w:val="auto"/>
              <w:rPr>
                <w:rFonts w:ascii="仿宋" w:hAnsi="仿宋" w:eastAsia="仿宋" w:cs="仿宋"/>
                <w:color w:val="auto"/>
                <w:sz w:val="20"/>
                <w:szCs w:val="20"/>
                <w:highlight w:val="none"/>
              </w:rPr>
            </w:pPr>
            <w:r>
              <w:rPr>
                <w:rFonts w:ascii="仿宋" w:hAnsi="仿宋" w:eastAsia="仿宋" w:cs="仿宋"/>
                <w:color w:val="auto"/>
                <w:sz w:val="20"/>
                <w:szCs w:val="20"/>
                <w:highlight w:val="none"/>
              </w:rPr>
              <w:t>5.能量：</w:t>
            </w:r>
            <w:r>
              <w:rPr>
                <w:rFonts w:ascii="仿宋" w:hAnsi="仿宋" w:eastAsia="仿宋" w:cs="仿宋"/>
                <w:color w:val="auto"/>
                <w:spacing w:val="55"/>
                <w:sz w:val="20"/>
                <w:szCs w:val="20"/>
                <w:highlight w:val="none"/>
              </w:rPr>
              <w:t xml:space="preserve"> </w:t>
            </w:r>
            <w:r>
              <w:rPr>
                <w:rFonts w:ascii="仿宋" w:hAnsi="仿宋" w:eastAsia="仿宋" w:cs="仿宋"/>
                <w:color w:val="auto"/>
                <w:sz w:val="20"/>
                <w:szCs w:val="20"/>
                <w:highlight w:val="none"/>
              </w:rPr>
              <w:t>≥148</w:t>
            </w:r>
            <w:r>
              <w:rPr>
                <w:rFonts w:ascii="仿宋" w:hAnsi="仿宋" w:eastAsia="仿宋" w:cs="仿宋"/>
                <w:color w:val="auto"/>
                <w:spacing w:val="27"/>
                <w:sz w:val="20"/>
                <w:szCs w:val="20"/>
                <w:highlight w:val="none"/>
              </w:rPr>
              <w:t xml:space="preserve"> </w:t>
            </w:r>
            <w:r>
              <w:rPr>
                <w:rFonts w:ascii="仿宋" w:hAnsi="仿宋" w:eastAsia="仿宋" w:cs="仿宋"/>
                <w:color w:val="auto"/>
                <w:sz w:val="20"/>
                <w:szCs w:val="20"/>
                <w:highlight w:val="none"/>
              </w:rPr>
              <w:t>瓦时；</w:t>
            </w:r>
          </w:p>
          <w:p w14:paraId="043CE790">
            <w:pPr>
              <w:keepNext w:val="0"/>
              <w:keepLines/>
              <w:pageBreakBefore w:val="0"/>
              <w:widowControl w:val="0"/>
              <w:kinsoku/>
              <w:wordWrap w:val="0"/>
              <w:overflowPunct/>
              <w:topLinePunct w:val="0"/>
              <w:autoSpaceDE/>
              <w:autoSpaceDN/>
              <w:bidi w:val="0"/>
              <w:adjustRightInd/>
              <w:snapToGrid/>
              <w:spacing w:before="159" w:line="231" w:lineRule="auto"/>
              <w:ind w:left="112"/>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6.重量：</w:t>
            </w:r>
            <w:r>
              <w:rPr>
                <w:rFonts w:ascii="仿宋" w:hAnsi="仿宋" w:eastAsia="仿宋" w:cs="仿宋"/>
                <w:color w:val="auto"/>
                <w:spacing w:val="40"/>
                <w:sz w:val="20"/>
                <w:szCs w:val="20"/>
                <w:highlight w:val="none"/>
              </w:rPr>
              <w:t xml:space="preserve"> </w:t>
            </w:r>
            <w:r>
              <w:rPr>
                <w:rFonts w:ascii="仿宋" w:hAnsi="仿宋" w:eastAsia="仿宋" w:cs="仿宋"/>
                <w:color w:val="auto"/>
                <w:spacing w:val="1"/>
                <w:sz w:val="20"/>
                <w:szCs w:val="20"/>
                <w:highlight w:val="none"/>
              </w:rPr>
              <w:t>≤640</w:t>
            </w:r>
            <w:r>
              <w:rPr>
                <w:rFonts w:ascii="仿宋" w:hAnsi="仿宋" w:eastAsia="仿宋" w:cs="仿宋"/>
                <w:color w:val="auto"/>
                <w:spacing w:val="24"/>
                <w:sz w:val="20"/>
                <w:szCs w:val="20"/>
                <w:highlight w:val="none"/>
              </w:rPr>
              <w:t xml:space="preserve"> </w:t>
            </w:r>
            <w:r>
              <w:rPr>
                <w:rFonts w:ascii="仿宋" w:hAnsi="仿宋" w:eastAsia="仿宋" w:cs="仿宋"/>
                <w:color w:val="auto"/>
                <w:spacing w:val="1"/>
                <w:sz w:val="20"/>
                <w:szCs w:val="20"/>
                <w:highlight w:val="none"/>
              </w:rPr>
              <w:t>克；</w:t>
            </w:r>
          </w:p>
          <w:p w14:paraId="72834E26">
            <w:pPr>
              <w:keepNext w:val="0"/>
              <w:keepLines/>
              <w:pageBreakBefore w:val="0"/>
              <w:widowControl w:val="0"/>
              <w:kinsoku/>
              <w:wordWrap w:val="0"/>
              <w:overflowPunct/>
              <w:topLinePunct w:val="0"/>
              <w:autoSpaceDE/>
              <w:autoSpaceDN/>
              <w:bidi w:val="0"/>
              <w:adjustRightInd/>
              <w:snapToGrid/>
              <w:spacing w:before="157" w:line="231" w:lineRule="auto"/>
              <w:ind w:left="115"/>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7.循环次数：</w:t>
            </w:r>
            <w:r>
              <w:rPr>
                <w:rFonts w:ascii="仿宋" w:hAnsi="仿宋" w:eastAsia="仿宋" w:cs="仿宋"/>
                <w:color w:val="auto"/>
                <w:spacing w:val="50"/>
                <w:sz w:val="20"/>
                <w:szCs w:val="20"/>
                <w:highlight w:val="none"/>
              </w:rPr>
              <w:t xml:space="preserve"> </w:t>
            </w:r>
            <w:r>
              <w:rPr>
                <w:rFonts w:ascii="仿宋" w:hAnsi="仿宋" w:eastAsia="仿宋" w:cs="仿宋"/>
                <w:color w:val="auto"/>
                <w:spacing w:val="3"/>
                <w:sz w:val="20"/>
                <w:szCs w:val="20"/>
                <w:highlight w:val="none"/>
              </w:rPr>
              <w:t>≥400 次；</w:t>
            </w:r>
          </w:p>
          <w:p w14:paraId="604E5714">
            <w:pPr>
              <w:keepNext w:val="0"/>
              <w:keepLines/>
              <w:pageBreakBefore w:val="0"/>
              <w:widowControl w:val="0"/>
              <w:kinsoku/>
              <w:wordWrap w:val="0"/>
              <w:overflowPunct/>
              <w:topLinePunct w:val="0"/>
              <w:autoSpaceDE/>
              <w:autoSpaceDN/>
              <w:bidi w:val="0"/>
              <w:adjustRightInd/>
              <w:snapToGrid/>
              <w:spacing w:before="158" w:line="232" w:lineRule="auto"/>
              <w:ind w:left="111"/>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8.充电温度范围：5℃ 至</w:t>
            </w:r>
            <w:r>
              <w:rPr>
                <w:rFonts w:ascii="仿宋" w:hAnsi="仿宋" w:eastAsia="仿宋" w:cs="仿宋"/>
                <w:color w:val="auto"/>
                <w:spacing w:val="23"/>
                <w:sz w:val="20"/>
                <w:szCs w:val="20"/>
                <w:highlight w:val="none"/>
              </w:rPr>
              <w:t xml:space="preserve"> </w:t>
            </w:r>
            <w:r>
              <w:rPr>
                <w:rFonts w:ascii="仿宋" w:hAnsi="仿宋" w:eastAsia="仿宋" w:cs="仿宋"/>
                <w:color w:val="auto"/>
                <w:spacing w:val="6"/>
                <w:sz w:val="20"/>
                <w:szCs w:val="20"/>
                <w:highlight w:val="none"/>
              </w:rPr>
              <w:t>45℃。</w:t>
            </w:r>
          </w:p>
        </w:tc>
      </w:tr>
      <w:tr w14:paraId="703E3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343" w:type="dxa"/>
            <w:noWrap w:val="0"/>
            <w:vAlign w:val="top"/>
          </w:tcPr>
          <w:p w14:paraId="65C2FEAD">
            <w:pPr>
              <w:keepNext w:val="0"/>
              <w:keepLines/>
              <w:pageBreakBefore w:val="0"/>
              <w:widowControl w:val="0"/>
              <w:kinsoku/>
              <w:wordWrap w:val="0"/>
              <w:overflowPunct/>
              <w:topLinePunct w:val="0"/>
              <w:autoSpaceDE/>
              <w:autoSpaceDN/>
              <w:bidi w:val="0"/>
              <w:adjustRightInd/>
              <w:snapToGrid/>
              <w:spacing w:before="35" w:line="270" w:lineRule="exact"/>
              <w:ind w:left="130"/>
              <w:textAlignment w:val="auto"/>
              <w:rPr>
                <w:rFonts w:ascii="仿宋" w:hAnsi="仿宋" w:eastAsia="仿宋" w:cs="仿宋"/>
                <w:color w:val="auto"/>
                <w:sz w:val="20"/>
                <w:szCs w:val="20"/>
                <w:highlight w:val="none"/>
              </w:rPr>
            </w:pPr>
            <w:r>
              <w:rPr>
                <w:rFonts w:ascii="仿宋" w:hAnsi="仿宋" w:eastAsia="仿宋" w:cs="仿宋"/>
                <w:color w:val="auto"/>
                <w:spacing w:val="-7"/>
                <w:position w:val="1"/>
                <w:sz w:val="20"/>
                <w:szCs w:val="20"/>
                <w:highlight w:val="none"/>
              </w:rPr>
              <w:t>15</w:t>
            </w:r>
          </w:p>
        </w:tc>
        <w:tc>
          <w:tcPr>
            <w:tcW w:w="2097" w:type="dxa"/>
            <w:noWrap w:val="0"/>
            <w:vAlign w:val="top"/>
          </w:tcPr>
          <w:p w14:paraId="6865D130">
            <w:pPr>
              <w:keepNext w:val="0"/>
              <w:keepLines/>
              <w:pageBreakBefore w:val="0"/>
              <w:widowControl w:val="0"/>
              <w:kinsoku/>
              <w:wordWrap w:val="0"/>
              <w:overflowPunct/>
              <w:topLinePunct w:val="0"/>
              <w:autoSpaceDE/>
              <w:autoSpaceDN/>
              <w:bidi w:val="0"/>
              <w:adjustRightInd/>
              <w:snapToGrid/>
              <w:spacing w:before="34" w:line="232" w:lineRule="auto"/>
              <w:ind w:left="110"/>
              <w:textAlignment w:val="auto"/>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4G</w:t>
            </w:r>
            <w:r>
              <w:rPr>
                <w:rFonts w:ascii="仿宋" w:hAnsi="仿宋" w:eastAsia="仿宋" w:cs="仿宋"/>
                <w:color w:val="auto"/>
                <w:spacing w:val="20"/>
                <w:sz w:val="20"/>
                <w:szCs w:val="20"/>
                <w:highlight w:val="none"/>
              </w:rPr>
              <w:t xml:space="preserve"> </w:t>
            </w:r>
            <w:r>
              <w:rPr>
                <w:rFonts w:ascii="仿宋" w:hAnsi="仿宋" w:eastAsia="仿宋" w:cs="仿宋"/>
                <w:color w:val="auto"/>
                <w:spacing w:val="1"/>
                <w:sz w:val="20"/>
                <w:szCs w:val="20"/>
                <w:highlight w:val="none"/>
              </w:rPr>
              <w:t>传输</w:t>
            </w:r>
          </w:p>
        </w:tc>
        <w:tc>
          <w:tcPr>
            <w:tcW w:w="6019" w:type="dxa"/>
            <w:noWrap w:val="0"/>
            <w:vAlign w:val="top"/>
          </w:tcPr>
          <w:p w14:paraId="7CE1D95A">
            <w:pPr>
              <w:keepNext w:val="0"/>
              <w:keepLines/>
              <w:pageBreakBefore w:val="0"/>
              <w:widowControl w:val="0"/>
              <w:kinsoku/>
              <w:wordWrap w:val="0"/>
              <w:overflowPunct/>
              <w:topLinePunct w:val="0"/>
              <w:autoSpaceDE/>
              <w:autoSpaceDN/>
              <w:bidi w:val="0"/>
              <w:adjustRightInd/>
              <w:snapToGrid/>
              <w:spacing w:before="35" w:line="231"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100G 流量/年，服务期</w:t>
            </w:r>
            <w:r>
              <w:rPr>
                <w:rFonts w:ascii="仿宋" w:hAnsi="仿宋" w:eastAsia="仿宋" w:cs="仿宋"/>
                <w:color w:val="auto"/>
                <w:spacing w:val="-27"/>
                <w:sz w:val="20"/>
                <w:szCs w:val="20"/>
                <w:highlight w:val="none"/>
              </w:rPr>
              <w:t xml:space="preserve"> </w:t>
            </w:r>
            <w:r>
              <w:rPr>
                <w:rFonts w:ascii="仿宋" w:hAnsi="仿宋" w:eastAsia="仿宋" w:cs="仿宋"/>
                <w:color w:val="auto"/>
                <w:spacing w:val="4"/>
                <w:sz w:val="20"/>
                <w:szCs w:val="20"/>
                <w:highlight w:val="none"/>
              </w:rPr>
              <w:t>5</w:t>
            </w:r>
            <w:r>
              <w:rPr>
                <w:rFonts w:ascii="仿宋" w:hAnsi="仿宋" w:eastAsia="仿宋" w:cs="仿宋"/>
                <w:color w:val="auto"/>
                <w:spacing w:val="-28"/>
                <w:sz w:val="20"/>
                <w:szCs w:val="20"/>
                <w:highlight w:val="none"/>
              </w:rPr>
              <w:t xml:space="preserve"> </w:t>
            </w:r>
            <w:r>
              <w:rPr>
                <w:rFonts w:ascii="仿宋" w:hAnsi="仿宋" w:eastAsia="仿宋" w:cs="仿宋"/>
                <w:color w:val="auto"/>
                <w:spacing w:val="4"/>
                <w:sz w:val="20"/>
                <w:szCs w:val="20"/>
                <w:highlight w:val="none"/>
              </w:rPr>
              <w:t>年</w:t>
            </w:r>
          </w:p>
        </w:tc>
      </w:tr>
      <w:tr w14:paraId="1A01F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343" w:type="dxa"/>
            <w:noWrap w:val="0"/>
            <w:vAlign w:val="top"/>
          </w:tcPr>
          <w:p w14:paraId="362642AE">
            <w:pPr>
              <w:keepNext w:val="0"/>
              <w:keepLines/>
              <w:pageBreakBefore w:val="0"/>
              <w:widowControl w:val="0"/>
              <w:kinsoku/>
              <w:wordWrap w:val="0"/>
              <w:overflowPunct/>
              <w:topLinePunct w:val="0"/>
              <w:autoSpaceDE/>
              <w:autoSpaceDN/>
              <w:bidi w:val="0"/>
              <w:adjustRightInd/>
              <w:snapToGrid/>
              <w:spacing w:before="33" w:line="271" w:lineRule="exact"/>
              <w:ind w:left="130"/>
              <w:textAlignment w:val="auto"/>
              <w:rPr>
                <w:rFonts w:ascii="仿宋" w:hAnsi="仿宋" w:eastAsia="仿宋" w:cs="仿宋"/>
                <w:color w:val="auto"/>
                <w:sz w:val="20"/>
                <w:szCs w:val="20"/>
                <w:highlight w:val="none"/>
              </w:rPr>
            </w:pPr>
            <w:r>
              <w:rPr>
                <w:rFonts w:ascii="仿宋" w:hAnsi="仿宋" w:eastAsia="仿宋" w:cs="仿宋"/>
                <w:color w:val="auto"/>
                <w:spacing w:val="-7"/>
                <w:position w:val="1"/>
                <w:sz w:val="20"/>
                <w:szCs w:val="20"/>
                <w:highlight w:val="none"/>
              </w:rPr>
              <w:t>16</w:t>
            </w:r>
          </w:p>
        </w:tc>
        <w:tc>
          <w:tcPr>
            <w:tcW w:w="2097" w:type="dxa"/>
            <w:noWrap w:val="0"/>
            <w:vAlign w:val="top"/>
          </w:tcPr>
          <w:p w14:paraId="6B7C3FAF">
            <w:pPr>
              <w:keepNext w:val="0"/>
              <w:keepLines/>
              <w:pageBreakBefore w:val="0"/>
              <w:widowControl w:val="0"/>
              <w:kinsoku/>
              <w:wordWrap w:val="0"/>
              <w:overflowPunct/>
              <w:topLinePunct w:val="0"/>
              <w:autoSpaceDE/>
              <w:autoSpaceDN/>
              <w:bidi w:val="0"/>
              <w:adjustRightInd/>
              <w:snapToGrid/>
              <w:spacing w:before="33" w:line="230" w:lineRule="auto"/>
              <w:ind w:left="140"/>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网络传输服务</w:t>
            </w:r>
          </w:p>
        </w:tc>
        <w:tc>
          <w:tcPr>
            <w:tcW w:w="6019" w:type="dxa"/>
            <w:noWrap w:val="0"/>
            <w:vAlign w:val="top"/>
          </w:tcPr>
          <w:p w14:paraId="2456C96D">
            <w:pPr>
              <w:keepNext w:val="0"/>
              <w:keepLines/>
              <w:pageBreakBefore w:val="0"/>
              <w:widowControl w:val="0"/>
              <w:kinsoku/>
              <w:wordWrap w:val="0"/>
              <w:overflowPunct/>
              <w:topLinePunct w:val="0"/>
              <w:autoSpaceDE/>
              <w:autoSpaceDN/>
              <w:bidi w:val="0"/>
              <w:adjustRightInd/>
              <w:snapToGrid/>
              <w:spacing w:before="33" w:line="230"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100M</w:t>
            </w:r>
            <w:r>
              <w:rPr>
                <w:rFonts w:ascii="仿宋" w:hAnsi="仿宋" w:eastAsia="仿宋" w:cs="仿宋"/>
                <w:color w:val="auto"/>
                <w:spacing w:val="-32"/>
                <w:sz w:val="20"/>
                <w:szCs w:val="20"/>
                <w:highlight w:val="none"/>
              </w:rPr>
              <w:t xml:space="preserve"> </w:t>
            </w:r>
            <w:r>
              <w:rPr>
                <w:rFonts w:ascii="仿宋" w:hAnsi="仿宋" w:eastAsia="仿宋" w:cs="仿宋"/>
                <w:color w:val="auto"/>
                <w:spacing w:val="3"/>
                <w:sz w:val="20"/>
                <w:szCs w:val="20"/>
                <w:highlight w:val="none"/>
              </w:rPr>
              <w:t>专线，含</w:t>
            </w:r>
            <w:r>
              <w:rPr>
                <w:rFonts w:ascii="仿宋" w:hAnsi="仿宋" w:eastAsia="仿宋" w:cs="仿宋"/>
                <w:color w:val="auto"/>
                <w:spacing w:val="-33"/>
                <w:sz w:val="20"/>
                <w:szCs w:val="20"/>
                <w:highlight w:val="none"/>
              </w:rPr>
              <w:t xml:space="preserve"> </w:t>
            </w:r>
            <w:r>
              <w:rPr>
                <w:rFonts w:ascii="仿宋" w:hAnsi="仿宋" w:eastAsia="仿宋" w:cs="仿宋"/>
                <w:color w:val="auto"/>
                <w:spacing w:val="3"/>
                <w:sz w:val="20"/>
                <w:szCs w:val="20"/>
                <w:highlight w:val="none"/>
              </w:rPr>
              <w:t>5</w:t>
            </w:r>
            <w:r>
              <w:rPr>
                <w:rFonts w:ascii="仿宋" w:hAnsi="仿宋" w:eastAsia="仿宋" w:cs="仿宋"/>
                <w:color w:val="auto"/>
                <w:spacing w:val="-28"/>
                <w:sz w:val="20"/>
                <w:szCs w:val="20"/>
                <w:highlight w:val="none"/>
              </w:rPr>
              <w:t xml:space="preserve"> </w:t>
            </w:r>
            <w:r>
              <w:rPr>
                <w:rFonts w:ascii="仿宋" w:hAnsi="仿宋" w:eastAsia="仿宋" w:cs="仿宋"/>
                <w:color w:val="auto"/>
                <w:spacing w:val="3"/>
                <w:sz w:val="20"/>
                <w:szCs w:val="20"/>
                <w:highlight w:val="none"/>
              </w:rPr>
              <w:t>年网络服务</w:t>
            </w:r>
          </w:p>
        </w:tc>
      </w:tr>
      <w:tr w14:paraId="50AD7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6" w:hRule="atLeast"/>
        </w:trPr>
        <w:tc>
          <w:tcPr>
            <w:tcW w:w="1343" w:type="dxa"/>
            <w:noWrap w:val="0"/>
            <w:vAlign w:val="top"/>
          </w:tcPr>
          <w:p w14:paraId="40B2C695">
            <w:pPr>
              <w:keepNext w:val="0"/>
              <w:keepLines/>
              <w:pageBreakBefore w:val="0"/>
              <w:widowControl w:val="0"/>
              <w:kinsoku/>
              <w:wordWrap w:val="0"/>
              <w:overflowPunct/>
              <w:topLinePunct w:val="0"/>
              <w:autoSpaceDE/>
              <w:autoSpaceDN/>
              <w:bidi w:val="0"/>
              <w:adjustRightInd/>
              <w:snapToGrid/>
              <w:spacing w:line="256" w:lineRule="auto"/>
              <w:textAlignment w:val="auto"/>
              <w:rPr>
                <w:rFonts w:ascii="Arial"/>
                <w:color w:val="auto"/>
                <w:sz w:val="21"/>
                <w:highlight w:val="none"/>
              </w:rPr>
            </w:pPr>
          </w:p>
          <w:p w14:paraId="347C6D82">
            <w:pPr>
              <w:keepNext w:val="0"/>
              <w:keepLines/>
              <w:pageBreakBefore w:val="0"/>
              <w:widowControl w:val="0"/>
              <w:kinsoku/>
              <w:wordWrap w:val="0"/>
              <w:overflowPunct/>
              <w:topLinePunct w:val="0"/>
              <w:autoSpaceDE/>
              <w:autoSpaceDN/>
              <w:bidi w:val="0"/>
              <w:adjustRightInd/>
              <w:snapToGrid/>
              <w:spacing w:line="256" w:lineRule="auto"/>
              <w:textAlignment w:val="auto"/>
              <w:rPr>
                <w:rFonts w:ascii="Arial"/>
                <w:color w:val="auto"/>
                <w:sz w:val="21"/>
                <w:highlight w:val="none"/>
              </w:rPr>
            </w:pPr>
          </w:p>
          <w:p w14:paraId="1494BB85">
            <w:pPr>
              <w:keepNext w:val="0"/>
              <w:keepLines/>
              <w:pageBreakBefore w:val="0"/>
              <w:widowControl w:val="0"/>
              <w:kinsoku/>
              <w:wordWrap w:val="0"/>
              <w:overflowPunct/>
              <w:topLinePunct w:val="0"/>
              <w:autoSpaceDE/>
              <w:autoSpaceDN/>
              <w:bidi w:val="0"/>
              <w:adjustRightInd/>
              <w:snapToGrid/>
              <w:spacing w:line="257" w:lineRule="auto"/>
              <w:textAlignment w:val="auto"/>
              <w:rPr>
                <w:rFonts w:ascii="Arial"/>
                <w:color w:val="auto"/>
                <w:sz w:val="21"/>
                <w:highlight w:val="none"/>
              </w:rPr>
            </w:pPr>
          </w:p>
          <w:p w14:paraId="21E7E12B">
            <w:pPr>
              <w:keepNext w:val="0"/>
              <w:keepLines/>
              <w:pageBreakBefore w:val="0"/>
              <w:widowControl w:val="0"/>
              <w:kinsoku/>
              <w:wordWrap w:val="0"/>
              <w:overflowPunct/>
              <w:topLinePunct w:val="0"/>
              <w:autoSpaceDE/>
              <w:autoSpaceDN/>
              <w:bidi w:val="0"/>
              <w:adjustRightInd/>
              <w:snapToGrid/>
              <w:spacing w:line="257" w:lineRule="auto"/>
              <w:textAlignment w:val="auto"/>
              <w:rPr>
                <w:rFonts w:ascii="Arial"/>
                <w:color w:val="auto"/>
                <w:sz w:val="21"/>
                <w:highlight w:val="none"/>
              </w:rPr>
            </w:pPr>
          </w:p>
          <w:p w14:paraId="41BB6A36">
            <w:pPr>
              <w:keepNext w:val="0"/>
              <w:keepLines/>
              <w:pageBreakBefore w:val="0"/>
              <w:widowControl w:val="0"/>
              <w:kinsoku/>
              <w:wordWrap w:val="0"/>
              <w:overflowPunct/>
              <w:topLinePunct w:val="0"/>
              <w:autoSpaceDE/>
              <w:autoSpaceDN/>
              <w:bidi w:val="0"/>
              <w:adjustRightInd/>
              <w:snapToGrid/>
              <w:spacing w:line="257" w:lineRule="auto"/>
              <w:textAlignment w:val="auto"/>
              <w:rPr>
                <w:rFonts w:ascii="Arial"/>
                <w:color w:val="auto"/>
                <w:sz w:val="21"/>
                <w:highlight w:val="none"/>
              </w:rPr>
            </w:pPr>
          </w:p>
          <w:p w14:paraId="4748FB6D">
            <w:pPr>
              <w:keepNext w:val="0"/>
              <w:keepLines/>
              <w:pageBreakBefore w:val="0"/>
              <w:widowControl w:val="0"/>
              <w:kinsoku/>
              <w:wordWrap w:val="0"/>
              <w:overflowPunct/>
              <w:topLinePunct w:val="0"/>
              <w:autoSpaceDE/>
              <w:autoSpaceDN/>
              <w:bidi w:val="0"/>
              <w:adjustRightInd/>
              <w:snapToGrid/>
              <w:spacing w:line="257" w:lineRule="auto"/>
              <w:textAlignment w:val="auto"/>
              <w:rPr>
                <w:rFonts w:ascii="Arial"/>
                <w:color w:val="auto"/>
                <w:sz w:val="21"/>
                <w:highlight w:val="none"/>
              </w:rPr>
            </w:pPr>
          </w:p>
          <w:p w14:paraId="467F2A2E">
            <w:pPr>
              <w:keepNext w:val="0"/>
              <w:keepLines/>
              <w:pageBreakBefore w:val="0"/>
              <w:widowControl w:val="0"/>
              <w:kinsoku/>
              <w:wordWrap w:val="0"/>
              <w:overflowPunct/>
              <w:topLinePunct w:val="0"/>
              <w:autoSpaceDE/>
              <w:autoSpaceDN/>
              <w:bidi w:val="0"/>
              <w:adjustRightInd/>
              <w:snapToGrid/>
              <w:spacing w:line="257" w:lineRule="auto"/>
              <w:textAlignment w:val="auto"/>
              <w:rPr>
                <w:rFonts w:ascii="Arial"/>
                <w:color w:val="auto"/>
                <w:sz w:val="21"/>
                <w:highlight w:val="none"/>
              </w:rPr>
            </w:pPr>
          </w:p>
          <w:p w14:paraId="724641E7">
            <w:pPr>
              <w:keepNext w:val="0"/>
              <w:keepLines/>
              <w:pageBreakBefore w:val="0"/>
              <w:widowControl w:val="0"/>
              <w:kinsoku/>
              <w:wordWrap w:val="0"/>
              <w:overflowPunct/>
              <w:topLinePunct w:val="0"/>
              <w:autoSpaceDE/>
              <w:autoSpaceDN/>
              <w:bidi w:val="0"/>
              <w:adjustRightInd/>
              <w:snapToGrid/>
              <w:spacing w:before="65" w:line="271" w:lineRule="exact"/>
              <w:ind w:left="130"/>
              <w:textAlignment w:val="auto"/>
              <w:rPr>
                <w:rFonts w:ascii="仿宋" w:hAnsi="仿宋" w:eastAsia="仿宋" w:cs="仿宋"/>
                <w:color w:val="auto"/>
                <w:sz w:val="20"/>
                <w:szCs w:val="20"/>
                <w:highlight w:val="none"/>
              </w:rPr>
            </w:pPr>
            <w:r>
              <w:rPr>
                <w:rFonts w:ascii="仿宋" w:hAnsi="仿宋" w:eastAsia="仿宋" w:cs="仿宋"/>
                <w:color w:val="auto"/>
                <w:spacing w:val="-7"/>
                <w:position w:val="1"/>
                <w:sz w:val="20"/>
                <w:szCs w:val="20"/>
                <w:highlight w:val="none"/>
              </w:rPr>
              <w:t>17</w:t>
            </w:r>
          </w:p>
        </w:tc>
        <w:tc>
          <w:tcPr>
            <w:tcW w:w="2097" w:type="dxa"/>
            <w:noWrap w:val="0"/>
            <w:vAlign w:val="top"/>
          </w:tcPr>
          <w:p w14:paraId="0548A945">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05A9B903">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021AEE94">
            <w:pPr>
              <w:keepNext w:val="0"/>
              <w:keepLines/>
              <w:pageBreakBefore w:val="0"/>
              <w:widowControl w:val="0"/>
              <w:kinsoku/>
              <w:wordWrap w:val="0"/>
              <w:overflowPunct/>
              <w:topLinePunct w:val="0"/>
              <w:autoSpaceDE/>
              <w:autoSpaceDN/>
              <w:bidi w:val="0"/>
              <w:adjustRightInd/>
              <w:snapToGrid/>
              <w:spacing w:line="265" w:lineRule="auto"/>
              <w:textAlignment w:val="auto"/>
              <w:rPr>
                <w:rFonts w:ascii="Arial"/>
                <w:color w:val="auto"/>
                <w:sz w:val="21"/>
                <w:highlight w:val="none"/>
              </w:rPr>
            </w:pPr>
          </w:p>
          <w:p w14:paraId="624FD3F6">
            <w:pPr>
              <w:keepNext w:val="0"/>
              <w:keepLines/>
              <w:pageBreakBefore w:val="0"/>
              <w:widowControl w:val="0"/>
              <w:kinsoku/>
              <w:wordWrap w:val="0"/>
              <w:overflowPunct/>
              <w:topLinePunct w:val="0"/>
              <w:autoSpaceDE/>
              <w:autoSpaceDN/>
              <w:bidi w:val="0"/>
              <w:adjustRightInd/>
              <w:snapToGrid/>
              <w:spacing w:line="266" w:lineRule="auto"/>
              <w:textAlignment w:val="auto"/>
              <w:rPr>
                <w:rFonts w:ascii="Arial"/>
                <w:color w:val="auto"/>
                <w:sz w:val="21"/>
                <w:highlight w:val="none"/>
              </w:rPr>
            </w:pPr>
          </w:p>
          <w:p w14:paraId="3F72A46D">
            <w:pPr>
              <w:keepNext w:val="0"/>
              <w:keepLines/>
              <w:pageBreakBefore w:val="0"/>
              <w:widowControl w:val="0"/>
              <w:kinsoku/>
              <w:wordWrap w:val="0"/>
              <w:overflowPunct/>
              <w:topLinePunct w:val="0"/>
              <w:autoSpaceDE/>
              <w:autoSpaceDN/>
              <w:bidi w:val="0"/>
              <w:adjustRightInd/>
              <w:snapToGrid/>
              <w:spacing w:line="266" w:lineRule="auto"/>
              <w:textAlignment w:val="auto"/>
              <w:rPr>
                <w:rFonts w:ascii="Arial"/>
                <w:color w:val="auto"/>
                <w:sz w:val="21"/>
                <w:highlight w:val="none"/>
              </w:rPr>
            </w:pPr>
          </w:p>
          <w:p w14:paraId="76DF0F1D">
            <w:pPr>
              <w:keepNext w:val="0"/>
              <w:keepLines/>
              <w:pageBreakBefore w:val="0"/>
              <w:widowControl w:val="0"/>
              <w:kinsoku/>
              <w:wordWrap w:val="0"/>
              <w:overflowPunct/>
              <w:topLinePunct w:val="0"/>
              <w:autoSpaceDE/>
              <w:autoSpaceDN/>
              <w:bidi w:val="0"/>
              <w:adjustRightInd/>
              <w:snapToGrid/>
              <w:spacing w:line="266" w:lineRule="auto"/>
              <w:textAlignment w:val="auto"/>
              <w:rPr>
                <w:rFonts w:ascii="Arial"/>
                <w:color w:val="auto"/>
                <w:sz w:val="21"/>
                <w:highlight w:val="none"/>
              </w:rPr>
            </w:pPr>
          </w:p>
          <w:p w14:paraId="2B6A40B2">
            <w:pPr>
              <w:keepNext w:val="0"/>
              <w:keepLines/>
              <w:pageBreakBefore w:val="0"/>
              <w:widowControl w:val="0"/>
              <w:kinsoku/>
              <w:wordWrap w:val="0"/>
              <w:overflowPunct/>
              <w:topLinePunct w:val="0"/>
              <w:autoSpaceDE/>
              <w:autoSpaceDN/>
              <w:bidi w:val="0"/>
              <w:adjustRightInd/>
              <w:snapToGrid/>
              <w:spacing w:before="65" w:line="376" w:lineRule="auto"/>
              <w:ind w:left="128" w:right="107" w:hanging="6"/>
              <w:textAlignment w:val="auto"/>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全域视联</w:t>
            </w:r>
            <w:r>
              <w:rPr>
                <w:rFonts w:ascii="仿宋" w:hAnsi="仿宋" w:eastAsia="仿宋" w:cs="仿宋"/>
                <w:color w:val="auto"/>
                <w:spacing w:val="-36"/>
                <w:sz w:val="20"/>
                <w:szCs w:val="20"/>
                <w:highlight w:val="none"/>
              </w:rPr>
              <w:t xml:space="preserve"> </w:t>
            </w:r>
            <w:r>
              <w:rPr>
                <w:rFonts w:ascii="仿宋" w:hAnsi="仿宋" w:eastAsia="仿宋" w:cs="仿宋"/>
                <w:color w:val="auto"/>
                <w:spacing w:val="16"/>
                <w:sz w:val="20"/>
                <w:szCs w:val="20"/>
                <w:highlight w:val="none"/>
              </w:rPr>
              <w:t>网监</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管平台服务</w:t>
            </w:r>
          </w:p>
        </w:tc>
        <w:tc>
          <w:tcPr>
            <w:tcW w:w="6019" w:type="dxa"/>
            <w:noWrap w:val="0"/>
            <w:vAlign w:val="top"/>
          </w:tcPr>
          <w:p w14:paraId="2BBFB03F">
            <w:pPr>
              <w:keepNext w:val="0"/>
              <w:keepLines/>
              <w:pageBreakBefore w:val="0"/>
              <w:widowControl w:val="0"/>
              <w:kinsoku/>
              <w:wordWrap w:val="0"/>
              <w:overflowPunct/>
              <w:topLinePunct w:val="0"/>
              <w:autoSpaceDE/>
              <w:autoSpaceDN/>
              <w:bidi w:val="0"/>
              <w:adjustRightInd/>
              <w:snapToGrid/>
              <w:spacing w:before="35" w:line="231" w:lineRule="auto"/>
              <w:ind w:left="12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为满足服务要求，需满足以下参数：</w:t>
            </w:r>
          </w:p>
          <w:p w14:paraId="192CF3D7">
            <w:pPr>
              <w:keepNext w:val="0"/>
              <w:keepLines/>
              <w:pageBreakBefore w:val="0"/>
              <w:widowControl w:val="0"/>
              <w:kinsoku/>
              <w:wordWrap w:val="0"/>
              <w:overflowPunct/>
              <w:topLinePunct w:val="0"/>
              <w:autoSpaceDE/>
              <w:autoSpaceDN/>
              <w:bidi w:val="0"/>
              <w:adjustRightInd/>
              <w:snapToGrid/>
              <w:spacing w:before="158" w:line="229" w:lineRule="auto"/>
              <w:ind w:left="121"/>
              <w:textAlignment w:val="auto"/>
              <w:rPr>
                <w:rFonts w:ascii="仿宋" w:hAnsi="仿宋" w:eastAsia="仿宋" w:cs="仿宋"/>
                <w:color w:val="auto"/>
                <w:sz w:val="20"/>
                <w:szCs w:val="20"/>
                <w:highlight w:val="none"/>
              </w:rPr>
            </w:pPr>
            <w:r>
              <w:rPr>
                <w:rFonts w:ascii="仿宋" w:hAnsi="仿宋" w:eastAsia="仿宋" w:cs="仿宋"/>
                <w:b/>
                <w:bCs/>
                <w:color w:val="auto"/>
                <w:spacing w:val="5"/>
                <w:sz w:val="20"/>
                <w:szCs w:val="20"/>
                <w:highlight w:val="none"/>
              </w:rPr>
              <w:t>（1）平台服务</w:t>
            </w:r>
          </w:p>
          <w:p w14:paraId="4A1A36E7">
            <w:pPr>
              <w:keepNext w:val="0"/>
              <w:keepLines/>
              <w:pageBreakBefore w:val="0"/>
              <w:widowControl w:val="0"/>
              <w:kinsoku/>
              <w:wordWrap w:val="0"/>
              <w:overflowPunct/>
              <w:topLinePunct w:val="0"/>
              <w:autoSpaceDE/>
              <w:autoSpaceDN/>
              <w:bidi w:val="0"/>
              <w:adjustRightInd/>
              <w:snapToGrid/>
              <w:spacing w:before="159" w:line="230"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1.同时具备视频监控与无人机监管功能；</w:t>
            </w:r>
          </w:p>
          <w:p w14:paraId="35200BBC">
            <w:pPr>
              <w:keepNext w:val="0"/>
              <w:keepLines/>
              <w:pageBreakBefore w:val="0"/>
              <w:widowControl w:val="0"/>
              <w:kinsoku/>
              <w:wordWrap w:val="0"/>
              <w:overflowPunct/>
              <w:topLinePunct w:val="0"/>
              <w:autoSpaceDE/>
              <w:autoSpaceDN/>
              <w:bidi w:val="0"/>
              <w:adjustRightInd/>
              <w:snapToGrid/>
              <w:spacing w:before="159" w:line="328" w:lineRule="auto"/>
              <w:ind w:left="116" w:right="105" w:hanging="3"/>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2.视频监控应与无人机进行告警联动，即视频监</w:t>
            </w:r>
            <w:r>
              <w:rPr>
                <w:rFonts w:ascii="仿宋" w:hAnsi="仿宋" w:eastAsia="仿宋" w:cs="仿宋"/>
                <w:color w:val="auto"/>
                <w:sz w:val="20"/>
                <w:szCs w:val="20"/>
                <w:highlight w:val="none"/>
              </w:rPr>
              <w:t xml:space="preserve"> </w:t>
            </w:r>
            <w:r>
              <w:rPr>
                <w:rFonts w:ascii="仿宋" w:hAnsi="仿宋" w:eastAsia="仿宋" w:cs="仿宋"/>
                <w:color w:val="auto"/>
                <w:spacing w:val="17"/>
                <w:sz w:val="20"/>
                <w:szCs w:val="20"/>
                <w:highlight w:val="none"/>
              </w:rPr>
              <w:t>控发现告警后无人机可飞往指定地点进行告警</w:t>
            </w:r>
            <w:r>
              <w:rPr>
                <w:rFonts w:ascii="仿宋" w:hAnsi="仿宋" w:eastAsia="仿宋" w:cs="仿宋"/>
                <w:color w:val="auto"/>
                <w:spacing w:val="11"/>
                <w:sz w:val="20"/>
                <w:szCs w:val="20"/>
                <w:highlight w:val="none"/>
              </w:rPr>
              <w:t xml:space="preserve"> </w:t>
            </w:r>
            <w:r>
              <w:rPr>
                <w:rFonts w:ascii="仿宋" w:hAnsi="仿宋" w:eastAsia="仿宋" w:cs="仿宋"/>
                <w:color w:val="auto"/>
                <w:spacing w:val="7"/>
                <w:sz w:val="20"/>
                <w:szCs w:val="20"/>
                <w:highlight w:val="none"/>
              </w:rPr>
              <w:t>核实、违法行为取证；</w:t>
            </w:r>
          </w:p>
          <w:p w14:paraId="7F2A5FB4">
            <w:pPr>
              <w:keepNext w:val="0"/>
              <w:keepLines/>
              <w:pageBreakBefore w:val="0"/>
              <w:widowControl w:val="0"/>
              <w:kinsoku/>
              <w:wordWrap w:val="0"/>
              <w:overflowPunct/>
              <w:topLinePunct w:val="0"/>
              <w:autoSpaceDE/>
              <w:autoSpaceDN/>
              <w:bidi w:val="0"/>
              <w:adjustRightInd/>
              <w:snapToGrid/>
              <w:spacing w:before="160" w:line="340" w:lineRule="auto"/>
              <w:ind w:left="118" w:right="37" w:hanging="3"/>
              <w:textAlignment w:val="auto"/>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3.系统应具备展示无人机智慧监管关键要素的</w:t>
            </w:r>
            <w:r>
              <w:rPr>
                <w:rFonts w:ascii="仿宋" w:hAnsi="仿宋" w:eastAsia="仿宋" w:cs="仿宋"/>
                <w:color w:val="auto"/>
                <w:spacing w:val="17"/>
                <w:sz w:val="20"/>
                <w:szCs w:val="20"/>
                <w:highlight w:val="none"/>
              </w:rPr>
              <w:t xml:space="preserve"> </w:t>
            </w:r>
            <w:r>
              <w:rPr>
                <w:rFonts w:ascii="仿宋" w:hAnsi="仿宋" w:eastAsia="仿宋" w:cs="仿宋"/>
                <w:color w:val="auto"/>
                <w:spacing w:val="7"/>
                <w:sz w:val="20"/>
                <w:szCs w:val="20"/>
                <w:highlight w:val="none"/>
              </w:rPr>
              <w:t>一张图功能。要求一张图能对无人机场、飞检航</w:t>
            </w:r>
            <w:r>
              <w:rPr>
                <w:rFonts w:ascii="仿宋" w:hAnsi="仿宋" w:eastAsia="仿宋" w:cs="仿宋"/>
                <w:color w:val="auto"/>
                <w:spacing w:val="4"/>
                <w:sz w:val="20"/>
                <w:szCs w:val="20"/>
                <w:highlight w:val="none"/>
              </w:rPr>
              <w:t xml:space="preserve"> </w:t>
            </w:r>
            <w:r>
              <w:rPr>
                <w:rFonts w:ascii="仿宋" w:hAnsi="仿宋" w:eastAsia="仿宋" w:cs="仿宋"/>
                <w:color w:val="auto"/>
                <w:spacing w:val="7"/>
                <w:sz w:val="20"/>
                <w:szCs w:val="20"/>
                <w:highlight w:val="none"/>
              </w:rPr>
              <w:t>线、告警信息等进行集中展示，同时在电子地图</w:t>
            </w:r>
            <w:r>
              <w:rPr>
                <w:rFonts w:ascii="仿宋" w:hAnsi="仿宋" w:eastAsia="仿宋" w:cs="仿宋"/>
                <w:color w:val="auto"/>
                <w:spacing w:val="4"/>
                <w:sz w:val="20"/>
                <w:szCs w:val="20"/>
                <w:highlight w:val="none"/>
              </w:rPr>
              <w:t xml:space="preserve"> </w:t>
            </w:r>
            <w:r>
              <w:rPr>
                <w:rFonts w:ascii="仿宋" w:hAnsi="仿宋" w:eastAsia="仿宋" w:cs="仿宋"/>
                <w:color w:val="auto"/>
                <w:sz w:val="20"/>
                <w:szCs w:val="20"/>
                <w:highlight w:val="none"/>
              </w:rPr>
              <w:t>上对站点、无人机场、飞行器、限飞区、作业区、</w:t>
            </w:r>
          </w:p>
        </w:tc>
      </w:tr>
    </w:tbl>
    <w:p w14:paraId="7217B60E">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245EAD24">
      <w:pPr>
        <w:keepNext w:val="0"/>
        <w:keepLines/>
        <w:pageBreakBefore w:val="0"/>
        <w:widowControl w:val="0"/>
        <w:kinsoku/>
        <w:wordWrap w:val="0"/>
        <w:overflowPunct/>
        <w:topLinePunct w:val="0"/>
        <w:autoSpaceDE/>
        <w:autoSpaceDN/>
        <w:bidi w:val="0"/>
        <w:adjustRightInd/>
        <w:snapToGrid/>
        <w:textAlignment w:val="auto"/>
        <w:rPr>
          <w:rFonts w:ascii="Arial" w:hAnsi="Arial" w:eastAsia="Arial" w:cs="Arial"/>
          <w:color w:val="auto"/>
          <w:sz w:val="21"/>
          <w:szCs w:val="21"/>
          <w:highlight w:val="none"/>
        </w:rPr>
        <w:sectPr>
          <w:pgSz w:w="11906" w:h="16840"/>
          <w:pgMar w:top="1430" w:right="1649" w:bottom="400" w:left="1502" w:header="0" w:footer="0" w:gutter="0"/>
          <w:pgNumType w:fmt="decimal"/>
          <w:cols w:space="720" w:num="1"/>
        </w:sectPr>
      </w:pPr>
    </w:p>
    <w:tbl>
      <w:tblPr>
        <w:tblStyle w:val="18"/>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2084"/>
        <w:gridCol w:w="5981"/>
      </w:tblGrid>
      <w:tr w14:paraId="3FE43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3" w:hRule="atLeast"/>
        </w:trPr>
        <w:tc>
          <w:tcPr>
            <w:tcW w:w="1334" w:type="dxa"/>
            <w:noWrap w:val="0"/>
            <w:vAlign w:val="top"/>
          </w:tcPr>
          <w:p w14:paraId="1FB47A94">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2084" w:type="dxa"/>
            <w:noWrap w:val="0"/>
            <w:vAlign w:val="top"/>
          </w:tcPr>
          <w:p w14:paraId="16DB60D9">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5981" w:type="dxa"/>
            <w:noWrap w:val="0"/>
            <w:vAlign w:val="top"/>
          </w:tcPr>
          <w:p w14:paraId="243F07DE">
            <w:pPr>
              <w:keepNext w:val="0"/>
              <w:keepLines/>
              <w:pageBreakBefore w:val="0"/>
              <w:widowControl w:val="0"/>
              <w:kinsoku/>
              <w:wordWrap w:val="0"/>
              <w:overflowPunct/>
              <w:topLinePunct w:val="0"/>
              <w:autoSpaceDE/>
              <w:autoSpaceDN/>
              <w:bidi w:val="0"/>
              <w:adjustRightInd/>
              <w:snapToGrid/>
              <w:spacing w:before="37" w:line="376" w:lineRule="auto"/>
              <w:ind w:left="121" w:right="105" w:firstLine="1"/>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飞行范围和监控点等相关信息做分布展示，</w:t>
            </w:r>
            <w:r>
              <w:rPr>
                <w:rFonts w:ascii="仿宋" w:hAnsi="仿宋" w:eastAsia="仿宋" w:cs="仿宋"/>
                <w:color w:val="auto"/>
                <w:spacing w:val="6"/>
                <w:sz w:val="20"/>
                <w:szCs w:val="20"/>
                <w:highlight w:val="none"/>
              </w:rPr>
              <w:t>支持</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通过一张图相关功能模块直达详细功能页面。</w:t>
            </w:r>
          </w:p>
          <w:p w14:paraId="09BB2FDF">
            <w:pPr>
              <w:keepNext w:val="0"/>
              <w:keepLines/>
              <w:pageBreakBefore w:val="0"/>
              <w:widowControl w:val="0"/>
              <w:kinsoku/>
              <w:wordWrap w:val="0"/>
              <w:overflowPunct/>
              <w:topLinePunct w:val="0"/>
              <w:autoSpaceDE/>
              <w:autoSpaceDN/>
              <w:bidi w:val="0"/>
              <w:adjustRightInd/>
              <w:snapToGrid/>
              <w:spacing w:before="7" w:line="362" w:lineRule="auto"/>
              <w:ind w:left="116" w:hanging="6"/>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4.系统应具备无人机航线规划功能，支持按航线</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配置拍照模式、飞行模式、全局航线速度、起飞</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速度等参数；同时可以添加航点并配置每一个航</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点对应的动作（动作包含录像、拍照、相机控制</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等</w:t>
            </w:r>
            <w:r>
              <w:rPr>
                <w:rFonts w:ascii="仿宋" w:hAnsi="仿宋" w:eastAsia="仿宋" w:cs="仿宋"/>
                <w:color w:val="auto"/>
                <w:spacing w:val="6"/>
                <w:sz w:val="20"/>
                <w:szCs w:val="20"/>
                <w:highlight w:val="none"/>
              </w:rPr>
              <w:t>）；</w:t>
            </w:r>
            <w:r>
              <w:rPr>
                <w:rFonts w:ascii="仿宋" w:hAnsi="仿宋" w:eastAsia="仿宋" w:cs="仿宋"/>
                <w:color w:val="auto"/>
                <w:spacing w:val="7"/>
                <w:sz w:val="20"/>
                <w:szCs w:val="20"/>
                <w:highlight w:val="none"/>
              </w:rPr>
              <w:t>提供飞行任务计划制定功能，支持针对不</w:t>
            </w:r>
            <w:r>
              <w:rPr>
                <w:rFonts w:ascii="仿宋" w:hAnsi="仿宋" w:eastAsia="仿宋" w:cs="仿宋"/>
                <w:color w:val="auto"/>
                <w:sz w:val="20"/>
                <w:szCs w:val="20"/>
                <w:highlight w:val="none"/>
              </w:rPr>
              <w:t xml:space="preserve">  </w:t>
            </w:r>
            <w:r>
              <w:rPr>
                <w:rFonts w:ascii="仿宋" w:hAnsi="仿宋" w:eastAsia="仿宋" w:cs="仿宋"/>
                <w:color w:val="auto"/>
                <w:spacing w:val="17"/>
                <w:sz w:val="20"/>
                <w:szCs w:val="20"/>
                <w:highlight w:val="none"/>
              </w:rPr>
              <w:t>同航线设置不同的执飞计划；可设置任务策略</w:t>
            </w:r>
            <w:r>
              <w:rPr>
                <w:rFonts w:ascii="仿宋" w:hAnsi="仿宋" w:eastAsia="仿宋" w:cs="仿宋"/>
                <w:color w:val="auto"/>
                <w:spacing w:val="3"/>
                <w:sz w:val="20"/>
                <w:szCs w:val="20"/>
                <w:highlight w:val="none"/>
              </w:rPr>
              <w:t xml:space="preserve">  </w:t>
            </w:r>
            <w:r>
              <w:rPr>
                <w:rFonts w:ascii="仿宋" w:hAnsi="仿宋" w:eastAsia="仿宋" w:cs="仿宋"/>
                <w:color w:val="auto"/>
                <w:spacing w:val="2"/>
                <w:sz w:val="20"/>
                <w:szCs w:val="20"/>
                <w:highlight w:val="none"/>
              </w:rPr>
              <w:t>（立即执行、单次定时、重复定时、连续执行）、</w:t>
            </w:r>
            <w:r>
              <w:rPr>
                <w:rFonts w:ascii="仿宋" w:hAnsi="仿宋" w:eastAsia="仿宋" w:cs="仿宋"/>
                <w:color w:val="auto"/>
                <w:spacing w:val="13"/>
                <w:sz w:val="20"/>
                <w:szCs w:val="20"/>
                <w:highlight w:val="none"/>
              </w:rPr>
              <w:t xml:space="preserve"> </w:t>
            </w:r>
            <w:r>
              <w:rPr>
                <w:rFonts w:ascii="仿宋" w:hAnsi="仿宋" w:eastAsia="仿宋" w:cs="仿宋"/>
                <w:color w:val="auto"/>
                <w:spacing w:val="7"/>
                <w:sz w:val="20"/>
                <w:szCs w:val="20"/>
                <w:highlight w:val="none"/>
              </w:rPr>
              <w:t>失联动作等参数，应支持全景航线查看功能，可</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在一张地图上对多条航线同时展示，查看为覆盖</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区域。</w:t>
            </w:r>
          </w:p>
          <w:p w14:paraId="38F057EB">
            <w:pPr>
              <w:keepNext w:val="0"/>
              <w:keepLines/>
              <w:pageBreakBefore w:val="0"/>
              <w:widowControl w:val="0"/>
              <w:kinsoku/>
              <w:wordWrap w:val="0"/>
              <w:overflowPunct/>
              <w:topLinePunct w:val="0"/>
              <w:autoSpaceDE/>
              <w:autoSpaceDN/>
              <w:bidi w:val="0"/>
              <w:adjustRightInd/>
              <w:snapToGrid/>
              <w:spacing w:before="153" w:line="366" w:lineRule="auto"/>
              <w:ind w:left="115" w:right="100"/>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5.系统应具备实时飞行驾驶舱功能，在飞行驾驶</w:t>
            </w:r>
            <w:r>
              <w:rPr>
                <w:rFonts w:ascii="仿宋" w:hAnsi="仿宋" w:eastAsia="仿宋" w:cs="仿宋"/>
                <w:color w:val="auto"/>
                <w:spacing w:val="1"/>
                <w:sz w:val="20"/>
                <w:szCs w:val="20"/>
                <w:highlight w:val="none"/>
              </w:rPr>
              <w:t xml:space="preserve"> </w:t>
            </w:r>
            <w:r>
              <w:rPr>
                <w:rFonts w:ascii="仿宋" w:hAnsi="仿宋" w:eastAsia="仿宋" w:cs="仿宋"/>
                <w:color w:val="auto"/>
                <w:spacing w:val="7"/>
                <w:sz w:val="20"/>
                <w:szCs w:val="20"/>
                <w:highlight w:val="none"/>
              </w:rPr>
              <w:t xml:space="preserve">舱可实时查看无人机视频、无人机飞行航迹，偏 航角、飞行速度、飞行高度、电池电量、电池温 </w:t>
            </w:r>
            <w:r>
              <w:rPr>
                <w:rFonts w:ascii="仿宋" w:hAnsi="仿宋" w:eastAsia="仿宋" w:cs="仿宋"/>
                <w:color w:val="auto"/>
                <w:spacing w:val="5"/>
                <w:sz w:val="20"/>
                <w:szCs w:val="20"/>
                <w:highlight w:val="none"/>
              </w:rPr>
              <w:t>度、</w:t>
            </w:r>
            <w:r>
              <w:rPr>
                <w:rFonts w:ascii="仿宋" w:hAnsi="仿宋" w:eastAsia="仿宋" w:cs="仿宋"/>
                <w:color w:val="auto"/>
                <w:spacing w:val="-48"/>
                <w:sz w:val="20"/>
                <w:szCs w:val="20"/>
                <w:highlight w:val="none"/>
              </w:rPr>
              <w:t xml:space="preserve"> </w:t>
            </w:r>
            <w:r>
              <w:rPr>
                <w:rFonts w:ascii="仿宋" w:hAnsi="仿宋" w:eastAsia="仿宋" w:cs="仿宋"/>
                <w:color w:val="auto"/>
                <w:spacing w:val="5"/>
                <w:sz w:val="20"/>
                <w:szCs w:val="20"/>
                <w:highlight w:val="none"/>
              </w:rPr>
              <w:t>图传信号、天气、风速、风向、实飞时长、</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可飞行时长、距降落点距离、电压、俯仰角、卫 星数量等信息；在飞行驾驶舱可手动进行飞行器</w:t>
            </w:r>
            <w:r>
              <w:rPr>
                <w:rFonts w:ascii="仿宋" w:hAnsi="仿宋" w:eastAsia="仿宋" w:cs="仿宋"/>
                <w:color w:val="auto"/>
                <w:spacing w:val="5"/>
                <w:sz w:val="20"/>
                <w:szCs w:val="20"/>
                <w:highlight w:val="none"/>
              </w:rPr>
              <w:t xml:space="preserve"> </w:t>
            </w:r>
            <w:r>
              <w:rPr>
                <w:rFonts w:ascii="仿宋" w:hAnsi="仿宋" w:eastAsia="仿宋" w:cs="仿宋"/>
                <w:color w:val="auto"/>
                <w:spacing w:val="7"/>
                <w:sz w:val="20"/>
                <w:szCs w:val="20"/>
                <w:highlight w:val="none"/>
              </w:rPr>
              <w:t>及挂载相机的各类相关控制操作，飞行器包括一</w:t>
            </w:r>
            <w:r>
              <w:rPr>
                <w:rFonts w:ascii="仿宋" w:hAnsi="仿宋" w:eastAsia="仿宋" w:cs="仿宋"/>
                <w:color w:val="auto"/>
                <w:spacing w:val="5"/>
                <w:sz w:val="20"/>
                <w:szCs w:val="20"/>
                <w:highlight w:val="none"/>
              </w:rPr>
              <w:t xml:space="preserve"> </w:t>
            </w:r>
            <w:r>
              <w:rPr>
                <w:rFonts w:ascii="仿宋" w:hAnsi="仿宋" w:eastAsia="仿宋" w:cs="仿宋"/>
                <w:color w:val="auto"/>
                <w:spacing w:val="7"/>
                <w:sz w:val="20"/>
                <w:szCs w:val="20"/>
                <w:highlight w:val="none"/>
              </w:rPr>
              <w:t>键起飞、一键返航、指点飞行、飞行航向控制等</w:t>
            </w:r>
            <w:r>
              <w:rPr>
                <w:rFonts w:ascii="仿宋" w:hAnsi="仿宋" w:eastAsia="仿宋" w:cs="仿宋"/>
                <w:color w:val="auto"/>
                <w:spacing w:val="5"/>
                <w:sz w:val="20"/>
                <w:szCs w:val="20"/>
                <w:highlight w:val="none"/>
              </w:rPr>
              <w:t xml:space="preserve"> </w:t>
            </w:r>
            <w:r>
              <w:rPr>
                <w:rFonts w:ascii="仿宋" w:hAnsi="仿宋" w:eastAsia="仿宋" w:cs="仿宋"/>
                <w:color w:val="auto"/>
                <w:spacing w:val="7"/>
                <w:sz w:val="20"/>
                <w:szCs w:val="20"/>
                <w:highlight w:val="none"/>
              </w:rPr>
              <w:t>操作；在飞行驾驶舱可实时动态显示无人机航拍</w:t>
            </w:r>
            <w:r>
              <w:rPr>
                <w:rFonts w:ascii="仿宋" w:hAnsi="仿宋" w:eastAsia="仿宋" w:cs="仿宋"/>
                <w:color w:val="auto"/>
                <w:spacing w:val="5"/>
                <w:sz w:val="20"/>
                <w:szCs w:val="20"/>
                <w:highlight w:val="none"/>
              </w:rPr>
              <w:t xml:space="preserve"> </w:t>
            </w:r>
            <w:r>
              <w:rPr>
                <w:rFonts w:ascii="仿宋" w:hAnsi="仿宋" w:eastAsia="仿宋" w:cs="仿宋"/>
                <w:color w:val="auto"/>
                <w:spacing w:val="7"/>
                <w:sz w:val="20"/>
                <w:szCs w:val="20"/>
                <w:highlight w:val="none"/>
              </w:rPr>
              <w:t xml:space="preserve">视频 </w:t>
            </w:r>
            <w:r>
              <w:rPr>
                <w:rFonts w:ascii="仿宋" w:hAnsi="仿宋" w:eastAsia="仿宋" w:cs="仿宋"/>
                <w:color w:val="auto"/>
                <w:sz w:val="20"/>
                <w:szCs w:val="20"/>
                <w:highlight w:val="none"/>
              </w:rPr>
              <w:t>AI</w:t>
            </w:r>
            <w:r>
              <w:rPr>
                <w:rFonts w:ascii="仿宋" w:hAnsi="仿宋" w:eastAsia="仿宋" w:cs="仿宋"/>
                <w:color w:val="auto"/>
                <w:spacing w:val="-30"/>
                <w:sz w:val="20"/>
                <w:szCs w:val="20"/>
                <w:highlight w:val="none"/>
              </w:rPr>
              <w:t xml:space="preserve"> </w:t>
            </w:r>
            <w:r>
              <w:rPr>
                <w:rFonts w:ascii="仿宋" w:hAnsi="仿宋" w:eastAsia="仿宋" w:cs="仿宋"/>
                <w:color w:val="auto"/>
                <w:spacing w:val="7"/>
                <w:sz w:val="20"/>
                <w:szCs w:val="20"/>
                <w:highlight w:val="none"/>
              </w:rPr>
              <w:t>检测告警、</w:t>
            </w:r>
            <w:r>
              <w:rPr>
                <w:rFonts w:ascii="仿宋" w:hAnsi="仿宋" w:eastAsia="仿宋" w:cs="仿宋"/>
                <w:color w:val="auto"/>
                <w:spacing w:val="-58"/>
                <w:sz w:val="20"/>
                <w:szCs w:val="20"/>
                <w:highlight w:val="none"/>
              </w:rPr>
              <w:t xml:space="preserve"> </w:t>
            </w:r>
            <w:r>
              <w:rPr>
                <w:rFonts w:ascii="仿宋" w:hAnsi="仿宋" w:eastAsia="仿宋" w:cs="仿宋"/>
                <w:color w:val="auto"/>
                <w:spacing w:val="7"/>
                <w:sz w:val="20"/>
                <w:szCs w:val="20"/>
                <w:highlight w:val="none"/>
              </w:rPr>
              <w:t>当前无人机所在位置附近的</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可与无人机进行联动应用的视频监控点位，并可</w:t>
            </w:r>
            <w:r>
              <w:rPr>
                <w:rFonts w:ascii="仿宋" w:hAnsi="仿宋" w:eastAsia="仿宋" w:cs="仿宋"/>
                <w:color w:val="auto"/>
                <w:spacing w:val="5"/>
                <w:sz w:val="20"/>
                <w:szCs w:val="20"/>
                <w:highlight w:val="none"/>
              </w:rPr>
              <w:t xml:space="preserve"> </w:t>
            </w:r>
            <w:r>
              <w:rPr>
                <w:rFonts w:ascii="仿宋" w:hAnsi="仿宋" w:eastAsia="仿宋" w:cs="仿宋"/>
                <w:color w:val="auto"/>
                <w:spacing w:val="17"/>
                <w:sz w:val="20"/>
                <w:szCs w:val="20"/>
                <w:highlight w:val="none"/>
              </w:rPr>
              <w:t>将视频监控画面实时接入到飞行驾驶舱与无人</w:t>
            </w:r>
            <w:r>
              <w:rPr>
                <w:rFonts w:ascii="仿宋" w:hAnsi="仿宋" w:eastAsia="仿宋" w:cs="仿宋"/>
                <w:color w:val="auto"/>
                <w:spacing w:val="12"/>
                <w:sz w:val="20"/>
                <w:szCs w:val="20"/>
                <w:highlight w:val="none"/>
              </w:rPr>
              <w:t xml:space="preserve"> </w:t>
            </w:r>
            <w:r>
              <w:rPr>
                <w:rFonts w:ascii="仿宋" w:hAnsi="仿宋" w:eastAsia="仿宋" w:cs="仿宋"/>
                <w:color w:val="auto"/>
                <w:spacing w:val="8"/>
                <w:sz w:val="20"/>
                <w:szCs w:val="20"/>
                <w:highlight w:val="none"/>
              </w:rPr>
              <w:t>机航拍视频进行融合显示。</w:t>
            </w:r>
          </w:p>
          <w:p w14:paraId="07224BF2">
            <w:pPr>
              <w:keepNext w:val="0"/>
              <w:keepLines/>
              <w:pageBreakBefore w:val="0"/>
              <w:widowControl w:val="0"/>
              <w:kinsoku/>
              <w:wordWrap w:val="0"/>
              <w:overflowPunct/>
              <w:topLinePunct w:val="0"/>
              <w:autoSpaceDE/>
              <w:autoSpaceDN/>
              <w:bidi w:val="0"/>
              <w:adjustRightInd/>
              <w:snapToGrid/>
              <w:spacing w:before="157" w:line="356" w:lineRule="auto"/>
              <w:ind w:left="116" w:right="103" w:hanging="4"/>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6.系统应支持广角变焦相机切换、可见光热成像</w:t>
            </w:r>
            <w:r>
              <w:rPr>
                <w:rFonts w:ascii="仿宋" w:hAnsi="仿宋" w:eastAsia="仿宋" w:cs="仿宋"/>
                <w:color w:val="auto"/>
                <w:spacing w:val="1"/>
                <w:sz w:val="20"/>
                <w:szCs w:val="20"/>
                <w:highlight w:val="none"/>
              </w:rPr>
              <w:t xml:space="preserve"> </w:t>
            </w:r>
            <w:r>
              <w:rPr>
                <w:rFonts w:ascii="仿宋" w:hAnsi="仿宋" w:eastAsia="仿宋" w:cs="仿宋"/>
                <w:color w:val="auto"/>
                <w:spacing w:val="7"/>
                <w:sz w:val="20"/>
                <w:szCs w:val="20"/>
                <w:highlight w:val="none"/>
              </w:rPr>
              <w:t>画面切换、快捷云台视角调整等云台控制，提供</w:t>
            </w:r>
            <w:r>
              <w:rPr>
                <w:rFonts w:ascii="仿宋" w:hAnsi="仿宋" w:eastAsia="仿宋" w:cs="仿宋"/>
                <w:color w:val="auto"/>
                <w:spacing w:val="4"/>
                <w:sz w:val="20"/>
                <w:szCs w:val="20"/>
                <w:highlight w:val="none"/>
              </w:rPr>
              <w:t xml:space="preserve"> </w:t>
            </w:r>
            <w:r>
              <w:rPr>
                <w:rFonts w:ascii="仿宋" w:hAnsi="仿宋" w:eastAsia="仿宋" w:cs="仿宋"/>
                <w:color w:val="auto"/>
                <w:spacing w:val="7"/>
                <w:sz w:val="20"/>
                <w:szCs w:val="20"/>
                <w:highlight w:val="none"/>
              </w:rPr>
              <w:t>分屏同时查看热成像与可见光画面模式。支持进 行全景航拍、框选变焦、无人机抓拍、无人机录</w:t>
            </w:r>
            <w:r>
              <w:rPr>
                <w:rFonts w:ascii="仿宋" w:hAnsi="仿宋" w:eastAsia="仿宋" w:cs="仿宋"/>
                <w:color w:val="auto"/>
                <w:spacing w:val="4"/>
                <w:sz w:val="20"/>
                <w:szCs w:val="20"/>
                <w:highlight w:val="none"/>
              </w:rPr>
              <w:t xml:space="preserve"> </w:t>
            </w:r>
            <w:r>
              <w:rPr>
                <w:rFonts w:ascii="仿宋" w:hAnsi="仿宋" w:eastAsia="仿宋" w:cs="仿宋"/>
                <w:color w:val="auto"/>
                <w:spacing w:val="7"/>
                <w:sz w:val="20"/>
                <w:szCs w:val="20"/>
                <w:highlight w:val="none"/>
              </w:rPr>
              <w:t xml:space="preserve">像等取证操作，支持右键快捷调用；应支持在视 </w:t>
            </w:r>
            <w:r>
              <w:rPr>
                <w:rFonts w:ascii="仿宋" w:hAnsi="仿宋" w:eastAsia="仿宋" w:cs="仿宋"/>
                <w:color w:val="auto"/>
                <w:spacing w:val="17"/>
                <w:sz w:val="20"/>
                <w:szCs w:val="20"/>
                <w:highlight w:val="none"/>
              </w:rPr>
              <w:t>频画面内进行双击画面锁定、视频云台跟随鼠</w:t>
            </w:r>
            <w:r>
              <w:rPr>
                <w:rFonts w:ascii="仿宋" w:hAnsi="仿宋" w:eastAsia="仿宋" w:cs="仿宋"/>
                <w:color w:val="auto"/>
                <w:spacing w:val="11"/>
                <w:sz w:val="20"/>
                <w:szCs w:val="20"/>
                <w:highlight w:val="none"/>
              </w:rPr>
              <w:t xml:space="preserve"> </w:t>
            </w:r>
            <w:r>
              <w:rPr>
                <w:rFonts w:ascii="仿宋" w:hAnsi="仿宋" w:eastAsia="仿宋" w:cs="仿宋"/>
                <w:color w:val="auto"/>
                <w:spacing w:val="7"/>
                <w:sz w:val="20"/>
                <w:szCs w:val="20"/>
                <w:highlight w:val="none"/>
              </w:rPr>
              <w:t>标、滚轮放大缩小焦距等。</w:t>
            </w:r>
          </w:p>
          <w:p w14:paraId="3157BC16">
            <w:pPr>
              <w:keepNext w:val="0"/>
              <w:keepLines/>
              <w:pageBreakBefore w:val="0"/>
              <w:widowControl w:val="0"/>
              <w:kinsoku/>
              <w:wordWrap w:val="0"/>
              <w:overflowPunct/>
              <w:topLinePunct w:val="0"/>
              <w:autoSpaceDE/>
              <w:autoSpaceDN/>
              <w:bidi w:val="0"/>
              <w:adjustRightInd/>
              <w:snapToGrid/>
              <w:spacing w:before="162" w:line="304" w:lineRule="auto"/>
              <w:ind w:left="118" w:right="105" w:hanging="3"/>
              <w:textAlignment w:val="auto"/>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 xml:space="preserve">7.系统应支持高点监控设备接入管理，支持列 </w:t>
            </w:r>
            <w:r>
              <w:rPr>
                <w:rFonts w:ascii="仿宋" w:hAnsi="仿宋" w:eastAsia="仿宋" w:cs="仿宋"/>
                <w:color w:val="auto"/>
                <w:spacing w:val="9"/>
                <w:sz w:val="20"/>
                <w:szCs w:val="20"/>
                <w:highlight w:val="none"/>
              </w:rPr>
              <w:t>表、</w:t>
            </w:r>
            <w:r>
              <w:rPr>
                <w:rFonts w:ascii="仿宋" w:hAnsi="仿宋" w:eastAsia="仿宋" w:cs="仿宋"/>
                <w:color w:val="auto"/>
                <w:sz w:val="20"/>
                <w:szCs w:val="20"/>
                <w:highlight w:val="none"/>
              </w:rPr>
              <w:t>GIS</w:t>
            </w:r>
            <w:r>
              <w:rPr>
                <w:rFonts w:ascii="仿宋" w:hAnsi="仿宋" w:eastAsia="仿宋" w:cs="仿宋"/>
                <w:color w:val="auto"/>
                <w:spacing w:val="-22"/>
                <w:sz w:val="20"/>
                <w:szCs w:val="20"/>
                <w:highlight w:val="none"/>
              </w:rPr>
              <w:t xml:space="preserve"> </w:t>
            </w:r>
            <w:r>
              <w:rPr>
                <w:rFonts w:ascii="仿宋" w:hAnsi="仿宋" w:eastAsia="仿宋" w:cs="仿宋"/>
                <w:color w:val="auto"/>
                <w:spacing w:val="9"/>
                <w:sz w:val="20"/>
                <w:szCs w:val="20"/>
                <w:highlight w:val="none"/>
              </w:rPr>
              <w:t>地图融合展示高点监控与无人机设备数</w:t>
            </w:r>
          </w:p>
        </w:tc>
      </w:tr>
    </w:tbl>
    <w:p w14:paraId="572097BF">
      <w:pPr>
        <w:keepNext w:val="0"/>
        <w:keepLines/>
        <w:pageBreakBefore w:val="0"/>
        <w:widowControl w:val="0"/>
        <w:kinsoku/>
        <w:wordWrap w:val="0"/>
        <w:overflowPunct/>
        <w:topLinePunct w:val="0"/>
        <w:autoSpaceDE/>
        <w:autoSpaceDN/>
        <w:bidi w:val="0"/>
        <w:adjustRightInd/>
        <w:snapToGrid/>
        <w:textAlignment w:val="auto"/>
        <w:rPr>
          <w:rFonts w:ascii="Arial" w:hAnsi="Arial" w:eastAsia="Arial" w:cs="Arial"/>
          <w:color w:val="auto"/>
          <w:sz w:val="21"/>
          <w:szCs w:val="21"/>
          <w:highlight w:val="none"/>
        </w:rPr>
        <w:sectPr>
          <w:pgSz w:w="11906" w:h="16840"/>
          <w:pgMar w:top="1430" w:right="1649" w:bottom="400" w:left="1502" w:header="0" w:footer="0" w:gutter="0"/>
          <w:pgNumType w:fmt="decimal"/>
          <w:cols w:space="720" w:num="1"/>
        </w:sectPr>
      </w:pPr>
    </w:p>
    <w:tbl>
      <w:tblPr>
        <w:tblStyle w:val="18"/>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2097"/>
        <w:gridCol w:w="6020"/>
      </w:tblGrid>
      <w:tr w14:paraId="02D17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2" w:hRule="atLeast"/>
        </w:trPr>
        <w:tc>
          <w:tcPr>
            <w:tcW w:w="1342" w:type="dxa"/>
            <w:noWrap w:val="0"/>
            <w:vAlign w:val="top"/>
          </w:tcPr>
          <w:p w14:paraId="7F0FBFBD">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2097" w:type="dxa"/>
            <w:noWrap w:val="0"/>
            <w:vAlign w:val="top"/>
          </w:tcPr>
          <w:p w14:paraId="344131AC">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6020" w:type="dxa"/>
            <w:noWrap w:val="0"/>
            <w:vAlign w:val="top"/>
          </w:tcPr>
          <w:p w14:paraId="23B239B3">
            <w:pPr>
              <w:keepNext w:val="0"/>
              <w:keepLines/>
              <w:pageBreakBefore w:val="0"/>
              <w:widowControl w:val="0"/>
              <w:kinsoku/>
              <w:wordWrap w:val="0"/>
              <w:overflowPunct/>
              <w:topLinePunct w:val="0"/>
              <w:autoSpaceDE/>
              <w:autoSpaceDN/>
              <w:bidi w:val="0"/>
              <w:adjustRightInd/>
              <w:snapToGrid/>
              <w:spacing w:before="36" w:line="377" w:lineRule="auto"/>
              <w:ind w:left="117" w:right="103"/>
              <w:jc w:val="both"/>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据；应支持深层次高点与无人机融合应用，支持</w:t>
            </w:r>
            <w:r>
              <w:rPr>
                <w:rFonts w:ascii="仿宋" w:hAnsi="仿宋" w:eastAsia="仿宋" w:cs="仿宋"/>
                <w:color w:val="auto"/>
                <w:spacing w:val="3"/>
                <w:sz w:val="20"/>
                <w:szCs w:val="20"/>
                <w:highlight w:val="none"/>
              </w:rPr>
              <w:t xml:space="preserve"> </w:t>
            </w:r>
            <w:r>
              <w:rPr>
                <w:rFonts w:ascii="仿宋" w:hAnsi="仿宋" w:eastAsia="仿宋" w:cs="仿宋"/>
                <w:color w:val="auto"/>
                <w:spacing w:val="7"/>
                <w:sz w:val="20"/>
                <w:szCs w:val="20"/>
                <w:highlight w:val="none"/>
              </w:rPr>
              <w:t xml:space="preserve">在高点发生 </w:t>
            </w:r>
            <w:r>
              <w:rPr>
                <w:rFonts w:ascii="仿宋" w:hAnsi="仿宋" w:eastAsia="仿宋" w:cs="仿宋"/>
                <w:color w:val="auto"/>
                <w:sz w:val="20"/>
                <w:szCs w:val="20"/>
                <w:highlight w:val="none"/>
              </w:rPr>
              <w:t>AI</w:t>
            </w:r>
            <w:r>
              <w:rPr>
                <w:rFonts w:ascii="仿宋" w:hAnsi="仿宋" w:eastAsia="仿宋" w:cs="仿宋"/>
                <w:color w:val="auto"/>
                <w:spacing w:val="7"/>
                <w:sz w:val="20"/>
                <w:szCs w:val="20"/>
                <w:highlight w:val="none"/>
              </w:rPr>
              <w:t xml:space="preserve"> 算法智能告警时，能够自动关联</w:t>
            </w:r>
            <w:r>
              <w:rPr>
                <w:rFonts w:ascii="仿宋" w:hAnsi="仿宋" w:eastAsia="仿宋" w:cs="仿宋"/>
                <w:color w:val="auto"/>
                <w:spacing w:val="3"/>
                <w:sz w:val="20"/>
                <w:szCs w:val="20"/>
                <w:highlight w:val="none"/>
              </w:rPr>
              <w:t xml:space="preserve"> </w:t>
            </w:r>
            <w:r>
              <w:rPr>
                <w:rFonts w:ascii="仿宋" w:hAnsi="仿宋" w:eastAsia="仿宋" w:cs="仿宋"/>
                <w:color w:val="auto"/>
                <w:spacing w:val="7"/>
                <w:sz w:val="20"/>
                <w:szCs w:val="20"/>
                <w:highlight w:val="none"/>
              </w:rPr>
              <w:t>告警周边飞行器设备进行二次核查，通过立即执</w:t>
            </w:r>
            <w:r>
              <w:rPr>
                <w:rFonts w:ascii="仿宋" w:hAnsi="仿宋" w:eastAsia="仿宋" w:cs="仿宋"/>
                <w:color w:val="auto"/>
                <w:spacing w:val="6"/>
                <w:sz w:val="20"/>
                <w:szCs w:val="20"/>
                <w:highlight w:val="none"/>
              </w:rPr>
              <w:t xml:space="preserve"> </w:t>
            </w:r>
            <w:r>
              <w:rPr>
                <w:rFonts w:ascii="仿宋" w:hAnsi="仿宋" w:eastAsia="仿宋" w:cs="仿宋"/>
                <w:color w:val="auto"/>
                <w:spacing w:val="7"/>
                <w:sz w:val="20"/>
                <w:szCs w:val="20"/>
                <w:highlight w:val="none"/>
              </w:rPr>
              <w:t>飞，飞行器自动按照告警定位经纬度进行航线规</w:t>
            </w:r>
            <w:r>
              <w:rPr>
                <w:rFonts w:ascii="仿宋" w:hAnsi="仿宋" w:eastAsia="仿宋" w:cs="仿宋"/>
                <w:color w:val="auto"/>
                <w:spacing w:val="6"/>
                <w:sz w:val="20"/>
                <w:szCs w:val="20"/>
                <w:highlight w:val="none"/>
              </w:rPr>
              <w:t xml:space="preserve"> 划，抵近核查。</w:t>
            </w:r>
          </w:p>
          <w:p w14:paraId="0E484403">
            <w:pPr>
              <w:keepNext w:val="0"/>
              <w:keepLines/>
              <w:pageBreakBefore w:val="0"/>
              <w:widowControl w:val="0"/>
              <w:kinsoku/>
              <w:wordWrap w:val="0"/>
              <w:overflowPunct/>
              <w:topLinePunct w:val="0"/>
              <w:autoSpaceDE/>
              <w:autoSpaceDN/>
              <w:bidi w:val="0"/>
              <w:adjustRightInd/>
              <w:snapToGrid/>
              <w:spacing w:before="1" w:line="352" w:lineRule="auto"/>
              <w:ind w:left="116" w:right="103" w:hanging="5"/>
              <w:textAlignment w:val="auto"/>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 xml:space="preserve">8.系统应具备基于无人机飞检视频的 </w:t>
            </w:r>
            <w:r>
              <w:rPr>
                <w:rFonts w:ascii="仿宋" w:hAnsi="仿宋" w:eastAsia="仿宋" w:cs="仿宋"/>
                <w:color w:val="auto"/>
                <w:sz w:val="20"/>
                <w:szCs w:val="20"/>
                <w:highlight w:val="none"/>
              </w:rPr>
              <w:t>AI</w:t>
            </w:r>
            <w:r>
              <w:rPr>
                <w:rFonts w:ascii="仿宋" w:hAnsi="仿宋" w:eastAsia="仿宋" w:cs="仿宋"/>
                <w:color w:val="auto"/>
                <w:spacing w:val="36"/>
                <w:sz w:val="20"/>
                <w:szCs w:val="20"/>
                <w:highlight w:val="none"/>
              </w:rPr>
              <w:t xml:space="preserve"> </w:t>
            </w:r>
            <w:r>
              <w:rPr>
                <w:rFonts w:ascii="仿宋" w:hAnsi="仿宋" w:eastAsia="仿宋" w:cs="仿宋"/>
                <w:color w:val="auto"/>
                <w:spacing w:val="16"/>
                <w:sz w:val="20"/>
                <w:szCs w:val="20"/>
                <w:highlight w:val="none"/>
              </w:rPr>
              <w:t>智能</w:t>
            </w:r>
            <w:r>
              <w:rPr>
                <w:rFonts w:ascii="仿宋" w:hAnsi="仿宋" w:eastAsia="仿宋" w:cs="仿宋"/>
                <w:color w:val="auto"/>
                <w:sz w:val="20"/>
                <w:szCs w:val="20"/>
                <w:highlight w:val="none"/>
              </w:rPr>
              <w:t xml:space="preserve"> </w:t>
            </w:r>
            <w:r>
              <w:rPr>
                <w:rFonts w:ascii="仿宋" w:hAnsi="仿宋" w:eastAsia="仿宋" w:cs="仿宋"/>
                <w:color w:val="auto"/>
                <w:spacing w:val="12"/>
                <w:sz w:val="20"/>
                <w:szCs w:val="20"/>
                <w:highlight w:val="none"/>
              </w:rPr>
              <w:t>识别与自动告警功能；</w:t>
            </w:r>
            <w:r>
              <w:rPr>
                <w:rFonts w:ascii="仿宋" w:hAnsi="仿宋" w:eastAsia="仿宋" w:cs="仿宋"/>
                <w:color w:val="auto"/>
                <w:sz w:val="20"/>
                <w:szCs w:val="20"/>
                <w:highlight w:val="none"/>
              </w:rPr>
              <w:t>AI</w:t>
            </w:r>
            <w:r>
              <w:rPr>
                <w:rFonts w:ascii="仿宋" w:hAnsi="仿宋" w:eastAsia="仿宋" w:cs="仿宋"/>
                <w:color w:val="auto"/>
                <w:spacing w:val="12"/>
                <w:sz w:val="20"/>
                <w:szCs w:val="20"/>
                <w:highlight w:val="none"/>
              </w:rPr>
              <w:t xml:space="preserve"> 智能识别要求针对水</w:t>
            </w:r>
            <w:r>
              <w:rPr>
                <w:rFonts w:ascii="仿宋" w:hAnsi="仿宋" w:eastAsia="仿宋" w:cs="仿宋"/>
                <w:color w:val="auto"/>
                <w:spacing w:val="11"/>
                <w:sz w:val="20"/>
                <w:szCs w:val="20"/>
                <w:highlight w:val="none"/>
              </w:rPr>
              <w:t xml:space="preserve"> </w:t>
            </w:r>
            <w:r>
              <w:rPr>
                <w:rFonts w:ascii="仿宋" w:hAnsi="仿宋" w:eastAsia="仿宋" w:cs="仿宋"/>
                <w:color w:val="auto"/>
                <w:spacing w:val="17"/>
                <w:sz w:val="20"/>
                <w:szCs w:val="20"/>
                <w:highlight w:val="none"/>
              </w:rPr>
              <w:t xml:space="preserve">利监管场景，提供场景定制化 </w:t>
            </w:r>
            <w:r>
              <w:rPr>
                <w:rFonts w:ascii="仿宋" w:hAnsi="仿宋" w:eastAsia="仿宋" w:cs="仿宋"/>
                <w:color w:val="auto"/>
                <w:sz w:val="20"/>
                <w:szCs w:val="20"/>
                <w:highlight w:val="none"/>
              </w:rPr>
              <w:t>AI</w:t>
            </w:r>
            <w:r>
              <w:rPr>
                <w:rFonts w:ascii="仿宋" w:hAnsi="仿宋" w:eastAsia="仿宋" w:cs="仿宋"/>
                <w:color w:val="auto"/>
                <w:spacing w:val="31"/>
                <w:sz w:val="20"/>
                <w:szCs w:val="20"/>
                <w:highlight w:val="none"/>
              </w:rPr>
              <w:t xml:space="preserve"> </w:t>
            </w:r>
            <w:r>
              <w:rPr>
                <w:rFonts w:ascii="仿宋" w:hAnsi="仿宋" w:eastAsia="仿宋" w:cs="仿宋"/>
                <w:color w:val="auto"/>
                <w:spacing w:val="17"/>
                <w:sz w:val="20"/>
                <w:szCs w:val="20"/>
                <w:highlight w:val="none"/>
              </w:rPr>
              <w:t>智能算法服</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务，具体包括：人员入侵、车辆闯入等，</w:t>
            </w:r>
            <w:r>
              <w:rPr>
                <w:rFonts w:ascii="仿宋" w:hAnsi="仿宋" w:eastAsia="仿宋" w:cs="仿宋"/>
                <w:color w:val="auto"/>
                <w:spacing w:val="-30"/>
                <w:sz w:val="20"/>
                <w:szCs w:val="20"/>
                <w:highlight w:val="none"/>
              </w:rPr>
              <w:t xml:space="preserve"> </w:t>
            </w:r>
            <w:r>
              <w:rPr>
                <w:rFonts w:ascii="仿宋" w:hAnsi="仿宋" w:eastAsia="仿宋" w:cs="仿宋"/>
                <w:color w:val="auto"/>
                <w:spacing w:val="4"/>
                <w:sz w:val="20"/>
                <w:szCs w:val="20"/>
                <w:highlight w:val="none"/>
              </w:rPr>
              <w:t>自动告</w:t>
            </w:r>
            <w:r>
              <w:rPr>
                <w:rFonts w:ascii="仿宋" w:hAnsi="仿宋" w:eastAsia="仿宋" w:cs="仿宋"/>
                <w:color w:val="auto"/>
                <w:sz w:val="20"/>
                <w:szCs w:val="20"/>
                <w:highlight w:val="none"/>
              </w:rPr>
              <w:t xml:space="preserve"> </w:t>
            </w:r>
            <w:r>
              <w:rPr>
                <w:rFonts w:ascii="仿宋" w:hAnsi="仿宋" w:eastAsia="仿宋" w:cs="仿宋"/>
                <w:color w:val="auto"/>
                <w:spacing w:val="17"/>
                <w:sz w:val="20"/>
                <w:szCs w:val="20"/>
                <w:highlight w:val="none"/>
              </w:rPr>
              <w:t xml:space="preserve">警功能要求实现 </w:t>
            </w:r>
            <w:r>
              <w:rPr>
                <w:rFonts w:ascii="仿宋" w:hAnsi="仿宋" w:eastAsia="仿宋" w:cs="仿宋"/>
                <w:color w:val="auto"/>
                <w:sz w:val="20"/>
                <w:szCs w:val="20"/>
                <w:highlight w:val="none"/>
              </w:rPr>
              <w:t>AI</w:t>
            </w:r>
            <w:r>
              <w:rPr>
                <w:rFonts w:ascii="仿宋" w:hAnsi="仿宋" w:eastAsia="仿宋" w:cs="仿宋"/>
                <w:color w:val="auto"/>
                <w:spacing w:val="30"/>
                <w:sz w:val="20"/>
                <w:szCs w:val="20"/>
                <w:highlight w:val="none"/>
              </w:rPr>
              <w:t xml:space="preserve"> </w:t>
            </w:r>
            <w:r>
              <w:rPr>
                <w:rFonts w:ascii="仿宋" w:hAnsi="仿宋" w:eastAsia="仿宋" w:cs="仿宋"/>
                <w:color w:val="auto"/>
                <w:spacing w:val="17"/>
                <w:sz w:val="20"/>
                <w:szCs w:val="20"/>
                <w:highlight w:val="none"/>
              </w:rPr>
              <w:t>智能识别告警信息的智能</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推送，与告警在线处理闭环管理。</w:t>
            </w:r>
          </w:p>
          <w:p w14:paraId="56B21DCC">
            <w:pPr>
              <w:keepNext w:val="0"/>
              <w:keepLines/>
              <w:pageBreakBefore w:val="0"/>
              <w:widowControl w:val="0"/>
              <w:kinsoku/>
              <w:wordWrap w:val="0"/>
              <w:overflowPunct/>
              <w:topLinePunct w:val="0"/>
              <w:autoSpaceDE/>
              <w:autoSpaceDN/>
              <w:bidi w:val="0"/>
              <w:adjustRightInd/>
              <w:snapToGrid/>
              <w:spacing w:before="163" w:line="347" w:lineRule="auto"/>
              <w:ind w:left="116" w:right="105" w:hanging="5"/>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9.系统应提供飞控大屏功能，支持对机场型无人</w:t>
            </w:r>
            <w:r>
              <w:rPr>
                <w:rFonts w:ascii="仿宋" w:hAnsi="仿宋" w:eastAsia="仿宋" w:cs="仿宋"/>
                <w:color w:val="auto"/>
                <w:spacing w:val="2"/>
                <w:sz w:val="20"/>
                <w:szCs w:val="20"/>
                <w:highlight w:val="none"/>
              </w:rPr>
              <w:t xml:space="preserve"> </w:t>
            </w:r>
            <w:r>
              <w:rPr>
                <w:rFonts w:ascii="仿宋" w:hAnsi="仿宋" w:eastAsia="仿宋" w:cs="仿宋"/>
                <w:color w:val="auto"/>
                <w:spacing w:val="7"/>
                <w:sz w:val="20"/>
                <w:szCs w:val="20"/>
                <w:highlight w:val="none"/>
              </w:rPr>
              <w:t>机视频画面、单兵型无人机视频画面、中高点监</w:t>
            </w:r>
            <w:r>
              <w:rPr>
                <w:rFonts w:ascii="仿宋" w:hAnsi="仿宋" w:eastAsia="仿宋" w:cs="仿宋"/>
                <w:color w:val="auto"/>
                <w:spacing w:val="3"/>
                <w:sz w:val="20"/>
                <w:szCs w:val="20"/>
                <w:highlight w:val="none"/>
              </w:rPr>
              <w:t xml:space="preserve"> </w:t>
            </w:r>
            <w:r>
              <w:rPr>
                <w:rFonts w:ascii="仿宋" w:hAnsi="仿宋" w:eastAsia="仿宋" w:cs="仿宋"/>
                <w:color w:val="auto"/>
                <w:spacing w:val="17"/>
                <w:sz w:val="20"/>
                <w:szCs w:val="20"/>
                <w:highlight w:val="none"/>
              </w:rPr>
              <w:t>控视频画面与设备点位地图在一张图进行融合</w:t>
            </w:r>
            <w:r>
              <w:rPr>
                <w:rFonts w:ascii="仿宋" w:hAnsi="仿宋" w:eastAsia="仿宋" w:cs="仿宋"/>
                <w:color w:val="auto"/>
                <w:spacing w:val="10"/>
                <w:sz w:val="20"/>
                <w:szCs w:val="20"/>
                <w:highlight w:val="none"/>
              </w:rPr>
              <w:t xml:space="preserve"> </w:t>
            </w:r>
            <w:r>
              <w:rPr>
                <w:rFonts w:ascii="仿宋" w:hAnsi="仿宋" w:eastAsia="仿宋" w:cs="仿宋"/>
                <w:color w:val="auto"/>
                <w:spacing w:val="4"/>
                <w:sz w:val="20"/>
                <w:szCs w:val="20"/>
                <w:highlight w:val="none"/>
              </w:rPr>
              <w:t>展示，支持以 4</w:t>
            </w:r>
            <w:r>
              <w:rPr>
                <w:rFonts w:ascii="仿宋" w:hAnsi="仿宋" w:eastAsia="仿宋" w:cs="仿宋"/>
                <w:color w:val="auto"/>
                <w:spacing w:val="49"/>
                <w:sz w:val="20"/>
                <w:szCs w:val="20"/>
                <w:highlight w:val="none"/>
              </w:rPr>
              <w:t xml:space="preserve"> </w:t>
            </w:r>
            <w:r>
              <w:rPr>
                <w:rFonts w:ascii="仿宋" w:hAnsi="仿宋" w:eastAsia="仿宋" w:cs="仿宋"/>
                <w:color w:val="auto"/>
                <w:spacing w:val="4"/>
                <w:sz w:val="20"/>
                <w:szCs w:val="20"/>
                <w:highlight w:val="none"/>
              </w:rPr>
              <w:t>、9</w:t>
            </w:r>
            <w:r>
              <w:rPr>
                <w:rFonts w:ascii="仿宋" w:hAnsi="仿宋" w:eastAsia="仿宋" w:cs="仿宋"/>
                <w:color w:val="auto"/>
                <w:spacing w:val="34"/>
                <w:sz w:val="20"/>
                <w:szCs w:val="20"/>
                <w:highlight w:val="none"/>
              </w:rPr>
              <w:t xml:space="preserve"> </w:t>
            </w:r>
            <w:r>
              <w:rPr>
                <w:rFonts w:ascii="仿宋" w:hAnsi="仿宋" w:eastAsia="仿宋" w:cs="仿宋"/>
                <w:color w:val="auto"/>
                <w:spacing w:val="4"/>
                <w:sz w:val="20"/>
                <w:szCs w:val="20"/>
                <w:highlight w:val="none"/>
              </w:rPr>
              <w:t>、16</w:t>
            </w:r>
            <w:r>
              <w:rPr>
                <w:rFonts w:ascii="仿宋" w:hAnsi="仿宋" w:eastAsia="仿宋" w:cs="仿宋"/>
                <w:color w:val="auto"/>
                <w:spacing w:val="-23"/>
                <w:sz w:val="20"/>
                <w:szCs w:val="20"/>
                <w:highlight w:val="none"/>
              </w:rPr>
              <w:t xml:space="preserve"> </w:t>
            </w:r>
            <w:r>
              <w:rPr>
                <w:rFonts w:ascii="仿宋" w:hAnsi="仿宋" w:eastAsia="仿宋" w:cs="仿宋"/>
                <w:color w:val="auto"/>
                <w:spacing w:val="4"/>
                <w:sz w:val="20"/>
                <w:szCs w:val="20"/>
                <w:highlight w:val="none"/>
              </w:rPr>
              <w:t>宫格形式进行融合展</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示，并支持巡视模式开启。。</w:t>
            </w:r>
          </w:p>
          <w:p w14:paraId="2F60B754">
            <w:pPr>
              <w:keepNext w:val="0"/>
              <w:keepLines/>
              <w:pageBreakBefore w:val="0"/>
              <w:widowControl w:val="0"/>
              <w:kinsoku/>
              <w:wordWrap w:val="0"/>
              <w:overflowPunct/>
              <w:topLinePunct w:val="0"/>
              <w:autoSpaceDE/>
              <w:autoSpaceDN/>
              <w:bidi w:val="0"/>
              <w:adjustRightInd/>
              <w:snapToGrid/>
              <w:spacing w:before="160" w:line="361" w:lineRule="auto"/>
              <w:ind w:left="117" w:right="37" w:firstLine="8"/>
              <w:textAlignment w:val="auto"/>
              <w:rPr>
                <w:rFonts w:ascii="仿宋" w:hAnsi="仿宋" w:eastAsia="仿宋" w:cs="仿宋"/>
                <w:color w:val="auto"/>
                <w:sz w:val="20"/>
                <w:szCs w:val="20"/>
                <w:highlight w:val="none"/>
              </w:rPr>
            </w:pPr>
            <w:r>
              <w:rPr>
                <w:rFonts w:ascii="仿宋" w:hAnsi="仿宋" w:eastAsia="仿宋" w:cs="仿宋"/>
                <w:color w:val="auto"/>
                <w:spacing w:val="11"/>
                <w:sz w:val="20"/>
                <w:szCs w:val="20"/>
                <w:highlight w:val="none"/>
              </w:rPr>
              <w:t>10.系统应具备无人机及机场在线离线状态查看</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功能，并支持对机场进行舱盖开关、机场重启、</w:t>
            </w:r>
            <w:r>
              <w:rPr>
                <w:rFonts w:ascii="仿宋" w:hAnsi="仿宋" w:eastAsia="仿宋" w:cs="仿宋"/>
                <w:color w:val="auto"/>
                <w:spacing w:val="4"/>
                <w:sz w:val="20"/>
                <w:szCs w:val="20"/>
                <w:highlight w:val="none"/>
              </w:rPr>
              <w:t xml:space="preserve"> </w:t>
            </w:r>
            <w:r>
              <w:rPr>
                <w:rFonts w:ascii="仿宋" w:hAnsi="仿宋" w:eastAsia="仿宋" w:cs="仿宋"/>
                <w:color w:val="auto"/>
                <w:spacing w:val="7"/>
                <w:sz w:val="20"/>
                <w:szCs w:val="20"/>
                <w:highlight w:val="none"/>
              </w:rPr>
              <w:t>飞行器开关、飞行器充电开关等运维操作；可在</w:t>
            </w:r>
            <w:r>
              <w:rPr>
                <w:rFonts w:ascii="仿宋" w:hAnsi="仿宋" w:eastAsia="仿宋" w:cs="仿宋"/>
                <w:color w:val="auto"/>
                <w:spacing w:val="4"/>
                <w:sz w:val="20"/>
                <w:szCs w:val="20"/>
                <w:highlight w:val="none"/>
              </w:rPr>
              <w:t xml:space="preserve"> </w:t>
            </w:r>
            <w:r>
              <w:rPr>
                <w:rFonts w:ascii="仿宋" w:hAnsi="仿宋" w:eastAsia="仿宋" w:cs="仿宋"/>
                <w:color w:val="auto"/>
                <w:spacing w:val="17"/>
                <w:sz w:val="20"/>
                <w:szCs w:val="20"/>
                <w:highlight w:val="none"/>
              </w:rPr>
              <w:t>一个界面集中展示一次无人机自动飞行巡检采</w:t>
            </w:r>
            <w:r>
              <w:rPr>
                <w:rFonts w:ascii="仿宋" w:hAnsi="仿宋" w:eastAsia="仿宋" w:cs="仿宋"/>
                <w:color w:val="auto"/>
                <w:spacing w:val="10"/>
                <w:sz w:val="20"/>
                <w:szCs w:val="20"/>
                <w:highlight w:val="none"/>
              </w:rPr>
              <w:t xml:space="preserve"> </w:t>
            </w:r>
            <w:r>
              <w:rPr>
                <w:rFonts w:ascii="仿宋" w:hAnsi="仿宋" w:eastAsia="仿宋" w:cs="仿宋"/>
                <w:color w:val="auto"/>
                <w:spacing w:val="7"/>
                <w:sz w:val="20"/>
                <w:szCs w:val="20"/>
                <w:highlight w:val="none"/>
              </w:rPr>
              <w:t>集的各类信息和数据，包括此次巡检飞行基本信</w:t>
            </w:r>
            <w:r>
              <w:rPr>
                <w:rFonts w:ascii="仿宋" w:hAnsi="仿宋" w:eastAsia="仿宋" w:cs="仿宋"/>
                <w:color w:val="auto"/>
                <w:spacing w:val="6"/>
                <w:sz w:val="20"/>
                <w:szCs w:val="20"/>
                <w:highlight w:val="none"/>
              </w:rPr>
              <w:t xml:space="preserve"> </w:t>
            </w:r>
            <w:r>
              <w:rPr>
                <w:rFonts w:ascii="仿宋" w:hAnsi="仿宋" w:eastAsia="仿宋" w:cs="仿宋"/>
                <w:color w:val="auto"/>
                <w:spacing w:val="7"/>
                <w:sz w:val="20"/>
                <w:szCs w:val="20"/>
                <w:highlight w:val="none"/>
              </w:rPr>
              <w:t>息（飞行起止时间、飞行起止位置、全程飞行时</w:t>
            </w:r>
            <w:r>
              <w:rPr>
                <w:rFonts w:ascii="仿宋" w:hAnsi="仿宋" w:eastAsia="仿宋" w:cs="仿宋"/>
                <w:color w:val="auto"/>
                <w:spacing w:val="3"/>
                <w:sz w:val="20"/>
                <w:szCs w:val="20"/>
                <w:highlight w:val="none"/>
              </w:rPr>
              <w:t xml:space="preserve"> </w:t>
            </w:r>
            <w:r>
              <w:rPr>
                <w:rFonts w:ascii="仿宋" w:hAnsi="仿宋" w:eastAsia="仿宋" w:cs="仿宋"/>
                <w:color w:val="auto"/>
                <w:sz w:val="20"/>
                <w:szCs w:val="20"/>
                <w:highlight w:val="none"/>
              </w:rPr>
              <w:t>长、飞行距离）、飞行航拍视频、飞行航迹地图、</w:t>
            </w:r>
            <w:r>
              <w:rPr>
                <w:rFonts w:ascii="仿宋" w:hAnsi="仿宋" w:eastAsia="仿宋" w:cs="仿宋"/>
                <w:color w:val="auto"/>
                <w:spacing w:val="18"/>
                <w:sz w:val="20"/>
                <w:szCs w:val="20"/>
                <w:highlight w:val="none"/>
              </w:rPr>
              <w:t xml:space="preserve"> </w:t>
            </w:r>
            <w:r>
              <w:rPr>
                <w:rFonts w:ascii="仿宋" w:hAnsi="仿宋" w:eastAsia="仿宋" w:cs="仿宋"/>
                <w:color w:val="auto"/>
                <w:spacing w:val="10"/>
                <w:sz w:val="20"/>
                <w:szCs w:val="20"/>
                <w:highlight w:val="none"/>
              </w:rPr>
              <w:t>全程飞行相关状态数据（飞行速度、飞行高度、</w:t>
            </w:r>
            <w:r>
              <w:rPr>
                <w:rFonts w:ascii="仿宋" w:hAnsi="仿宋" w:eastAsia="仿宋" w:cs="仿宋"/>
                <w:color w:val="auto"/>
                <w:spacing w:val="4"/>
                <w:sz w:val="20"/>
                <w:szCs w:val="20"/>
                <w:highlight w:val="none"/>
              </w:rPr>
              <w:t xml:space="preserve"> </w:t>
            </w:r>
            <w:r>
              <w:rPr>
                <w:rFonts w:ascii="仿宋" w:hAnsi="仿宋" w:eastAsia="仿宋" w:cs="仿宋"/>
                <w:color w:val="auto"/>
                <w:spacing w:val="6"/>
                <w:sz w:val="20"/>
                <w:szCs w:val="20"/>
                <w:highlight w:val="none"/>
              </w:rPr>
              <w:t>天气、风速、风向等）。</w:t>
            </w:r>
          </w:p>
          <w:p w14:paraId="756DD0E0">
            <w:pPr>
              <w:keepNext w:val="0"/>
              <w:keepLines/>
              <w:pageBreakBefore w:val="0"/>
              <w:widowControl w:val="0"/>
              <w:kinsoku/>
              <w:wordWrap w:val="0"/>
              <w:overflowPunct/>
              <w:topLinePunct w:val="0"/>
              <w:autoSpaceDE/>
              <w:autoSpaceDN/>
              <w:bidi w:val="0"/>
              <w:adjustRightInd/>
              <w:snapToGrid/>
              <w:spacing w:before="158" w:line="356" w:lineRule="auto"/>
              <w:ind w:left="116" w:right="103" w:firstLine="9"/>
              <w:textAlignment w:val="auto"/>
              <w:rPr>
                <w:rFonts w:ascii="仿宋" w:hAnsi="仿宋" w:eastAsia="仿宋" w:cs="仿宋"/>
                <w:color w:val="auto"/>
                <w:sz w:val="20"/>
                <w:szCs w:val="20"/>
                <w:highlight w:val="none"/>
              </w:rPr>
            </w:pPr>
            <w:r>
              <w:rPr>
                <w:rFonts w:ascii="仿宋" w:hAnsi="仿宋" w:eastAsia="仿宋" w:cs="仿宋"/>
                <w:color w:val="auto"/>
                <w:spacing w:val="11"/>
                <w:sz w:val="20"/>
                <w:szCs w:val="20"/>
                <w:highlight w:val="none"/>
              </w:rPr>
              <w:t>11.系统支持对无机场单兵无人机、飞手、飞行</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助手的信息录入管理，支持对飞手进行设备指分</w:t>
            </w:r>
            <w:r>
              <w:rPr>
                <w:rFonts w:ascii="仿宋" w:hAnsi="仿宋" w:eastAsia="仿宋" w:cs="仿宋"/>
                <w:color w:val="auto"/>
                <w:spacing w:val="6"/>
                <w:sz w:val="20"/>
                <w:szCs w:val="20"/>
                <w:highlight w:val="none"/>
              </w:rPr>
              <w:t xml:space="preserve"> </w:t>
            </w:r>
            <w:r>
              <w:rPr>
                <w:rFonts w:ascii="仿宋" w:hAnsi="仿宋" w:eastAsia="仿宋" w:cs="仿宋"/>
                <w:color w:val="auto"/>
                <w:spacing w:val="7"/>
                <w:sz w:val="20"/>
                <w:szCs w:val="20"/>
                <w:highlight w:val="none"/>
              </w:rPr>
              <w:t>配、即时任务、单次任务、周期任务多模式任务</w:t>
            </w:r>
            <w:r>
              <w:rPr>
                <w:rFonts w:ascii="仿宋" w:hAnsi="仿宋" w:eastAsia="仿宋" w:cs="仿宋"/>
                <w:color w:val="auto"/>
                <w:spacing w:val="4"/>
                <w:sz w:val="20"/>
                <w:szCs w:val="20"/>
                <w:highlight w:val="none"/>
              </w:rPr>
              <w:t xml:space="preserve"> </w:t>
            </w:r>
            <w:r>
              <w:rPr>
                <w:rFonts w:ascii="仿宋" w:hAnsi="仿宋" w:eastAsia="仿宋" w:cs="仿宋"/>
                <w:color w:val="auto"/>
                <w:spacing w:val="7"/>
                <w:sz w:val="20"/>
                <w:szCs w:val="20"/>
                <w:highlight w:val="none"/>
              </w:rPr>
              <w:t>指派，支持电脑端规划单兵航线、查看飞行实时</w:t>
            </w:r>
            <w:r>
              <w:rPr>
                <w:rFonts w:ascii="仿宋" w:hAnsi="仿宋" w:eastAsia="仿宋" w:cs="仿宋"/>
                <w:color w:val="auto"/>
                <w:spacing w:val="4"/>
                <w:sz w:val="20"/>
                <w:szCs w:val="20"/>
                <w:highlight w:val="none"/>
              </w:rPr>
              <w:t xml:space="preserve"> </w:t>
            </w:r>
            <w:r>
              <w:rPr>
                <w:rFonts w:ascii="仿宋" w:hAnsi="仿宋" w:eastAsia="仿宋" w:cs="仿宋"/>
                <w:color w:val="auto"/>
                <w:spacing w:val="7"/>
                <w:sz w:val="20"/>
                <w:szCs w:val="20"/>
                <w:highlight w:val="none"/>
              </w:rPr>
              <w:t>画面、飞行轨迹、飞行结果数据。飞手可在手机</w:t>
            </w:r>
            <w:r>
              <w:rPr>
                <w:rFonts w:ascii="仿宋" w:hAnsi="仿宋" w:eastAsia="仿宋" w:cs="仿宋"/>
                <w:color w:val="auto"/>
                <w:spacing w:val="4"/>
                <w:sz w:val="20"/>
                <w:szCs w:val="20"/>
                <w:highlight w:val="none"/>
              </w:rPr>
              <w:t xml:space="preserve"> </w:t>
            </w:r>
            <w:r>
              <w:rPr>
                <w:rFonts w:ascii="仿宋" w:hAnsi="仿宋" w:eastAsia="仿宋" w:cs="仿宋"/>
                <w:color w:val="auto"/>
                <w:spacing w:val="7"/>
                <w:sz w:val="20"/>
                <w:szCs w:val="20"/>
                <w:highlight w:val="none"/>
              </w:rPr>
              <w:t>端公众号接收任务消息，实现单兵任务的全流程</w:t>
            </w:r>
            <w:r>
              <w:rPr>
                <w:rFonts w:ascii="仿宋" w:hAnsi="仿宋" w:eastAsia="仿宋" w:cs="仿宋"/>
                <w:color w:val="auto"/>
                <w:spacing w:val="4"/>
                <w:sz w:val="20"/>
                <w:szCs w:val="20"/>
                <w:highlight w:val="none"/>
              </w:rPr>
              <w:t xml:space="preserve"> </w:t>
            </w:r>
            <w:r>
              <w:rPr>
                <w:rFonts w:ascii="仿宋" w:hAnsi="仿宋" w:eastAsia="仿宋" w:cs="仿宋"/>
                <w:color w:val="auto"/>
                <w:spacing w:val="6"/>
                <w:sz w:val="20"/>
                <w:szCs w:val="20"/>
                <w:highlight w:val="none"/>
              </w:rPr>
              <w:t>线上一站式管理。</w:t>
            </w:r>
          </w:p>
          <w:p w14:paraId="59C59579">
            <w:pPr>
              <w:keepNext w:val="0"/>
              <w:keepLines/>
              <w:pageBreakBefore w:val="0"/>
              <w:widowControl w:val="0"/>
              <w:kinsoku/>
              <w:wordWrap w:val="0"/>
              <w:overflowPunct/>
              <w:topLinePunct w:val="0"/>
              <w:autoSpaceDE/>
              <w:autoSpaceDN/>
              <w:bidi w:val="0"/>
              <w:adjustRightInd/>
              <w:snapToGrid/>
              <w:spacing w:before="160" w:line="230" w:lineRule="auto"/>
              <w:ind w:left="121"/>
              <w:textAlignment w:val="auto"/>
              <w:rPr>
                <w:rFonts w:ascii="仿宋" w:hAnsi="仿宋" w:eastAsia="仿宋" w:cs="仿宋"/>
                <w:color w:val="auto"/>
                <w:sz w:val="20"/>
                <w:szCs w:val="20"/>
                <w:highlight w:val="none"/>
              </w:rPr>
            </w:pPr>
            <w:r>
              <w:rPr>
                <w:rFonts w:ascii="仿宋" w:hAnsi="仿宋" w:eastAsia="仿宋" w:cs="仿宋"/>
                <w:b/>
                <w:bCs/>
                <w:color w:val="auto"/>
                <w:spacing w:val="5"/>
                <w:sz w:val="20"/>
                <w:szCs w:val="20"/>
                <w:highlight w:val="none"/>
              </w:rPr>
              <w:t>（2）算法服务</w:t>
            </w:r>
          </w:p>
          <w:p w14:paraId="14FD4BDC">
            <w:pPr>
              <w:keepNext w:val="0"/>
              <w:keepLines/>
              <w:pageBreakBefore w:val="0"/>
              <w:widowControl w:val="0"/>
              <w:kinsoku/>
              <w:wordWrap w:val="0"/>
              <w:overflowPunct/>
              <w:topLinePunct w:val="0"/>
              <w:autoSpaceDE/>
              <w:autoSpaceDN/>
              <w:bidi w:val="0"/>
              <w:adjustRightInd/>
              <w:snapToGrid/>
              <w:spacing w:before="159" w:line="229" w:lineRule="auto"/>
              <w:ind w:left="126"/>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1.高点定制算法及平台运营服务，算法包括：道</w:t>
            </w:r>
          </w:p>
        </w:tc>
      </w:tr>
    </w:tbl>
    <w:p w14:paraId="04802A15">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p w14:paraId="17B92E8D">
      <w:pPr>
        <w:keepNext w:val="0"/>
        <w:keepLines/>
        <w:pageBreakBefore w:val="0"/>
        <w:widowControl w:val="0"/>
        <w:kinsoku/>
        <w:wordWrap w:val="0"/>
        <w:overflowPunct/>
        <w:topLinePunct w:val="0"/>
        <w:autoSpaceDE/>
        <w:autoSpaceDN/>
        <w:bidi w:val="0"/>
        <w:adjustRightInd/>
        <w:snapToGrid/>
        <w:textAlignment w:val="auto"/>
        <w:rPr>
          <w:rFonts w:ascii="Arial" w:hAnsi="Arial" w:eastAsia="Arial" w:cs="Arial"/>
          <w:color w:val="auto"/>
          <w:sz w:val="21"/>
          <w:szCs w:val="21"/>
          <w:highlight w:val="none"/>
        </w:rPr>
        <w:sectPr>
          <w:pgSz w:w="11906" w:h="16840"/>
          <w:pgMar w:top="1430" w:right="1649" w:bottom="400" w:left="1502" w:header="0" w:footer="0" w:gutter="0"/>
          <w:pgNumType w:fmt="decimal"/>
          <w:cols w:space="720" w:num="1"/>
        </w:sectPr>
      </w:pPr>
    </w:p>
    <w:tbl>
      <w:tblPr>
        <w:tblStyle w:val="18"/>
        <w:tblW w:w="92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2061"/>
        <w:gridCol w:w="5918"/>
      </w:tblGrid>
      <w:tr w14:paraId="50376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5" w:hRule="atLeast"/>
          <w:jc w:val="center"/>
        </w:trPr>
        <w:tc>
          <w:tcPr>
            <w:tcW w:w="1319" w:type="dxa"/>
            <w:noWrap w:val="0"/>
            <w:vAlign w:val="top"/>
          </w:tcPr>
          <w:p w14:paraId="24DA9A31">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2061" w:type="dxa"/>
            <w:noWrap w:val="0"/>
            <w:vAlign w:val="top"/>
          </w:tcPr>
          <w:p w14:paraId="700C40C3">
            <w:pPr>
              <w:keepNext w:val="0"/>
              <w:keepLines/>
              <w:pageBreakBefore w:val="0"/>
              <w:widowControl w:val="0"/>
              <w:kinsoku/>
              <w:wordWrap w:val="0"/>
              <w:overflowPunct/>
              <w:topLinePunct w:val="0"/>
              <w:autoSpaceDE/>
              <w:autoSpaceDN/>
              <w:bidi w:val="0"/>
              <w:adjustRightInd/>
              <w:snapToGrid/>
              <w:textAlignment w:val="auto"/>
              <w:rPr>
                <w:rFonts w:ascii="Arial"/>
                <w:color w:val="auto"/>
                <w:sz w:val="21"/>
                <w:highlight w:val="none"/>
              </w:rPr>
            </w:pPr>
          </w:p>
        </w:tc>
        <w:tc>
          <w:tcPr>
            <w:tcW w:w="5918" w:type="dxa"/>
            <w:noWrap w:val="0"/>
            <w:vAlign w:val="top"/>
          </w:tcPr>
          <w:p w14:paraId="4E51D5A6">
            <w:pPr>
              <w:keepNext w:val="0"/>
              <w:keepLines/>
              <w:pageBreakBefore w:val="0"/>
              <w:widowControl w:val="0"/>
              <w:kinsoku/>
              <w:wordWrap w:val="0"/>
              <w:overflowPunct/>
              <w:topLinePunct w:val="0"/>
              <w:autoSpaceDE/>
              <w:autoSpaceDN/>
              <w:bidi w:val="0"/>
              <w:adjustRightInd/>
              <w:snapToGrid/>
              <w:spacing w:before="37" w:line="376" w:lineRule="auto"/>
              <w:ind w:left="152" w:right="105" w:hanging="37"/>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路异物、烟火、绿化破坏、垃圾堆放、消防通道</w:t>
            </w:r>
            <w:r>
              <w:rPr>
                <w:rFonts w:ascii="仿宋" w:hAnsi="仿宋" w:eastAsia="仿宋" w:cs="仿宋"/>
                <w:color w:val="auto"/>
                <w:spacing w:val="5"/>
                <w:sz w:val="20"/>
                <w:szCs w:val="20"/>
                <w:highlight w:val="none"/>
              </w:rPr>
              <w:t xml:space="preserve"> </w:t>
            </w:r>
            <w:r>
              <w:rPr>
                <w:rFonts w:ascii="仿宋" w:hAnsi="仿宋" w:eastAsia="仿宋" w:cs="仿宋"/>
                <w:color w:val="auto"/>
                <w:spacing w:val="4"/>
                <w:sz w:val="20"/>
                <w:szCs w:val="20"/>
                <w:highlight w:val="none"/>
              </w:rPr>
              <w:t>占用、河道漂浮物告警。</w:t>
            </w:r>
          </w:p>
          <w:p w14:paraId="2F5D4ED5">
            <w:pPr>
              <w:keepNext w:val="0"/>
              <w:keepLines/>
              <w:pageBreakBefore w:val="0"/>
              <w:widowControl w:val="0"/>
              <w:kinsoku/>
              <w:wordWrap w:val="0"/>
              <w:overflowPunct/>
              <w:topLinePunct w:val="0"/>
              <w:autoSpaceDE/>
              <w:autoSpaceDN/>
              <w:bidi w:val="0"/>
              <w:adjustRightInd/>
              <w:snapToGrid/>
              <w:spacing w:before="2" w:line="376" w:lineRule="auto"/>
              <w:ind w:left="116" w:right="105"/>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服务包括：高点视频日常巡检及高点视频电子围</w:t>
            </w:r>
            <w:r>
              <w:rPr>
                <w:rFonts w:ascii="仿宋" w:hAnsi="仿宋" w:eastAsia="仿宋" w:cs="仿宋"/>
                <w:color w:val="auto"/>
                <w:spacing w:val="4"/>
                <w:sz w:val="20"/>
                <w:szCs w:val="20"/>
                <w:highlight w:val="none"/>
              </w:rPr>
              <w:t xml:space="preserve"> </w:t>
            </w:r>
            <w:r>
              <w:rPr>
                <w:rFonts w:ascii="仿宋" w:hAnsi="仿宋" w:eastAsia="仿宋" w:cs="仿宋"/>
                <w:color w:val="auto"/>
                <w:spacing w:val="6"/>
                <w:sz w:val="20"/>
                <w:szCs w:val="20"/>
                <w:highlight w:val="none"/>
              </w:rPr>
              <w:t>栏修偏运维服务。</w:t>
            </w:r>
          </w:p>
          <w:p w14:paraId="43E2F0F4">
            <w:pPr>
              <w:keepNext w:val="0"/>
              <w:keepLines/>
              <w:pageBreakBefore w:val="0"/>
              <w:widowControl w:val="0"/>
              <w:kinsoku/>
              <w:wordWrap w:val="0"/>
              <w:overflowPunct/>
              <w:topLinePunct w:val="0"/>
              <w:autoSpaceDE/>
              <w:autoSpaceDN/>
              <w:bidi w:val="0"/>
              <w:adjustRightInd/>
              <w:snapToGrid/>
              <w:spacing w:before="3" w:line="376" w:lineRule="auto"/>
              <w:ind w:left="116" w:right="103" w:hanging="3"/>
              <w:jc w:val="both"/>
              <w:textAlignment w:val="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2. 无人机定制算法及运营服务,算法包括：道路</w:t>
            </w:r>
            <w:r>
              <w:rPr>
                <w:rFonts w:ascii="仿宋" w:hAnsi="仿宋" w:eastAsia="仿宋" w:cs="仿宋"/>
                <w:color w:val="auto"/>
                <w:spacing w:val="16"/>
                <w:sz w:val="20"/>
                <w:szCs w:val="20"/>
                <w:highlight w:val="none"/>
              </w:rPr>
              <w:t xml:space="preserve"> </w:t>
            </w:r>
            <w:r>
              <w:rPr>
                <w:rFonts w:ascii="仿宋" w:hAnsi="仿宋" w:eastAsia="仿宋" w:cs="仿宋"/>
                <w:color w:val="auto"/>
                <w:spacing w:val="7"/>
                <w:sz w:val="20"/>
                <w:szCs w:val="20"/>
                <w:highlight w:val="none"/>
              </w:rPr>
              <w:t>异物、烟火、绿化破坏、垃圾堆放、消防通道占</w:t>
            </w:r>
            <w:r>
              <w:rPr>
                <w:rFonts w:ascii="仿宋" w:hAnsi="仿宋" w:eastAsia="仿宋" w:cs="仿宋"/>
                <w:color w:val="auto"/>
                <w:spacing w:val="6"/>
                <w:sz w:val="20"/>
                <w:szCs w:val="20"/>
                <w:highlight w:val="none"/>
              </w:rPr>
              <w:t xml:space="preserve"> </w:t>
            </w:r>
            <w:r>
              <w:rPr>
                <w:rFonts w:ascii="仿宋" w:hAnsi="仿宋" w:eastAsia="仿宋" w:cs="仿宋"/>
                <w:color w:val="auto"/>
                <w:spacing w:val="7"/>
                <w:sz w:val="20"/>
                <w:szCs w:val="20"/>
                <w:highlight w:val="none"/>
              </w:rPr>
              <w:t>用、河道漂浮物告警。</w:t>
            </w:r>
          </w:p>
          <w:p w14:paraId="10FD29C7">
            <w:pPr>
              <w:keepNext w:val="0"/>
              <w:keepLines/>
              <w:pageBreakBefore w:val="0"/>
              <w:widowControl w:val="0"/>
              <w:kinsoku/>
              <w:wordWrap w:val="0"/>
              <w:overflowPunct/>
              <w:topLinePunct w:val="0"/>
              <w:autoSpaceDE/>
              <w:autoSpaceDN/>
              <w:bidi w:val="0"/>
              <w:adjustRightInd/>
              <w:snapToGrid/>
              <w:spacing w:line="378" w:lineRule="auto"/>
              <w:ind w:left="123" w:right="105" w:hanging="7"/>
              <w:textAlignment w:val="auto"/>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服务包括：无人机设备远程日常巡检及无人机航</w:t>
            </w:r>
            <w:r>
              <w:rPr>
                <w:rFonts w:ascii="仿宋" w:hAnsi="仿宋" w:eastAsia="仿宋" w:cs="仿宋"/>
                <w:color w:val="auto"/>
                <w:spacing w:val="4"/>
                <w:sz w:val="20"/>
                <w:szCs w:val="20"/>
                <w:highlight w:val="none"/>
              </w:rPr>
              <w:t xml:space="preserve"> </w:t>
            </w:r>
            <w:r>
              <w:rPr>
                <w:rFonts w:ascii="仿宋" w:hAnsi="仿宋" w:eastAsia="仿宋" w:cs="仿宋"/>
                <w:color w:val="auto"/>
                <w:spacing w:val="6"/>
                <w:sz w:val="20"/>
                <w:szCs w:val="20"/>
                <w:highlight w:val="none"/>
              </w:rPr>
              <w:t>线规划运维服务。</w:t>
            </w:r>
          </w:p>
          <w:p w14:paraId="21349691">
            <w:pPr>
              <w:keepNext w:val="0"/>
              <w:keepLines/>
              <w:pageBreakBefore w:val="0"/>
              <w:widowControl w:val="0"/>
              <w:kinsoku/>
              <w:wordWrap w:val="0"/>
              <w:overflowPunct/>
              <w:topLinePunct w:val="0"/>
              <w:autoSpaceDE/>
              <w:autoSpaceDN/>
              <w:bidi w:val="0"/>
              <w:adjustRightInd/>
              <w:snapToGrid/>
              <w:spacing w:before="161" w:line="229" w:lineRule="auto"/>
              <w:textAlignment w:val="auto"/>
              <w:rPr>
                <w:rFonts w:ascii="仿宋" w:hAnsi="仿宋" w:eastAsia="仿宋" w:cs="仿宋"/>
                <w:color w:val="auto"/>
                <w:sz w:val="20"/>
                <w:szCs w:val="20"/>
                <w:highlight w:val="none"/>
              </w:rPr>
            </w:pPr>
          </w:p>
        </w:tc>
      </w:tr>
      <w:tr w14:paraId="6053A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1319" w:type="dxa"/>
            <w:noWrap w:val="0"/>
            <w:vAlign w:val="top"/>
          </w:tcPr>
          <w:p w14:paraId="2B17858C">
            <w:pPr>
              <w:keepNext w:val="0"/>
              <w:keepLines/>
              <w:pageBreakBefore w:val="0"/>
              <w:widowControl w:val="0"/>
              <w:kinsoku/>
              <w:wordWrap w:val="0"/>
              <w:overflowPunct/>
              <w:topLinePunct w:val="0"/>
              <w:autoSpaceDE/>
              <w:autoSpaceDN/>
              <w:bidi w:val="0"/>
              <w:adjustRightInd/>
              <w:snapToGrid/>
              <w:spacing w:before="34" w:line="271" w:lineRule="exact"/>
              <w:ind w:left="130"/>
              <w:textAlignment w:val="auto"/>
              <w:rPr>
                <w:rFonts w:ascii="仿宋" w:hAnsi="仿宋" w:eastAsia="仿宋" w:cs="仿宋"/>
                <w:color w:val="auto"/>
                <w:sz w:val="20"/>
                <w:szCs w:val="20"/>
                <w:highlight w:val="none"/>
              </w:rPr>
            </w:pPr>
            <w:r>
              <w:rPr>
                <w:rFonts w:ascii="仿宋" w:hAnsi="仿宋" w:eastAsia="仿宋" w:cs="仿宋"/>
                <w:color w:val="auto"/>
                <w:spacing w:val="-7"/>
                <w:position w:val="1"/>
                <w:sz w:val="20"/>
                <w:szCs w:val="20"/>
                <w:highlight w:val="none"/>
              </w:rPr>
              <w:t>18</w:t>
            </w:r>
          </w:p>
        </w:tc>
        <w:tc>
          <w:tcPr>
            <w:tcW w:w="2061" w:type="dxa"/>
            <w:noWrap w:val="0"/>
            <w:vAlign w:val="top"/>
          </w:tcPr>
          <w:p w14:paraId="3266F22C">
            <w:pPr>
              <w:keepNext w:val="0"/>
              <w:keepLines/>
              <w:pageBreakBefore w:val="0"/>
              <w:widowControl w:val="0"/>
              <w:kinsoku/>
              <w:wordWrap w:val="0"/>
              <w:overflowPunct/>
              <w:topLinePunct w:val="0"/>
              <w:autoSpaceDE/>
              <w:autoSpaceDN/>
              <w:bidi w:val="0"/>
              <w:adjustRightInd/>
              <w:snapToGrid/>
              <w:spacing w:before="34" w:line="230" w:lineRule="auto"/>
              <w:ind w:left="118"/>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集成服务</w:t>
            </w:r>
          </w:p>
        </w:tc>
        <w:tc>
          <w:tcPr>
            <w:tcW w:w="5918" w:type="dxa"/>
            <w:noWrap w:val="0"/>
            <w:vAlign w:val="top"/>
          </w:tcPr>
          <w:p w14:paraId="704EEC5D">
            <w:pPr>
              <w:keepNext w:val="0"/>
              <w:keepLines/>
              <w:pageBreakBefore w:val="0"/>
              <w:widowControl w:val="0"/>
              <w:kinsoku/>
              <w:wordWrap w:val="0"/>
              <w:overflowPunct/>
              <w:topLinePunct w:val="0"/>
              <w:autoSpaceDE/>
              <w:autoSpaceDN/>
              <w:bidi w:val="0"/>
              <w:adjustRightInd/>
              <w:snapToGrid/>
              <w:spacing w:before="35" w:line="229" w:lineRule="auto"/>
              <w:ind w:left="125"/>
              <w:textAlignment w:val="auto"/>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与现有“智慧苏滁</w:t>
            </w:r>
            <w:r>
              <w:rPr>
                <w:rFonts w:ascii="仿宋" w:hAnsi="仿宋" w:eastAsia="仿宋" w:cs="仿宋"/>
                <w:color w:val="auto"/>
                <w:spacing w:val="-59"/>
                <w:sz w:val="20"/>
                <w:szCs w:val="20"/>
                <w:highlight w:val="none"/>
              </w:rPr>
              <w:t xml:space="preserve"> </w:t>
            </w:r>
            <w:r>
              <w:rPr>
                <w:rFonts w:ascii="仿宋" w:hAnsi="仿宋" w:eastAsia="仿宋" w:cs="仿宋"/>
                <w:color w:val="auto"/>
                <w:spacing w:val="5"/>
                <w:sz w:val="20"/>
                <w:szCs w:val="20"/>
                <w:highlight w:val="none"/>
              </w:rPr>
              <w:t>”平台融合</w:t>
            </w:r>
          </w:p>
        </w:tc>
      </w:tr>
    </w:tbl>
    <w:p w14:paraId="18E9E62E">
      <w:pPr>
        <w:pStyle w:val="19"/>
        <w:keepNext w:val="0"/>
        <w:keepLines w:val="0"/>
        <w:pageBreakBefore w:val="0"/>
        <w:widowControl/>
        <w:numPr>
          <w:ilvl w:val="0"/>
          <w:numId w:val="6"/>
        </w:numPr>
        <w:kinsoku/>
        <w:wordWrap/>
        <w:overflowPunct/>
        <w:topLinePunct w:val="0"/>
        <w:bidi w:val="0"/>
        <w:adjustRightInd/>
        <w:snapToGrid/>
        <w:spacing w:before="0" w:beforeLines="0" w:after="0" w:afterLines="0" w:line="440" w:lineRule="exact"/>
        <w:ind w:left="0" w:leftChars="0"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五年免费运维服务(费用已经包含在投标报价中)</w:t>
      </w:r>
    </w:p>
    <w:p w14:paraId="2471C768">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故障处理:运维期内，应能实时响应系统故障自动告警维修人员在2小时内到达现场，4小时内完成维修，不能解决的，5小时内提供备品备件，6小时完成更换和系统恢复，在硬件方面，对于损坏的设备，在接到采购人通知后，前端设备在6小时内，平台设备在24小时内完成损坏设备的更换，使系统设备恢复正常工作。</w:t>
      </w:r>
    </w:p>
    <w:p w14:paraId="5E65FF75">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2、故障修复:系统建设及维护期内,前端设备出现丢失、损坏供电中断等情况，应无条件免费恢复。</w:t>
      </w:r>
    </w:p>
    <w:p w14:paraId="5F6EFA4C">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3、设备迁移:</w:t>
      </w:r>
    </w:p>
    <w:p w14:paraId="225C5FBF">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1）、在运维期内，本期建设内容如有发生迁移、撤点及其它原因，按照业主要求免费移建:5年内迁移不超过 30%。</w:t>
      </w:r>
    </w:p>
    <w:p w14:paraId="1212FCF1">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2）、如移建过程中遇到额外提供新的链路、杆件、用电，设备箱，等相关设备需免费提供(其中立杆不超过 10 套，立杆高度根据采购人需求定制)。电话支持:提供 7*24小时电话及技术指导和现场咨询服务。</w:t>
      </w:r>
    </w:p>
    <w:p w14:paraId="4B8EF72F">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系统优化:根据巡检报告及用户需求，提供优化方案，经建设单位认可后执行系统优化。</w:t>
      </w:r>
    </w:p>
    <w:p w14:paraId="6BD36D43">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4、技术培训:针对建设单位专职管理人员提供操作培训和原厂技术培训。</w:t>
      </w:r>
    </w:p>
    <w:p w14:paraId="3057B39E">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5、应急保障服务:特殊重大活动期间，建设单位要求提供现场保障服务。</w:t>
      </w:r>
    </w:p>
    <w:p w14:paraId="0AB5FEE3">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6、测试服务:根据建设单位需求提供各项指标测试服务。</w:t>
      </w:r>
    </w:p>
    <w:p w14:paraId="4EC05BCD">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（一）前端在线率要求</w:t>
      </w:r>
    </w:p>
    <w:p w14:paraId="4786891C">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（1）工作目标</w:t>
      </w:r>
    </w:p>
    <w:p w14:paraId="4BCF0071">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运维期内建设运维服务商应积极保障前端点位的设备安全、供电稳定，确保前端在线率指标达到要求。</w:t>
      </w:r>
    </w:p>
    <w:p w14:paraId="6C754560">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（2）考核要求</w:t>
      </w:r>
    </w:p>
    <w:p w14:paraId="0C230CF1">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每月检查不少于2次，如前端单点位离线超过2次，每超过一次扣除200元，（前端单点位包括摄像机）。</w:t>
      </w:r>
    </w:p>
    <w:p w14:paraId="06DB7CB0">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摄像机离线是指摄像机离线以及在线但实际图像因镜头污损、图像模糊，异物遮挡，控制故障、枪机画面严重偏离监控有效区域等图像不能达到有效使用效果的情况。</w:t>
      </w:r>
    </w:p>
    <w:p w14:paraId="6E1D0154">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对于非不可预见因素造成故障，单点修复时间超过2天的每次额外扣1000元。</w:t>
      </w:r>
    </w:p>
    <w:p w14:paraId="4AC10416">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（二）平台要求</w:t>
      </w:r>
    </w:p>
    <w:p w14:paraId="18549BED">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（1）工作目标</w:t>
      </w:r>
    </w:p>
    <w:p w14:paraId="40E7CDEA">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建设运维服务商应保障平台各项业务功能正常，保障平台配套的硬件设备、运行环境、中间件及服务的正常运行。当硬件设备发生故障后，按照设备故障对系统运行的影响程度及设备故障修复时间进行扣款。</w:t>
      </w:r>
    </w:p>
    <w:p w14:paraId="24480143">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（2）考核要求</w:t>
      </w:r>
    </w:p>
    <w:tbl>
      <w:tblPr>
        <w:tblStyle w:val="14"/>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89"/>
        <w:gridCol w:w="1476"/>
      </w:tblGrid>
      <w:tr w14:paraId="7987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13" w:type="dxa"/>
            <w:noWrap w:val="0"/>
            <w:vAlign w:val="center"/>
          </w:tcPr>
          <w:p w14:paraId="0ECDDD66">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考核名称</w:t>
            </w:r>
          </w:p>
        </w:tc>
        <w:tc>
          <w:tcPr>
            <w:tcW w:w="7089" w:type="dxa"/>
            <w:noWrap w:val="0"/>
            <w:vAlign w:val="center"/>
          </w:tcPr>
          <w:p w14:paraId="4EDAD99A">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扣款标准及扣款细则</w:t>
            </w:r>
          </w:p>
        </w:tc>
        <w:tc>
          <w:tcPr>
            <w:tcW w:w="1476" w:type="dxa"/>
            <w:noWrap w:val="0"/>
            <w:vAlign w:val="center"/>
          </w:tcPr>
          <w:p w14:paraId="36110E8F">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考核周期</w:t>
            </w:r>
          </w:p>
        </w:tc>
      </w:tr>
      <w:tr w14:paraId="7DE7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13" w:type="dxa"/>
            <w:vMerge w:val="restart"/>
            <w:noWrap w:val="0"/>
            <w:vAlign w:val="center"/>
          </w:tcPr>
          <w:p w14:paraId="7900E624">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平</w:t>
            </w:r>
          </w:p>
          <w:p w14:paraId="776CBA96">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台</w:t>
            </w:r>
          </w:p>
          <w:p w14:paraId="0A0CC97A">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软</w:t>
            </w:r>
          </w:p>
          <w:p w14:paraId="3F2E3AEF">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硬</w:t>
            </w:r>
          </w:p>
          <w:p w14:paraId="5C35CA17">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件</w:t>
            </w:r>
          </w:p>
        </w:tc>
        <w:tc>
          <w:tcPr>
            <w:tcW w:w="7089" w:type="dxa"/>
            <w:noWrap w:val="0"/>
            <w:vAlign w:val="center"/>
          </w:tcPr>
          <w:p w14:paraId="6066B34D">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1、故障修复时间超过48小时，每次扣除1000元</w:t>
            </w:r>
          </w:p>
        </w:tc>
        <w:tc>
          <w:tcPr>
            <w:tcW w:w="1476" w:type="dxa"/>
            <w:vMerge w:val="restart"/>
            <w:noWrap w:val="0"/>
            <w:vAlign w:val="center"/>
          </w:tcPr>
          <w:p w14:paraId="7B703ADE">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季度</w:t>
            </w:r>
          </w:p>
        </w:tc>
      </w:tr>
      <w:tr w14:paraId="3BAF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13" w:type="dxa"/>
            <w:vMerge w:val="continue"/>
            <w:noWrap w:val="0"/>
            <w:vAlign w:val="center"/>
          </w:tcPr>
          <w:p w14:paraId="083D198F">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58909F87">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2、故障修复时间超过36—48小时，每次扣除500元</w:t>
            </w:r>
          </w:p>
        </w:tc>
        <w:tc>
          <w:tcPr>
            <w:tcW w:w="1476" w:type="dxa"/>
            <w:vMerge w:val="continue"/>
            <w:noWrap w:val="0"/>
            <w:vAlign w:val="top"/>
          </w:tcPr>
          <w:p w14:paraId="48BDB566">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r w14:paraId="0DBF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13" w:type="dxa"/>
            <w:vMerge w:val="continue"/>
            <w:noWrap w:val="0"/>
            <w:vAlign w:val="center"/>
          </w:tcPr>
          <w:p w14:paraId="7A185C06">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053F991D">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3、故障修复时间超过24—36小时，每次扣除200元</w:t>
            </w:r>
          </w:p>
        </w:tc>
        <w:tc>
          <w:tcPr>
            <w:tcW w:w="1476" w:type="dxa"/>
            <w:vMerge w:val="continue"/>
            <w:noWrap w:val="0"/>
            <w:vAlign w:val="top"/>
          </w:tcPr>
          <w:p w14:paraId="47BC3DD4">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r w14:paraId="1FC3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13" w:type="dxa"/>
            <w:vMerge w:val="continue"/>
            <w:noWrap w:val="0"/>
            <w:vAlign w:val="center"/>
          </w:tcPr>
          <w:p w14:paraId="57452EA9">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1C78A699">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4、当季硬件故障出现次数超过3次，均未在24小时内修复的，扣除200元</w:t>
            </w:r>
          </w:p>
        </w:tc>
        <w:tc>
          <w:tcPr>
            <w:tcW w:w="1476" w:type="dxa"/>
            <w:vMerge w:val="continue"/>
            <w:noWrap w:val="0"/>
            <w:vAlign w:val="top"/>
          </w:tcPr>
          <w:p w14:paraId="0EAD7A9F">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r w14:paraId="2CCF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13" w:type="dxa"/>
            <w:vMerge w:val="continue"/>
            <w:noWrap w:val="0"/>
            <w:vAlign w:val="center"/>
          </w:tcPr>
          <w:p w14:paraId="0938D5A3">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550520B8">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5、调试期结束后平台软件算法误报次数每季度超过5%的，扣除1000元</w:t>
            </w:r>
          </w:p>
        </w:tc>
        <w:tc>
          <w:tcPr>
            <w:tcW w:w="1476" w:type="dxa"/>
            <w:vMerge w:val="continue"/>
            <w:noWrap w:val="0"/>
            <w:vAlign w:val="top"/>
          </w:tcPr>
          <w:p w14:paraId="4690C5C6">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r w14:paraId="4841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13" w:type="dxa"/>
            <w:vMerge w:val="continue"/>
            <w:noWrap w:val="0"/>
            <w:vAlign w:val="center"/>
          </w:tcPr>
          <w:p w14:paraId="16625FD9">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77BD4E87">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要求检测的7项功能中，未监测到的，每发生一次扣款500元。每季度累计发生3次及以上的。甲方可解除合同，并扣除履约保证金。</w:t>
            </w:r>
          </w:p>
        </w:tc>
        <w:tc>
          <w:tcPr>
            <w:tcW w:w="1476" w:type="dxa"/>
            <w:vMerge w:val="continue"/>
            <w:noWrap w:val="0"/>
            <w:vAlign w:val="top"/>
          </w:tcPr>
          <w:p w14:paraId="38D18027">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bl>
    <w:p w14:paraId="48C33A5B">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center"/>
        <w:textAlignment w:val="auto"/>
        <w:rPr>
          <w:rFonts w:hint="eastAsia" w:ascii="宋体" w:hAnsi="Times New Roman" w:eastAsia="宋体" w:cs="Times New Roman"/>
          <w:b/>
          <w:bCs w:val="0"/>
          <w:color w:val="auto"/>
          <w:kern w:val="2"/>
          <w:sz w:val="32"/>
          <w:szCs w:val="32"/>
          <w:highlight w:val="none"/>
          <w:lang w:val="en-US" w:eastAsia="zh-CN" w:bidi="ar-SA"/>
        </w:rPr>
      </w:pPr>
    </w:p>
    <w:p w14:paraId="52479497">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center"/>
        <w:textAlignment w:val="auto"/>
        <w:rPr>
          <w:rFonts w:hint="eastAsia" w:ascii="宋体" w:hAnsi="Times New Roman" w:eastAsia="宋体" w:cs="Times New Roman"/>
          <w:b/>
          <w:bCs w:val="0"/>
          <w:color w:val="auto"/>
          <w:kern w:val="2"/>
          <w:sz w:val="32"/>
          <w:szCs w:val="32"/>
          <w:highlight w:val="none"/>
          <w:lang w:val="en-US" w:eastAsia="zh-CN" w:bidi="ar-SA"/>
        </w:rPr>
      </w:pPr>
    </w:p>
    <w:p w14:paraId="20E75166">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center"/>
        <w:textAlignment w:val="auto"/>
        <w:rPr>
          <w:rFonts w:hint="eastAsia" w:ascii="宋体" w:hAnsi="Times New Roman" w:eastAsia="宋体" w:cs="Times New Roman"/>
          <w:b/>
          <w:bCs w:val="0"/>
          <w:color w:val="auto"/>
          <w:kern w:val="2"/>
          <w:sz w:val="32"/>
          <w:szCs w:val="32"/>
          <w:highlight w:val="none"/>
          <w:lang w:val="en-US" w:eastAsia="zh-CN" w:bidi="ar-SA"/>
        </w:rPr>
      </w:pPr>
    </w:p>
    <w:p w14:paraId="4D85D82B">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center"/>
        <w:textAlignment w:val="auto"/>
        <w:rPr>
          <w:rFonts w:hint="eastAsia" w:ascii="宋体" w:hAnsi="Times New Roman" w:eastAsia="宋体" w:cs="Times New Roman"/>
          <w:b/>
          <w:bCs w:val="0"/>
          <w:color w:val="auto"/>
          <w:kern w:val="2"/>
          <w:sz w:val="32"/>
          <w:szCs w:val="32"/>
          <w:highlight w:val="none"/>
          <w:lang w:val="en-US" w:eastAsia="zh-CN" w:bidi="ar-SA"/>
        </w:rPr>
      </w:pPr>
    </w:p>
    <w:p w14:paraId="31A3DBE5">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center"/>
        <w:textAlignment w:val="auto"/>
        <w:rPr>
          <w:rFonts w:hint="eastAsia" w:ascii="宋体" w:hAnsi="Times New Roman" w:eastAsia="宋体" w:cs="Times New Roman"/>
          <w:b/>
          <w:bCs w:val="0"/>
          <w:color w:val="auto"/>
          <w:kern w:val="2"/>
          <w:sz w:val="32"/>
          <w:szCs w:val="32"/>
          <w:highlight w:val="none"/>
          <w:lang w:val="en-US" w:eastAsia="zh-CN" w:bidi="ar-SA"/>
        </w:rPr>
      </w:pPr>
    </w:p>
    <w:p w14:paraId="77D48131">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center"/>
        <w:textAlignment w:val="auto"/>
        <w:rPr>
          <w:rFonts w:hint="eastAsia" w:ascii="宋体" w:hAnsi="Times New Roman" w:eastAsia="宋体" w:cs="Times New Roman"/>
          <w:b/>
          <w:bCs w:val="0"/>
          <w:color w:val="auto"/>
          <w:kern w:val="2"/>
          <w:sz w:val="32"/>
          <w:szCs w:val="32"/>
          <w:highlight w:val="none"/>
          <w:lang w:val="en-US" w:eastAsia="zh-CN" w:bidi="ar-SA"/>
        </w:rPr>
      </w:pPr>
    </w:p>
    <w:p w14:paraId="74A4C5DC">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center"/>
        <w:textAlignment w:val="auto"/>
        <w:rPr>
          <w:rFonts w:hint="eastAsia" w:ascii="宋体" w:hAnsi="Times New Roman" w:eastAsia="宋体" w:cs="Times New Roman"/>
          <w:b/>
          <w:bCs w:val="0"/>
          <w:color w:val="auto"/>
          <w:kern w:val="2"/>
          <w:sz w:val="32"/>
          <w:szCs w:val="32"/>
          <w:highlight w:val="none"/>
          <w:lang w:val="en-US" w:eastAsia="zh-CN" w:bidi="ar-SA"/>
        </w:rPr>
      </w:pPr>
    </w:p>
    <w:p w14:paraId="7218A8F0">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center"/>
        <w:textAlignment w:val="auto"/>
        <w:rPr>
          <w:rFonts w:hint="eastAsia" w:ascii="宋体" w:hAnsi="Times New Roman" w:eastAsia="宋体" w:cs="Times New Roman"/>
          <w:b/>
          <w:bCs w:val="0"/>
          <w:color w:val="auto"/>
          <w:kern w:val="2"/>
          <w:sz w:val="32"/>
          <w:szCs w:val="32"/>
          <w:highlight w:val="none"/>
          <w:lang w:val="en-US" w:eastAsia="zh-CN" w:bidi="ar-SA"/>
        </w:rPr>
      </w:pPr>
    </w:p>
    <w:p w14:paraId="39B837BB">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jc w:val="both"/>
        <w:textAlignment w:val="auto"/>
        <w:rPr>
          <w:rFonts w:hint="eastAsia" w:ascii="宋体" w:hAnsi="Times New Roman" w:eastAsia="宋体" w:cs="Times New Roman"/>
          <w:b/>
          <w:bCs w:val="0"/>
          <w:color w:val="auto"/>
          <w:kern w:val="2"/>
          <w:sz w:val="32"/>
          <w:szCs w:val="32"/>
          <w:highlight w:val="none"/>
          <w:lang w:val="en-US" w:eastAsia="zh-CN" w:bidi="ar-SA"/>
        </w:rPr>
      </w:pPr>
    </w:p>
    <w:p w14:paraId="3BA95F7C">
      <w:pPr>
        <w:pStyle w:val="19"/>
        <w:keepNext w:val="0"/>
        <w:keepLines w:val="0"/>
        <w:pageBreakBefore w:val="0"/>
        <w:widowControl/>
        <w:numPr>
          <w:ilvl w:val="0"/>
          <w:numId w:val="0"/>
        </w:numPr>
        <w:kinsoku/>
        <w:wordWrap/>
        <w:overflowPunct/>
        <w:topLinePunct w:val="0"/>
        <w:bidi w:val="0"/>
        <w:adjustRightInd/>
        <w:snapToGrid/>
        <w:spacing w:before="0" w:beforeLines="0" w:after="0" w:afterLines="0" w:line="440" w:lineRule="exact"/>
        <w:ind w:leftChars="100"/>
        <w:jc w:val="center"/>
        <w:textAlignment w:val="auto"/>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第六章  合同条款及格式</w:t>
      </w:r>
    </w:p>
    <w:p w14:paraId="7AE16055">
      <w:pPr>
        <w:spacing w:line="480" w:lineRule="auto"/>
        <w:jc w:val="center"/>
        <w:outlineLvl w:val="1"/>
        <w:rPr>
          <w:rFonts w:hint="eastAsia" w:ascii="宋体" w:hAnsi="宋体" w:eastAsia="宋体" w:cs="Times New Roman"/>
          <w:b/>
          <w:color w:val="auto"/>
          <w:sz w:val="24"/>
          <w:szCs w:val="24"/>
          <w:highlight w:val="none"/>
        </w:rPr>
      </w:pPr>
      <w:r>
        <w:rPr>
          <w:rFonts w:hint="eastAsia" w:ascii="宋体" w:hAnsi="宋体" w:cs="宋体"/>
          <w:b/>
          <w:color w:val="auto"/>
          <w:sz w:val="28"/>
          <w:szCs w:val="28"/>
          <w:highlight w:val="none"/>
        </w:rPr>
        <w:t>（格式</w:t>
      </w:r>
      <w:r>
        <w:rPr>
          <w:rFonts w:hint="eastAsia" w:ascii="宋体" w:hAnsi="宋体" w:cs="宋体"/>
          <w:b/>
          <w:color w:val="auto"/>
          <w:sz w:val="28"/>
          <w:szCs w:val="28"/>
          <w:highlight w:val="none"/>
          <w:lang w:val="en-US" w:eastAsia="zh-CN"/>
        </w:rPr>
        <w:t>仅供参考</w:t>
      </w:r>
      <w:r>
        <w:rPr>
          <w:rFonts w:hint="eastAsia" w:ascii="宋体" w:hAnsi="宋体" w:cs="宋体"/>
          <w:b/>
          <w:color w:val="auto"/>
          <w:sz w:val="28"/>
          <w:szCs w:val="28"/>
          <w:highlight w:val="none"/>
        </w:rPr>
        <w:t>）</w:t>
      </w:r>
    </w:p>
    <w:p w14:paraId="241E8215">
      <w:pPr>
        <w:spacing w:before="223" w:line="360" w:lineRule="auto"/>
        <w:ind w:left="75"/>
        <w:jc w:val="center"/>
        <w:outlineLvl w:val="0"/>
        <w:rPr>
          <w:rFonts w:hint="eastAsia" w:ascii="仿宋" w:hAnsi="仿宋" w:eastAsia="仿宋" w:cs="仿宋"/>
          <w:color w:val="auto"/>
          <w:sz w:val="28"/>
          <w:szCs w:val="28"/>
          <w:highlight w:val="none"/>
        </w:rPr>
      </w:pPr>
      <w:r>
        <w:rPr>
          <w:rFonts w:hint="eastAsia" w:ascii="仿宋" w:hAnsi="仿宋" w:eastAsia="仿宋" w:cs="仿宋"/>
          <w:b w:val="0"/>
          <w:bCs w:val="0"/>
          <w:color w:val="auto"/>
          <w:spacing w:val="-21"/>
          <w:sz w:val="52"/>
          <w:szCs w:val="52"/>
          <w:highlight w:val="none"/>
          <w:lang w:eastAsia="zh-CN"/>
        </w:rPr>
        <w:t>中新苏滁高新区无人机智能巡检服务项目</w:t>
      </w:r>
    </w:p>
    <w:p w14:paraId="02EA95AF">
      <w:pPr>
        <w:spacing w:before="248" w:line="184" w:lineRule="auto"/>
        <w:jc w:val="center"/>
        <w:rPr>
          <w:rFonts w:hint="eastAsia" w:ascii="仿宋" w:hAnsi="仿宋" w:eastAsia="仿宋" w:cs="仿宋"/>
          <w:b w:val="0"/>
          <w:bCs w:val="0"/>
          <w:color w:val="auto"/>
          <w:spacing w:val="-5"/>
          <w:sz w:val="52"/>
          <w:szCs w:val="52"/>
          <w:highlight w:val="none"/>
        </w:rPr>
      </w:pPr>
      <w:r>
        <w:rPr>
          <w:rFonts w:hint="eastAsia" w:ascii="仿宋" w:hAnsi="仿宋" w:eastAsia="仿宋" w:cs="仿宋"/>
          <w:b w:val="0"/>
          <w:bCs w:val="0"/>
          <w:color w:val="auto"/>
          <w:spacing w:val="-5"/>
          <w:sz w:val="52"/>
          <w:szCs w:val="52"/>
          <w:highlight w:val="none"/>
        </w:rPr>
        <w:t>委</w:t>
      </w:r>
    </w:p>
    <w:p w14:paraId="2BEAD025">
      <w:pPr>
        <w:spacing w:before="248" w:line="184" w:lineRule="auto"/>
        <w:jc w:val="center"/>
        <w:rPr>
          <w:rFonts w:hint="eastAsia" w:ascii="仿宋" w:hAnsi="仿宋" w:eastAsia="仿宋" w:cs="仿宋"/>
          <w:b w:val="0"/>
          <w:bCs w:val="0"/>
          <w:color w:val="auto"/>
          <w:spacing w:val="-5"/>
          <w:sz w:val="52"/>
          <w:szCs w:val="52"/>
          <w:highlight w:val="none"/>
        </w:rPr>
      </w:pPr>
      <w:r>
        <w:rPr>
          <w:rFonts w:hint="eastAsia" w:ascii="仿宋" w:hAnsi="仿宋" w:eastAsia="仿宋" w:cs="仿宋"/>
          <w:b w:val="0"/>
          <w:bCs w:val="0"/>
          <w:color w:val="auto"/>
          <w:spacing w:val="-5"/>
          <w:sz w:val="52"/>
          <w:szCs w:val="52"/>
          <w:highlight w:val="none"/>
        </w:rPr>
        <w:t>托</w:t>
      </w:r>
    </w:p>
    <w:p w14:paraId="623C0DBE">
      <w:pPr>
        <w:spacing w:before="248" w:line="184" w:lineRule="auto"/>
        <w:jc w:val="center"/>
        <w:rPr>
          <w:rFonts w:hint="eastAsia" w:ascii="仿宋" w:hAnsi="仿宋" w:eastAsia="仿宋" w:cs="仿宋"/>
          <w:b w:val="0"/>
          <w:bCs w:val="0"/>
          <w:color w:val="auto"/>
          <w:spacing w:val="-5"/>
          <w:sz w:val="52"/>
          <w:szCs w:val="52"/>
          <w:highlight w:val="none"/>
        </w:rPr>
      </w:pPr>
      <w:r>
        <w:rPr>
          <w:rFonts w:hint="eastAsia" w:ascii="仿宋" w:hAnsi="仿宋" w:eastAsia="仿宋" w:cs="仿宋"/>
          <w:b w:val="0"/>
          <w:bCs w:val="0"/>
          <w:color w:val="auto"/>
          <w:spacing w:val="-5"/>
          <w:sz w:val="52"/>
          <w:szCs w:val="52"/>
          <w:highlight w:val="none"/>
        </w:rPr>
        <w:t>服</w:t>
      </w:r>
    </w:p>
    <w:p w14:paraId="5DF23718">
      <w:pPr>
        <w:spacing w:before="248" w:line="184" w:lineRule="auto"/>
        <w:jc w:val="center"/>
        <w:rPr>
          <w:rFonts w:hint="eastAsia" w:ascii="仿宋" w:hAnsi="仿宋" w:eastAsia="仿宋" w:cs="仿宋"/>
          <w:b w:val="0"/>
          <w:bCs w:val="0"/>
          <w:color w:val="auto"/>
          <w:spacing w:val="-5"/>
          <w:sz w:val="52"/>
          <w:szCs w:val="52"/>
          <w:highlight w:val="none"/>
        </w:rPr>
      </w:pPr>
      <w:r>
        <w:rPr>
          <w:rFonts w:hint="eastAsia" w:ascii="仿宋" w:hAnsi="仿宋" w:eastAsia="仿宋" w:cs="仿宋"/>
          <w:b w:val="0"/>
          <w:bCs w:val="0"/>
          <w:color w:val="auto"/>
          <w:spacing w:val="-5"/>
          <w:sz w:val="52"/>
          <w:szCs w:val="52"/>
          <w:highlight w:val="none"/>
        </w:rPr>
        <w:t>务</w:t>
      </w:r>
    </w:p>
    <w:p w14:paraId="6891F5B5">
      <w:pPr>
        <w:spacing w:before="248" w:line="184" w:lineRule="auto"/>
        <w:jc w:val="center"/>
        <w:rPr>
          <w:rFonts w:hint="eastAsia" w:ascii="仿宋" w:hAnsi="仿宋" w:eastAsia="仿宋" w:cs="仿宋"/>
          <w:b w:val="0"/>
          <w:bCs w:val="0"/>
          <w:color w:val="auto"/>
          <w:spacing w:val="-5"/>
          <w:sz w:val="52"/>
          <w:szCs w:val="52"/>
          <w:highlight w:val="none"/>
        </w:rPr>
      </w:pPr>
      <w:r>
        <w:rPr>
          <w:rFonts w:hint="eastAsia" w:ascii="仿宋" w:hAnsi="仿宋" w:eastAsia="仿宋" w:cs="仿宋"/>
          <w:b w:val="0"/>
          <w:bCs w:val="0"/>
          <w:color w:val="auto"/>
          <w:spacing w:val="-5"/>
          <w:sz w:val="52"/>
          <w:szCs w:val="52"/>
          <w:highlight w:val="none"/>
        </w:rPr>
        <w:t>合</w:t>
      </w:r>
    </w:p>
    <w:p w14:paraId="3F3BD086">
      <w:pPr>
        <w:spacing w:before="248" w:line="184" w:lineRule="auto"/>
        <w:jc w:val="center"/>
        <w:rPr>
          <w:rFonts w:hint="eastAsia" w:ascii="仿宋" w:hAnsi="仿宋" w:eastAsia="仿宋" w:cs="仿宋"/>
          <w:color w:val="auto"/>
          <w:sz w:val="28"/>
          <w:szCs w:val="28"/>
          <w:highlight w:val="none"/>
        </w:rPr>
      </w:pPr>
      <w:r>
        <w:rPr>
          <w:rFonts w:hint="eastAsia" w:ascii="仿宋" w:hAnsi="仿宋" w:eastAsia="仿宋" w:cs="仿宋"/>
          <w:b w:val="0"/>
          <w:bCs w:val="0"/>
          <w:color w:val="auto"/>
          <w:spacing w:val="-5"/>
          <w:sz w:val="52"/>
          <w:szCs w:val="52"/>
          <w:highlight w:val="none"/>
        </w:rPr>
        <w:t>同</w:t>
      </w:r>
    </w:p>
    <w:p w14:paraId="335E5B73">
      <w:pPr>
        <w:spacing w:line="360" w:lineRule="auto"/>
        <w:rPr>
          <w:rFonts w:hint="eastAsia" w:ascii="仿宋" w:hAnsi="仿宋" w:eastAsia="仿宋" w:cs="仿宋"/>
          <w:color w:val="auto"/>
          <w:sz w:val="28"/>
          <w:szCs w:val="28"/>
          <w:highlight w:val="none"/>
        </w:rPr>
      </w:pPr>
    </w:p>
    <w:p w14:paraId="6F2C4732">
      <w:pPr>
        <w:spacing w:line="360" w:lineRule="auto"/>
        <w:ind w:firstLine="723" w:firstLineChars="200"/>
        <w:jc w:val="left"/>
        <w:rPr>
          <w:rFonts w:hint="eastAsia" w:ascii="仿宋" w:hAnsi="仿宋" w:eastAsia="仿宋" w:cs="仿宋"/>
          <w:b/>
          <w:bCs/>
          <w:color w:val="auto"/>
          <w:sz w:val="36"/>
          <w:szCs w:val="36"/>
          <w:highlight w:val="none"/>
          <w:lang w:val="en-US" w:eastAsia="en-US"/>
        </w:rPr>
      </w:pPr>
      <w:r>
        <w:rPr>
          <w:rFonts w:hint="eastAsia" w:ascii="仿宋" w:hAnsi="仿宋" w:eastAsia="仿宋" w:cs="仿宋"/>
          <w:b/>
          <w:bCs/>
          <w:color w:val="auto"/>
          <w:sz w:val="36"/>
          <w:szCs w:val="36"/>
          <w:highlight w:val="none"/>
          <w:lang w:val="en-US" w:eastAsia="en-US"/>
        </w:rPr>
        <w:t>甲方：</w:t>
      </w:r>
      <w:r>
        <w:rPr>
          <w:rFonts w:hint="eastAsia" w:ascii="仿宋" w:hAnsi="仿宋" w:eastAsia="仿宋" w:cs="仿宋"/>
          <w:b/>
          <w:bCs/>
          <w:color w:val="auto"/>
          <w:sz w:val="36"/>
          <w:szCs w:val="36"/>
          <w:highlight w:val="none"/>
          <w:lang w:val="en-US" w:eastAsia="zh-CN"/>
        </w:rPr>
        <w:t xml:space="preserve">  滁州市苏滁市政公用发展有限公司</w:t>
      </w:r>
    </w:p>
    <w:p w14:paraId="34D11E44">
      <w:pPr>
        <w:spacing w:line="360" w:lineRule="auto"/>
        <w:ind w:firstLine="723" w:firstLineChars="200"/>
        <w:jc w:val="left"/>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en-US"/>
        </w:rPr>
        <w:t>乙方：</w:t>
      </w:r>
      <w:r>
        <w:rPr>
          <w:rFonts w:hint="eastAsia" w:ascii="仿宋" w:hAnsi="仿宋" w:eastAsia="仿宋" w:cs="仿宋"/>
          <w:b/>
          <w:bCs/>
          <w:color w:val="auto"/>
          <w:sz w:val="36"/>
          <w:szCs w:val="36"/>
          <w:highlight w:val="none"/>
          <w:lang w:val="en-US" w:eastAsia="zh-CN"/>
        </w:rPr>
        <w:t xml:space="preserve">  </w:t>
      </w:r>
    </w:p>
    <w:p w14:paraId="3446E010">
      <w:pPr>
        <w:spacing w:line="360" w:lineRule="auto"/>
        <w:ind w:firstLine="723" w:firstLineChars="200"/>
        <w:jc w:val="left"/>
        <w:rPr>
          <w:rFonts w:hint="eastAsia" w:ascii="仿宋" w:hAnsi="仿宋" w:eastAsia="仿宋" w:cs="仿宋"/>
          <w:b/>
          <w:bCs/>
          <w:color w:val="auto"/>
          <w:sz w:val="36"/>
          <w:szCs w:val="36"/>
          <w:highlight w:val="none"/>
          <w:lang w:val="en-US" w:eastAsia="en-US"/>
        </w:rPr>
      </w:pPr>
      <w:r>
        <w:rPr>
          <w:rFonts w:hint="eastAsia" w:ascii="仿宋" w:hAnsi="仿宋" w:eastAsia="仿宋" w:cs="仿宋"/>
          <w:b/>
          <w:bCs/>
          <w:color w:val="auto"/>
          <w:sz w:val="36"/>
          <w:szCs w:val="36"/>
          <w:highlight w:val="none"/>
          <w:lang w:val="en-US" w:eastAsia="en-US"/>
        </w:rPr>
        <w:t>签订时间：【202</w:t>
      </w:r>
      <w:r>
        <w:rPr>
          <w:rFonts w:hint="eastAsia" w:ascii="仿宋" w:hAnsi="仿宋" w:eastAsia="仿宋" w:cs="仿宋"/>
          <w:b/>
          <w:bCs/>
          <w:color w:val="auto"/>
          <w:sz w:val="36"/>
          <w:szCs w:val="36"/>
          <w:highlight w:val="none"/>
          <w:lang w:val="en-US" w:eastAsia="zh-CN"/>
        </w:rPr>
        <w:t>*</w:t>
      </w:r>
      <w:r>
        <w:rPr>
          <w:rFonts w:hint="eastAsia" w:ascii="仿宋" w:hAnsi="仿宋" w:eastAsia="仿宋" w:cs="仿宋"/>
          <w:b/>
          <w:bCs/>
          <w:color w:val="auto"/>
          <w:sz w:val="36"/>
          <w:szCs w:val="36"/>
          <w:highlight w:val="none"/>
          <w:lang w:val="en-US" w:eastAsia="en-US"/>
        </w:rPr>
        <w:t>】年【</w:t>
      </w:r>
      <w:r>
        <w:rPr>
          <w:rFonts w:hint="eastAsia" w:ascii="仿宋" w:hAnsi="仿宋" w:eastAsia="仿宋" w:cs="仿宋"/>
          <w:b/>
          <w:bCs/>
          <w:color w:val="auto"/>
          <w:sz w:val="36"/>
          <w:szCs w:val="36"/>
          <w:highlight w:val="none"/>
          <w:lang w:val="en-US" w:eastAsia="zh-CN"/>
        </w:rPr>
        <w:t>*</w:t>
      </w:r>
      <w:r>
        <w:rPr>
          <w:rFonts w:hint="eastAsia" w:ascii="仿宋" w:hAnsi="仿宋" w:eastAsia="仿宋" w:cs="仿宋"/>
          <w:b/>
          <w:bCs/>
          <w:color w:val="auto"/>
          <w:sz w:val="36"/>
          <w:szCs w:val="36"/>
          <w:highlight w:val="none"/>
          <w:lang w:val="en-US" w:eastAsia="en-US"/>
        </w:rPr>
        <w:t>】月【</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val="en-US" w:eastAsia="en-US"/>
        </w:rPr>
        <w:t>】日</w:t>
      </w:r>
    </w:p>
    <w:p w14:paraId="42C46083">
      <w:pPr>
        <w:spacing w:line="360" w:lineRule="auto"/>
        <w:ind w:firstLine="723" w:firstLineChars="200"/>
        <w:jc w:val="left"/>
        <w:rPr>
          <w:rFonts w:hint="eastAsia" w:ascii="仿宋" w:hAnsi="仿宋" w:eastAsia="仿宋" w:cs="仿宋"/>
          <w:color w:val="auto"/>
          <w:spacing w:val="-1"/>
          <w:sz w:val="28"/>
          <w:szCs w:val="28"/>
          <w:highlight w:val="none"/>
        </w:rPr>
      </w:pPr>
      <w:r>
        <w:rPr>
          <w:rFonts w:hint="eastAsia" w:ascii="仿宋" w:hAnsi="仿宋" w:eastAsia="仿宋" w:cs="仿宋"/>
          <w:b/>
          <w:bCs/>
          <w:color w:val="auto"/>
          <w:sz w:val="36"/>
          <w:szCs w:val="36"/>
          <w:highlight w:val="none"/>
          <w:lang w:val="en-US" w:eastAsia="en-US"/>
        </w:rPr>
        <w:t>签订地点：【滁州市】</w:t>
      </w:r>
    </w:p>
    <w:p w14:paraId="440BBAC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滁州市苏滁市政公用发展有限公司</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以下简称：甲方</w:t>
      </w:r>
      <w:r>
        <w:rPr>
          <w:rFonts w:hint="eastAsia" w:ascii="宋体" w:hAnsi="宋体" w:eastAsia="宋体" w:cs="宋体"/>
          <w:color w:val="auto"/>
          <w:sz w:val="24"/>
          <w:highlight w:val="none"/>
        </w:rPr>
        <w:t xml:space="preserve">）通过 </w:t>
      </w:r>
      <w:r>
        <w:rPr>
          <w:rFonts w:hint="eastAsia" w:ascii="宋体" w:hAnsi="宋体" w:eastAsia="宋体" w:cs="宋体"/>
          <w:color w:val="auto"/>
          <w:sz w:val="24"/>
          <w:highlight w:val="none"/>
          <w:u w:val="single"/>
        </w:rPr>
        <w:t>滁州市城投工程咨询管理有限公司</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rPr>
        <w:t>公开招标</w:t>
      </w:r>
      <w:r>
        <w:rPr>
          <w:rFonts w:hint="eastAsia" w:ascii="宋体" w:hAnsi="宋体" w:eastAsia="宋体" w:cs="宋体"/>
          <w:color w:val="auto"/>
          <w:sz w:val="24"/>
          <w:highlight w:val="none"/>
        </w:rPr>
        <w:t>方式采购活动，经</w:t>
      </w:r>
      <w:r>
        <w:rPr>
          <w:rFonts w:hint="eastAsia" w:ascii="宋体" w:hAnsi="宋体" w:eastAsia="宋体" w:cs="宋体"/>
          <w:color w:val="auto"/>
          <w:sz w:val="24"/>
          <w:highlight w:val="none"/>
          <w:u w:val="single"/>
        </w:rPr>
        <w:t>评标委员会</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以下简称：乙方</w:t>
      </w:r>
      <w:r>
        <w:rPr>
          <w:rFonts w:hint="eastAsia" w:ascii="宋体" w:hAnsi="宋体" w:eastAsia="宋体" w:cs="宋体"/>
          <w:color w:val="auto"/>
          <w:sz w:val="24"/>
          <w:highlight w:val="none"/>
        </w:rPr>
        <w:t>）为本项目中标人，现按照采购文件确定的事项签订本合同。</w:t>
      </w:r>
    </w:p>
    <w:p w14:paraId="4C909A83">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6242EC00">
      <w:pPr>
        <w:spacing w:line="440" w:lineRule="exact"/>
        <w:ind w:firstLine="437"/>
        <w:outlineLvl w:val="2"/>
        <w:rPr>
          <w:rFonts w:hint="eastAsia" w:ascii="宋体" w:hAnsi="宋体" w:eastAsia="宋体" w:cs="宋体"/>
          <w:b/>
          <w:bCs/>
          <w:color w:val="auto"/>
          <w:sz w:val="24"/>
          <w:szCs w:val="24"/>
          <w:highlight w:val="none"/>
          <w:lang w:val="zh-CN"/>
        </w:rPr>
      </w:pPr>
      <w:bookmarkStart w:id="107" w:name="_Toc3029"/>
      <w:bookmarkStart w:id="108" w:name="_Toc24059"/>
      <w:bookmarkStart w:id="109" w:name="_Toc2232"/>
      <w:r>
        <w:rPr>
          <w:rFonts w:hint="eastAsia" w:ascii="宋体" w:hAnsi="宋体" w:eastAsia="宋体" w:cs="宋体"/>
          <w:b/>
          <w:bCs/>
          <w:color w:val="auto"/>
          <w:sz w:val="24"/>
          <w:szCs w:val="24"/>
          <w:highlight w:val="none"/>
          <w:lang w:val="zh-CN"/>
        </w:rPr>
        <w:t>1.1 合同组成部分</w:t>
      </w:r>
      <w:bookmarkEnd w:id="107"/>
      <w:bookmarkEnd w:id="108"/>
      <w:bookmarkEnd w:id="109"/>
    </w:p>
    <w:p w14:paraId="6E34C92D">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0D979BD">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483ADE51">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6B665BB2">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28717FA7">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1B0BAE99">
      <w:pPr>
        <w:spacing w:line="440" w:lineRule="exact"/>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7282D0CE">
      <w:pPr>
        <w:spacing w:line="440" w:lineRule="exact"/>
        <w:ind w:firstLine="437"/>
        <w:outlineLvl w:val="2"/>
        <w:rPr>
          <w:rFonts w:hint="eastAsia" w:ascii="宋体" w:hAnsi="宋体" w:eastAsia="宋体" w:cs="宋体"/>
          <w:b/>
          <w:bCs/>
          <w:color w:val="auto"/>
          <w:sz w:val="24"/>
          <w:szCs w:val="24"/>
          <w:highlight w:val="none"/>
          <w:lang w:val="zh-CN"/>
        </w:rPr>
      </w:pPr>
      <w:bookmarkStart w:id="110" w:name="_Toc2918"/>
      <w:bookmarkStart w:id="111" w:name="_Toc6773"/>
      <w:bookmarkStart w:id="112" w:name="_Toc6311"/>
      <w:bookmarkStart w:id="113" w:name="_Toc22185"/>
      <w:bookmarkStart w:id="114" w:name="_Toc18585"/>
      <w:r>
        <w:rPr>
          <w:rFonts w:hint="eastAsia" w:ascii="宋体" w:hAnsi="宋体" w:eastAsia="宋体" w:cs="宋体"/>
          <w:b/>
          <w:bCs/>
          <w:color w:val="auto"/>
          <w:sz w:val="24"/>
          <w:szCs w:val="24"/>
          <w:highlight w:val="none"/>
          <w:lang w:val="zh-CN"/>
        </w:rPr>
        <w:t xml:space="preserve">1.2 </w:t>
      </w:r>
      <w:bookmarkEnd w:id="110"/>
      <w:bookmarkEnd w:id="111"/>
      <w:bookmarkEnd w:id="112"/>
      <w:bookmarkEnd w:id="113"/>
      <w:bookmarkEnd w:id="114"/>
      <w:r>
        <w:rPr>
          <w:rFonts w:hint="eastAsia" w:ascii="宋体" w:hAnsi="宋体" w:eastAsia="宋体" w:cs="宋体"/>
          <w:b/>
          <w:bCs/>
          <w:color w:val="auto"/>
          <w:sz w:val="24"/>
          <w:szCs w:val="24"/>
          <w:highlight w:val="none"/>
          <w:lang w:val="zh-CN"/>
        </w:rPr>
        <w:t>服务</w:t>
      </w:r>
    </w:p>
    <w:p w14:paraId="55444A54">
      <w:pPr>
        <w:spacing w:line="440" w:lineRule="exact"/>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lang w:eastAsia="zh-CN"/>
        </w:rPr>
        <w:t>中新苏滁高新区无人机智能巡检服务项目</w:t>
      </w:r>
      <w:r>
        <w:rPr>
          <w:rFonts w:hint="eastAsia" w:ascii="宋体" w:hAnsi="宋体" w:eastAsia="宋体" w:cs="宋体"/>
          <w:color w:val="auto"/>
          <w:sz w:val="24"/>
          <w:szCs w:val="24"/>
          <w:highlight w:val="none"/>
        </w:rPr>
        <w:t>；</w:t>
      </w:r>
    </w:p>
    <w:p w14:paraId="22701463">
      <w:pPr>
        <w:spacing w:line="440" w:lineRule="exact"/>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highlight w:val="none"/>
          <w:u w:val="single"/>
        </w:rPr>
        <w:t>招标文件第</w:t>
      </w:r>
      <w:r>
        <w:rPr>
          <w:rFonts w:hint="eastAsia" w:ascii="宋体" w:hAnsi="宋体" w:eastAsia="宋体" w:cs="宋体"/>
          <w:color w:val="auto"/>
          <w:sz w:val="24"/>
          <w:highlight w:val="none"/>
          <w:u w:val="single"/>
          <w:lang w:val="en-US" w:eastAsia="zh-CN"/>
        </w:rPr>
        <w:t>五</w:t>
      </w:r>
      <w:r>
        <w:rPr>
          <w:rFonts w:hint="eastAsia" w:ascii="宋体" w:hAnsi="宋体" w:eastAsia="宋体" w:cs="宋体"/>
          <w:color w:val="auto"/>
          <w:sz w:val="24"/>
          <w:highlight w:val="none"/>
          <w:u w:val="single"/>
        </w:rPr>
        <w:t>章采购需求全部内容</w:t>
      </w:r>
      <w:r>
        <w:rPr>
          <w:rFonts w:hint="eastAsia" w:ascii="宋体" w:hAnsi="宋体" w:eastAsia="宋体" w:cs="宋体"/>
          <w:color w:val="auto"/>
          <w:sz w:val="24"/>
          <w:szCs w:val="24"/>
          <w:highlight w:val="none"/>
        </w:rPr>
        <w:t>；</w:t>
      </w:r>
    </w:p>
    <w:p w14:paraId="707223E1">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满足招标文件要求及采购人相关要求</w:t>
      </w:r>
      <w:r>
        <w:rPr>
          <w:rFonts w:hint="eastAsia" w:ascii="宋体" w:hAnsi="宋体" w:eastAsia="宋体" w:cs="宋体"/>
          <w:color w:val="auto"/>
          <w:sz w:val="24"/>
          <w:szCs w:val="24"/>
          <w:highlight w:val="none"/>
        </w:rPr>
        <w:t>。</w:t>
      </w:r>
    </w:p>
    <w:p w14:paraId="656A911D">
      <w:pPr>
        <w:spacing w:line="440" w:lineRule="exact"/>
        <w:ind w:firstLine="437"/>
        <w:outlineLvl w:val="2"/>
        <w:rPr>
          <w:rFonts w:hint="eastAsia" w:ascii="宋体" w:hAnsi="宋体" w:eastAsia="宋体" w:cs="宋体"/>
          <w:b/>
          <w:bCs/>
          <w:color w:val="auto"/>
          <w:sz w:val="24"/>
          <w:szCs w:val="24"/>
          <w:highlight w:val="none"/>
          <w:lang w:val="zh-CN"/>
        </w:rPr>
      </w:pPr>
      <w:bookmarkStart w:id="115" w:name="_Toc21551"/>
      <w:bookmarkStart w:id="116" w:name="_Toc21631"/>
      <w:bookmarkStart w:id="117" w:name="_Toc23292"/>
      <w:r>
        <w:rPr>
          <w:rFonts w:hint="eastAsia" w:ascii="宋体" w:hAnsi="宋体" w:eastAsia="宋体" w:cs="宋体"/>
          <w:b/>
          <w:bCs/>
          <w:color w:val="auto"/>
          <w:sz w:val="24"/>
          <w:szCs w:val="24"/>
          <w:highlight w:val="none"/>
          <w:lang w:val="zh-CN"/>
        </w:rPr>
        <w:t>1.3 价款</w:t>
      </w:r>
      <w:bookmarkEnd w:id="115"/>
      <w:bookmarkEnd w:id="116"/>
      <w:bookmarkEnd w:id="117"/>
    </w:p>
    <w:p w14:paraId="1702FCD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lang w:val="en-US" w:eastAsia="zh-CN"/>
        </w:rPr>
        <w:t>每年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07EB7C63">
      <w:pPr>
        <w:spacing w:line="440" w:lineRule="exact"/>
        <w:ind w:firstLine="437"/>
        <w:outlineLvl w:val="2"/>
        <w:rPr>
          <w:rFonts w:hint="eastAsia" w:ascii="宋体" w:hAnsi="宋体" w:eastAsia="宋体" w:cs="宋体"/>
          <w:b/>
          <w:bCs/>
          <w:color w:val="auto"/>
          <w:sz w:val="24"/>
          <w:szCs w:val="24"/>
          <w:highlight w:val="none"/>
          <w:lang w:val="zh-CN"/>
        </w:rPr>
      </w:pPr>
      <w:bookmarkStart w:id="118" w:name="_Toc1814"/>
      <w:bookmarkStart w:id="119" w:name="_Toc22618"/>
      <w:bookmarkStart w:id="120" w:name="_Toc10340"/>
      <w:r>
        <w:rPr>
          <w:rFonts w:hint="eastAsia" w:ascii="宋体" w:hAnsi="宋体" w:eastAsia="宋体" w:cs="宋体"/>
          <w:b/>
          <w:bCs/>
          <w:color w:val="auto"/>
          <w:sz w:val="24"/>
          <w:szCs w:val="24"/>
          <w:highlight w:val="none"/>
          <w:lang w:val="zh-CN"/>
        </w:rPr>
        <w:t>1.4 付款方式和发票开具方式</w:t>
      </w:r>
      <w:bookmarkEnd w:id="118"/>
      <w:bookmarkEnd w:id="119"/>
      <w:bookmarkEnd w:id="120"/>
    </w:p>
    <w:p w14:paraId="16D82921">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B0BD698">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开具符合要求的增值税专用发票</w:t>
      </w:r>
      <w:r>
        <w:rPr>
          <w:rFonts w:hint="eastAsia" w:ascii="宋体" w:hAnsi="宋体" w:eastAsia="宋体" w:cs="宋体"/>
          <w:color w:val="auto"/>
          <w:sz w:val="24"/>
          <w:szCs w:val="24"/>
          <w:highlight w:val="none"/>
        </w:rPr>
        <w:t>。</w:t>
      </w:r>
    </w:p>
    <w:p w14:paraId="5A2A87A4">
      <w:pPr>
        <w:spacing w:line="440" w:lineRule="exact"/>
        <w:ind w:firstLine="437"/>
        <w:outlineLvl w:val="2"/>
        <w:rPr>
          <w:rFonts w:hint="eastAsia" w:ascii="宋体" w:hAnsi="宋体" w:eastAsia="宋体" w:cs="宋体"/>
          <w:b/>
          <w:bCs/>
          <w:color w:val="auto"/>
          <w:sz w:val="24"/>
          <w:szCs w:val="24"/>
          <w:highlight w:val="none"/>
          <w:lang w:val="zh-CN"/>
        </w:rPr>
      </w:pPr>
      <w:bookmarkStart w:id="121" w:name="_Toc2846"/>
      <w:bookmarkStart w:id="122" w:name="_Toc19304"/>
      <w:bookmarkStart w:id="123" w:name="_Toc32071"/>
      <w:r>
        <w:rPr>
          <w:rFonts w:hint="eastAsia" w:ascii="宋体" w:hAnsi="宋体" w:eastAsia="宋体" w:cs="宋体"/>
          <w:b/>
          <w:bCs/>
          <w:color w:val="auto"/>
          <w:sz w:val="24"/>
          <w:szCs w:val="24"/>
          <w:highlight w:val="none"/>
          <w:lang w:val="zh-CN"/>
        </w:rPr>
        <w:t>1.5 服务期限、地点和方式</w:t>
      </w:r>
      <w:bookmarkEnd w:id="121"/>
      <w:bookmarkEnd w:id="122"/>
      <w:bookmarkEnd w:id="123"/>
    </w:p>
    <w:p w14:paraId="3BC0FA35">
      <w:pPr>
        <w:pageBreakBefore w:val="0"/>
        <w:kinsoku/>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Cs w:val="21"/>
          <w:highlight w:val="none"/>
          <w:lang w:val="en-US" w:eastAsia="zh-CN"/>
        </w:rPr>
        <w:t>安装调试期3个月，自安装调试期结束之日起五年，合同一年一签（考核合格后）。</w:t>
      </w:r>
    </w:p>
    <w:p w14:paraId="2E55FFB4">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甲方指定地点</w:t>
      </w:r>
      <w:r>
        <w:rPr>
          <w:rFonts w:hint="eastAsia" w:ascii="宋体" w:hAnsi="宋体" w:eastAsia="宋体" w:cs="宋体"/>
          <w:color w:val="auto"/>
          <w:sz w:val="24"/>
          <w:szCs w:val="24"/>
          <w:highlight w:val="none"/>
        </w:rPr>
        <w:t>；</w:t>
      </w:r>
    </w:p>
    <w:p w14:paraId="2E83D264">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甲方指定方式</w:t>
      </w:r>
      <w:r>
        <w:rPr>
          <w:rFonts w:hint="eastAsia" w:ascii="宋体" w:hAnsi="宋体" w:eastAsia="宋体" w:cs="宋体"/>
          <w:color w:val="auto"/>
          <w:sz w:val="24"/>
          <w:szCs w:val="24"/>
          <w:highlight w:val="none"/>
        </w:rPr>
        <w:t>。</w:t>
      </w:r>
    </w:p>
    <w:p w14:paraId="311CBCED">
      <w:pPr>
        <w:spacing w:line="440" w:lineRule="exact"/>
        <w:ind w:firstLine="437"/>
        <w:outlineLvl w:val="2"/>
        <w:rPr>
          <w:rFonts w:hint="eastAsia" w:ascii="宋体" w:hAnsi="宋体" w:eastAsia="宋体" w:cs="宋体"/>
          <w:b/>
          <w:bCs/>
          <w:color w:val="auto"/>
          <w:sz w:val="24"/>
          <w:szCs w:val="24"/>
          <w:highlight w:val="none"/>
          <w:lang w:val="zh-CN"/>
        </w:rPr>
      </w:pPr>
      <w:bookmarkStart w:id="124" w:name="_Toc27250"/>
      <w:bookmarkStart w:id="125" w:name="_Toc19554"/>
      <w:bookmarkStart w:id="126" w:name="_Toc21423"/>
      <w:r>
        <w:rPr>
          <w:rFonts w:hint="eastAsia" w:ascii="宋体" w:hAnsi="宋体" w:eastAsia="宋体" w:cs="宋体"/>
          <w:b/>
          <w:bCs/>
          <w:color w:val="auto"/>
          <w:sz w:val="24"/>
          <w:szCs w:val="24"/>
          <w:highlight w:val="none"/>
          <w:lang w:val="zh-CN"/>
        </w:rPr>
        <w:t>1.6 违约责任</w:t>
      </w:r>
      <w:bookmarkEnd w:id="124"/>
      <w:bookmarkEnd w:id="125"/>
      <w:bookmarkEnd w:id="126"/>
    </w:p>
    <w:p w14:paraId="619E4D97">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 0.1 %计算，最高限额为本合同总价的10%；迟延履行的违约金计算数额达到前述最高限额之日起，甲方有权在要求乙方支付违约金的同时，书面通知乙方解除本合同；</w:t>
      </w:r>
    </w:p>
    <w:p w14:paraId="56CED850">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 0.1 %计算，最高限额为本合同总价的10%；迟延付款的违约金计算数额达到前述最高限额之日起，乙方有权在要求甲方支付违约金的同时，书面通知甲方解除本合同；</w:t>
      </w:r>
    </w:p>
    <w:p w14:paraId="7FD84D63">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F451B7">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C32F410">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C7F04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479D06F6">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604D2C0E">
      <w:pPr>
        <w:spacing w:line="440" w:lineRule="exact"/>
        <w:ind w:firstLine="437"/>
        <w:outlineLvl w:val="2"/>
        <w:rPr>
          <w:rFonts w:hint="eastAsia" w:ascii="宋体" w:hAnsi="宋体" w:eastAsia="宋体" w:cs="宋体"/>
          <w:b/>
          <w:bCs/>
          <w:color w:val="auto"/>
          <w:sz w:val="24"/>
          <w:szCs w:val="24"/>
          <w:highlight w:val="none"/>
          <w:lang w:val="zh-CN"/>
        </w:rPr>
      </w:pPr>
      <w:bookmarkStart w:id="127" w:name="_Toc15583"/>
      <w:bookmarkStart w:id="128" w:name="_Toc28375"/>
      <w:bookmarkStart w:id="129" w:name="_Toc16021"/>
      <w:r>
        <w:rPr>
          <w:rFonts w:hint="eastAsia" w:ascii="宋体" w:hAnsi="宋体" w:eastAsia="宋体" w:cs="宋体"/>
          <w:b/>
          <w:bCs/>
          <w:color w:val="auto"/>
          <w:sz w:val="24"/>
          <w:szCs w:val="24"/>
          <w:highlight w:val="none"/>
          <w:lang w:val="zh-CN"/>
        </w:rPr>
        <w:t>1.7 合同争议的解决</w:t>
      </w:r>
      <w:bookmarkEnd w:id="127"/>
      <w:bookmarkEnd w:id="128"/>
      <w:bookmarkEnd w:id="129"/>
    </w:p>
    <w:p w14:paraId="4E7E6696">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4D2F7B6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（1）将争议提交</w:t>
      </w:r>
      <w:r>
        <w:rPr>
          <w:rFonts w:hint="eastAsia" w:ascii="宋体" w:hAnsi="宋体" w:eastAsia="宋体" w:cs="宋体"/>
          <w:color w:val="auto"/>
          <w:sz w:val="24"/>
          <w:szCs w:val="24"/>
          <w:highlight w:val="none"/>
          <w:u w:val="single"/>
        </w:rPr>
        <w:t xml:space="preserve">  滁州    </w:t>
      </w:r>
      <w:r>
        <w:rPr>
          <w:rFonts w:hint="eastAsia" w:ascii="宋体" w:hAnsi="宋体" w:eastAsia="宋体" w:cs="宋体"/>
          <w:color w:val="auto"/>
          <w:sz w:val="24"/>
          <w:szCs w:val="24"/>
          <w:highlight w:val="none"/>
        </w:rPr>
        <w:t>仲裁委员会依申请仲裁时其现行有效的仲裁规则裁决；</w:t>
      </w:r>
    </w:p>
    <w:p w14:paraId="6E2753BA">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甲方（采购人） </w:t>
      </w:r>
      <w:r>
        <w:rPr>
          <w:rFonts w:hint="eastAsia" w:ascii="宋体" w:hAnsi="宋体" w:eastAsia="宋体" w:cs="宋体"/>
          <w:color w:val="auto"/>
          <w:sz w:val="24"/>
          <w:szCs w:val="24"/>
          <w:highlight w:val="none"/>
        </w:rPr>
        <w:t>人民法院起诉。</w:t>
      </w:r>
    </w:p>
    <w:p w14:paraId="070F3D72">
      <w:pPr>
        <w:spacing w:line="440" w:lineRule="exact"/>
        <w:ind w:firstLine="437"/>
        <w:outlineLvl w:val="2"/>
        <w:rPr>
          <w:rFonts w:hint="eastAsia" w:ascii="宋体" w:hAnsi="宋体" w:eastAsia="宋体" w:cs="宋体"/>
          <w:b/>
          <w:bCs/>
          <w:color w:val="auto"/>
          <w:sz w:val="24"/>
          <w:szCs w:val="24"/>
          <w:highlight w:val="none"/>
          <w:lang w:val="zh-CN"/>
        </w:rPr>
      </w:pPr>
      <w:bookmarkStart w:id="130" w:name="_Toc7245"/>
      <w:bookmarkStart w:id="131" w:name="_Toc11173"/>
      <w:bookmarkStart w:id="132" w:name="_Toc15322"/>
      <w:r>
        <w:rPr>
          <w:rFonts w:hint="eastAsia" w:ascii="宋体" w:hAnsi="宋体" w:eastAsia="宋体" w:cs="宋体"/>
          <w:b/>
          <w:bCs/>
          <w:color w:val="auto"/>
          <w:sz w:val="24"/>
          <w:szCs w:val="24"/>
          <w:highlight w:val="none"/>
          <w:lang w:val="zh-CN"/>
        </w:rPr>
        <w:t>1.8 合同生效</w:t>
      </w:r>
      <w:bookmarkEnd w:id="130"/>
      <w:bookmarkEnd w:id="131"/>
      <w:bookmarkEnd w:id="132"/>
    </w:p>
    <w:p w14:paraId="2CAE9C5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000A6987">
      <w:pPr>
        <w:autoSpaceDE w:val="0"/>
        <w:autoSpaceDN w:val="0"/>
        <w:adjustRightInd w:val="0"/>
        <w:spacing w:line="440" w:lineRule="exact"/>
        <w:rPr>
          <w:rFonts w:hint="eastAsia" w:ascii="宋体" w:hAnsi="宋体" w:eastAsia="宋体" w:cs="宋体"/>
          <w:color w:val="auto"/>
          <w:sz w:val="24"/>
          <w:szCs w:val="24"/>
          <w:highlight w:val="none"/>
          <w:lang w:val="zh-CN"/>
        </w:rPr>
      </w:pPr>
    </w:p>
    <w:p w14:paraId="6F266CF1">
      <w:pPr>
        <w:autoSpaceDE w:val="0"/>
        <w:autoSpaceDN w:val="0"/>
        <w:adjustRightInd w:val="0"/>
        <w:spacing w:line="440" w:lineRule="exact"/>
        <w:rPr>
          <w:rFonts w:hint="eastAsia" w:ascii="宋体" w:hAnsi="宋体" w:eastAsia="宋体" w:cs="宋体"/>
          <w:color w:val="auto"/>
          <w:sz w:val="24"/>
          <w:szCs w:val="24"/>
          <w:highlight w:val="none"/>
          <w:lang w:val="zh-CN"/>
        </w:rPr>
      </w:pPr>
    </w:p>
    <w:p w14:paraId="33E18C75">
      <w:pPr>
        <w:autoSpaceDE w:val="0"/>
        <w:autoSpaceDN w:val="0"/>
        <w:adjustRightInd w:val="0"/>
        <w:spacing w:line="440" w:lineRule="exact"/>
        <w:rPr>
          <w:rFonts w:hint="eastAsia" w:ascii="宋体" w:hAnsi="宋体" w:eastAsia="宋体" w:cs="宋体"/>
          <w:color w:val="auto"/>
          <w:sz w:val="24"/>
          <w:szCs w:val="24"/>
          <w:highlight w:val="none"/>
          <w:lang w:val="zh-CN"/>
        </w:rPr>
      </w:pPr>
    </w:p>
    <w:p w14:paraId="40BD0796">
      <w:pPr>
        <w:autoSpaceDE w:val="0"/>
        <w:autoSpaceDN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18CFBAF6">
      <w:pPr>
        <w:autoSpaceDE w:val="0"/>
        <w:autoSpaceDN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7710C8BA">
      <w:pPr>
        <w:autoSpaceDE w:val="0"/>
        <w:autoSpaceDN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6A9FBAB5">
      <w:pPr>
        <w:widowControl/>
        <w:spacing w:line="440" w:lineRule="exact"/>
        <w:jc w:val="left"/>
        <w:rPr>
          <w:rFonts w:hint="eastAsia" w:ascii="宋体" w:hAnsi="宋体" w:eastAsia="宋体" w:cs="宋体"/>
          <w:bCs/>
          <w:color w:val="auto"/>
          <w:sz w:val="24"/>
          <w:szCs w:val="24"/>
          <w:highlight w:val="none"/>
        </w:rPr>
      </w:pPr>
      <w:bookmarkStart w:id="133"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0CFB9E4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34" w:name="_Hlk110099149"/>
      <w:r>
        <w:rPr>
          <w:rFonts w:hint="eastAsia" w:ascii="宋体" w:hAnsi="宋体" w:eastAsia="宋体" w:cs="宋体"/>
          <w:color w:val="auto"/>
          <w:sz w:val="24"/>
          <w:szCs w:val="24"/>
          <w:highlight w:val="none"/>
        </w:rPr>
        <w:t>乙方账户信息</w:t>
      </w:r>
    </w:p>
    <w:p w14:paraId="3114D83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户名：</w:t>
      </w:r>
      <w:r>
        <w:rPr>
          <w:rFonts w:hint="eastAsia" w:ascii="宋体" w:hAnsi="宋体" w:eastAsia="宋体" w:cs="宋体"/>
          <w:color w:val="auto"/>
          <w:sz w:val="24"/>
          <w:szCs w:val="24"/>
          <w:highlight w:val="none"/>
          <w:u w:val="single"/>
        </w:rPr>
        <w:t xml:space="preserve">            </w:t>
      </w:r>
    </w:p>
    <w:p w14:paraId="4ED2385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6E51DA5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bookmarkEnd w:id="134"/>
    <w:p w14:paraId="0A81D76B">
      <w:pPr>
        <w:widowControl/>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9453B8A">
      <w:pPr>
        <w:spacing w:line="440" w:lineRule="exact"/>
        <w:jc w:val="center"/>
        <w:outlineLvl w:val="1"/>
        <w:rPr>
          <w:rFonts w:hint="eastAsia" w:ascii="宋体" w:hAnsi="宋体" w:eastAsia="宋体" w:cs="宋体"/>
          <w:b/>
          <w:color w:val="auto"/>
          <w:sz w:val="24"/>
          <w:highlight w:val="none"/>
        </w:rPr>
      </w:pPr>
      <w:bookmarkStart w:id="135" w:name="_Toc12414"/>
      <w:bookmarkStart w:id="136" w:name="_Toc415"/>
      <w:r>
        <w:rPr>
          <w:rFonts w:hint="eastAsia" w:ascii="宋体" w:hAnsi="宋体" w:eastAsia="宋体" w:cs="宋体"/>
          <w:b/>
          <w:color w:val="auto"/>
          <w:sz w:val="24"/>
          <w:highlight w:val="none"/>
        </w:rPr>
        <w:t>第二部分 合同一般条款</w:t>
      </w:r>
      <w:bookmarkEnd w:id="133"/>
      <w:bookmarkEnd w:id="135"/>
      <w:bookmarkEnd w:id="136"/>
    </w:p>
    <w:p w14:paraId="25A43738">
      <w:pPr>
        <w:spacing w:line="440" w:lineRule="exact"/>
        <w:ind w:firstLine="437"/>
        <w:outlineLvl w:val="2"/>
        <w:rPr>
          <w:rFonts w:hint="eastAsia" w:ascii="宋体" w:hAnsi="宋体" w:eastAsia="宋体" w:cs="宋体"/>
          <w:b/>
          <w:bCs/>
          <w:color w:val="auto"/>
          <w:sz w:val="24"/>
          <w:szCs w:val="24"/>
          <w:highlight w:val="none"/>
          <w:lang w:val="zh-CN"/>
        </w:rPr>
      </w:pPr>
      <w:bookmarkStart w:id="137" w:name="_Ref467379225"/>
      <w:bookmarkStart w:id="138" w:name="_Toc28763"/>
      <w:bookmarkStart w:id="139" w:name="_Ref467378499"/>
      <w:bookmarkStart w:id="140" w:name="_Toc487900349"/>
      <w:bookmarkStart w:id="141" w:name="_Toc16917"/>
      <w:bookmarkStart w:id="142" w:name="_Ref467379195"/>
      <w:bookmarkStart w:id="143" w:name="_Ref467379214"/>
      <w:bookmarkStart w:id="144" w:name="_Ref467378463"/>
      <w:bookmarkStart w:id="145" w:name="_Ref467379205"/>
      <w:bookmarkStart w:id="146" w:name="_Ref467379101"/>
      <w:bookmarkStart w:id="147" w:name="_Ref467378404"/>
      <w:bookmarkStart w:id="148" w:name="_Toc279701240"/>
      <w:bookmarkStart w:id="149" w:name="_Toc19614"/>
      <w:bookmarkStart w:id="150" w:name="_Ref467379094"/>
      <w:bookmarkStart w:id="151" w:name="_Toc259093669"/>
      <w:bookmarkStart w:id="152" w:name="_Ref467379109"/>
      <w:r>
        <w:rPr>
          <w:rFonts w:hint="eastAsia" w:ascii="宋体" w:hAnsi="宋体" w:eastAsia="宋体" w:cs="宋体"/>
          <w:b/>
          <w:bCs/>
          <w:color w:val="auto"/>
          <w:sz w:val="24"/>
          <w:szCs w:val="24"/>
          <w:highlight w:val="none"/>
          <w:lang w:val="zh-CN"/>
        </w:rPr>
        <w:t>2.1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48EFDE8">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1CA876E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2.1.1“合同”系指采购人和中标人签订的载明双方当事人所达成的协议，并包括所有的附件、附录和构成合同的其他文件。</w:t>
      </w:r>
    </w:p>
    <w:p w14:paraId="448F0F0A">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2.1.2“合同价”系指根据合同约定，中标人在完全履行合同义务后，采购人应支付给中标人的价格。</w:t>
      </w:r>
    </w:p>
    <w:p w14:paraId="48A16F8D">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36607728">
      <w:pPr>
        <w:spacing w:line="440" w:lineRule="exact"/>
        <w:ind w:firstLine="435"/>
        <w:rPr>
          <w:rFonts w:hint="eastAsia" w:ascii="宋体" w:hAnsi="宋体" w:eastAsia="宋体" w:cs="宋体"/>
          <w:color w:val="auto"/>
          <w:sz w:val="24"/>
          <w:szCs w:val="24"/>
          <w:highlight w:val="none"/>
        </w:rPr>
      </w:pPr>
      <w:bookmarkStart w:id="153" w:name="_Ref467378840"/>
      <w:r>
        <w:rPr>
          <w:rFonts w:hint="eastAsia" w:ascii="宋体" w:hAnsi="宋体" w:eastAsia="宋体" w:cs="宋体"/>
          <w:color w:val="auto"/>
          <w:sz w:val="24"/>
          <w:szCs w:val="24"/>
          <w:highlight w:val="none"/>
        </w:rPr>
        <w:t>2.1.4“甲方”系指与中标人签署合同的采购人</w:t>
      </w:r>
      <w:bookmarkEnd w:id="153"/>
      <w:r>
        <w:rPr>
          <w:rFonts w:hint="eastAsia" w:ascii="宋体" w:hAnsi="宋体" w:eastAsia="宋体" w:cs="宋体"/>
          <w:color w:val="auto"/>
          <w:sz w:val="24"/>
          <w:szCs w:val="24"/>
          <w:highlight w:val="none"/>
        </w:rPr>
        <w:t>；采购人委托采购代理机构代表其与乙方签订合同的，采购人的授权委托书作为合同附件。</w:t>
      </w:r>
    </w:p>
    <w:p w14:paraId="462929E6">
      <w:pPr>
        <w:spacing w:line="440" w:lineRule="exact"/>
        <w:ind w:firstLine="435"/>
        <w:rPr>
          <w:rFonts w:hint="eastAsia" w:ascii="宋体" w:hAnsi="宋体" w:eastAsia="宋体" w:cs="宋体"/>
          <w:color w:val="auto"/>
          <w:sz w:val="24"/>
          <w:szCs w:val="24"/>
          <w:highlight w:val="none"/>
        </w:rPr>
      </w:pPr>
      <w:bookmarkStart w:id="154" w:name="_Ref467379400"/>
      <w:r>
        <w:rPr>
          <w:rFonts w:hint="eastAsia" w:ascii="宋体" w:hAnsi="宋体" w:eastAsia="宋体" w:cs="宋体"/>
          <w:color w:val="auto"/>
          <w:sz w:val="24"/>
          <w:szCs w:val="24"/>
          <w:highlight w:val="none"/>
        </w:rPr>
        <w:t>2.1.5“乙方”系指根据合同约定提供服务的中标人</w:t>
      </w:r>
      <w:bookmarkEnd w:id="154"/>
      <w:r>
        <w:rPr>
          <w:rFonts w:hint="eastAsia" w:ascii="宋体" w:hAnsi="宋体" w:eastAsia="宋体" w:cs="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00BE169">
      <w:pPr>
        <w:spacing w:line="440" w:lineRule="exact"/>
        <w:ind w:firstLine="435"/>
        <w:rPr>
          <w:rFonts w:hint="eastAsia" w:ascii="宋体" w:hAnsi="宋体" w:eastAsia="宋体" w:cs="宋体"/>
          <w:color w:val="auto"/>
          <w:sz w:val="24"/>
          <w:szCs w:val="24"/>
          <w:highlight w:val="none"/>
        </w:rPr>
      </w:pPr>
      <w:bookmarkStart w:id="155" w:name="_Ref467379436"/>
      <w:r>
        <w:rPr>
          <w:rFonts w:hint="eastAsia" w:ascii="宋体" w:hAnsi="宋体" w:eastAsia="宋体" w:cs="宋体"/>
          <w:color w:val="auto"/>
          <w:sz w:val="24"/>
          <w:szCs w:val="24"/>
          <w:highlight w:val="none"/>
        </w:rPr>
        <w:t>2.1.6“现场”系指合同约定提供服务的地点。</w:t>
      </w:r>
      <w:bookmarkEnd w:id="155"/>
    </w:p>
    <w:p w14:paraId="41FBA927">
      <w:pPr>
        <w:spacing w:line="440" w:lineRule="exact"/>
        <w:ind w:firstLine="437"/>
        <w:outlineLvl w:val="2"/>
        <w:rPr>
          <w:rFonts w:hint="eastAsia" w:ascii="宋体" w:hAnsi="宋体" w:eastAsia="宋体" w:cs="宋体"/>
          <w:b/>
          <w:bCs/>
          <w:color w:val="auto"/>
          <w:sz w:val="24"/>
          <w:szCs w:val="24"/>
          <w:highlight w:val="none"/>
          <w:lang w:val="zh-CN"/>
        </w:rPr>
      </w:pPr>
      <w:bookmarkStart w:id="156" w:name="_Toc487900350"/>
      <w:bookmarkStart w:id="157" w:name="_Toc27635"/>
      <w:bookmarkStart w:id="158" w:name="_Toc279701241"/>
      <w:bookmarkStart w:id="159" w:name="_Toc259093670"/>
      <w:bookmarkStart w:id="160" w:name="_Toc32504"/>
      <w:bookmarkStart w:id="161" w:name="_Toc13336"/>
      <w:r>
        <w:rPr>
          <w:rFonts w:hint="eastAsia" w:ascii="宋体" w:hAnsi="宋体" w:eastAsia="宋体" w:cs="宋体"/>
          <w:b/>
          <w:bCs/>
          <w:color w:val="auto"/>
          <w:sz w:val="24"/>
          <w:szCs w:val="24"/>
          <w:highlight w:val="none"/>
          <w:lang w:val="zh-CN"/>
        </w:rPr>
        <w:t>2.2 技术规范</w:t>
      </w:r>
      <w:bookmarkEnd w:id="156"/>
      <w:bookmarkEnd w:id="157"/>
      <w:bookmarkEnd w:id="158"/>
      <w:bookmarkEnd w:id="159"/>
      <w:bookmarkEnd w:id="160"/>
      <w:bookmarkEnd w:id="161"/>
    </w:p>
    <w:p w14:paraId="38966A5B">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A3123F3">
      <w:pPr>
        <w:spacing w:line="440" w:lineRule="exact"/>
        <w:ind w:firstLine="437"/>
        <w:outlineLvl w:val="2"/>
        <w:rPr>
          <w:rFonts w:hint="eastAsia" w:ascii="宋体" w:hAnsi="宋体" w:eastAsia="宋体" w:cs="宋体"/>
          <w:b/>
          <w:bCs/>
          <w:color w:val="auto"/>
          <w:sz w:val="24"/>
          <w:szCs w:val="24"/>
          <w:highlight w:val="none"/>
          <w:lang w:val="zh-CN"/>
        </w:rPr>
      </w:pPr>
      <w:bookmarkStart w:id="162" w:name="_Toc27853"/>
      <w:bookmarkStart w:id="163" w:name="_Toc31634"/>
      <w:bookmarkStart w:id="164" w:name="_Toc487900351"/>
      <w:bookmarkStart w:id="165" w:name="_Toc9829"/>
      <w:bookmarkStart w:id="166" w:name="_Toc279701242"/>
      <w:bookmarkStart w:id="167" w:name="_Toc259093671"/>
      <w:r>
        <w:rPr>
          <w:rFonts w:hint="eastAsia" w:ascii="宋体" w:hAnsi="宋体" w:eastAsia="宋体" w:cs="宋体"/>
          <w:b/>
          <w:bCs/>
          <w:color w:val="auto"/>
          <w:sz w:val="24"/>
          <w:szCs w:val="24"/>
          <w:highlight w:val="none"/>
          <w:lang w:val="zh-CN"/>
        </w:rPr>
        <w:t>2.3 知识产权</w:t>
      </w:r>
      <w:bookmarkEnd w:id="162"/>
      <w:bookmarkEnd w:id="163"/>
      <w:bookmarkEnd w:id="164"/>
      <w:bookmarkEnd w:id="165"/>
      <w:bookmarkEnd w:id="166"/>
      <w:bookmarkEnd w:id="167"/>
    </w:p>
    <w:p w14:paraId="7BA8D4D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537D6517">
      <w:pPr>
        <w:spacing w:line="440" w:lineRule="exact"/>
        <w:ind w:firstLine="437"/>
        <w:outlineLvl w:val="2"/>
        <w:rPr>
          <w:rFonts w:hint="eastAsia" w:ascii="宋体" w:hAnsi="宋体" w:eastAsia="宋体" w:cs="宋体"/>
          <w:b/>
          <w:bCs/>
          <w:color w:val="auto"/>
          <w:sz w:val="24"/>
          <w:szCs w:val="24"/>
          <w:highlight w:val="none"/>
          <w:lang w:val="zh-CN"/>
        </w:rPr>
      </w:pPr>
      <w:bookmarkStart w:id="168" w:name="_Toc487900354"/>
      <w:bookmarkStart w:id="169" w:name="_Ref467378591"/>
      <w:bookmarkStart w:id="170" w:name="_Toc259093674"/>
      <w:bookmarkStart w:id="171" w:name="_Ref467378541"/>
      <w:bookmarkStart w:id="172" w:name="_Ref467379542"/>
      <w:bookmarkStart w:id="173" w:name="_Ref467379527"/>
      <w:bookmarkStart w:id="174" w:name="_Ref467379536"/>
      <w:bookmarkStart w:id="175" w:name="_Toc279701245"/>
      <w:bookmarkStart w:id="176" w:name="_Toc26182"/>
      <w:bookmarkStart w:id="177" w:name="_Toc19074"/>
      <w:bookmarkStart w:id="178" w:name="_Toc30272"/>
      <w:r>
        <w:rPr>
          <w:rFonts w:hint="eastAsia" w:ascii="宋体" w:hAnsi="宋体" w:eastAsia="宋体" w:cs="宋体"/>
          <w:b/>
          <w:bCs/>
          <w:color w:val="auto"/>
          <w:sz w:val="24"/>
          <w:szCs w:val="24"/>
          <w:highlight w:val="none"/>
          <w:lang w:val="zh-CN"/>
        </w:rPr>
        <w:t>2.</w:t>
      </w:r>
      <w:bookmarkEnd w:id="168"/>
      <w:bookmarkEnd w:id="169"/>
      <w:bookmarkEnd w:id="170"/>
      <w:bookmarkEnd w:id="171"/>
      <w:bookmarkEnd w:id="172"/>
      <w:bookmarkEnd w:id="173"/>
      <w:bookmarkEnd w:id="174"/>
      <w:bookmarkEnd w:id="175"/>
      <w:r>
        <w:rPr>
          <w:rFonts w:hint="eastAsia" w:ascii="宋体" w:hAnsi="宋体" w:eastAsia="宋体" w:cs="宋体"/>
          <w:b/>
          <w:bCs/>
          <w:color w:val="auto"/>
          <w:sz w:val="24"/>
          <w:szCs w:val="24"/>
          <w:highlight w:val="none"/>
          <w:lang w:val="zh-CN"/>
        </w:rPr>
        <w:t>4 履约检查和问题反馈</w:t>
      </w:r>
      <w:bookmarkEnd w:id="176"/>
      <w:bookmarkEnd w:id="177"/>
      <w:bookmarkEnd w:id="178"/>
    </w:p>
    <w:p w14:paraId="45C6872E">
      <w:pPr>
        <w:spacing w:line="440" w:lineRule="exact"/>
        <w:ind w:firstLine="435"/>
        <w:rPr>
          <w:rFonts w:hint="eastAsia" w:ascii="宋体" w:hAnsi="宋体" w:eastAsia="宋体" w:cs="宋体"/>
          <w:color w:val="auto"/>
          <w:sz w:val="24"/>
          <w:szCs w:val="24"/>
          <w:highlight w:val="none"/>
        </w:rPr>
      </w:pPr>
      <w:bookmarkStart w:id="179" w:name="_Toc186431854"/>
      <w:bookmarkStart w:id="180" w:name="_Toc279701247"/>
      <w:bookmarkStart w:id="181" w:name="_Ref467379807"/>
      <w:bookmarkStart w:id="182" w:name="_Toc259093676"/>
      <w:bookmarkStart w:id="183" w:name="_Toc487900357"/>
      <w:bookmarkStart w:id="184" w:name="_Ref467379793"/>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6CA0DE56">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2.4.2合同履行期间，甲方有权将履行过程中出现的问题反馈给乙方，双方当事人应以书面形式约定需要完善和改进的内容</w:t>
      </w:r>
      <w:bookmarkEnd w:id="179"/>
      <w:bookmarkStart w:id="185" w:name="_Toc186431855"/>
      <w:r>
        <w:rPr>
          <w:rFonts w:hint="eastAsia" w:ascii="宋体" w:hAnsi="宋体" w:eastAsia="宋体" w:cs="宋体"/>
          <w:color w:val="auto"/>
          <w:sz w:val="24"/>
          <w:szCs w:val="24"/>
          <w:highlight w:val="none"/>
        </w:rPr>
        <w:t>。</w:t>
      </w:r>
    </w:p>
    <w:bookmarkEnd w:id="185"/>
    <w:p w14:paraId="4BA6A8E2">
      <w:pPr>
        <w:spacing w:line="440" w:lineRule="exact"/>
        <w:ind w:firstLine="437"/>
        <w:outlineLvl w:val="2"/>
        <w:rPr>
          <w:rFonts w:hint="eastAsia" w:ascii="宋体" w:hAnsi="宋体" w:eastAsia="宋体" w:cs="宋体"/>
          <w:b/>
          <w:bCs/>
          <w:color w:val="auto"/>
          <w:sz w:val="24"/>
          <w:szCs w:val="24"/>
          <w:highlight w:val="none"/>
          <w:lang w:val="zh-CN"/>
        </w:rPr>
      </w:pPr>
      <w:bookmarkStart w:id="186" w:name="_Toc7836"/>
      <w:bookmarkStart w:id="187" w:name="_Toc19219"/>
      <w:bookmarkStart w:id="188" w:name="_Toc28451"/>
      <w:r>
        <w:rPr>
          <w:rFonts w:hint="eastAsia" w:ascii="宋体" w:hAnsi="宋体" w:eastAsia="宋体" w:cs="宋体"/>
          <w:b/>
          <w:bCs/>
          <w:color w:val="auto"/>
          <w:sz w:val="24"/>
          <w:szCs w:val="24"/>
          <w:highlight w:val="none"/>
          <w:lang w:val="zh-CN"/>
        </w:rPr>
        <w:t>2.5 结算方式和付款条件</w:t>
      </w:r>
      <w:bookmarkEnd w:id="180"/>
      <w:bookmarkEnd w:id="181"/>
      <w:bookmarkEnd w:id="182"/>
      <w:bookmarkEnd w:id="183"/>
      <w:bookmarkEnd w:id="184"/>
      <w:bookmarkEnd w:id="186"/>
      <w:bookmarkEnd w:id="187"/>
      <w:bookmarkEnd w:id="188"/>
    </w:p>
    <w:p w14:paraId="2F0F96A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5860964">
      <w:pPr>
        <w:spacing w:line="440" w:lineRule="exact"/>
        <w:ind w:firstLine="437"/>
        <w:outlineLvl w:val="2"/>
        <w:rPr>
          <w:rFonts w:hint="eastAsia" w:ascii="宋体" w:hAnsi="宋体" w:eastAsia="宋体" w:cs="宋体"/>
          <w:b/>
          <w:bCs/>
          <w:color w:val="auto"/>
          <w:sz w:val="24"/>
          <w:szCs w:val="24"/>
          <w:highlight w:val="none"/>
          <w:lang w:val="zh-CN"/>
        </w:rPr>
      </w:pPr>
      <w:bookmarkStart w:id="189" w:name="_Toc279701248"/>
      <w:bookmarkStart w:id="190" w:name="_Toc259093677"/>
      <w:bookmarkStart w:id="191" w:name="_Ref467379923"/>
      <w:bookmarkStart w:id="192" w:name="_Ref467379852"/>
      <w:bookmarkStart w:id="193" w:name="_Ref467379863"/>
      <w:bookmarkStart w:id="194" w:name="_Toc487900358"/>
      <w:bookmarkStart w:id="195" w:name="_Toc16110"/>
      <w:bookmarkStart w:id="196" w:name="_Toc774"/>
      <w:bookmarkStart w:id="197" w:name="_Toc3225"/>
      <w:r>
        <w:rPr>
          <w:rFonts w:hint="eastAsia" w:ascii="宋体" w:hAnsi="宋体" w:eastAsia="宋体" w:cs="宋体"/>
          <w:b/>
          <w:bCs/>
          <w:color w:val="auto"/>
          <w:sz w:val="24"/>
          <w:szCs w:val="24"/>
          <w:highlight w:val="none"/>
          <w:lang w:val="zh-CN"/>
        </w:rPr>
        <w:t>2.6 技术资料</w:t>
      </w:r>
      <w:bookmarkEnd w:id="189"/>
      <w:bookmarkEnd w:id="190"/>
      <w:bookmarkEnd w:id="191"/>
      <w:bookmarkEnd w:id="192"/>
      <w:bookmarkEnd w:id="193"/>
      <w:bookmarkEnd w:id="194"/>
      <w:r>
        <w:rPr>
          <w:rFonts w:hint="eastAsia" w:ascii="宋体" w:hAnsi="宋体" w:eastAsia="宋体" w:cs="宋体"/>
          <w:b/>
          <w:bCs/>
          <w:color w:val="auto"/>
          <w:sz w:val="24"/>
          <w:szCs w:val="24"/>
          <w:highlight w:val="none"/>
          <w:lang w:val="zh-CN"/>
        </w:rPr>
        <w:t>和保密义务</w:t>
      </w:r>
      <w:bookmarkEnd w:id="195"/>
      <w:bookmarkEnd w:id="196"/>
      <w:bookmarkEnd w:id="197"/>
    </w:p>
    <w:p w14:paraId="0D0BC6C0">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2.6.1乙方有权依据合同约定和项目需要，向甲方了解有关情况，调阅有关资料等，甲方应予积极配合；</w:t>
      </w:r>
    </w:p>
    <w:p w14:paraId="406B6AB6">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2.6.2乙方有义务妥善保管和保护由甲方提供的前款信息和资料等；</w:t>
      </w:r>
    </w:p>
    <w:p w14:paraId="2236258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1008D74">
      <w:pPr>
        <w:spacing w:line="440" w:lineRule="exact"/>
        <w:ind w:firstLine="437"/>
        <w:outlineLvl w:val="2"/>
        <w:rPr>
          <w:rFonts w:hint="eastAsia" w:ascii="宋体" w:hAnsi="宋体" w:eastAsia="宋体" w:cs="宋体"/>
          <w:b/>
          <w:bCs/>
          <w:color w:val="auto"/>
          <w:sz w:val="24"/>
          <w:szCs w:val="24"/>
          <w:highlight w:val="none"/>
          <w:lang w:val="zh-CN"/>
        </w:rPr>
      </w:pPr>
      <w:bookmarkStart w:id="198" w:name="_Toc7860"/>
      <w:r>
        <w:rPr>
          <w:rFonts w:hint="eastAsia" w:ascii="宋体" w:hAnsi="宋体" w:eastAsia="宋体" w:cs="宋体"/>
          <w:b/>
          <w:bCs/>
          <w:color w:val="auto"/>
          <w:sz w:val="24"/>
          <w:szCs w:val="24"/>
          <w:highlight w:val="none"/>
          <w:lang w:val="zh-CN"/>
        </w:rPr>
        <w:t>2.7 质量保证</w:t>
      </w:r>
      <w:bookmarkEnd w:id="198"/>
    </w:p>
    <w:p w14:paraId="1D97D1FD">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2.7.1乙方应建立和完善履行合同的内部质量保证体系，并提供相关内部规章制度给甲方，以便甲方进行监督检查；</w:t>
      </w:r>
    </w:p>
    <w:p w14:paraId="6551A7C0">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2.7.2乙方应保证履行合同的人员数量和素质、软件和硬件设备的配置、场地、环境和设施等满足全面履行合同的要求，并应接受甲方的监督检查。</w:t>
      </w:r>
    </w:p>
    <w:p w14:paraId="4141C118">
      <w:pPr>
        <w:spacing w:line="440" w:lineRule="exact"/>
        <w:ind w:firstLine="437"/>
        <w:outlineLvl w:val="2"/>
        <w:rPr>
          <w:rFonts w:hint="eastAsia" w:ascii="宋体" w:hAnsi="宋体" w:eastAsia="宋体" w:cs="宋体"/>
          <w:b/>
          <w:color w:val="auto"/>
          <w:sz w:val="24"/>
          <w:szCs w:val="24"/>
          <w:highlight w:val="none"/>
        </w:rPr>
      </w:pPr>
      <w:bookmarkStart w:id="199" w:name="_Toc22267"/>
      <w:r>
        <w:rPr>
          <w:rFonts w:hint="eastAsia" w:ascii="宋体" w:hAnsi="宋体" w:eastAsia="宋体" w:cs="宋体"/>
          <w:b/>
          <w:color w:val="auto"/>
          <w:sz w:val="24"/>
          <w:szCs w:val="24"/>
          <w:highlight w:val="none"/>
        </w:rPr>
        <w:t>2.8 延迟履行</w:t>
      </w:r>
      <w:bookmarkEnd w:id="199"/>
    </w:p>
    <w:p w14:paraId="4C7586DB">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AC350C4">
      <w:pPr>
        <w:spacing w:line="440" w:lineRule="exact"/>
        <w:ind w:firstLine="437"/>
        <w:outlineLvl w:val="2"/>
        <w:rPr>
          <w:rFonts w:hint="eastAsia" w:ascii="宋体" w:hAnsi="宋体" w:eastAsia="宋体" w:cs="宋体"/>
          <w:b/>
          <w:bCs/>
          <w:color w:val="auto"/>
          <w:sz w:val="24"/>
          <w:szCs w:val="24"/>
          <w:highlight w:val="none"/>
          <w:lang w:val="zh-CN"/>
        </w:rPr>
      </w:pPr>
      <w:bookmarkStart w:id="200" w:name="_Toc7502"/>
      <w:bookmarkStart w:id="201" w:name="_Toc279701254"/>
      <w:bookmarkStart w:id="202" w:name="_Toc487900364"/>
      <w:bookmarkStart w:id="203" w:name="_Ref467378121"/>
      <w:bookmarkStart w:id="204" w:name="_Toc259093683"/>
      <w:r>
        <w:rPr>
          <w:rFonts w:hint="eastAsia" w:ascii="宋体" w:hAnsi="宋体" w:eastAsia="宋体" w:cs="宋体"/>
          <w:b/>
          <w:bCs/>
          <w:color w:val="auto"/>
          <w:sz w:val="24"/>
          <w:szCs w:val="24"/>
          <w:highlight w:val="none"/>
          <w:lang w:val="zh-CN"/>
        </w:rPr>
        <w:t>2.9 合同变更</w:t>
      </w:r>
      <w:bookmarkEnd w:id="200"/>
    </w:p>
    <w:p w14:paraId="41D19DCF">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2.9.1双方当事人协商一致，可以签订书面补充合同的形式变更合同，但不得违背采购文件确定的事项；</w:t>
      </w:r>
    </w:p>
    <w:p w14:paraId="646A3EB2">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205" w:name="_Toc279701259"/>
      <w:bookmarkStart w:id="206" w:name="_Toc487900369"/>
      <w:bookmarkStart w:id="207" w:name="_Toc259093688"/>
    </w:p>
    <w:p w14:paraId="08B52B13">
      <w:pPr>
        <w:spacing w:line="440" w:lineRule="exact"/>
        <w:ind w:firstLine="437"/>
        <w:outlineLvl w:val="2"/>
        <w:rPr>
          <w:rFonts w:hint="eastAsia" w:ascii="宋体" w:hAnsi="宋体" w:eastAsia="宋体" w:cs="宋体"/>
          <w:b/>
          <w:bCs/>
          <w:color w:val="auto"/>
          <w:sz w:val="24"/>
          <w:szCs w:val="24"/>
          <w:highlight w:val="none"/>
          <w:lang w:val="zh-CN"/>
        </w:rPr>
      </w:pPr>
      <w:bookmarkStart w:id="208" w:name="_Toc15237"/>
      <w:bookmarkStart w:id="209" w:name="_Toc10366"/>
      <w:bookmarkStart w:id="210" w:name="_Toc22955"/>
      <w:r>
        <w:rPr>
          <w:rFonts w:hint="eastAsia" w:ascii="宋体" w:hAnsi="宋体" w:eastAsia="宋体" w:cs="宋体"/>
          <w:b/>
          <w:bCs/>
          <w:color w:val="auto"/>
          <w:sz w:val="24"/>
          <w:szCs w:val="24"/>
          <w:highlight w:val="none"/>
          <w:lang w:val="zh-CN"/>
        </w:rPr>
        <w:t>2.10 合同转让</w:t>
      </w:r>
      <w:bookmarkEnd w:id="205"/>
      <w:bookmarkEnd w:id="206"/>
      <w:bookmarkEnd w:id="207"/>
      <w:r>
        <w:rPr>
          <w:rFonts w:hint="eastAsia" w:ascii="宋体" w:hAnsi="宋体" w:eastAsia="宋体" w:cs="宋体"/>
          <w:b/>
          <w:bCs/>
          <w:color w:val="auto"/>
          <w:sz w:val="24"/>
          <w:szCs w:val="24"/>
          <w:highlight w:val="none"/>
          <w:lang w:val="zh-CN"/>
        </w:rPr>
        <w:t>和分包</w:t>
      </w:r>
      <w:bookmarkEnd w:id="208"/>
      <w:bookmarkEnd w:id="209"/>
      <w:bookmarkEnd w:id="210"/>
    </w:p>
    <w:p w14:paraId="65B803E3">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567BBD">
      <w:pPr>
        <w:spacing w:line="440" w:lineRule="exact"/>
        <w:ind w:firstLine="437"/>
        <w:outlineLvl w:val="2"/>
        <w:rPr>
          <w:rFonts w:hint="eastAsia" w:ascii="宋体" w:hAnsi="宋体" w:eastAsia="宋体" w:cs="宋体"/>
          <w:b/>
          <w:bCs/>
          <w:color w:val="auto"/>
          <w:sz w:val="24"/>
          <w:szCs w:val="24"/>
          <w:highlight w:val="none"/>
          <w:lang w:val="zh-CN"/>
        </w:rPr>
      </w:pPr>
      <w:bookmarkStart w:id="211" w:name="_Toc14066"/>
      <w:bookmarkStart w:id="212" w:name="_Toc16508"/>
      <w:bookmarkStart w:id="213" w:name="_Toc13566"/>
      <w:r>
        <w:rPr>
          <w:rFonts w:hint="eastAsia" w:ascii="宋体" w:hAnsi="宋体" w:eastAsia="宋体" w:cs="宋体"/>
          <w:b/>
          <w:bCs/>
          <w:color w:val="auto"/>
          <w:sz w:val="24"/>
          <w:szCs w:val="24"/>
          <w:highlight w:val="none"/>
          <w:lang w:val="zh-CN"/>
        </w:rPr>
        <w:t>2.11 不可抗力</w:t>
      </w:r>
      <w:bookmarkEnd w:id="211"/>
      <w:bookmarkEnd w:id="212"/>
      <w:bookmarkEnd w:id="213"/>
    </w:p>
    <w:p w14:paraId="61705986">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590134F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2.11.2因不可抗力致使不能实现合同目的的，当事人可以解除合同；</w:t>
      </w:r>
    </w:p>
    <w:p w14:paraId="01EAA6A6">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35B83675">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139F1DA8">
      <w:pPr>
        <w:spacing w:line="440" w:lineRule="exact"/>
        <w:ind w:firstLine="437"/>
        <w:outlineLvl w:val="2"/>
        <w:rPr>
          <w:rFonts w:hint="eastAsia" w:ascii="宋体" w:hAnsi="宋体" w:eastAsia="宋体" w:cs="宋体"/>
          <w:b/>
          <w:bCs/>
          <w:color w:val="auto"/>
          <w:sz w:val="24"/>
          <w:szCs w:val="24"/>
          <w:highlight w:val="none"/>
          <w:lang w:val="zh-CN"/>
        </w:rPr>
      </w:pPr>
      <w:bookmarkStart w:id="214" w:name="_Toc259093684"/>
      <w:bookmarkStart w:id="215" w:name="_Toc487900365"/>
      <w:bookmarkStart w:id="216" w:name="_Toc689"/>
      <w:bookmarkStart w:id="217" w:name="_Toc279701255"/>
      <w:bookmarkStart w:id="218" w:name="_Toc30676"/>
      <w:bookmarkStart w:id="219" w:name="_Toc6969"/>
      <w:r>
        <w:rPr>
          <w:rFonts w:hint="eastAsia" w:ascii="宋体" w:hAnsi="宋体" w:eastAsia="宋体" w:cs="宋体"/>
          <w:b/>
          <w:bCs/>
          <w:color w:val="auto"/>
          <w:sz w:val="24"/>
          <w:szCs w:val="24"/>
          <w:highlight w:val="none"/>
          <w:lang w:val="zh-CN"/>
        </w:rPr>
        <w:t>2.12 税费</w:t>
      </w:r>
      <w:bookmarkEnd w:id="214"/>
      <w:bookmarkEnd w:id="215"/>
      <w:bookmarkEnd w:id="216"/>
      <w:bookmarkEnd w:id="217"/>
      <w:bookmarkEnd w:id="218"/>
      <w:bookmarkEnd w:id="219"/>
    </w:p>
    <w:p w14:paraId="1E8F3AA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1F73BEEB">
      <w:pPr>
        <w:spacing w:line="440" w:lineRule="exact"/>
        <w:ind w:firstLine="437"/>
        <w:outlineLvl w:val="2"/>
        <w:rPr>
          <w:rFonts w:hint="eastAsia" w:ascii="宋体" w:hAnsi="宋体" w:eastAsia="宋体" w:cs="宋体"/>
          <w:b/>
          <w:bCs/>
          <w:color w:val="auto"/>
          <w:sz w:val="24"/>
          <w:szCs w:val="24"/>
          <w:highlight w:val="none"/>
          <w:lang w:val="zh-CN"/>
        </w:rPr>
      </w:pPr>
      <w:bookmarkStart w:id="220" w:name="_Toc279701258"/>
      <w:bookmarkStart w:id="221" w:name="_Toc8298"/>
      <w:bookmarkStart w:id="222" w:name="_Toc7102"/>
      <w:bookmarkStart w:id="223" w:name="_Toc487900368"/>
      <w:bookmarkStart w:id="224" w:name="_Toc16959"/>
      <w:bookmarkStart w:id="225" w:name="_Toc259093687"/>
      <w:r>
        <w:rPr>
          <w:rFonts w:hint="eastAsia" w:ascii="宋体" w:hAnsi="宋体" w:eastAsia="宋体" w:cs="宋体"/>
          <w:b/>
          <w:bCs/>
          <w:color w:val="auto"/>
          <w:sz w:val="24"/>
          <w:szCs w:val="24"/>
          <w:highlight w:val="none"/>
          <w:lang w:val="zh-CN"/>
        </w:rPr>
        <w:t>2.13 乙方破产</w:t>
      </w:r>
      <w:bookmarkEnd w:id="220"/>
      <w:bookmarkEnd w:id="221"/>
      <w:bookmarkEnd w:id="222"/>
      <w:bookmarkEnd w:id="223"/>
      <w:bookmarkEnd w:id="224"/>
      <w:bookmarkEnd w:id="225"/>
    </w:p>
    <w:p w14:paraId="4C931EF0">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CE0EEE8">
      <w:pPr>
        <w:spacing w:line="440" w:lineRule="exact"/>
        <w:ind w:firstLine="437"/>
        <w:outlineLvl w:val="2"/>
        <w:rPr>
          <w:rFonts w:hint="eastAsia" w:ascii="宋体" w:hAnsi="宋体" w:eastAsia="宋体" w:cs="宋体"/>
          <w:b/>
          <w:color w:val="auto"/>
          <w:sz w:val="24"/>
          <w:szCs w:val="24"/>
          <w:highlight w:val="none"/>
        </w:rPr>
      </w:pPr>
      <w:bookmarkStart w:id="226" w:name="_Toc6134"/>
      <w:bookmarkStart w:id="227" w:name="_Toc15387"/>
      <w:bookmarkStart w:id="228" w:name="_Toc29333"/>
      <w:r>
        <w:rPr>
          <w:rFonts w:hint="eastAsia" w:ascii="宋体" w:hAnsi="宋体" w:eastAsia="宋体" w:cs="宋体"/>
          <w:b/>
          <w:bCs/>
          <w:color w:val="auto"/>
          <w:sz w:val="24"/>
          <w:szCs w:val="24"/>
          <w:highlight w:val="none"/>
          <w:lang w:val="zh-CN"/>
        </w:rPr>
        <w:t>2.14 合同中止、终止</w:t>
      </w:r>
      <w:bookmarkEnd w:id="226"/>
      <w:bookmarkEnd w:id="227"/>
      <w:bookmarkEnd w:id="228"/>
    </w:p>
    <w:p w14:paraId="71DFE08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2.14.1双方当事人不得擅自中止或者终止合同；</w:t>
      </w:r>
    </w:p>
    <w:p w14:paraId="6FF6F147">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4EFFA429">
      <w:pPr>
        <w:spacing w:line="440" w:lineRule="exact"/>
        <w:ind w:firstLine="437"/>
        <w:outlineLvl w:val="2"/>
        <w:rPr>
          <w:rFonts w:hint="eastAsia" w:ascii="宋体" w:hAnsi="宋体" w:eastAsia="宋体" w:cs="宋体"/>
          <w:b/>
          <w:bCs/>
          <w:color w:val="auto"/>
          <w:sz w:val="24"/>
          <w:szCs w:val="24"/>
          <w:highlight w:val="none"/>
          <w:lang w:val="zh-CN"/>
        </w:rPr>
      </w:pPr>
      <w:bookmarkStart w:id="229" w:name="_Toc14563"/>
      <w:bookmarkStart w:id="230" w:name="_Toc1125"/>
      <w:bookmarkStart w:id="231" w:name="_Toc6596"/>
      <w:r>
        <w:rPr>
          <w:rFonts w:hint="eastAsia" w:ascii="宋体" w:hAnsi="宋体" w:eastAsia="宋体" w:cs="宋体"/>
          <w:b/>
          <w:bCs/>
          <w:color w:val="auto"/>
          <w:sz w:val="24"/>
          <w:szCs w:val="24"/>
          <w:highlight w:val="none"/>
          <w:lang w:val="zh-CN"/>
        </w:rPr>
        <w:t>2.15 检验和验收</w:t>
      </w:r>
      <w:bookmarkEnd w:id="229"/>
      <w:bookmarkEnd w:id="230"/>
      <w:bookmarkEnd w:id="231"/>
    </w:p>
    <w:p w14:paraId="29EDB1D2">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62BFCE8C">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FDF2A7">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bookmarkEnd w:id="201"/>
    <w:bookmarkEnd w:id="202"/>
    <w:bookmarkEnd w:id="203"/>
    <w:bookmarkEnd w:id="204"/>
    <w:p w14:paraId="497893CE">
      <w:pPr>
        <w:spacing w:line="440" w:lineRule="exact"/>
        <w:ind w:firstLine="437"/>
        <w:outlineLvl w:val="2"/>
        <w:rPr>
          <w:rFonts w:hint="eastAsia" w:ascii="宋体" w:hAnsi="宋体" w:eastAsia="宋体" w:cs="宋体"/>
          <w:b/>
          <w:bCs/>
          <w:color w:val="auto"/>
          <w:sz w:val="24"/>
          <w:szCs w:val="24"/>
          <w:highlight w:val="none"/>
        </w:rPr>
      </w:pPr>
      <w:bookmarkStart w:id="232" w:name="_Toc279701263"/>
      <w:bookmarkStart w:id="233" w:name="_Toc10330"/>
      <w:bookmarkStart w:id="234" w:name="_Toc259093692"/>
      <w:bookmarkStart w:id="235" w:name="_Toc487900373"/>
      <w:bookmarkStart w:id="236" w:name="_Toc12773"/>
      <w:bookmarkStart w:id="237" w:name="_Toc18567"/>
      <w:r>
        <w:rPr>
          <w:rFonts w:hint="eastAsia" w:ascii="宋体" w:hAnsi="宋体" w:eastAsia="宋体" w:cs="宋体"/>
          <w:b/>
          <w:bCs/>
          <w:color w:val="auto"/>
          <w:sz w:val="24"/>
          <w:szCs w:val="24"/>
          <w:highlight w:val="none"/>
        </w:rPr>
        <w:t xml:space="preserve">2.16 </w:t>
      </w:r>
      <w:r>
        <w:rPr>
          <w:rFonts w:hint="eastAsia" w:ascii="宋体" w:hAnsi="宋体" w:eastAsia="宋体" w:cs="宋体"/>
          <w:b/>
          <w:bCs/>
          <w:color w:val="auto"/>
          <w:sz w:val="24"/>
          <w:szCs w:val="24"/>
          <w:highlight w:val="none"/>
          <w:lang w:val="zh-CN"/>
        </w:rPr>
        <w:t>合同使用的文字和适用的法律</w:t>
      </w:r>
      <w:bookmarkEnd w:id="232"/>
      <w:bookmarkEnd w:id="233"/>
      <w:bookmarkEnd w:id="234"/>
      <w:bookmarkEnd w:id="235"/>
      <w:bookmarkEnd w:id="236"/>
      <w:bookmarkEnd w:id="237"/>
    </w:p>
    <w:p w14:paraId="4047FB99">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2.16.1合同使用汉语书就、变更和解释；</w:t>
      </w:r>
    </w:p>
    <w:p w14:paraId="56BCC731">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2.16.2合同适用中华人民共和国法律。</w:t>
      </w:r>
    </w:p>
    <w:p w14:paraId="309A8FEE">
      <w:pPr>
        <w:spacing w:line="440" w:lineRule="exact"/>
        <w:ind w:firstLine="437"/>
        <w:outlineLvl w:val="2"/>
        <w:rPr>
          <w:rFonts w:hint="eastAsia" w:ascii="宋体" w:hAnsi="宋体" w:eastAsia="宋体" w:cs="宋体"/>
          <w:b/>
          <w:color w:val="auto"/>
          <w:sz w:val="24"/>
          <w:szCs w:val="24"/>
          <w:highlight w:val="none"/>
        </w:rPr>
      </w:pPr>
      <w:bookmarkStart w:id="238" w:name="_Toc259093693"/>
      <w:bookmarkStart w:id="239" w:name="_Toc12004"/>
      <w:bookmarkStart w:id="240" w:name="_Toc279701264"/>
      <w:bookmarkStart w:id="241" w:name="_Toc3148"/>
      <w:bookmarkStart w:id="242" w:name="_Toc16673"/>
      <w:bookmarkStart w:id="243" w:name="_Toc487900374"/>
      <w:r>
        <w:rPr>
          <w:rFonts w:hint="eastAsia" w:ascii="宋体" w:hAnsi="宋体" w:eastAsia="宋体" w:cs="宋体"/>
          <w:b/>
          <w:bCs/>
          <w:color w:val="auto"/>
          <w:sz w:val="24"/>
          <w:szCs w:val="24"/>
          <w:highlight w:val="none"/>
          <w:lang w:val="zh-CN"/>
        </w:rPr>
        <w:t>2.17 履约保证金</w:t>
      </w:r>
      <w:bookmarkEnd w:id="238"/>
      <w:bookmarkEnd w:id="239"/>
      <w:bookmarkEnd w:id="240"/>
      <w:bookmarkEnd w:id="241"/>
      <w:bookmarkEnd w:id="242"/>
    </w:p>
    <w:p w14:paraId="387A77AF">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2.17.1采购文件要求乙方提交履约保证金的，乙方应按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w:t>
      </w:r>
    </w:p>
    <w:p w14:paraId="0C70E67D">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约定期间内不予退还或者应完全有效，前述约定期间届满之日起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个工作日内，甲方应将履约保证金退还乙方，甲方逾期退还履约保证金应承担违约责任。</w:t>
      </w:r>
    </w:p>
    <w:p w14:paraId="7E8D44EB">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43"/>
    <w:p w14:paraId="670863A9">
      <w:pPr>
        <w:spacing w:line="440" w:lineRule="exact"/>
        <w:ind w:firstLine="437"/>
        <w:outlineLvl w:val="2"/>
        <w:rPr>
          <w:rFonts w:hint="eastAsia" w:ascii="宋体" w:hAnsi="宋体" w:eastAsia="宋体" w:cs="宋体"/>
          <w:b/>
          <w:color w:val="auto"/>
          <w:sz w:val="24"/>
          <w:szCs w:val="24"/>
          <w:highlight w:val="none"/>
        </w:rPr>
      </w:pPr>
      <w:bookmarkStart w:id="244" w:name="_Toc14001"/>
      <w:bookmarkStart w:id="245" w:name="_Toc19890"/>
      <w:bookmarkStart w:id="246" w:name="_Toc6885"/>
      <w:r>
        <w:rPr>
          <w:rFonts w:hint="eastAsia" w:ascii="宋体" w:hAnsi="宋体" w:eastAsia="宋体" w:cs="宋体"/>
          <w:b/>
          <w:bCs/>
          <w:color w:val="auto"/>
          <w:sz w:val="24"/>
          <w:szCs w:val="24"/>
          <w:highlight w:val="none"/>
          <w:lang w:val="zh-CN"/>
        </w:rPr>
        <w:t>2.18 合同份数</w:t>
      </w:r>
      <w:bookmarkEnd w:id="244"/>
      <w:bookmarkEnd w:id="245"/>
      <w:bookmarkEnd w:id="246"/>
    </w:p>
    <w:p w14:paraId="6009336D">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6FD3903A">
      <w:pPr>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br w:type="page"/>
      </w:r>
      <w:bookmarkStart w:id="247" w:name="_Toc3736"/>
      <w:bookmarkStart w:id="248" w:name="_Toc3937"/>
      <w:r>
        <w:rPr>
          <w:rFonts w:hint="eastAsia" w:ascii="宋体" w:hAnsi="宋体" w:eastAsia="宋体" w:cs="宋体"/>
          <w:b/>
          <w:color w:val="auto"/>
          <w:sz w:val="24"/>
          <w:highlight w:val="none"/>
        </w:rPr>
        <w:t>第三部分 合同专用条款</w:t>
      </w:r>
      <w:bookmarkEnd w:id="247"/>
      <w:bookmarkEnd w:id="248"/>
    </w:p>
    <w:p w14:paraId="42D0EC7D">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7B4A3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noWrap w:val="0"/>
            <w:vAlign w:val="center"/>
          </w:tcPr>
          <w:p w14:paraId="76F9CEAF">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8" w:type="dxa"/>
            <w:noWrap w:val="0"/>
            <w:vAlign w:val="center"/>
          </w:tcPr>
          <w:p w14:paraId="45A8180F">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68C6B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noWrap w:val="0"/>
            <w:vAlign w:val="center"/>
          </w:tcPr>
          <w:p w14:paraId="11A3797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568" w:type="dxa"/>
            <w:noWrap w:val="0"/>
            <w:vAlign w:val="center"/>
          </w:tcPr>
          <w:p w14:paraId="336C9ED3">
            <w:pPr>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结算方式：固定总价</w:t>
            </w:r>
          </w:p>
          <w:p w14:paraId="7F16B09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付款方式：   </w:t>
            </w:r>
          </w:p>
        </w:tc>
      </w:tr>
      <w:tr w14:paraId="77BBF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noWrap w:val="0"/>
            <w:vAlign w:val="center"/>
          </w:tcPr>
          <w:p w14:paraId="612BDCC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7568" w:type="dxa"/>
            <w:noWrap w:val="0"/>
            <w:vAlign w:val="center"/>
          </w:tcPr>
          <w:p w14:paraId="250611E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因不可抗力致使合同有变更必要的，双方当事人应在不可抗力发生的3个工作日内以书面形式变更合同</w:t>
            </w:r>
          </w:p>
        </w:tc>
      </w:tr>
      <w:tr w14:paraId="7B848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noWrap w:val="0"/>
            <w:vAlign w:val="center"/>
          </w:tcPr>
          <w:p w14:paraId="384242C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7568" w:type="dxa"/>
            <w:noWrap w:val="0"/>
            <w:vAlign w:val="center"/>
          </w:tcPr>
          <w:p w14:paraId="6CB49C1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5903E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noWrap w:val="0"/>
            <w:vAlign w:val="center"/>
          </w:tcPr>
          <w:p w14:paraId="4E55A81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w:t>
            </w:r>
          </w:p>
        </w:tc>
        <w:tc>
          <w:tcPr>
            <w:tcW w:w="7568" w:type="dxa"/>
            <w:noWrap w:val="0"/>
            <w:vAlign w:val="center"/>
          </w:tcPr>
          <w:p w14:paraId="42E27F2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2.15.1乙方按照甲方</w:t>
            </w:r>
            <w:r>
              <w:rPr>
                <w:rFonts w:hint="eastAsia" w:ascii="宋体" w:hAnsi="宋体" w:eastAsia="宋体" w:cs="宋体"/>
                <w:color w:val="auto"/>
                <w:sz w:val="24"/>
                <w:szCs w:val="24"/>
                <w:highlight w:val="none"/>
                <w:lang w:val="en-US" w:eastAsia="zh-CN"/>
              </w:rPr>
              <w:t>提供服务，甲方</w:t>
            </w:r>
            <w:r>
              <w:rPr>
                <w:rFonts w:hint="eastAsia" w:ascii="宋体" w:hAnsi="宋体" w:eastAsia="宋体" w:cs="宋体"/>
                <w:color w:val="auto"/>
                <w:sz w:val="24"/>
                <w:szCs w:val="24"/>
                <w:highlight w:val="none"/>
              </w:rPr>
              <w:t>予以支付服务费用；</w:t>
            </w:r>
          </w:p>
          <w:p w14:paraId="7211DA9C">
            <w:pPr>
              <w:spacing w:line="44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2.15.3检验和验收标准、程序等具体内容以及前述验收书的效力：验收书的内容以检验和验收标准、程序结合项目具体内容出具，以验收书作为结算依据。</w:t>
            </w:r>
          </w:p>
        </w:tc>
      </w:tr>
      <w:tr w14:paraId="6F67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noWrap w:val="0"/>
            <w:vAlign w:val="center"/>
          </w:tcPr>
          <w:p w14:paraId="4209F59C">
            <w:pPr>
              <w:spacing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2.17</w:t>
            </w:r>
          </w:p>
        </w:tc>
        <w:tc>
          <w:tcPr>
            <w:tcW w:w="7568" w:type="dxa"/>
            <w:noWrap w:val="0"/>
            <w:vAlign w:val="center"/>
          </w:tcPr>
          <w:p w14:paraId="3C6461C2">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zh-CN"/>
              </w:rPr>
              <w:t>履约保证金</w:t>
            </w:r>
            <w:r>
              <w:rPr>
                <w:rFonts w:hint="eastAsia" w:ascii="宋体" w:hAnsi="宋体" w:eastAsia="宋体" w:cs="宋体"/>
                <w:color w:val="auto"/>
                <w:sz w:val="24"/>
                <w:szCs w:val="24"/>
                <w:highlight w:val="none"/>
                <w:lang w:val="en-US" w:eastAsia="zh-CN"/>
              </w:rPr>
              <w:t>详见须知前附表</w:t>
            </w:r>
          </w:p>
        </w:tc>
      </w:tr>
      <w:tr w14:paraId="67FB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noWrap w:val="0"/>
            <w:vAlign w:val="center"/>
          </w:tcPr>
          <w:p w14:paraId="601D4A3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w:t>
            </w:r>
          </w:p>
        </w:tc>
        <w:tc>
          <w:tcPr>
            <w:tcW w:w="7568" w:type="dxa"/>
            <w:noWrap w:val="0"/>
            <w:vAlign w:val="center"/>
          </w:tcPr>
          <w:p w14:paraId="14C0645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合同一式陆份，甲乙双方各执叁份。</w:t>
            </w:r>
          </w:p>
        </w:tc>
      </w:tr>
      <w:tr w14:paraId="318A5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noWrap w:val="0"/>
            <w:vAlign w:val="center"/>
          </w:tcPr>
          <w:p w14:paraId="23114DE8">
            <w:pPr>
              <w:spacing w:line="440" w:lineRule="exact"/>
              <w:rPr>
                <w:rFonts w:hint="eastAsia" w:ascii="宋体" w:hAnsi="宋体" w:eastAsia="宋体" w:cs="宋体"/>
                <w:color w:val="auto"/>
                <w:sz w:val="24"/>
                <w:szCs w:val="24"/>
                <w:highlight w:val="none"/>
              </w:rPr>
            </w:pPr>
          </w:p>
        </w:tc>
        <w:tc>
          <w:tcPr>
            <w:tcW w:w="7568" w:type="dxa"/>
            <w:noWrap w:val="0"/>
            <w:vAlign w:val="center"/>
          </w:tcPr>
          <w:p w14:paraId="5F6AA084">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（签订合同时可补充）</w:t>
            </w:r>
          </w:p>
        </w:tc>
      </w:tr>
      <w:tr w14:paraId="65194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noWrap w:val="0"/>
            <w:vAlign w:val="center"/>
          </w:tcPr>
          <w:p w14:paraId="1191569E">
            <w:pPr>
              <w:spacing w:line="440" w:lineRule="exact"/>
              <w:rPr>
                <w:rFonts w:hint="eastAsia" w:ascii="宋体" w:hAnsi="宋体" w:eastAsia="宋体" w:cs="宋体"/>
                <w:color w:val="auto"/>
                <w:sz w:val="24"/>
                <w:szCs w:val="24"/>
                <w:highlight w:val="none"/>
              </w:rPr>
            </w:pPr>
          </w:p>
        </w:tc>
        <w:tc>
          <w:tcPr>
            <w:tcW w:w="7568" w:type="dxa"/>
            <w:noWrap w:val="0"/>
            <w:vAlign w:val="center"/>
          </w:tcPr>
          <w:p w14:paraId="25468B1E">
            <w:pPr>
              <w:spacing w:line="440" w:lineRule="exact"/>
              <w:rPr>
                <w:rFonts w:hint="eastAsia" w:ascii="宋体" w:hAnsi="宋体" w:eastAsia="宋体" w:cs="宋体"/>
                <w:color w:val="auto"/>
                <w:sz w:val="24"/>
                <w:szCs w:val="24"/>
                <w:highlight w:val="none"/>
              </w:rPr>
            </w:pPr>
          </w:p>
        </w:tc>
      </w:tr>
      <w:tr w14:paraId="71C96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noWrap w:val="0"/>
            <w:vAlign w:val="center"/>
          </w:tcPr>
          <w:p w14:paraId="1A24C763">
            <w:pPr>
              <w:spacing w:line="440" w:lineRule="exact"/>
              <w:rPr>
                <w:rFonts w:hint="eastAsia" w:ascii="宋体" w:hAnsi="宋体" w:eastAsia="宋体" w:cs="宋体"/>
                <w:color w:val="auto"/>
                <w:sz w:val="24"/>
                <w:szCs w:val="24"/>
                <w:highlight w:val="none"/>
              </w:rPr>
            </w:pPr>
          </w:p>
        </w:tc>
        <w:tc>
          <w:tcPr>
            <w:tcW w:w="7568" w:type="dxa"/>
            <w:noWrap w:val="0"/>
            <w:vAlign w:val="center"/>
          </w:tcPr>
          <w:p w14:paraId="40DF1235">
            <w:pPr>
              <w:spacing w:line="440" w:lineRule="exact"/>
              <w:rPr>
                <w:rFonts w:hint="eastAsia" w:ascii="宋体" w:hAnsi="宋体" w:eastAsia="宋体" w:cs="宋体"/>
                <w:color w:val="auto"/>
                <w:sz w:val="24"/>
                <w:szCs w:val="24"/>
                <w:highlight w:val="none"/>
                <w:u w:val="single"/>
              </w:rPr>
            </w:pPr>
          </w:p>
        </w:tc>
      </w:tr>
      <w:tr w14:paraId="25474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noWrap w:val="0"/>
            <w:vAlign w:val="center"/>
          </w:tcPr>
          <w:p w14:paraId="0D18C4EB">
            <w:pPr>
              <w:spacing w:line="440" w:lineRule="exact"/>
              <w:rPr>
                <w:rFonts w:hint="eastAsia" w:ascii="宋体" w:hAnsi="宋体" w:eastAsia="宋体" w:cs="宋体"/>
                <w:color w:val="auto"/>
                <w:sz w:val="24"/>
                <w:szCs w:val="24"/>
                <w:highlight w:val="none"/>
              </w:rPr>
            </w:pPr>
          </w:p>
        </w:tc>
        <w:tc>
          <w:tcPr>
            <w:tcW w:w="7568" w:type="dxa"/>
            <w:noWrap w:val="0"/>
            <w:vAlign w:val="center"/>
          </w:tcPr>
          <w:p w14:paraId="5E81138E">
            <w:pPr>
              <w:spacing w:line="440" w:lineRule="exact"/>
              <w:rPr>
                <w:rFonts w:hint="eastAsia" w:ascii="宋体" w:hAnsi="宋体" w:eastAsia="宋体" w:cs="宋体"/>
                <w:color w:val="auto"/>
                <w:sz w:val="24"/>
                <w:szCs w:val="24"/>
                <w:highlight w:val="none"/>
              </w:rPr>
            </w:pPr>
          </w:p>
        </w:tc>
      </w:tr>
      <w:tr w14:paraId="48DCF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noWrap w:val="0"/>
            <w:vAlign w:val="center"/>
          </w:tcPr>
          <w:p w14:paraId="13405E56">
            <w:pPr>
              <w:spacing w:line="440" w:lineRule="exact"/>
              <w:rPr>
                <w:rFonts w:hint="eastAsia" w:ascii="宋体" w:hAnsi="宋体" w:eastAsia="宋体" w:cs="宋体"/>
                <w:color w:val="auto"/>
                <w:sz w:val="24"/>
                <w:szCs w:val="24"/>
                <w:highlight w:val="none"/>
              </w:rPr>
            </w:pPr>
          </w:p>
        </w:tc>
        <w:tc>
          <w:tcPr>
            <w:tcW w:w="7568" w:type="dxa"/>
            <w:noWrap w:val="0"/>
            <w:vAlign w:val="center"/>
          </w:tcPr>
          <w:p w14:paraId="64B2958D">
            <w:pPr>
              <w:spacing w:line="440" w:lineRule="exact"/>
              <w:rPr>
                <w:rFonts w:hint="eastAsia" w:ascii="宋体" w:hAnsi="宋体" w:eastAsia="宋体" w:cs="宋体"/>
                <w:color w:val="auto"/>
                <w:sz w:val="24"/>
                <w:szCs w:val="24"/>
                <w:highlight w:val="none"/>
              </w:rPr>
            </w:pPr>
          </w:p>
        </w:tc>
      </w:tr>
      <w:tr w14:paraId="63A7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noWrap w:val="0"/>
            <w:vAlign w:val="center"/>
          </w:tcPr>
          <w:p w14:paraId="7CAD1EE1">
            <w:pPr>
              <w:spacing w:line="440" w:lineRule="exact"/>
              <w:rPr>
                <w:rFonts w:hint="eastAsia" w:ascii="宋体" w:hAnsi="宋体" w:eastAsia="宋体" w:cs="宋体"/>
                <w:color w:val="auto"/>
                <w:sz w:val="24"/>
                <w:szCs w:val="24"/>
                <w:highlight w:val="none"/>
              </w:rPr>
            </w:pPr>
          </w:p>
        </w:tc>
        <w:tc>
          <w:tcPr>
            <w:tcW w:w="7568" w:type="dxa"/>
            <w:noWrap w:val="0"/>
            <w:vAlign w:val="center"/>
          </w:tcPr>
          <w:p w14:paraId="7334B35D">
            <w:pPr>
              <w:spacing w:line="440" w:lineRule="exact"/>
              <w:rPr>
                <w:rFonts w:hint="eastAsia" w:ascii="宋体" w:hAnsi="宋体" w:eastAsia="宋体" w:cs="宋体"/>
                <w:color w:val="auto"/>
                <w:sz w:val="24"/>
                <w:szCs w:val="24"/>
                <w:highlight w:val="none"/>
              </w:rPr>
            </w:pPr>
          </w:p>
        </w:tc>
      </w:tr>
      <w:tr w14:paraId="6F520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0"/>
            <w:vAlign w:val="center"/>
          </w:tcPr>
          <w:p w14:paraId="65DA14CA">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0"/>
            <w:vAlign w:val="center"/>
          </w:tcPr>
          <w:p w14:paraId="31895608">
            <w:pPr>
              <w:spacing w:line="440" w:lineRule="exact"/>
              <w:rPr>
                <w:rFonts w:hint="eastAsia" w:ascii="宋体" w:hAnsi="宋体" w:eastAsia="宋体" w:cs="宋体"/>
                <w:color w:val="auto"/>
                <w:sz w:val="24"/>
                <w:szCs w:val="24"/>
                <w:highlight w:val="none"/>
              </w:rPr>
            </w:pPr>
          </w:p>
        </w:tc>
      </w:tr>
      <w:tr w14:paraId="2DD05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0"/>
            <w:vAlign w:val="center"/>
          </w:tcPr>
          <w:p w14:paraId="04FCC83F">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0"/>
            <w:vAlign w:val="center"/>
          </w:tcPr>
          <w:p w14:paraId="423E70BC">
            <w:pPr>
              <w:spacing w:line="440" w:lineRule="exact"/>
              <w:rPr>
                <w:rFonts w:hint="eastAsia" w:ascii="宋体" w:hAnsi="宋体" w:eastAsia="宋体" w:cs="宋体"/>
                <w:color w:val="auto"/>
                <w:sz w:val="24"/>
                <w:szCs w:val="24"/>
                <w:highlight w:val="none"/>
              </w:rPr>
            </w:pPr>
          </w:p>
        </w:tc>
      </w:tr>
      <w:tr w14:paraId="5F34B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0"/>
            <w:vAlign w:val="center"/>
          </w:tcPr>
          <w:p w14:paraId="29A2C332">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0"/>
            <w:vAlign w:val="center"/>
          </w:tcPr>
          <w:p w14:paraId="28E57C67">
            <w:pPr>
              <w:spacing w:line="440" w:lineRule="exact"/>
              <w:rPr>
                <w:rFonts w:hint="eastAsia" w:ascii="宋体" w:hAnsi="宋体" w:eastAsia="宋体" w:cs="宋体"/>
                <w:color w:val="auto"/>
                <w:sz w:val="24"/>
                <w:szCs w:val="24"/>
                <w:highlight w:val="none"/>
              </w:rPr>
            </w:pPr>
          </w:p>
        </w:tc>
      </w:tr>
      <w:tr w14:paraId="290DD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0"/>
            <w:vAlign w:val="center"/>
          </w:tcPr>
          <w:p w14:paraId="57AE0C40">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0"/>
            <w:vAlign w:val="center"/>
          </w:tcPr>
          <w:p w14:paraId="2FBF74CE">
            <w:pPr>
              <w:spacing w:line="440" w:lineRule="exact"/>
              <w:rPr>
                <w:rFonts w:hint="eastAsia" w:ascii="宋体" w:hAnsi="宋体" w:eastAsia="宋体" w:cs="宋体"/>
                <w:color w:val="auto"/>
                <w:sz w:val="24"/>
                <w:szCs w:val="24"/>
                <w:highlight w:val="none"/>
              </w:rPr>
            </w:pPr>
          </w:p>
        </w:tc>
      </w:tr>
      <w:tr w14:paraId="4A753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0"/>
            <w:vAlign w:val="center"/>
          </w:tcPr>
          <w:p w14:paraId="77739FC8">
            <w:pPr>
              <w:spacing w:line="44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0"/>
            <w:vAlign w:val="center"/>
          </w:tcPr>
          <w:p w14:paraId="3B2C494A">
            <w:pPr>
              <w:spacing w:line="440" w:lineRule="exact"/>
              <w:rPr>
                <w:rFonts w:hint="eastAsia" w:ascii="宋体" w:hAnsi="宋体" w:eastAsia="宋体" w:cs="宋体"/>
                <w:color w:val="auto"/>
                <w:sz w:val="24"/>
                <w:szCs w:val="24"/>
                <w:highlight w:val="none"/>
              </w:rPr>
            </w:pPr>
          </w:p>
        </w:tc>
      </w:tr>
    </w:tbl>
    <w:p w14:paraId="557801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szCs w:val="24"/>
          <w:highlight w:val="none"/>
          <w:lang w:val="en-US" w:eastAsia="zh-CN"/>
        </w:rPr>
      </w:pPr>
      <w:bookmarkStart w:id="249" w:name="_Toc13290"/>
    </w:p>
    <w:p w14:paraId="505DBDC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考核基数</w:t>
      </w:r>
      <w:bookmarkEnd w:id="249"/>
    </w:p>
    <w:p w14:paraId="0918A5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年度扣款基数为项目审计决算金额的10%</w:t>
      </w:r>
    </w:p>
    <w:p w14:paraId="6BBB4B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季度扣款基数=年度扣款基数/4</w:t>
      </w:r>
    </w:p>
    <w:p w14:paraId="4AD06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月度扣款基数=年度扣款基数/12</w:t>
      </w:r>
    </w:p>
    <w:p w14:paraId="381B65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单点月扣款基数=月度扣款基数/点位数量</w:t>
      </w:r>
    </w:p>
    <w:p w14:paraId="0924F6D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宋体" w:hAnsi="宋体" w:eastAsia="宋体" w:cs="宋体"/>
          <w:color w:val="auto"/>
          <w:sz w:val="24"/>
          <w:szCs w:val="24"/>
          <w:highlight w:val="none"/>
          <w:lang w:val="en-US" w:eastAsia="zh-CN"/>
        </w:rPr>
      </w:pPr>
      <w:bookmarkStart w:id="250" w:name="_Toc15722"/>
      <w:r>
        <w:rPr>
          <w:rFonts w:hint="eastAsia" w:ascii="宋体" w:hAnsi="宋体" w:eastAsia="宋体" w:cs="宋体"/>
          <w:color w:val="auto"/>
          <w:sz w:val="24"/>
          <w:szCs w:val="24"/>
          <w:highlight w:val="none"/>
          <w:lang w:val="en-US" w:eastAsia="zh-CN"/>
        </w:rPr>
        <w:t>前端在线率要求</w:t>
      </w:r>
      <w:bookmarkEnd w:id="250"/>
    </w:p>
    <w:p w14:paraId="3FAC51F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宋体" w:hAnsi="宋体" w:eastAsia="宋体" w:cs="宋体"/>
          <w:color w:val="auto"/>
          <w:sz w:val="24"/>
          <w:szCs w:val="24"/>
          <w:highlight w:val="none"/>
          <w:lang w:val="en-US" w:eastAsia="zh-CN"/>
        </w:rPr>
      </w:pPr>
      <w:bookmarkStart w:id="251" w:name="_Toc24141"/>
      <w:r>
        <w:rPr>
          <w:rFonts w:hint="eastAsia" w:ascii="宋体" w:hAnsi="宋体" w:eastAsia="宋体" w:cs="宋体"/>
          <w:color w:val="auto"/>
          <w:sz w:val="24"/>
          <w:szCs w:val="24"/>
          <w:highlight w:val="none"/>
          <w:lang w:val="en-US" w:eastAsia="zh-CN"/>
        </w:rPr>
        <w:t>工作目标</w:t>
      </w:r>
      <w:bookmarkEnd w:id="251"/>
    </w:p>
    <w:p w14:paraId="3E7EE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运维期内建设运维服务商应积极保障前端点位的设备安全、供电稳定，确保前端在线率指标达到要求。</w:t>
      </w:r>
    </w:p>
    <w:p w14:paraId="387FC91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outlineLvl w:val="2"/>
        <w:rPr>
          <w:rFonts w:hint="eastAsia" w:ascii="宋体" w:hAnsi="宋体" w:eastAsia="宋体" w:cs="宋体"/>
          <w:color w:val="auto"/>
          <w:sz w:val="24"/>
          <w:szCs w:val="24"/>
          <w:highlight w:val="none"/>
          <w:lang w:val="en-US" w:eastAsia="zh-CN"/>
        </w:rPr>
      </w:pPr>
      <w:bookmarkStart w:id="252" w:name="_Toc8622"/>
      <w:r>
        <w:rPr>
          <w:rFonts w:hint="eastAsia" w:ascii="宋体" w:hAnsi="宋体" w:eastAsia="宋体" w:cs="宋体"/>
          <w:color w:val="auto"/>
          <w:sz w:val="24"/>
          <w:szCs w:val="24"/>
          <w:highlight w:val="none"/>
          <w:lang w:val="en-US" w:eastAsia="zh-CN"/>
        </w:rPr>
        <w:t>考核要求</w:t>
      </w:r>
      <w:bookmarkEnd w:id="252"/>
    </w:p>
    <w:p w14:paraId="03A7B3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每月检查</w:t>
      </w:r>
      <w:r>
        <w:rPr>
          <w:rFonts w:hint="eastAsia" w:ascii="宋体" w:hAnsi="宋体" w:cs="宋体"/>
          <w:color w:val="auto"/>
          <w:sz w:val="24"/>
          <w:szCs w:val="24"/>
          <w:highlight w:val="none"/>
          <w:lang w:val="en-US" w:eastAsia="zh-CN"/>
        </w:rPr>
        <w:t>不少于2</w:t>
      </w:r>
      <w:r>
        <w:rPr>
          <w:rFonts w:hint="eastAsia" w:ascii="宋体" w:hAnsi="宋体" w:eastAsia="宋体" w:cs="宋体"/>
          <w:color w:val="auto"/>
          <w:sz w:val="24"/>
          <w:szCs w:val="24"/>
          <w:highlight w:val="none"/>
          <w:lang w:val="en-US" w:eastAsia="zh-CN"/>
        </w:rPr>
        <w:t>次，如前端单点位离线</w:t>
      </w:r>
      <w:r>
        <w:rPr>
          <w:rFonts w:hint="eastAsia" w:ascii="宋体" w:hAnsi="宋体" w:cs="宋体"/>
          <w:color w:val="auto"/>
          <w:sz w:val="24"/>
          <w:szCs w:val="24"/>
          <w:highlight w:val="none"/>
          <w:lang w:val="en-US" w:eastAsia="zh-CN"/>
        </w:rPr>
        <w:t>超过</w:t>
      </w:r>
      <w:r>
        <w:rPr>
          <w:rFonts w:hint="eastAsia" w:ascii="宋体" w:hAnsi="宋体" w:eastAsia="宋体" w:cs="宋体"/>
          <w:color w:val="auto"/>
          <w:sz w:val="24"/>
          <w:szCs w:val="24"/>
          <w:highlight w:val="none"/>
          <w:lang w:val="en-US" w:eastAsia="zh-CN"/>
        </w:rPr>
        <w:t>2次，</w:t>
      </w:r>
      <w:r>
        <w:rPr>
          <w:rFonts w:hint="eastAsia" w:ascii="宋体" w:hAnsi="宋体" w:cs="宋体"/>
          <w:color w:val="auto"/>
          <w:sz w:val="24"/>
          <w:szCs w:val="24"/>
          <w:highlight w:val="none"/>
          <w:lang w:val="en-US" w:eastAsia="zh-CN"/>
        </w:rPr>
        <w:t>每超过一次</w:t>
      </w:r>
      <w:r>
        <w:rPr>
          <w:rFonts w:hint="eastAsia" w:ascii="宋体" w:hAnsi="宋体" w:eastAsia="宋体" w:cs="宋体"/>
          <w:color w:val="auto"/>
          <w:sz w:val="24"/>
          <w:szCs w:val="24"/>
          <w:highlight w:val="none"/>
          <w:lang w:val="en-US" w:eastAsia="zh-CN"/>
        </w:rPr>
        <w:t>扣除</w:t>
      </w:r>
      <w:r>
        <w:rPr>
          <w:rFonts w:hint="eastAsia" w:ascii="宋体" w:hAnsi="宋体" w:cs="宋体"/>
          <w:color w:val="auto"/>
          <w:sz w:val="24"/>
          <w:szCs w:val="24"/>
          <w:highlight w:val="none"/>
          <w:lang w:val="en-US" w:eastAsia="zh-CN"/>
        </w:rPr>
        <w:t>200元</w:t>
      </w:r>
      <w:r>
        <w:rPr>
          <w:rFonts w:hint="eastAsia" w:ascii="宋体" w:hAnsi="宋体" w:eastAsia="宋体" w:cs="宋体"/>
          <w:color w:val="auto"/>
          <w:sz w:val="24"/>
          <w:szCs w:val="24"/>
          <w:highlight w:val="none"/>
          <w:lang w:val="en-US" w:eastAsia="zh-CN"/>
        </w:rPr>
        <w:t>，（前端单点位包括摄像机）。</w:t>
      </w:r>
    </w:p>
    <w:p w14:paraId="44B733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摄像机离线是指摄像机离线以及在线但实际图像因镜头污损、图像模糊，异物遮挡，控制故障、枪机画面严重偏离监控有效区域等图像不能达到有效使用效果的情况。</w:t>
      </w:r>
    </w:p>
    <w:p w14:paraId="55593B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对于非不可预见因素造成故障，单点修复时间超过2天的每次额外扣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000元。</w:t>
      </w:r>
    </w:p>
    <w:p w14:paraId="0F784E0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宋体" w:hAnsi="宋体" w:eastAsia="宋体" w:cs="宋体"/>
          <w:color w:val="auto"/>
          <w:sz w:val="24"/>
          <w:szCs w:val="24"/>
          <w:highlight w:val="none"/>
          <w:lang w:val="en-US" w:eastAsia="zh-CN"/>
        </w:rPr>
      </w:pPr>
      <w:bookmarkStart w:id="253" w:name="_Toc2781"/>
      <w:r>
        <w:rPr>
          <w:rFonts w:hint="eastAsia" w:ascii="宋体" w:hAnsi="宋体" w:eastAsia="宋体" w:cs="宋体"/>
          <w:color w:val="auto"/>
          <w:sz w:val="24"/>
          <w:szCs w:val="24"/>
          <w:highlight w:val="none"/>
          <w:lang w:val="en-US" w:eastAsia="zh-CN"/>
        </w:rPr>
        <w:t>平台要求</w:t>
      </w:r>
      <w:bookmarkEnd w:id="253"/>
    </w:p>
    <w:p w14:paraId="41A6A5A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firstLine="480" w:firstLineChars="200"/>
        <w:textAlignment w:val="auto"/>
        <w:outlineLvl w:val="2"/>
        <w:rPr>
          <w:rFonts w:hint="eastAsia" w:ascii="宋体" w:hAnsi="宋体" w:eastAsia="宋体" w:cs="宋体"/>
          <w:color w:val="auto"/>
          <w:sz w:val="24"/>
          <w:szCs w:val="24"/>
          <w:highlight w:val="none"/>
          <w:lang w:val="en-US" w:eastAsia="zh-CN"/>
        </w:rPr>
      </w:pPr>
      <w:bookmarkStart w:id="254" w:name="_Toc1295"/>
      <w:r>
        <w:rPr>
          <w:rFonts w:hint="eastAsia" w:ascii="宋体" w:hAnsi="宋体" w:eastAsia="宋体" w:cs="宋体"/>
          <w:color w:val="auto"/>
          <w:sz w:val="24"/>
          <w:szCs w:val="24"/>
          <w:highlight w:val="none"/>
          <w:lang w:val="en-US" w:eastAsia="zh-CN"/>
        </w:rPr>
        <w:t>工作目标</w:t>
      </w:r>
      <w:bookmarkEnd w:id="254"/>
    </w:p>
    <w:p w14:paraId="10C700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建设运维服务商应保障平台各项业务功能正常，保障平台配套的硬件设备、运行环境、中间件及服务的正常运行。当硬件设备发生故障后，按照设备故障对系统运行的影响程度及设备故障修复时间进行扣款。</w:t>
      </w:r>
    </w:p>
    <w:p w14:paraId="68AB3E7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outlineLvl w:val="2"/>
        <w:rPr>
          <w:rFonts w:hint="eastAsia" w:ascii="宋体" w:hAnsi="宋体" w:eastAsia="宋体" w:cs="宋体"/>
          <w:color w:val="auto"/>
          <w:sz w:val="24"/>
          <w:szCs w:val="24"/>
          <w:highlight w:val="none"/>
          <w:lang w:val="en-US" w:eastAsia="zh-CN"/>
        </w:rPr>
      </w:pPr>
      <w:bookmarkStart w:id="255" w:name="_Toc17962"/>
      <w:r>
        <w:rPr>
          <w:rFonts w:hint="eastAsia" w:ascii="宋体" w:hAnsi="宋体" w:eastAsia="宋体" w:cs="宋体"/>
          <w:color w:val="auto"/>
          <w:sz w:val="24"/>
          <w:szCs w:val="24"/>
          <w:highlight w:val="none"/>
          <w:lang w:val="en-US" w:eastAsia="zh-CN"/>
        </w:rPr>
        <w:t>考核要求</w:t>
      </w:r>
      <w:bookmarkEnd w:id="255"/>
    </w:p>
    <w:tbl>
      <w:tblPr>
        <w:tblStyle w:val="14"/>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89"/>
        <w:gridCol w:w="1476"/>
      </w:tblGrid>
      <w:tr w14:paraId="3B7F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13" w:type="dxa"/>
            <w:noWrap w:val="0"/>
            <w:vAlign w:val="center"/>
          </w:tcPr>
          <w:p w14:paraId="6CE096FF">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考核名称</w:t>
            </w:r>
          </w:p>
        </w:tc>
        <w:tc>
          <w:tcPr>
            <w:tcW w:w="7089" w:type="dxa"/>
            <w:noWrap w:val="0"/>
            <w:vAlign w:val="center"/>
          </w:tcPr>
          <w:p w14:paraId="4F53C4B6">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扣款标准及扣款细则</w:t>
            </w:r>
          </w:p>
        </w:tc>
        <w:tc>
          <w:tcPr>
            <w:tcW w:w="1476" w:type="dxa"/>
            <w:noWrap w:val="0"/>
            <w:vAlign w:val="center"/>
          </w:tcPr>
          <w:p w14:paraId="0C10880B">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考核周期</w:t>
            </w:r>
          </w:p>
        </w:tc>
      </w:tr>
      <w:tr w14:paraId="07B2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13" w:type="dxa"/>
            <w:vMerge w:val="restart"/>
            <w:noWrap w:val="0"/>
            <w:vAlign w:val="center"/>
          </w:tcPr>
          <w:p w14:paraId="2F613786">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平</w:t>
            </w:r>
          </w:p>
          <w:p w14:paraId="6C05A602">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台</w:t>
            </w:r>
          </w:p>
          <w:p w14:paraId="09D4F0F5">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软</w:t>
            </w:r>
          </w:p>
          <w:p w14:paraId="1C16FAE4">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硬</w:t>
            </w:r>
          </w:p>
          <w:p w14:paraId="1A837E20">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件</w:t>
            </w:r>
          </w:p>
        </w:tc>
        <w:tc>
          <w:tcPr>
            <w:tcW w:w="7089" w:type="dxa"/>
            <w:noWrap w:val="0"/>
            <w:vAlign w:val="center"/>
          </w:tcPr>
          <w:p w14:paraId="04A253C2">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1、故障修复时间超过48小时，每次扣除1000元</w:t>
            </w:r>
          </w:p>
        </w:tc>
        <w:tc>
          <w:tcPr>
            <w:tcW w:w="1476" w:type="dxa"/>
            <w:vMerge w:val="restart"/>
            <w:noWrap w:val="0"/>
            <w:vAlign w:val="center"/>
          </w:tcPr>
          <w:p w14:paraId="3712834B">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240" w:firstLineChars="10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季度</w:t>
            </w:r>
          </w:p>
        </w:tc>
      </w:tr>
      <w:tr w14:paraId="12FD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13" w:type="dxa"/>
            <w:vMerge w:val="continue"/>
            <w:noWrap w:val="0"/>
            <w:vAlign w:val="center"/>
          </w:tcPr>
          <w:p w14:paraId="590494FF">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3BAC9F24">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2、故障修复时间超过36—48小时，每次扣除500元</w:t>
            </w:r>
          </w:p>
        </w:tc>
        <w:tc>
          <w:tcPr>
            <w:tcW w:w="1476" w:type="dxa"/>
            <w:vMerge w:val="continue"/>
            <w:noWrap w:val="0"/>
            <w:vAlign w:val="top"/>
          </w:tcPr>
          <w:p w14:paraId="28174112">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r w14:paraId="66CE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13" w:type="dxa"/>
            <w:vMerge w:val="continue"/>
            <w:noWrap w:val="0"/>
            <w:vAlign w:val="center"/>
          </w:tcPr>
          <w:p w14:paraId="370CB6BC">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278D4D73">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3、故障修复时间超过24—36小时，每次扣除200元</w:t>
            </w:r>
          </w:p>
        </w:tc>
        <w:tc>
          <w:tcPr>
            <w:tcW w:w="1476" w:type="dxa"/>
            <w:vMerge w:val="continue"/>
            <w:noWrap w:val="0"/>
            <w:vAlign w:val="top"/>
          </w:tcPr>
          <w:p w14:paraId="63234EFA">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r w14:paraId="04B1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13" w:type="dxa"/>
            <w:vMerge w:val="continue"/>
            <w:noWrap w:val="0"/>
            <w:vAlign w:val="center"/>
          </w:tcPr>
          <w:p w14:paraId="3CD0A47A">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75E5AD04">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4、当季硬件故障出现次数超过3次，均未在24小时内修复的，扣除200元</w:t>
            </w:r>
          </w:p>
        </w:tc>
        <w:tc>
          <w:tcPr>
            <w:tcW w:w="1476" w:type="dxa"/>
            <w:vMerge w:val="continue"/>
            <w:noWrap w:val="0"/>
            <w:vAlign w:val="top"/>
          </w:tcPr>
          <w:p w14:paraId="5A528D44">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r w14:paraId="1887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13" w:type="dxa"/>
            <w:vMerge w:val="continue"/>
            <w:noWrap w:val="0"/>
            <w:vAlign w:val="center"/>
          </w:tcPr>
          <w:p w14:paraId="582811F5">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5F829D66">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5、调试期结束后平台软件算法误报次数每季度超过5%的，扣除1000元</w:t>
            </w:r>
          </w:p>
        </w:tc>
        <w:tc>
          <w:tcPr>
            <w:tcW w:w="1476" w:type="dxa"/>
            <w:vMerge w:val="continue"/>
            <w:noWrap w:val="0"/>
            <w:vAlign w:val="top"/>
          </w:tcPr>
          <w:p w14:paraId="44C99275">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r w14:paraId="690A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13" w:type="dxa"/>
            <w:vMerge w:val="continue"/>
            <w:noWrap w:val="0"/>
            <w:vAlign w:val="center"/>
          </w:tcPr>
          <w:p w14:paraId="7EBDE43D">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jc w:val="center"/>
              <w:textAlignment w:val="auto"/>
              <w:rPr>
                <w:rFonts w:hint="eastAsia" w:ascii="仿宋_GB2312" w:hAnsi="仿宋_GB2312" w:eastAsia="仿宋_GB2312" w:cs="仿宋_GB2312"/>
                <w:color w:val="auto"/>
                <w:sz w:val="24"/>
                <w:szCs w:val="24"/>
                <w:highlight w:val="none"/>
                <w:vertAlign w:val="baseline"/>
                <w:lang w:val="en-US" w:eastAsia="zh-CN"/>
              </w:rPr>
            </w:pPr>
          </w:p>
        </w:tc>
        <w:tc>
          <w:tcPr>
            <w:tcW w:w="7089" w:type="dxa"/>
            <w:noWrap w:val="0"/>
            <w:vAlign w:val="center"/>
          </w:tcPr>
          <w:p w14:paraId="03715D5C">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要求检测的7项功能中，未监测到的，每发生一次扣款500元。每季度累计发生3次及以上的。甲方可解除合同，并扣除履约保证金。</w:t>
            </w:r>
          </w:p>
        </w:tc>
        <w:tc>
          <w:tcPr>
            <w:tcW w:w="1476" w:type="dxa"/>
            <w:vMerge w:val="continue"/>
            <w:noWrap w:val="0"/>
            <w:vAlign w:val="top"/>
          </w:tcPr>
          <w:p w14:paraId="20DE4BAB">
            <w:pPr>
              <w:keepNext w:val="0"/>
              <w:keepLines w:val="0"/>
              <w:pageBreakBefore w:val="0"/>
              <w:widowControl w:val="0"/>
              <w:numPr>
                <w:ilvl w:val="0"/>
                <w:numId w:val="0"/>
              </w:numPr>
              <w:kinsoku/>
              <w:wordWrap/>
              <w:overflowPunct/>
              <w:topLinePunct w:val="0"/>
              <w:autoSpaceDE/>
              <w:autoSpaceDN/>
              <w:bidi w:val="0"/>
              <w:adjustRightInd/>
              <w:snapToGrid/>
              <w:spacing w:afterLines="50"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p>
        </w:tc>
      </w:tr>
    </w:tbl>
    <w:p w14:paraId="02D50F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p>
    <w:p w14:paraId="2FCE85DA">
      <w:pPr>
        <w:rPr>
          <w:color w:val="auto"/>
          <w:highlight w:val="none"/>
        </w:rPr>
      </w:pPr>
    </w:p>
    <w:p w14:paraId="3C656B74">
      <w:pPr>
        <w:snapToGrid w:val="0"/>
        <w:spacing w:line="480" w:lineRule="auto"/>
        <w:ind w:right="-334" w:rightChars="-159"/>
        <w:jc w:val="center"/>
        <w:rPr>
          <w:rFonts w:hint="eastAsia" w:hAnsi="宋体"/>
          <w:b/>
          <w:bCs/>
          <w:color w:val="auto"/>
          <w:sz w:val="32"/>
          <w:szCs w:val="32"/>
          <w:highlight w:val="none"/>
        </w:rPr>
      </w:pPr>
    </w:p>
    <w:p w14:paraId="40C5DE10">
      <w:pPr>
        <w:snapToGrid w:val="0"/>
        <w:spacing w:line="480" w:lineRule="auto"/>
        <w:ind w:right="-334" w:rightChars="-159"/>
        <w:jc w:val="center"/>
        <w:rPr>
          <w:rFonts w:hint="eastAsia" w:hAnsi="宋体"/>
          <w:b/>
          <w:bCs/>
          <w:color w:val="auto"/>
          <w:sz w:val="32"/>
          <w:szCs w:val="32"/>
          <w:highlight w:val="none"/>
        </w:rPr>
      </w:pPr>
    </w:p>
    <w:p w14:paraId="4C73F57C">
      <w:pPr>
        <w:snapToGrid w:val="0"/>
        <w:spacing w:line="480" w:lineRule="auto"/>
        <w:ind w:right="-334" w:rightChars="-159"/>
        <w:jc w:val="center"/>
        <w:rPr>
          <w:rFonts w:hint="eastAsia" w:hAnsi="宋体"/>
          <w:b/>
          <w:bCs/>
          <w:color w:val="auto"/>
          <w:sz w:val="32"/>
          <w:szCs w:val="32"/>
          <w:highlight w:val="none"/>
        </w:rPr>
      </w:pPr>
    </w:p>
    <w:p w14:paraId="3F6603F4">
      <w:pPr>
        <w:snapToGrid w:val="0"/>
        <w:spacing w:line="480" w:lineRule="auto"/>
        <w:ind w:right="-334" w:rightChars="-159"/>
        <w:jc w:val="center"/>
        <w:rPr>
          <w:rFonts w:hint="eastAsia" w:hAnsi="宋体"/>
          <w:b/>
          <w:bCs/>
          <w:color w:val="auto"/>
          <w:sz w:val="32"/>
          <w:szCs w:val="32"/>
          <w:highlight w:val="none"/>
        </w:rPr>
      </w:pPr>
    </w:p>
    <w:p w14:paraId="1ED39702">
      <w:pPr>
        <w:snapToGrid w:val="0"/>
        <w:spacing w:line="480" w:lineRule="auto"/>
        <w:ind w:right="-334" w:rightChars="-159"/>
        <w:jc w:val="center"/>
        <w:rPr>
          <w:rFonts w:hint="eastAsia" w:hAnsi="宋体"/>
          <w:b/>
          <w:bCs/>
          <w:color w:val="auto"/>
          <w:sz w:val="32"/>
          <w:szCs w:val="32"/>
          <w:highlight w:val="none"/>
        </w:rPr>
      </w:pPr>
    </w:p>
    <w:p w14:paraId="05800852">
      <w:pPr>
        <w:snapToGrid w:val="0"/>
        <w:spacing w:line="480" w:lineRule="auto"/>
        <w:ind w:right="-334" w:rightChars="-159"/>
        <w:jc w:val="center"/>
        <w:rPr>
          <w:rFonts w:hint="eastAsia" w:hAnsi="宋体"/>
          <w:b/>
          <w:bCs/>
          <w:color w:val="auto"/>
          <w:sz w:val="32"/>
          <w:szCs w:val="32"/>
          <w:highlight w:val="none"/>
        </w:rPr>
      </w:pPr>
    </w:p>
    <w:p w14:paraId="281BCE7E">
      <w:pPr>
        <w:snapToGrid w:val="0"/>
        <w:spacing w:line="480" w:lineRule="auto"/>
        <w:ind w:right="-334" w:rightChars="-159"/>
        <w:jc w:val="center"/>
        <w:rPr>
          <w:rFonts w:hint="eastAsia" w:hAnsi="宋体"/>
          <w:b/>
          <w:bCs/>
          <w:color w:val="auto"/>
          <w:sz w:val="32"/>
          <w:szCs w:val="32"/>
          <w:highlight w:val="none"/>
        </w:rPr>
      </w:pPr>
    </w:p>
    <w:p w14:paraId="6E484AF4">
      <w:pPr>
        <w:snapToGrid w:val="0"/>
        <w:spacing w:line="480" w:lineRule="auto"/>
        <w:ind w:right="-334" w:rightChars="-159"/>
        <w:jc w:val="center"/>
        <w:rPr>
          <w:rFonts w:hint="eastAsia" w:hAnsi="宋体"/>
          <w:b/>
          <w:bCs/>
          <w:color w:val="auto"/>
          <w:sz w:val="32"/>
          <w:szCs w:val="32"/>
          <w:highlight w:val="none"/>
        </w:rPr>
      </w:pPr>
    </w:p>
    <w:p w14:paraId="4F07EBE4">
      <w:pPr>
        <w:snapToGrid w:val="0"/>
        <w:spacing w:line="480" w:lineRule="auto"/>
        <w:ind w:right="-334" w:rightChars="-159"/>
        <w:jc w:val="center"/>
        <w:rPr>
          <w:rFonts w:hint="eastAsia" w:hAnsi="宋体"/>
          <w:b/>
          <w:bCs/>
          <w:color w:val="auto"/>
          <w:sz w:val="32"/>
          <w:szCs w:val="32"/>
          <w:highlight w:val="none"/>
        </w:rPr>
      </w:pPr>
    </w:p>
    <w:p w14:paraId="13D59622">
      <w:pPr>
        <w:snapToGrid w:val="0"/>
        <w:spacing w:line="480" w:lineRule="auto"/>
        <w:ind w:right="-334" w:rightChars="-159"/>
        <w:jc w:val="center"/>
        <w:rPr>
          <w:rFonts w:hint="eastAsia" w:hAnsi="宋体"/>
          <w:b/>
          <w:bCs/>
          <w:color w:val="auto"/>
          <w:sz w:val="32"/>
          <w:szCs w:val="32"/>
          <w:highlight w:val="none"/>
        </w:rPr>
      </w:pPr>
    </w:p>
    <w:p w14:paraId="53945333">
      <w:pPr>
        <w:snapToGrid w:val="0"/>
        <w:spacing w:line="480" w:lineRule="auto"/>
        <w:ind w:right="-334" w:rightChars="-159"/>
        <w:jc w:val="center"/>
        <w:rPr>
          <w:rFonts w:hint="eastAsia" w:hAnsi="宋体"/>
          <w:b/>
          <w:bCs/>
          <w:color w:val="auto"/>
          <w:sz w:val="32"/>
          <w:szCs w:val="32"/>
          <w:highlight w:val="none"/>
        </w:rPr>
      </w:pPr>
    </w:p>
    <w:p w14:paraId="6B94CE8C">
      <w:pPr>
        <w:snapToGrid w:val="0"/>
        <w:spacing w:line="480" w:lineRule="auto"/>
        <w:ind w:right="-334" w:rightChars="-159"/>
        <w:jc w:val="center"/>
        <w:rPr>
          <w:rFonts w:hint="eastAsia" w:hAnsi="宋体"/>
          <w:b/>
          <w:bCs/>
          <w:color w:val="auto"/>
          <w:sz w:val="32"/>
          <w:szCs w:val="32"/>
          <w:highlight w:val="none"/>
        </w:rPr>
      </w:pPr>
    </w:p>
    <w:p w14:paraId="00149B0C">
      <w:pPr>
        <w:snapToGrid w:val="0"/>
        <w:spacing w:line="480" w:lineRule="auto"/>
        <w:ind w:right="-334" w:rightChars="-159"/>
        <w:jc w:val="center"/>
        <w:rPr>
          <w:rFonts w:hint="eastAsia" w:hAnsi="宋体"/>
          <w:b/>
          <w:bCs/>
          <w:color w:val="auto"/>
          <w:sz w:val="32"/>
          <w:szCs w:val="32"/>
          <w:highlight w:val="none"/>
        </w:rPr>
      </w:pPr>
    </w:p>
    <w:p w14:paraId="574B8997">
      <w:pPr>
        <w:snapToGrid w:val="0"/>
        <w:spacing w:line="480" w:lineRule="auto"/>
        <w:ind w:right="-334" w:rightChars="-159"/>
        <w:jc w:val="center"/>
        <w:rPr>
          <w:rFonts w:hAnsi="宋体"/>
          <w:b/>
          <w:bCs/>
          <w:color w:val="auto"/>
          <w:sz w:val="32"/>
          <w:szCs w:val="32"/>
          <w:highlight w:val="none"/>
        </w:rPr>
      </w:pPr>
      <w:r>
        <w:rPr>
          <w:rFonts w:hint="eastAsia" w:hAnsi="宋体"/>
          <w:b/>
          <w:bCs/>
          <w:color w:val="auto"/>
          <w:sz w:val="32"/>
          <w:szCs w:val="32"/>
          <w:highlight w:val="none"/>
        </w:rPr>
        <w:t>第七章  投标文件格式</w:t>
      </w:r>
    </w:p>
    <w:p w14:paraId="1E38BD7E">
      <w:pPr>
        <w:spacing w:line="480" w:lineRule="auto"/>
        <w:jc w:val="center"/>
        <w:rPr>
          <w:rFonts w:hint="eastAsia" w:eastAsia="黑体"/>
          <w:color w:val="auto"/>
          <w:sz w:val="20"/>
          <w:highlight w:val="none"/>
        </w:rPr>
      </w:pPr>
      <w:r>
        <w:rPr>
          <w:rFonts w:hint="eastAsia" w:ascii="宋体" w:hAnsi="宋体"/>
          <w:b/>
          <w:color w:val="auto"/>
          <w:sz w:val="28"/>
          <w:szCs w:val="28"/>
          <w:highlight w:val="none"/>
        </w:rPr>
        <w:t>一、资信证明格式文件</w:t>
      </w:r>
    </w:p>
    <w:p w14:paraId="13F34600">
      <w:pPr>
        <w:rPr>
          <w:rFonts w:hint="eastAsia" w:eastAsia="黑体"/>
          <w:color w:val="auto"/>
          <w:sz w:val="20"/>
          <w:highlight w:val="none"/>
        </w:rPr>
      </w:pPr>
    </w:p>
    <w:p w14:paraId="293E8A5B">
      <w:pPr>
        <w:jc w:val="center"/>
        <w:rPr>
          <w:rFonts w:hint="eastAsia" w:ascii="宋体"/>
          <w:b/>
          <w:color w:val="auto"/>
          <w:sz w:val="44"/>
          <w:szCs w:val="44"/>
          <w:highlight w:val="none"/>
        </w:rPr>
      </w:pPr>
      <w:bookmarkStart w:id="256" w:name="_Toc449028949"/>
      <w:bookmarkStart w:id="257" w:name="_Toc350698753"/>
      <w:r>
        <w:rPr>
          <w:rFonts w:hint="eastAsia" w:ascii="宋体"/>
          <w:b/>
          <w:color w:val="auto"/>
          <w:sz w:val="44"/>
          <w:szCs w:val="44"/>
          <w:highlight w:val="none"/>
        </w:rPr>
        <w:t>资信证明文件</w:t>
      </w:r>
      <w:bookmarkEnd w:id="256"/>
      <w:bookmarkEnd w:id="257"/>
    </w:p>
    <w:p w14:paraId="1D184EA9">
      <w:pPr>
        <w:jc w:val="center"/>
        <w:rPr>
          <w:rFonts w:hint="eastAsia" w:ascii="宋体"/>
          <w:color w:val="auto"/>
          <w:sz w:val="32"/>
          <w:szCs w:val="32"/>
          <w:highlight w:val="none"/>
        </w:rPr>
      </w:pPr>
      <w:r>
        <w:rPr>
          <w:rFonts w:hint="eastAsia" w:ascii="宋体"/>
          <w:color w:val="auto"/>
          <w:sz w:val="32"/>
          <w:szCs w:val="32"/>
          <w:highlight w:val="none"/>
        </w:rPr>
        <w:t>（投标文件一）</w:t>
      </w:r>
    </w:p>
    <w:p w14:paraId="637A7E19">
      <w:pPr>
        <w:jc w:val="center"/>
        <w:rPr>
          <w:rFonts w:hint="eastAsia" w:eastAsia="黑体"/>
          <w:color w:val="auto"/>
          <w:sz w:val="44"/>
          <w:szCs w:val="44"/>
          <w:highlight w:val="none"/>
        </w:rPr>
      </w:pPr>
    </w:p>
    <w:p w14:paraId="25949933">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1E4126ED">
      <w:pPr>
        <w:jc w:val="center"/>
        <w:rPr>
          <w:rFonts w:hint="eastAsia" w:ascii="宋体"/>
          <w:color w:val="auto"/>
          <w:sz w:val="44"/>
          <w:szCs w:val="44"/>
          <w:highlight w:val="none"/>
        </w:rPr>
      </w:pPr>
      <w:r>
        <w:rPr>
          <w:rFonts w:hint="eastAsia" w:ascii="宋体"/>
          <w:color w:val="auto"/>
          <w:sz w:val="28"/>
          <w:szCs w:val="28"/>
          <w:highlight w:val="none"/>
        </w:rPr>
        <w:t xml:space="preserve"> </w:t>
      </w:r>
      <w:r>
        <w:rPr>
          <w:rFonts w:hint="eastAsia" w:ascii="宋体"/>
          <w:color w:val="auto"/>
          <w:sz w:val="28"/>
          <w:szCs w:val="28"/>
          <w:highlight w:val="none"/>
          <w:u w:val="single"/>
        </w:rPr>
        <w:t xml:space="preserve">   </w:t>
      </w:r>
    </w:p>
    <w:p w14:paraId="7092A506">
      <w:pPr>
        <w:rPr>
          <w:rFonts w:hint="eastAsia" w:ascii="宋体"/>
          <w:color w:val="auto"/>
          <w:sz w:val="28"/>
          <w:szCs w:val="28"/>
          <w:highlight w:val="none"/>
        </w:rPr>
      </w:pPr>
    </w:p>
    <w:p w14:paraId="39EA489F">
      <w:pPr>
        <w:rPr>
          <w:rFonts w:hint="eastAsia" w:ascii="宋体"/>
          <w:color w:val="auto"/>
          <w:sz w:val="28"/>
          <w:szCs w:val="28"/>
          <w:highlight w:val="none"/>
        </w:rPr>
      </w:pPr>
    </w:p>
    <w:p w14:paraId="22DD31B2">
      <w:pPr>
        <w:rPr>
          <w:rFonts w:hint="eastAsia" w:ascii="宋体"/>
          <w:color w:val="auto"/>
          <w:sz w:val="28"/>
          <w:szCs w:val="28"/>
          <w:highlight w:val="none"/>
        </w:rPr>
      </w:pPr>
    </w:p>
    <w:p w14:paraId="45B001F5">
      <w:pPr>
        <w:rPr>
          <w:rFonts w:hint="eastAsia" w:ascii="宋体"/>
          <w:color w:val="auto"/>
          <w:sz w:val="28"/>
          <w:szCs w:val="28"/>
          <w:highlight w:val="none"/>
        </w:rPr>
      </w:pPr>
    </w:p>
    <w:p w14:paraId="17568F5C">
      <w:pPr>
        <w:rPr>
          <w:rFonts w:hint="eastAsia" w:ascii="宋体"/>
          <w:color w:val="auto"/>
          <w:sz w:val="28"/>
          <w:szCs w:val="28"/>
          <w:highlight w:val="none"/>
        </w:rPr>
      </w:pPr>
    </w:p>
    <w:p w14:paraId="38FCFAA0">
      <w:pPr>
        <w:rPr>
          <w:rFonts w:hint="eastAsia" w:ascii="宋体"/>
          <w:color w:val="auto"/>
          <w:sz w:val="28"/>
          <w:szCs w:val="28"/>
          <w:highlight w:val="none"/>
        </w:rPr>
      </w:pPr>
    </w:p>
    <w:p w14:paraId="4F45BA7F">
      <w:pPr>
        <w:rPr>
          <w:rFonts w:hint="eastAsia" w:ascii="宋体"/>
          <w:color w:val="auto"/>
          <w:sz w:val="28"/>
          <w:szCs w:val="28"/>
          <w:highlight w:val="none"/>
        </w:rPr>
      </w:pPr>
    </w:p>
    <w:p w14:paraId="247E0B06">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5B10765E">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7A3EB72D">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77249560">
      <w:pPr>
        <w:spacing w:line="400" w:lineRule="exact"/>
        <w:rPr>
          <w:rFonts w:hint="eastAsia"/>
          <w:b/>
          <w:color w:val="auto"/>
          <w:sz w:val="44"/>
          <w:szCs w:val="44"/>
          <w:highlight w:val="none"/>
        </w:rPr>
      </w:pPr>
    </w:p>
    <w:p w14:paraId="6B2A7FAC">
      <w:pPr>
        <w:spacing w:line="400" w:lineRule="exact"/>
        <w:rPr>
          <w:rFonts w:hint="eastAsia"/>
          <w:b/>
          <w:color w:val="auto"/>
          <w:sz w:val="44"/>
          <w:szCs w:val="44"/>
          <w:highlight w:val="none"/>
        </w:rPr>
      </w:pPr>
    </w:p>
    <w:p w14:paraId="21CE1627">
      <w:pPr>
        <w:jc w:val="center"/>
        <w:rPr>
          <w:rFonts w:hint="eastAsia"/>
          <w:b/>
          <w:color w:val="auto"/>
          <w:sz w:val="36"/>
          <w:szCs w:val="36"/>
          <w:highlight w:val="none"/>
        </w:rPr>
      </w:pPr>
    </w:p>
    <w:p w14:paraId="41D7B699">
      <w:pPr>
        <w:jc w:val="center"/>
        <w:rPr>
          <w:rFonts w:hint="eastAsia"/>
          <w:b/>
          <w:color w:val="auto"/>
          <w:sz w:val="36"/>
          <w:szCs w:val="36"/>
          <w:highlight w:val="none"/>
        </w:rPr>
      </w:pPr>
    </w:p>
    <w:p w14:paraId="69348BCF">
      <w:pPr>
        <w:jc w:val="center"/>
        <w:rPr>
          <w:rFonts w:hint="eastAsia"/>
          <w:b/>
          <w:color w:val="auto"/>
          <w:sz w:val="44"/>
          <w:szCs w:val="44"/>
          <w:highlight w:val="none"/>
        </w:rPr>
      </w:pPr>
      <w:r>
        <w:rPr>
          <w:rFonts w:hint="eastAsia"/>
          <w:b/>
          <w:color w:val="auto"/>
          <w:sz w:val="36"/>
          <w:szCs w:val="36"/>
          <w:highlight w:val="none"/>
        </w:rPr>
        <w:t>目   录</w:t>
      </w:r>
    </w:p>
    <w:p w14:paraId="7F31A0E5">
      <w:pPr>
        <w:spacing w:line="400" w:lineRule="exact"/>
        <w:rPr>
          <w:rFonts w:hint="eastAsia"/>
          <w:b/>
          <w:color w:val="auto"/>
          <w:sz w:val="28"/>
          <w:szCs w:val="28"/>
          <w:highlight w:val="none"/>
        </w:rPr>
      </w:pPr>
    </w:p>
    <w:p w14:paraId="194D9E39">
      <w:pPr>
        <w:spacing w:line="360" w:lineRule="auto"/>
        <w:ind w:firstLine="420" w:firstLineChars="200"/>
        <w:rPr>
          <w:rFonts w:hint="eastAsia" w:ascii="宋体"/>
          <w:color w:val="auto"/>
          <w:szCs w:val="21"/>
          <w:highlight w:val="none"/>
        </w:rPr>
      </w:pPr>
      <w:r>
        <w:rPr>
          <w:rFonts w:hint="eastAsia" w:ascii="宋体"/>
          <w:color w:val="auto"/>
          <w:szCs w:val="21"/>
          <w:highlight w:val="none"/>
        </w:rPr>
        <w:t>（1）法定代表人身份证明及其有效身份证（或法定代表人授权委托书及其有效身份证）（格式见附件）；</w:t>
      </w:r>
    </w:p>
    <w:p w14:paraId="0BEE3ED5">
      <w:pPr>
        <w:spacing w:line="360" w:lineRule="auto"/>
        <w:ind w:firstLine="420" w:firstLineChars="200"/>
        <w:rPr>
          <w:rFonts w:hint="eastAsia" w:ascii="宋体"/>
          <w:color w:val="auto"/>
          <w:szCs w:val="21"/>
          <w:highlight w:val="none"/>
        </w:rPr>
      </w:pPr>
      <w:r>
        <w:rPr>
          <w:rFonts w:hint="eastAsia" w:ascii="宋体"/>
          <w:color w:val="auto"/>
          <w:szCs w:val="21"/>
          <w:highlight w:val="none"/>
        </w:rPr>
        <w:t>（2）投标人有效的营业执照、税务登记证、组织机构代码证（或三合一证书）；</w:t>
      </w:r>
    </w:p>
    <w:p w14:paraId="75ABDF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诚信投标承诺书（或《公共信用信息报告（无违法违规证明版或核查版）》）</w:t>
      </w:r>
      <w:r>
        <w:rPr>
          <w:rFonts w:hint="eastAsia" w:ascii="宋体"/>
          <w:color w:val="auto"/>
          <w:szCs w:val="21"/>
          <w:highlight w:val="none"/>
        </w:rPr>
        <w:t>；</w:t>
      </w:r>
    </w:p>
    <w:p w14:paraId="7ED5B892">
      <w:pPr>
        <w:spacing w:line="360" w:lineRule="auto"/>
        <w:ind w:firstLine="420" w:firstLineChars="200"/>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rPr>
        <w:t>服务承诺：是否响应招标文件要求的书面说明和服务承诺书（格式见附件）；</w:t>
      </w:r>
    </w:p>
    <w:p w14:paraId="2F6C7560">
      <w:pPr>
        <w:spacing w:line="360" w:lineRule="auto"/>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）招标文件中要求的资信评审（评分）的支持资料；</w:t>
      </w:r>
    </w:p>
    <w:p w14:paraId="1D40F03A">
      <w:pPr>
        <w:spacing w:line="360" w:lineRule="auto"/>
        <w:ind w:firstLine="420" w:firstLineChars="20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）投标人认为需要提供的其他资信证明材料。</w:t>
      </w:r>
    </w:p>
    <w:p w14:paraId="53088D33">
      <w:pPr>
        <w:spacing w:line="400" w:lineRule="exact"/>
        <w:ind w:firstLine="562" w:firstLineChars="200"/>
        <w:rPr>
          <w:rFonts w:hint="eastAsia"/>
          <w:b/>
          <w:color w:val="auto"/>
          <w:sz w:val="28"/>
          <w:szCs w:val="28"/>
          <w:highlight w:val="none"/>
        </w:rPr>
      </w:pPr>
    </w:p>
    <w:p w14:paraId="6E6CF7CE">
      <w:pPr>
        <w:spacing w:line="400" w:lineRule="exact"/>
        <w:ind w:firstLine="562" w:firstLineChars="200"/>
        <w:rPr>
          <w:rFonts w:hint="eastAsia"/>
          <w:b/>
          <w:color w:val="auto"/>
          <w:sz w:val="28"/>
          <w:szCs w:val="28"/>
          <w:highlight w:val="none"/>
        </w:rPr>
      </w:pPr>
    </w:p>
    <w:p w14:paraId="52A8A420">
      <w:pPr>
        <w:spacing w:line="400" w:lineRule="exact"/>
        <w:ind w:firstLine="562" w:firstLineChars="200"/>
        <w:rPr>
          <w:rFonts w:hint="eastAsia"/>
          <w:b/>
          <w:color w:val="auto"/>
          <w:sz w:val="28"/>
          <w:szCs w:val="28"/>
          <w:highlight w:val="none"/>
        </w:rPr>
      </w:pPr>
    </w:p>
    <w:p w14:paraId="35B2BF5D">
      <w:pPr>
        <w:spacing w:line="400" w:lineRule="exact"/>
        <w:ind w:firstLine="562" w:firstLineChars="200"/>
        <w:rPr>
          <w:rFonts w:hint="eastAsia"/>
          <w:b/>
          <w:color w:val="auto"/>
          <w:sz w:val="28"/>
          <w:szCs w:val="28"/>
          <w:highlight w:val="none"/>
        </w:rPr>
      </w:pPr>
    </w:p>
    <w:p w14:paraId="64780976">
      <w:pPr>
        <w:spacing w:line="400" w:lineRule="exact"/>
        <w:rPr>
          <w:b/>
          <w:color w:val="auto"/>
          <w:sz w:val="28"/>
          <w:szCs w:val="28"/>
          <w:highlight w:val="none"/>
        </w:rPr>
        <w:sectPr>
          <w:headerReference r:id="rId13" w:type="default"/>
          <w:footerReference r:id="rId14" w:type="default"/>
          <w:pgSz w:w="11905" w:h="16838"/>
          <w:pgMar w:top="1440" w:right="1083" w:bottom="1440" w:left="1083" w:header="851" w:footer="992" w:gutter="0"/>
          <w:pgNumType w:fmt="decimal"/>
          <w:cols w:space="720" w:num="1"/>
          <w:rtlGutter w:val="0"/>
          <w:docGrid w:type="lines" w:linePitch="335" w:charSpace="0"/>
        </w:sectPr>
      </w:pPr>
    </w:p>
    <w:p w14:paraId="5A6D69E3">
      <w:pPr>
        <w:spacing w:line="400" w:lineRule="exact"/>
        <w:ind w:left="720"/>
        <w:jc w:val="center"/>
        <w:rPr>
          <w:rFonts w:hint="eastAsia" w:ascii="宋体"/>
          <w:b/>
          <w:color w:val="auto"/>
          <w:sz w:val="28"/>
          <w:szCs w:val="28"/>
          <w:highlight w:val="none"/>
        </w:rPr>
      </w:pPr>
      <w:r>
        <w:rPr>
          <w:rFonts w:hint="eastAsia"/>
          <w:b/>
          <w:color w:val="auto"/>
          <w:sz w:val="28"/>
          <w:szCs w:val="28"/>
          <w:highlight w:val="none"/>
        </w:rPr>
        <w:t>（1）法定代表人身份证明或授权委托书</w:t>
      </w:r>
    </w:p>
    <w:p w14:paraId="57CE94ED">
      <w:pPr>
        <w:pStyle w:val="24"/>
        <w:spacing w:before="312" w:beforeLines="100" w:after="312" w:afterLines="100" w:line="40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49C41DD7">
      <w:pPr>
        <w:spacing w:line="400" w:lineRule="exac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678010A4">
      <w:pPr>
        <w:spacing w:line="400" w:lineRule="exact"/>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549E9253">
      <w:pPr>
        <w:spacing w:line="400" w:lineRule="exact"/>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1FB4A8F2">
      <w:pPr>
        <w:spacing w:line="400" w:lineRule="exact"/>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45530314">
      <w:pPr>
        <w:spacing w:line="400" w:lineRule="exact"/>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4967F3FB">
      <w:pPr>
        <w:spacing w:line="400" w:lineRule="exact"/>
        <w:rPr>
          <w:rFonts w:hint="eastAsia" w:ascii="宋体"/>
          <w:color w:val="auto"/>
          <w:sz w:val="24"/>
          <w:highlight w:val="none"/>
        </w:rPr>
      </w:pPr>
      <w:r>
        <w:rPr>
          <w:rFonts w:hint="eastAsia" w:ascii="宋体"/>
          <w:color w:val="auto"/>
          <w:sz w:val="24"/>
          <w:highlight w:val="none"/>
        </w:rPr>
        <w:t>姓   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7F366382">
      <w:pPr>
        <w:spacing w:line="400" w:lineRule="exact"/>
        <w:rPr>
          <w:rFonts w:hint="eastAsia" w:ascii="宋体"/>
          <w:color w:val="auto"/>
          <w:sz w:val="24"/>
          <w:highlight w:val="none"/>
        </w:rPr>
      </w:pPr>
      <w:r>
        <w:rPr>
          <w:rFonts w:hint="eastAsia" w:ascii="宋体"/>
          <w:color w:val="auto"/>
          <w:sz w:val="24"/>
          <w:highlight w:val="none"/>
        </w:rPr>
        <w:t>特此证明。</w:t>
      </w:r>
    </w:p>
    <w:p w14:paraId="21BD322B">
      <w:pPr>
        <w:spacing w:line="400" w:lineRule="exact"/>
        <w:ind w:firstLine="4440" w:firstLineChars="18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8"/>
          <w:szCs w:val="28"/>
          <w:highlight w:val="none"/>
        </w:rPr>
        <w:t>签章</w:t>
      </w:r>
      <w:r>
        <w:rPr>
          <w:rFonts w:hint="eastAsia" w:ascii="宋体"/>
          <w:color w:val="auto"/>
          <w:sz w:val="24"/>
          <w:highlight w:val="none"/>
        </w:rPr>
        <w:t>）</w:t>
      </w:r>
    </w:p>
    <w:p w14:paraId="791355C0">
      <w:pPr>
        <w:wordWrap w:val="0"/>
        <w:spacing w:line="400" w:lineRule="exact"/>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665EE0CD">
      <w:pPr>
        <w:spacing w:before="312" w:beforeLines="100" w:after="312" w:afterLines="100" w:line="40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2F7E9E52">
      <w:pPr>
        <w:spacing w:line="40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156BD4CC">
      <w:pPr>
        <w:spacing w:line="400" w:lineRule="exact"/>
        <w:ind w:firstLine="480" w:firstLineChars="200"/>
        <w:rPr>
          <w:rFonts w:hint="eastAsia" w:ascii="宋体"/>
          <w:color w:val="auto"/>
          <w:sz w:val="24"/>
          <w:highlight w:val="none"/>
        </w:rPr>
      </w:pPr>
      <w:r>
        <w:rPr>
          <w:rFonts w:hint="eastAsia" w:ascii="宋体"/>
          <w:color w:val="auto"/>
          <w:sz w:val="24"/>
          <w:highlight w:val="none"/>
        </w:rPr>
        <w:t>委托期限：</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w:t>
      </w:r>
      <w:r>
        <w:rPr>
          <w:rFonts w:hint="eastAsia" w:ascii="宋体"/>
          <w:color w:val="auto"/>
          <w:sz w:val="28"/>
          <w:szCs w:val="28"/>
          <w:highlight w:val="none"/>
        </w:rPr>
        <w:t xml:space="preserve">   </w:t>
      </w:r>
      <w:r>
        <w:rPr>
          <w:rFonts w:hint="eastAsia" w:ascii="宋体"/>
          <w:color w:val="auto"/>
          <w:sz w:val="24"/>
          <w:highlight w:val="none"/>
        </w:rPr>
        <w:t xml:space="preserve">                                </w:t>
      </w:r>
    </w:p>
    <w:p w14:paraId="57FB162B">
      <w:pPr>
        <w:spacing w:line="40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2D3C375B">
      <w:pPr>
        <w:spacing w:line="400" w:lineRule="exact"/>
        <w:ind w:firstLine="480" w:firstLineChars="200"/>
        <w:rPr>
          <w:rFonts w:hint="eastAsia" w:ascii="宋体"/>
          <w:color w:val="auto"/>
          <w:sz w:val="24"/>
          <w:highlight w:val="none"/>
        </w:rPr>
      </w:pPr>
      <w:r>
        <w:rPr>
          <w:rFonts w:hint="eastAsia" w:ascii="宋体"/>
          <w:color w:val="auto"/>
          <w:sz w:val="24"/>
          <w:highlight w:val="none"/>
        </w:rPr>
        <w:t>附：委托代理人有效身份证扫描件</w:t>
      </w:r>
    </w:p>
    <w:p w14:paraId="32EF24F1">
      <w:pPr>
        <w:spacing w:line="400" w:lineRule="exact"/>
        <w:ind w:firstLine="960" w:firstLineChars="400"/>
        <w:rPr>
          <w:rFonts w:hint="eastAsia" w:ascii="宋体"/>
          <w:color w:val="auto"/>
          <w:sz w:val="24"/>
          <w:highlight w:val="none"/>
        </w:rPr>
      </w:pPr>
      <w:r>
        <w:rPr>
          <w:rFonts w:hint="eastAsia" w:ascii="宋体"/>
          <w:color w:val="auto"/>
          <w:sz w:val="24"/>
          <w:highlight w:val="none"/>
        </w:rPr>
        <w:t>法定代表人有效身份证扫描件</w:t>
      </w:r>
    </w:p>
    <w:p w14:paraId="74DED24C">
      <w:pPr>
        <w:spacing w:line="400" w:lineRule="exact"/>
        <w:ind w:firstLine="960" w:firstLineChars="400"/>
        <w:rPr>
          <w:rFonts w:hint="eastAsia" w:ascii="宋体"/>
          <w:color w:val="auto"/>
          <w:sz w:val="24"/>
          <w:highlight w:val="none"/>
        </w:rPr>
      </w:pPr>
    </w:p>
    <w:p w14:paraId="21FA87C5">
      <w:pPr>
        <w:adjustRightInd w:val="0"/>
        <w:snapToGrid w:val="0"/>
        <w:spacing w:line="400" w:lineRule="exact"/>
        <w:ind w:firstLine="200"/>
        <w:rPr>
          <w:rFonts w:hint="eastAsia" w:ascii="宋体"/>
          <w:color w:val="auto"/>
          <w:sz w:val="24"/>
          <w:highlight w:val="none"/>
        </w:rPr>
      </w:pPr>
      <w:r>
        <w:rPr>
          <w:rFonts w:hint="eastAsia" w:ascii="宋体"/>
          <w:color w:val="auto"/>
          <w:sz w:val="24"/>
          <w:highlight w:val="none"/>
        </w:rPr>
        <w:t xml:space="preserve">                                    投标人（签章）：</w:t>
      </w:r>
    </w:p>
    <w:p w14:paraId="6BB11AA1">
      <w:pPr>
        <w:adjustRightInd w:val="0"/>
        <w:snapToGrid w:val="0"/>
        <w:spacing w:line="400" w:lineRule="exact"/>
        <w:ind w:firstLine="3480" w:firstLineChars="1450"/>
        <w:rPr>
          <w:rFonts w:hint="eastAsia" w:ascii="宋体"/>
          <w:color w:val="auto"/>
          <w:sz w:val="24"/>
          <w:highlight w:val="none"/>
        </w:rPr>
      </w:pPr>
      <w:r>
        <w:rPr>
          <w:rFonts w:hint="eastAsia" w:ascii="宋体"/>
          <w:color w:val="auto"/>
          <w:sz w:val="24"/>
          <w:highlight w:val="none"/>
        </w:rPr>
        <w:t>法定代表人（身份证号码）：         （签章）</w:t>
      </w:r>
    </w:p>
    <w:p w14:paraId="0D21BB83">
      <w:pPr>
        <w:pStyle w:val="12"/>
        <w:spacing w:line="400" w:lineRule="exact"/>
        <w:ind w:firstLine="480"/>
        <w:rPr>
          <w:rFonts w:hint="eastAsia" w:ascii="宋体"/>
          <w:color w:val="auto"/>
          <w:sz w:val="24"/>
          <w:highlight w:val="none"/>
        </w:rPr>
      </w:pPr>
      <w:r>
        <w:rPr>
          <w:rFonts w:hint="eastAsia"/>
          <w:color w:val="auto"/>
          <w:sz w:val="24"/>
          <w:highlight w:val="none"/>
        </w:rPr>
        <w:t xml:space="preserve">                                 </w:t>
      </w:r>
      <w:r>
        <w:rPr>
          <w:rFonts w:hint="eastAsia" w:ascii="宋体"/>
          <w:color w:val="auto"/>
          <w:sz w:val="24"/>
          <w:highlight w:val="none"/>
        </w:rPr>
        <w:t xml:space="preserve">    联系方式：</w:t>
      </w:r>
    </w:p>
    <w:p w14:paraId="50065EC2">
      <w:pPr>
        <w:adjustRightInd w:val="0"/>
        <w:snapToGrid w:val="0"/>
        <w:spacing w:line="400" w:lineRule="exact"/>
        <w:ind w:firstLine="3360" w:firstLineChars="1400"/>
        <w:rPr>
          <w:rFonts w:hint="eastAsia" w:ascii="宋体"/>
          <w:color w:val="auto"/>
          <w:sz w:val="24"/>
          <w:highlight w:val="none"/>
        </w:rPr>
      </w:pPr>
      <w:r>
        <w:rPr>
          <w:rFonts w:hint="eastAsia" w:ascii="宋体"/>
          <w:color w:val="auto"/>
          <w:sz w:val="24"/>
          <w:highlight w:val="none"/>
        </w:rPr>
        <w:t xml:space="preserve">委托代理人（身份证号码）：      </w:t>
      </w:r>
    </w:p>
    <w:p w14:paraId="2F810D6D">
      <w:pPr>
        <w:adjustRightInd w:val="0"/>
        <w:snapToGrid w:val="0"/>
        <w:spacing w:line="400" w:lineRule="exact"/>
        <w:ind w:firstLine="2280" w:firstLineChars="950"/>
        <w:rPr>
          <w:rFonts w:hint="eastAsia" w:ascii="宋体"/>
          <w:color w:val="auto"/>
          <w:sz w:val="24"/>
          <w:highlight w:val="none"/>
        </w:rPr>
      </w:pPr>
      <w:r>
        <w:rPr>
          <w:rFonts w:hint="eastAsia" w:ascii="宋体"/>
          <w:color w:val="auto"/>
          <w:sz w:val="24"/>
          <w:highlight w:val="none"/>
        </w:rPr>
        <w:t xml:space="preserve">                         联系方式：</w:t>
      </w:r>
    </w:p>
    <w:p w14:paraId="5C1A7DC2">
      <w:pPr>
        <w:spacing w:line="360" w:lineRule="exact"/>
        <w:ind w:firstLine="352" w:firstLineChars="147"/>
        <w:rPr>
          <w:rFonts w:hint="eastAsia"/>
          <w:b/>
          <w:color w:val="auto"/>
          <w:sz w:val="28"/>
          <w:szCs w:val="28"/>
          <w:highlight w:val="none"/>
          <w:u w:val="single"/>
        </w:rPr>
      </w:pPr>
      <w:r>
        <w:rPr>
          <w:rFonts w:hint="eastAsia" w:ascii="宋体"/>
          <w:color w:val="auto"/>
          <w:sz w:val="24"/>
          <w:highlight w:val="none"/>
        </w:rPr>
        <w:t xml:space="preserve">                                                 年    月    日</w:t>
      </w:r>
    </w:p>
    <w:p w14:paraId="3AFB1FDF">
      <w:pPr>
        <w:spacing w:line="360" w:lineRule="exact"/>
        <w:ind w:firstLine="413" w:firstLineChars="147"/>
        <w:rPr>
          <w:rFonts w:hint="eastAsia"/>
          <w:b/>
          <w:color w:val="auto"/>
          <w:sz w:val="28"/>
          <w:szCs w:val="28"/>
          <w:highlight w:val="none"/>
          <w:u w:val="single"/>
        </w:rPr>
      </w:pPr>
    </w:p>
    <w:p w14:paraId="551DDF9E">
      <w:pPr>
        <w:spacing w:line="360" w:lineRule="exact"/>
        <w:ind w:firstLine="443" w:firstLineChars="147"/>
        <w:jc w:val="center"/>
        <w:rPr>
          <w:rFonts w:hint="eastAsia"/>
          <w:b/>
          <w:color w:val="auto"/>
          <w:sz w:val="28"/>
          <w:szCs w:val="28"/>
          <w:highlight w:val="none"/>
        </w:rPr>
      </w:pPr>
      <w:r>
        <w:rPr>
          <w:rFonts w:hint="eastAsia" w:ascii="宋体"/>
          <w:b/>
          <w:color w:val="auto"/>
          <w:sz w:val="30"/>
          <w:szCs w:val="30"/>
          <w:highlight w:val="none"/>
        </w:rPr>
        <w:br w:type="page"/>
      </w:r>
      <w:bookmarkStart w:id="258" w:name="_Toc449028950"/>
      <w:bookmarkStart w:id="259" w:name="_Toc440443268"/>
      <w:r>
        <w:rPr>
          <w:rFonts w:hint="eastAsia"/>
          <w:b/>
          <w:color w:val="auto"/>
          <w:sz w:val="28"/>
          <w:szCs w:val="28"/>
          <w:highlight w:val="none"/>
        </w:rPr>
        <w:t>（2）诚信投标承诺书</w:t>
      </w:r>
    </w:p>
    <w:p w14:paraId="19A6B0F4">
      <w:pPr>
        <w:adjustRightInd w:val="0"/>
        <w:snapToGrid w:val="0"/>
        <w:spacing w:line="560" w:lineRule="exact"/>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65BBC7B4">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一、将遵循公</w:t>
      </w:r>
      <w:bookmarkStart w:id="260" w:name="_Toc503196197"/>
      <w:bookmarkStart w:id="261" w:name="_Toc506107356"/>
      <w:bookmarkStart w:id="262" w:name="_Toc26598"/>
      <w:r>
        <w:rPr>
          <w:rFonts w:hint="eastAsia" w:ascii="宋体" w:hAnsi="宋体"/>
          <w:color w:val="auto"/>
          <w:szCs w:val="21"/>
          <w:highlight w:val="none"/>
        </w:rPr>
        <w:t>开、公正和诚实信用</w:t>
      </w:r>
      <w:bookmarkEnd w:id="260"/>
      <w:bookmarkEnd w:id="261"/>
      <w:r>
        <w:rPr>
          <w:rFonts w:hint="eastAsia" w:ascii="宋体" w:hAnsi="宋体"/>
          <w:color w:val="auto"/>
          <w:szCs w:val="21"/>
          <w:highlight w:val="none"/>
        </w:rPr>
        <w:t>的</w:t>
      </w:r>
      <w:bookmarkEnd w:id="262"/>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71798593">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298D3BFD">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1145A925">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598D692D">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64EDAC40">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 xml:space="preserve">或 </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没有下列情形：</w:t>
      </w:r>
      <w:bookmarkStart w:id="263" w:name="OLE_LINK134"/>
      <w:bookmarkStart w:id="264" w:name="OLE_LINK133"/>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auto"/>
          <w:szCs w:val="21"/>
          <w:highlight w:val="none"/>
        </w:rPr>
        <w:t>（</w:t>
      </w:r>
      <w:bookmarkEnd w:id="263"/>
      <w:bookmarkEnd w:id="264"/>
      <w:r>
        <w:rPr>
          <w:rFonts w:hint="eastAsia"/>
          <w:color w:val="auto"/>
          <w:szCs w:val="21"/>
          <w:highlight w:val="none"/>
        </w:rPr>
        <w:t>若招标文件对投标人所属分公司、办事处等分支机构有上述</w:t>
      </w:r>
      <w:r>
        <w:rPr>
          <w:color w:val="auto"/>
          <w:szCs w:val="21"/>
          <w:highlight w:val="none"/>
        </w:rPr>
        <w:t>1-10</w:t>
      </w:r>
      <w:r>
        <w:rPr>
          <w:rFonts w:hint="eastAsia"/>
          <w:color w:val="auto"/>
          <w:szCs w:val="21"/>
          <w:highlight w:val="none"/>
        </w:rPr>
        <w:t>项信誉要求，在此一并承诺我公司所属分公司、办事处等分支机构没有上述</w:t>
      </w:r>
      <w:r>
        <w:rPr>
          <w:color w:val="auto"/>
          <w:szCs w:val="21"/>
          <w:highlight w:val="none"/>
        </w:rPr>
        <w:t>1-10</w:t>
      </w:r>
      <w:r>
        <w:rPr>
          <w:rFonts w:hint="eastAsia"/>
          <w:color w:val="auto"/>
          <w:szCs w:val="21"/>
          <w:highlight w:val="none"/>
        </w:rPr>
        <w:t>项情形）</w:t>
      </w:r>
    </w:p>
    <w:p w14:paraId="63DE69F8">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七、严格遵守开标纪律，服从监管人员管理；</w:t>
      </w:r>
    </w:p>
    <w:p w14:paraId="3FE24444">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33884641">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30C1F88B">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0EF1E02D">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16723C2D">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50020607">
      <w:pPr>
        <w:adjustRightInd w:val="0"/>
        <w:snapToGrid w:val="0"/>
        <w:spacing w:line="560" w:lineRule="exact"/>
        <w:ind w:firstLine="420" w:firstLineChars="200"/>
        <w:rPr>
          <w:rFonts w:hint="eastAsia" w:ascii="宋体" w:hAnsi="宋体"/>
          <w:color w:val="auto"/>
          <w:szCs w:val="21"/>
          <w:highlight w:val="none"/>
        </w:rPr>
      </w:pPr>
    </w:p>
    <w:p w14:paraId="7F5C3C53">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7B67919C">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329F73B6">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投标单位（签章或盖章）：          法定代表人（签字或签章）：</w:t>
      </w:r>
    </w:p>
    <w:p w14:paraId="3108EC36">
      <w:pPr>
        <w:spacing w:line="360" w:lineRule="exact"/>
        <w:ind w:firstLine="420" w:firstLineChars="200"/>
        <w:rPr>
          <w:rFonts w:hint="eastAsia" w:ascii="宋体" w:hAnsi="宋体"/>
          <w:color w:val="auto"/>
          <w:szCs w:val="21"/>
          <w:highlight w:val="none"/>
        </w:rPr>
      </w:pPr>
    </w:p>
    <w:p w14:paraId="780E6CBA">
      <w:pPr>
        <w:spacing w:line="3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13E17744">
      <w:pPr>
        <w:spacing w:line="360" w:lineRule="exact"/>
        <w:ind w:firstLine="420" w:firstLineChars="200"/>
        <w:rPr>
          <w:rFonts w:hint="eastAsia" w:ascii="宋体" w:hAnsi="宋体"/>
          <w:color w:val="auto"/>
          <w:szCs w:val="21"/>
          <w:highlight w:val="none"/>
        </w:rPr>
      </w:pPr>
    </w:p>
    <w:p w14:paraId="15F78EB8">
      <w:pPr>
        <w:adjustRightInd w:val="0"/>
        <w:snapToGrid w:val="0"/>
        <w:spacing w:line="560" w:lineRule="exact"/>
        <w:jc w:val="center"/>
        <w:rPr>
          <w:rFonts w:hint="eastAsia"/>
          <w:b/>
          <w:color w:val="auto"/>
          <w:sz w:val="28"/>
          <w:szCs w:val="28"/>
          <w:highlight w:val="none"/>
        </w:rPr>
      </w:pPr>
      <w:bookmarkStart w:id="265" w:name="_Toc425084385"/>
      <w:bookmarkStart w:id="266" w:name="_Toc451384148"/>
      <w:r>
        <w:rPr>
          <w:rFonts w:hint="eastAsia"/>
          <w:b/>
          <w:color w:val="auto"/>
          <w:sz w:val="28"/>
          <w:szCs w:val="28"/>
          <w:highlight w:val="none"/>
          <w:lang w:eastAsia="zh-CN"/>
        </w:rPr>
        <w:t>（</w:t>
      </w:r>
      <w:r>
        <w:rPr>
          <w:rFonts w:hint="eastAsia"/>
          <w:b/>
          <w:color w:val="auto"/>
          <w:sz w:val="28"/>
          <w:szCs w:val="28"/>
          <w:highlight w:val="none"/>
          <w:lang w:val="en-US" w:eastAsia="zh-CN"/>
        </w:rPr>
        <w:t>2）</w:t>
      </w:r>
      <w:r>
        <w:rPr>
          <w:rFonts w:hint="eastAsia"/>
          <w:b/>
          <w:color w:val="auto"/>
          <w:sz w:val="28"/>
          <w:szCs w:val="28"/>
          <w:highlight w:val="none"/>
        </w:rPr>
        <w:t>公共信用信息报告（无违法违规证明版或核查版））</w:t>
      </w:r>
    </w:p>
    <w:p w14:paraId="6C44FD0A">
      <w:pPr>
        <w:pStyle w:val="12"/>
        <w:spacing w:after="0" w:line="560" w:lineRule="exact"/>
        <w:ind w:left="0" w:leftChars="0"/>
        <w:rPr>
          <w:rFonts w:hint="eastAsia" w:ascii="宋体" w:hAnsi="宋体"/>
          <w:color w:val="auto"/>
          <w:szCs w:val="21"/>
          <w:highlight w:val="none"/>
        </w:rPr>
      </w:pPr>
      <w:r>
        <w:rPr>
          <w:rFonts w:hint="eastAsia" w:ascii="宋体" w:hAnsi="宋体"/>
          <w:color w:val="auto"/>
          <w:szCs w:val="21"/>
          <w:highlight w:val="none"/>
        </w:rPr>
        <w:t>符合条件的投标人可在信用中国（安徽）网站（网址</w:t>
      </w:r>
      <w:r>
        <w:rPr>
          <w:rFonts w:ascii="宋体" w:hAnsi="宋体"/>
          <w:color w:val="auto"/>
          <w:szCs w:val="21"/>
          <w:highlight w:val="none"/>
        </w:rPr>
        <w:fldChar w:fldCharType="begin"/>
      </w:r>
      <w:r>
        <w:rPr>
          <w:rFonts w:ascii="宋体" w:hAnsi="宋体"/>
          <w:color w:val="auto"/>
          <w:szCs w:val="21"/>
          <w:highlight w:val="none"/>
        </w:rPr>
        <w:instrText xml:space="preserve"> HYPERLINK "https://credit.ah.gov.cn/xinyongfuwu/index.html" </w:instrText>
      </w:r>
      <w:r>
        <w:rPr>
          <w:rFonts w:ascii="宋体" w:hAnsi="宋体"/>
          <w:color w:val="auto"/>
          <w:szCs w:val="21"/>
          <w:highlight w:val="none"/>
        </w:rPr>
        <w:fldChar w:fldCharType="separate"/>
      </w:r>
      <w:r>
        <w:rPr>
          <w:rStyle w:val="17"/>
          <w:rFonts w:ascii="宋体" w:hAnsi="宋体"/>
          <w:color w:val="auto"/>
          <w:szCs w:val="21"/>
          <w:highlight w:val="none"/>
        </w:rPr>
        <w:t>https://credit.ah.gov.cn/xinyongfuwu/index.html</w:t>
      </w:r>
      <w:r>
        <w:rPr>
          <w:rFonts w:ascii="宋体" w:hAnsi="宋体"/>
          <w:color w:val="auto"/>
          <w:szCs w:val="21"/>
          <w:highlight w:val="none"/>
        </w:rPr>
        <w:fldChar w:fldCharType="end"/>
      </w:r>
      <w:r>
        <w:rPr>
          <w:rFonts w:hint="eastAsia" w:ascii="宋体" w:hAnsi="宋体"/>
          <w:color w:val="auto"/>
          <w:szCs w:val="21"/>
          <w:highlight w:val="none"/>
        </w:rPr>
        <w:t>），获取信用报告（无违法违规证明版或核查版）并上传至投标文件中。</w:t>
      </w:r>
    </w:p>
    <w:p w14:paraId="06566910">
      <w:pPr>
        <w:keepNext/>
        <w:keepLines/>
        <w:spacing w:line="480" w:lineRule="auto"/>
        <w:jc w:val="center"/>
        <w:outlineLvl w:val="2"/>
        <w:rPr>
          <w:b/>
          <w:bCs/>
          <w:color w:val="auto"/>
          <w:sz w:val="28"/>
          <w:szCs w:val="28"/>
          <w:highlight w:val="none"/>
        </w:rPr>
      </w:pPr>
      <w:r>
        <w:rPr>
          <w:rFonts w:hint="eastAsia"/>
          <w:b/>
          <w:bCs/>
          <w:color w:val="auto"/>
          <w:sz w:val="28"/>
          <w:szCs w:val="28"/>
          <w:highlight w:val="none"/>
        </w:rPr>
        <w:br w:type="page"/>
      </w:r>
      <w:r>
        <w:rPr>
          <w:rFonts w:hint="eastAsia"/>
          <w:b/>
          <w:bCs/>
          <w:color w:val="auto"/>
          <w:sz w:val="28"/>
          <w:szCs w:val="28"/>
          <w:highlight w:val="none"/>
        </w:rPr>
        <w:t>（3）服务承诺书</w:t>
      </w:r>
    </w:p>
    <w:p w14:paraId="06C50737">
      <w:pPr>
        <w:spacing w:line="480" w:lineRule="auto"/>
        <w:ind w:firstLine="480" w:firstLineChars="200"/>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     ：</w:t>
      </w:r>
    </w:p>
    <w:p w14:paraId="20EA306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本承诺声明：</w:t>
      </w:r>
      <w:r>
        <w:rPr>
          <w:rFonts w:hint="eastAsia" w:ascii="宋体" w:hAnsi="宋体" w:eastAsia="宋体" w:cs="Times New Roman"/>
          <w:color w:val="auto"/>
          <w:sz w:val="24"/>
          <w:highlight w:val="none"/>
        </w:rPr>
        <w:t>（投标人名称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对本招标文件所有要求完全响应</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若有幸</w:t>
      </w:r>
      <w:r>
        <w:rPr>
          <w:rFonts w:hint="eastAsia" w:ascii="宋体" w:hAnsi="宋体" w:eastAsia="宋体" w:cs="Times New Roman"/>
          <w:color w:val="auto"/>
          <w:sz w:val="24"/>
          <w:highlight w:val="none"/>
          <w:lang w:val="en-US" w:eastAsia="zh-CN"/>
        </w:rPr>
        <w:t>成为中标人</w:t>
      </w:r>
      <w:r>
        <w:rPr>
          <w:rFonts w:hint="eastAsia" w:ascii="宋体" w:hAnsi="宋体" w:eastAsia="宋体" w:cs="Times New Roman"/>
          <w:color w:val="auto"/>
          <w:sz w:val="24"/>
          <w:highlight w:val="none"/>
        </w:rPr>
        <w:t>将严格按照以上承诺进行服务</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若发现有偏离且不能按招标人要求调整的，招标人有权终止合同重新招标，我方</w:t>
      </w:r>
      <w:r>
        <w:rPr>
          <w:rFonts w:hint="eastAsia" w:ascii="宋体" w:hAnsi="宋体"/>
          <w:color w:val="auto"/>
          <w:sz w:val="24"/>
          <w:highlight w:val="none"/>
          <w:lang w:val="en-US" w:eastAsia="zh-CN"/>
        </w:rPr>
        <w:t>承担因此产生的所有经济及工期责任。</w:t>
      </w:r>
    </w:p>
    <w:p w14:paraId="5521252A">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特此声明。</w:t>
      </w:r>
    </w:p>
    <w:p w14:paraId="2334CDFA">
      <w:pPr>
        <w:pStyle w:val="12"/>
        <w:rPr>
          <w:rFonts w:hint="eastAsia"/>
          <w:color w:val="auto"/>
          <w:highlight w:val="none"/>
        </w:rPr>
      </w:pPr>
    </w:p>
    <w:p w14:paraId="76854636">
      <w:pPr>
        <w:spacing w:line="440" w:lineRule="exact"/>
        <w:rPr>
          <w:rFonts w:ascii="宋体" w:hAnsi="宋体"/>
          <w:color w:val="auto"/>
          <w:sz w:val="24"/>
          <w:highlight w:val="none"/>
        </w:rPr>
      </w:pPr>
      <w:r>
        <w:rPr>
          <w:rFonts w:hint="eastAsia" w:ascii="宋体" w:hAnsi="宋体"/>
          <w:color w:val="auto"/>
          <w:sz w:val="24"/>
          <w:highlight w:val="none"/>
        </w:rPr>
        <w:t> </w:t>
      </w:r>
    </w:p>
    <w:p w14:paraId="60B12581">
      <w:pPr>
        <w:spacing w:line="44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（签章）       </w:t>
      </w:r>
    </w:p>
    <w:p w14:paraId="0A78EC42">
      <w:pPr>
        <w:spacing w:line="440" w:lineRule="exact"/>
        <w:rPr>
          <w:rFonts w:ascii="宋体" w:hAnsi="宋体"/>
          <w:color w:val="auto"/>
          <w:sz w:val="24"/>
          <w:highlight w:val="none"/>
          <w:u w:val="single"/>
        </w:rPr>
      </w:pPr>
      <w:r>
        <w:rPr>
          <w:rFonts w:hint="eastAsia" w:ascii="宋体" w:hAnsi="宋体"/>
          <w:color w:val="auto"/>
          <w:sz w:val="24"/>
          <w:highlight w:val="none"/>
        </w:rPr>
        <w:t xml:space="preserve">                                     </w:t>
      </w:r>
    </w:p>
    <w:p w14:paraId="398BB9CA">
      <w:pPr>
        <w:spacing w:line="440" w:lineRule="exact"/>
        <w:rPr>
          <w:rFonts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（签章）    </w:t>
      </w:r>
    </w:p>
    <w:p w14:paraId="07EAA49E">
      <w:pPr>
        <w:spacing w:line="440" w:lineRule="exact"/>
        <w:ind w:firstLine="4320" w:firstLineChars="1800"/>
        <w:jc w:val="left"/>
        <w:rPr>
          <w:rFonts w:ascii="宋体" w:hAnsi="宋体"/>
          <w:color w:val="auto"/>
          <w:sz w:val="24"/>
          <w:highlight w:val="none"/>
        </w:rPr>
      </w:pPr>
    </w:p>
    <w:p w14:paraId="12775976">
      <w:pPr>
        <w:spacing w:line="440" w:lineRule="exact"/>
        <w:ind w:firstLine="4320" w:firstLineChars="1800"/>
        <w:jc w:val="left"/>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3C450BFA">
      <w:pPr>
        <w:spacing w:line="400" w:lineRule="exact"/>
        <w:ind w:firstLine="482" w:firstLineChars="200"/>
        <w:rPr>
          <w:rFonts w:ascii="宋体" w:hAnsi="宋体"/>
          <w:b/>
          <w:color w:val="auto"/>
          <w:sz w:val="24"/>
          <w:highlight w:val="none"/>
        </w:rPr>
      </w:pPr>
    </w:p>
    <w:bookmarkEnd w:id="258"/>
    <w:bookmarkEnd w:id="259"/>
    <w:bookmarkEnd w:id="265"/>
    <w:bookmarkEnd w:id="266"/>
    <w:p w14:paraId="062F49D3">
      <w:pPr>
        <w:spacing w:line="400" w:lineRule="exact"/>
        <w:rPr>
          <w:rFonts w:hint="eastAsia"/>
          <w:b/>
          <w:bCs/>
          <w:color w:val="auto"/>
          <w:sz w:val="28"/>
          <w:szCs w:val="28"/>
          <w:highlight w:val="none"/>
        </w:rPr>
      </w:pPr>
      <w:r>
        <w:rPr>
          <w:rFonts w:hint="eastAsia" w:ascii="宋体" w:hAnsi="宋体"/>
          <w:b/>
          <w:color w:val="auto"/>
          <w:sz w:val="30"/>
          <w:szCs w:val="30"/>
          <w:highlight w:val="none"/>
        </w:rPr>
        <w:br w:type="page"/>
      </w:r>
    </w:p>
    <w:p w14:paraId="16DE7C44">
      <w:pPr>
        <w:widowControl/>
        <w:jc w:val="center"/>
        <w:rPr>
          <w:rFonts w:hint="eastAsia" w:ascii="宋体" w:hAnsi="宋体"/>
          <w:b/>
          <w:color w:val="auto"/>
          <w:sz w:val="28"/>
          <w:szCs w:val="28"/>
          <w:highlight w:val="none"/>
        </w:rPr>
      </w:pPr>
      <w:r>
        <w:rPr>
          <w:rFonts w:hint="eastAsia" w:ascii="宋体" w:hAnsi="宋体"/>
          <w:b/>
          <w:color w:val="auto"/>
          <w:sz w:val="28"/>
          <w:szCs w:val="28"/>
          <w:highlight w:val="none"/>
        </w:rPr>
        <w:t>二、技术标格式文件</w:t>
      </w:r>
    </w:p>
    <w:p w14:paraId="42B7CC91">
      <w:pPr>
        <w:pStyle w:val="12"/>
        <w:rPr>
          <w:rFonts w:hint="eastAsia"/>
          <w:color w:val="auto"/>
          <w:highlight w:val="none"/>
        </w:rPr>
      </w:pPr>
    </w:p>
    <w:p w14:paraId="75B965BA">
      <w:pPr>
        <w:jc w:val="center"/>
        <w:rPr>
          <w:rFonts w:hint="eastAsia" w:ascii="宋体"/>
          <w:b/>
          <w:color w:val="auto"/>
          <w:sz w:val="44"/>
          <w:szCs w:val="44"/>
          <w:highlight w:val="none"/>
        </w:rPr>
      </w:pPr>
      <w:r>
        <w:rPr>
          <w:rFonts w:hint="eastAsia" w:ascii="宋体"/>
          <w:b/>
          <w:color w:val="auto"/>
          <w:sz w:val="44"/>
          <w:szCs w:val="44"/>
          <w:highlight w:val="none"/>
        </w:rPr>
        <w:t>技术标</w:t>
      </w:r>
    </w:p>
    <w:p w14:paraId="36894245">
      <w:pPr>
        <w:jc w:val="center"/>
        <w:rPr>
          <w:rFonts w:hint="eastAsia" w:ascii="宋体"/>
          <w:color w:val="auto"/>
          <w:sz w:val="32"/>
          <w:szCs w:val="32"/>
          <w:highlight w:val="none"/>
        </w:rPr>
      </w:pPr>
      <w:r>
        <w:rPr>
          <w:rFonts w:hint="eastAsia" w:ascii="宋体"/>
          <w:color w:val="auto"/>
          <w:sz w:val="32"/>
          <w:szCs w:val="32"/>
          <w:highlight w:val="none"/>
        </w:rPr>
        <w:t>（投标文件二）</w:t>
      </w:r>
    </w:p>
    <w:p w14:paraId="712BA731">
      <w:pPr>
        <w:jc w:val="center"/>
        <w:rPr>
          <w:rFonts w:hint="eastAsia" w:eastAsia="黑体"/>
          <w:color w:val="auto"/>
          <w:sz w:val="44"/>
          <w:szCs w:val="44"/>
          <w:highlight w:val="none"/>
        </w:rPr>
      </w:pPr>
    </w:p>
    <w:p w14:paraId="09A6CB52">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2B8194D9">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416E0F6">
      <w:pPr>
        <w:rPr>
          <w:rFonts w:hint="eastAsia" w:ascii="宋体"/>
          <w:color w:val="auto"/>
          <w:sz w:val="28"/>
          <w:szCs w:val="28"/>
          <w:highlight w:val="none"/>
        </w:rPr>
      </w:pPr>
    </w:p>
    <w:p w14:paraId="36DB3AB1">
      <w:pPr>
        <w:rPr>
          <w:rFonts w:hint="eastAsia" w:ascii="宋体"/>
          <w:color w:val="auto"/>
          <w:sz w:val="28"/>
          <w:szCs w:val="28"/>
          <w:highlight w:val="none"/>
        </w:rPr>
      </w:pPr>
    </w:p>
    <w:p w14:paraId="4D8671F1">
      <w:pPr>
        <w:tabs>
          <w:tab w:val="left" w:pos="2579"/>
        </w:tabs>
        <w:rPr>
          <w:rFonts w:hint="eastAsia" w:ascii="宋体"/>
          <w:color w:val="auto"/>
          <w:sz w:val="28"/>
          <w:szCs w:val="28"/>
          <w:highlight w:val="none"/>
        </w:rPr>
      </w:pPr>
      <w:r>
        <w:rPr>
          <w:rFonts w:ascii="宋体"/>
          <w:color w:val="auto"/>
          <w:sz w:val="28"/>
          <w:szCs w:val="28"/>
          <w:highlight w:val="none"/>
        </w:rPr>
        <w:tab/>
      </w:r>
    </w:p>
    <w:p w14:paraId="5E3E450C">
      <w:pPr>
        <w:rPr>
          <w:rFonts w:hint="eastAsia" w:ascii="宋体"/>
          <w:color w:val="auto"/>
          <w:sz w:val="28"/>
          <w:szCs w:val="28"/>
          <w:highlight w:val="none"/>
        </w:rPr>
      </w:pPr>
    </w:p>
    <w:p w14:paraId="30160CEF">
      <w:pPr>
        <w:rPr>
          <w:rFonts w:hint="eastAsia" w:ascii="宋体"/>
          <w:color w:val="auto"/>
          <w:sz w:val="28"/>
          <w:szCs w:val="28"/>
          <w:highlight w:val="none"/>
        </w:rPr>
      </w:pPr>
    </w:p>
    <w:p w14:paraId="797B65DA">
      <w:pPr>
        <w:rPr>
          <w:rFonts w:hint="eastAsia" w:ascii="宋体"/>
          <w:color w:val="auto"/>
          <w:sz w:val="28"/>
          <w:szCs w:val="28"/>
          <w:highlight w:val="none"/>
        </w:rPr>
      </w:pPr>
    </w:p>
    <w:p w14:paraId="1EFB1F9A">
      <w:pPr>
        <w:rPr>
          <w:rFonts w:hint="eastAsia" w:ascii="宋体"/>
          <w:color w:val="auto"/>
          <w:sz w:val="28"/>
          <w:szCs w:val="28"/>
          <w:highlight w:val="none"/>
        </w:rPr>
      </w:pPr>
    </w:p>
    <w:p w14:paraId="533D03E1">
      <w:pPr>
        <w:rPr>
          <w:rFonts w:hint="eastAsia" w:ascii="宋体"/>
          <w:color w:val="auto"/>
          <w:sz w:val="28"/>
          <w:szCs w:val="28"/>
          <w:highlight w:val="none"/>
        </w:rPr>
      </w:pPr>
    </w:p>
    <w:p w14:paraId="23CD7B81">
      <w:pPr>
        <w:rPr>
          <w:rFonts w:hint="eastAsia" w:ascii="宋体"/>
          <w:color w:val="auto"/>
          <w:sz w:val="28"/>
          <w:szCs w:val="28"/>
          <w:highlight w:val="none"/>
        </w:rPr>
      </w:pPr>
    </w:p>
    <w:p w14:paraId="6EC5BCCB">
      <w:pPr>
        <w:ind w:firstLine="565" w:firstLineChars="202"/>
        <w:jc w:val="left"/>
        <w:rPr>
          <w:rFonts w:hint="eastAsia" w:ascii="宋体"/>
          <w:color w:val="auto"/>
          <w:sz w:val="28"/>
          <w:szCs w:val="28"/>
          <w:highlight w:val="none"/>
        </w:rPr>
      </w:pPr>
    </w:p>
    <w:p w14:paraId="6EE86F41">
      <w:pPr>
        <w:pStyle w:val="12"/>
        <w:rPr>
          <w:rFonts w:hint="eastAsia"/>
          <w:color w:val="auto"/>
          <w:highlight w:val="none"/>
        </w:rPr>
      </w:pPr>
    </w:p>
    <w:p w14:paraId="42F27B44">
      <w:pPr>
        <w:spacing w:line="720" w:lineRule="auto"/>
        <w:jc w:val="center"/>
        <w:rPr>
          <w:rFonts w:hint="eastAsia" w:ascii="宋体"/>
          <w:b/>
          <w:color w:val="auto"/>
          <w:sz w:val="36"/>
          <w:szCs w:val="36"/>
          <w:highlight w:val="none"/>
        </w:rPr>
      </w:pPr>
    </w:p>
    <w:p w14:paraId="4FA0F7A5">
      <w:pPr>
        <w:spacing w:line="480" w:lineRule="auto"/>
        <w:jc w:val="both"/>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br w:type="page"/>
      </w: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、商务标格式文件</w:t>
      </w:r>
    </w:p>
    <w:p w14:paraId="4F2770BA">
      <w:pPr>
        <w:rPr>
          <w:rFonts w:hint="eastAsia" w:ascii="宋体"/>
          <w:color w:val="auto"/>
          <w:sz w:val="20"/>
          <w:highlight w:val="none"/>
        </w:rPr>
      </w:pPr>
    </w:p>
    <w:p w14:paraId="7E2472B0">
      <w:pPr>
        <w:jc w:val="center"/>
        <w:rPr>
          <w:rFonts w:hint="eastAsia" w:ascii="宋体"/>
          <w:b/>
          <w:color w:val="auto"/>
          <w:sz w:val="44"/>
          <w:szCs w:val="44"/>
          <w:highlight w:val="none"/>
        </w:rPr>
      </w:pPr>
      <w:bookmarkStart w:id="267" w:name="_Toc449028954"/>
    </w:p>
    <w:p w14:paraId="07D1E6B2">
      <w:pPr>
        <w:jc w:val="center"/>
        <w:rPr>
          <w:rFonts w:hint="eastAsia" w:ascii="宋体"/>
          <w:b/>
          <w:color w:val="auto"/>
          <w:sz w:val="44"/>
          <w:szCs w:val="44"/>
          <w:highlight w:val="none"/>
        </w:rPr>
      </w:pPr>
      <w:r>
        <w:rPr>
          <w:rFonts w:hint="eastAsia" w:ascii="宋体"/>
          <w:b/>
          <w:color w:val="auto"/>
          <w:sz w:val="44"/>
          <w:szCs w:val="44"/>
          <w:highlight w:val="none"/>
        </w:rPr>
        <w:t>商务标</w:t>
      </w:r>
      <w:bookmarkEnd w:id="267"/>
    </w:p>
    <w:p w14:paraId="796E5980">
      <w:pPr>
        <w:jc w:val="center"/>
        <w:rPr>
          <w:rFonts w:hint="eastAsia"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w:t>
      </w:r>
      <w:r>
        <w:rPr>
          <w:rFonts w:hint="eastAsia" w:ascii="宋体"/>
          <w:color w:val="auto"/>
          <w:sz w:val="36"/>
          <w:szCs w:val="36"/>
          <w:highlight w:val="none"/>
          <w:lang w:val="en-US" w:eastAsia="zh-CN"/>
        </w:rPr>
        <w:t>三</w:t>
      </w:r>
      <w:r>
        <w:rPr>
          <w:rFonts w:hint="eastAsia" w:ascii="宋体"/>
          <w:color w:val="auto"/>
          <w:sz w:val="36"/>
          <w:szCs w:val="36"/>
          <w:highlight w:val="none"/>
        </w:rPr>
        <w:t>）</w:t>
      </w:r>
    </w:p>
    <w:p w14:paraId="50AED5B8">
      <w:pPr>
        <w:jc w:val="center"/>
        <w:rPr>
          <w:rFonts w:hint="eastAsia" w:ascii="宋体"/>
          <w:color w:val="auto"/>
          <w:sz w:val="36"/>
          <w:szCs w:val="36"/>
          <w:highlight w:val="none"/>
        </w:rPr>
      </w:pPr>
    </w:p>
    <w:p w14:paraId="795F6CD4">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013686DE">
      <w:pPr>
        <w:jc w:val="center"/>
        <w:rPr>
          <w:rFonts w:hint="eastAsia" w:ascii="宋体"/>
          <w:color w:val="auto"/>
          <w:sz w:val="44"/>
          <w:szCs w:val="44"/>
          <w:highlight w:val="none"/>
        </w:rPr>
      </w:pPr>
      <w:r>
        <w:rPr>
          <w:rFonts w:hint="eastAsia" w:ascii="宋体"/>
          <w:color w:val="auto"/>
          <w:sz w:val="28"/>
          <w:szCs w:val="28"/>
          <w:highlight w:val="none"/>
        </w:rPr>
        <w:t xml:space="preserve"> </w:t>
      </w:r>
      <w:r>
        <w:rPr>
          <w:rFonts w:hint="eastAsia" w:ascii="宋体"/>
          <w:color w:val="auto"/>
          <w:sz w:val="28"/>
          <w:szCs w:val="28"/>
          <w:highlight w:val="none"/>
          <w:u w:val="single"/>
        </w:rPr>
        <w:t xml:space="preserve">  </w:t>
      </w:r>
    </w:p>
    <w:p w14:paraId="2AECAA74">
      <w:pPr>
        <w:rPr>
          <w:rFonts w:hint="eastAsia" w:ascii="宋体"/>
          <w:color w:val="auto"/>
          <w:sz w:val="28"/>
          <w:szCs w:val="28"/>
          <w:highlight w:val="none"/>
        </w:rPr>
      </w:pPr>
    </w:p>
    <w:p w14:paraId="1762CD46">
      <w:pPr>
        <w:rPr>
          <w:rFonts w:hint="eastAsia" w:ascii="宋体"/>
          <w:color w:val="auto"/>
          <w:sz w:val="28"/>
          <w:szCs w:val="28"/>
          <w:highlight w:val="none"/>
        </w:rPr>
      </w:pPr>
    </w:p>
    <w:p w14:paraId="13200467">
      <w:pPr>
        <w:rPr>
          <w:rFonts w:hint="eastAsia" w:ascii="宋体"/>
          <w:color w:val="auto"/>
          <w:sz w:val="28"/>
          <w:szCs w:val="28"/>
          <w:highlight w:val="none"/>
        </w:rPr>
      </w:pPr>
    </w:p>
    <w:p w14:paraId="01D3C3E7">
      <w:pPr>
        <w:rPr>
          <w:rFonts w:hint="eastAsia" w:ascii="宋体"/>
          <w:color w:val="auto"/>
          <w:sz w:val="28"/>
          <w:szCs w:val="28"/>
          <w:highlight w:val="none"/>
        </w:rPr>
      </w:pPr>
    </w:p>
    <w:p w14:paraId="296DB55D">
      <w:pPr>
        <w:rPr>
          <w:rFonts w:hint="eastAsia" w:ascii="宋体"/>
          <w:color w:val="auto"/>
          <w:sz w:val="28"/>
          <w:szCs w:val="28"/>
          <w:highlight w:val="none"/>
        </w:rPr>
      </w:pPr>
    </w:p>
    <w:p w14:paraId="2B8426BE">
      <w:pPr>
        <w:rPr>
          <w:rFonts w:hint="eastAsia" w:ascii="宋体"/>
          <w:color w:val="auto"/>
          <w:sz w:val="28"/>
          <w:szCs w:val="28"/>
          <w:highlight w:val="none"/>
        </w:rPr>
      </w:pPr>
    </w:p>
    <w:p w14:paraId="13B3511D">
      <w:pPr>
        <w:rPr>
          <w:rFonts w:hint="eastAsia" w:ascii="宋体"/>
          <w:color w:val="auto"/>
          <w:sz w:val="28"/>
          <w:szCs w:val="28"/>
          <w:highlight w:val="none"/>
        </w:rPr>
      </w:pPr>
    </w:p>
    <w:p w14:paraId="1C729E5E">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632FC96A">
      <w:pPr>
        <w:ind w:firstLine="700" w:firstLineChars="25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03123668">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704EDFC">
      <w:pPr>
        <w:spacing w:line="720" w:lineRule="auto"/>
        <w:jc w:val="center"/>
        <w:rPr>
          <w:rFonts w:hint="eastAsia" w:ascii="宋体"/>
          <w:b/>
          <w:color w:val="auto"/>
          <w:sz w:val="36"/>
          <w:szCs w:val="36"/>
          <w:highlight w:val="none"/>
        </w:rPr>
      </w:pPr>
    </w:p>
    <w:p w14:paraId="723C07CC">
      <w:pPr>
        <w:spacing w:line="400" w:lineRule="exact"/>
        <w:ind w:firstLine="562" w:firstLineChars="200"/>
        <w:rPr>
          <w:rFonts w:hint="eastAsia"/>
          <w:b/>
          <w:color w:val="auto"/>
          <w:sz w:val="28"/>
          <w:szCs w:val="28"/>
          <w:highlight w:val="none"/>
        </w:rPr>
      </w:pPr>
    </w:p>
    <w:p w14:paraId="202CE7A4">
      <w:pPr>
        <w:spacing w:line="400" w:lineRule="exact"/>
        <w:ind w:firstLine="562" w:firstLineChars="200"/>
        <w:rPr>
          <w:rFonts w:hint="eastAsia"/>
          <w:b/>
          <w:color w:val="auto"/>
          <w:sz w:val="28"/>
          <w:szCs w:val="28"/>
          <w:highlight w:val="none"/>
        </w:rPr>
      </w:pPr>
    </w:p>
    <w:p w14:paraId="7C06B31D">
      <w:pPr>
        <w:spacing w:line="400" w:lineRule="exact"/>
        <w:ind w:firstLine="2628" w:firstLineChars="935"/>
        <w:rPr>
          <w:rFonts w:hint="eastAsia"/>
          <w:b/>
          <w:color w:val="auto"/>
          <w:sz w:val="28"/>
          <w:szCs w:val="28"/>
          <w:highlight w:val="none"/>
        </w:rPr>
      </w:pPr>
      <w:r>
        <w:rPr>
          <w:rFonts w:hint="eastAsia"/>
          <w:b/>
          <w:color w:val="auto"/>
          <w:sz w:val="28"/>
          <w:szCs w:val="28"/>
          <w:highlight w:val="none"/>
        </w:rPr>
        <w:t xml:space="preserve">     </w:t>
      </w:r>
    </w:p>
    <w:p w14:paraId="50AD38C1">
      <w:pPr>
        <w:spacing w:line="400" w:lineRule="exact"/>
        <w:jc w:val="center"/>
        <w:rPr>
          <w:b/>
          <w:color w:val="auto"/>
          <w:sz w:val="36"/>
          <w:szCs w:val="36"/>
          <w:highlight w:val="none"/>
        </w:rPr>
      </w:pPr>
      <w:r>
        <w:rPr>
          <w:b/>
          <w:color w:val="auto"/>
          <w:sz w:val="36"/>
          <w:szCs w:val="36"/>
          <w:highlight w:val="none"/>
        </w:rPr>
        <w:br w:type="page"/>
      </w:r>
    </w:p>
    <w:p w14:paraId="4C8843B6">
      <w:pPr>
        <w:spacing w:line="400" w:lineRule="exact"/>
        <w:jc w:val="center"/>
        <w:rPr>
          <w:rFonts w:hint="eastAsia"/>
          <w:b/>
          <w:color w:val="auto"/>
          <w:sz w:val="36"/>
          <w:szCs w:val="36"/>
          <w:highlight w:val="none"/>
        </w:rPr>
      </w:pPr>
      <w:r>
        <w:rPr>
          <w:rFonts w:hint="eastAsia"/>
          <w:b/>
          <w:color w:val="auto"/>
          <w:sz w:val="36"/>
          <w:szCs w:val="36"/>
          <w:highlight w:val="none"/>
        </w:rPr>
        <w:t>目   录</w:t>
      </w:r>
    </w:p>
    <w:p w14:paraId="334049EF">
      <w:pPr>
        <w:spacing w:line="400" w:lineRule="exact"/>
        <w:ind w:firstLine="4130" w:firstLineChars="935"/>
        <w:rPr>
          <w:rFonts w:hint="eastAsia"/>
          <w:b/>
          <w:color w:val="auto"/>
          <w:sz w:val="44"/>
          <w:szCs w:val="44"/>
          <w:highlight w:val="none"/>
        </w:rPr>
      </w:pPr>
    </w:p>
    <w:p w14:paraId="5A6C50B0">
      <w:pPr>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（1）开标一览表（格式见附件）；</w:t>
      </w:r>
    </w:p>
    <w:p w14:paraId="310C6E9F">
      <w:pPr>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（2）投标函（格式见附件）；</w:t>
      </w:r>
    </w:p>
    <w:p w14:paraId="62E6C89B">
      <w:pPr>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lang w:val="en-US" w:eastAsia="zh-CN"/>
        </w:rPr>
        <w:t>3）</w:t>
      </w:r>
      <w:r>
        <w:rPr>
          <w:rFonts w:hint="eastAsia" w:ascii="宋体" w:hAnsi="Times New Roman" w:eastAsia="宋体" w:cs="Times New Roman"/>
          <w:color w:val="auto"/>
          <w:szCs w:val="21"/>
          <w:highlight w:val="none"/>
        </w:rPr>
        <w:t>招标文件商务评审中要求提供的其他相关资料；</w:t>
      </w:r>
    </w:p>
    <w:p w14:paraId="7089D259">
      <w:pPr>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4</w:t>
      </w:r>
      <w:r>
        <w:rPr>
          <w:rFonts w:hint="eastAsia" w:ascii="宋体" w:hAnsi="Times New Roman" w:eastAsia="宋体" w:cs="Times New Roman"/>
          <w:color w:val="auto"/>
          <w:szCs w:val="21"/>
          <w:highlight w:val="none"/>
        </w:rPr>
        <w:t>）投标人认为需要提供的其他材料。</w:t>
      </w:r>
    </w:p>
    <w:p w14:paraId="5191A5C1">
      <w:pPr>
        <w:jc w:val="center"/>
        <w:rPr>
          <w:rFonts w:hint="eastAsia" w:ascii="宋体"/>
          <w:b/>
          <w:color w:val="auto"/>
          <w:sz w:val="28"/>
          <w:szCs w:val="28"/>
          <w:highlight w:val="none"/>
        </w:rPr>
      </w:pPr>
    </w:p>
    <w:p w14:paraId="6C0F1FC2">
      <w:pPr>
        <w:snapToGrid w:val="0"/>
        <w:spacing w:line="460" w:lineRule="exact"/>
        <w:ind w:left="2940" w:leftChars="1400" w:firstLine="964" w:firstLineChars="300"/>
        <w:rPr>
          <w:rFonts w:hint="eastAsia" w:ascii="宋体"/>
          <w:b/>
          <w:color w:val="auto"/>
          <w:sz w:val="32"/>
          <w:szCs w:val="32"/>
          <w:highlight w:val="none"/>
        </w:rPr>
      </w:pPr>
    </w:p>
    <w:p w14:paraId="4BF5BFFA">
      <w:pPr>
        <w:snapToGrid w:val="0"/>
        <w:spacing w:line="460" w:lineRule="exact"/>
        <w:ind w:left="2940" w:leftChars="1400" w:firstLine="964" w:firstLineChars="300"/>
        <w:rPr>
          <w:rFonts w:hint="eastAsia" w:ascii="宋体"/>
          <w:b/>
          <w:color w:val="auto"/>
          <w:sz w:val="32"/>
          <w:szCs w:val="32"/>
          <w:highlight w:val="none"/>
        </w:rPr>
      </w:pPr>
    </w:p>
    <w:p w14:paraId="7CA394CF">
      <w:pPr>
        <w:snapToGrid w:val="0"/>
        <w:spacing w:line="460" w:lineRule="exact"/>
        <w:ind w:left="2940" w:leftChars="1400" w:firstLine="964" w:firstLineChars="300"/>
        <w:rPr>
          <w:rFonts w:hint="eastAsia" w:ascii="宋体"/>
          <w:b/>
          <w:color w:val="auto"/>
          <w:sz w:val="32"/>
          <w:szCs w:val="32"/>
          <w:highlight w:val="none"/>
        </w:rPr>
      </w:pPr>
    </w:p>
    <w:p w14:paraId="4AFA47B2">
      <w:pPr>
        <w:snapToGrid w:val="0"/>
        <w:spacing w:line="460" w:lineRule="exact"/>
        <w:ind w:left="2940" w:leftChars="1400" w:firstLine="964" w:firstLineChars="300"/>
        <w:rPr>
          <w:rFonts w:hint="eastAsia" w:ascii="宋体"/>
          <w:b/>
          <w:color w:val="auto"/>
          <w:sz w:val="32"/>
          <w:szCs w:val="32"/>
          <w:highlight w:val="none"/>
        </w:rPr>
      </w:pPr>
    </w:p>
    <w:p w14:paraId="48386063">
      <w:pPr>
        <w:snapToGrid w:val="0"/>
        <w:spacing w:line="460" w:lineRule="exact"/>
        <w:ind w:left="2940" w:leftChars="1400" w:firstLine="964" w:firstLineChars="300"/>
        <w:rPr>
          <w:rFonts w:hint="eastAsia" w:ascii="宋体"/>
          <w:b/>
          <w:color w:val="auto"/>
          <w:sz w:val="32"/>
          <w:szCs w:val="32"/>
          <w:highlight w:val="none"/>
        </w:rPr>
      </w:pPr>
    </w:p>
    <w:p w14:paraId="0FAD66FB">
      <w:pPr>
        <w:snapToGrid w:val="0"/>
        <w:spacing w:line="460" w:lineRule="exact"/>
        <w:ind w:left="2940" w:leftChars="1400" w:firstLine="964" w:firstLineChars="300"/>
        <w:rPr>
          <w:rFonts w:hint="eastAsia" w:ascii="宋体"/>
          <w:b/>
          <w:color w:val="auto"/>
          <w:sz w:val="32"/>
          <w:szCs w:val="32"/>
          <w:highlight w:val="none"/>
        </w:rPr>
      </w:pPr>
    </w:p>
    <w:p w14:paraId="04B4E5F9">
      <w:pPr>
        <w:snapToGrid w:val="0"/>
        <w:spacing w:line="460" w:lineRule="exact"/>
        <w:ind w:left="2940" w:leftChars="1400" w:firstLine="964" w:firstLineChars="300"/>
        <w:rPr>
          <w:rFonts w:hint="eastAsia" w:ascii="宋体"/>
          <w:b/>
          <w:color w:val="auto"/>
          <w:sz w:val="32"/>
          <w:szCs w:val="32"/>
          <w:highlight w:val="none"/>
        </w:rPr>
      </w:pPr>
    </w:p>
    <w:p w14:paraId="0EC7F779">
      <w:pPr>
        <w:snapToGrid w:val="0"/>
        <w:spacing w:line="460" w:lineRule="exact"/>
        <w:ind w:left="2940" w:leftChars="1400" w:firstLine="964" w:firstLineChars="300"/>
        <w:rPr>
          <w:rFonts w:hint="eastAsia" w:ascii="宋体"/>
          <w:b/>
          <w:color w:val="auto"/>
          <w:sz w:val="32"/>
          <w:szCs w:val="32"/>
          <w:highlight w:val="none"/>
        </w:rPr>
      </w:pPr>
    </w:p>
    <w:p w14:paraId="36A2EE46">
      <w:pPr>
        <w:snapToGrid w:val="0"/>
        <w:spacing w:line="460" w:lineRule="exact"/>
        <w:ind w:left="2940" w:leftChars="1400" w:firstLine="964" w:firstLineChars="300"/>
        <w:rPr>
          <w:rFonts w:hint="eastAsia" w:ascii="宋体"/>
          <w:b/>
          <w:color w:val="auto"/>
          <w:sz w:val="32"/>
          <w:szCs w:val="32"/>
          <w:highlight w:val="none"/>
        </w:rPr>
      </w:pPr>
    </w:p>
    <w:p w14:paraId="56E07438">
      <w:pPr>
        <w:snapToGrid w:val="0"/>
        <w:spacing w:line="460" w:lineRule="exact"/>
        <w:ind w:left="2940" w:leftChars="1400" w:firstLine="964" w:firstLineChars="300"/>
        <w:rPr>
          <w:rFonts w:hint="eastAsia" w:ascii="宋体"/>
          <w:b/>
          <w:color w:val="auto"/>
          <w:sz w:val="32"/>
          <w:szCs w:val="32"/>
          <w:highlight w:val="none"/>
        </w:rPr>
      </w:pPr>
    </w:p>
    <w:p w14:paraId="4E82AA0D">
      <w:pPr>
        <w:snapToGrid w:val="0"/>
        <w:spacing w:line="460" w:lineRule="exact"/>
        <w:ind w:left="2940" w:leftChars="1400" w:firstLine="964" w:firstLineChars="300"/>
        <w:rPr>
          <w:rFonts w:hint="eastAsia" w:ascii="宋体"/>
          <w:b/>
          <w:color w:val="auto"/>
          <w:sz w:val="32"/>
          <w:szCs w:val="32"/>
          <w:highlight w:val="none"/>
        </w:rPr>
      </w:pPr>
    </w:p>
    <w:p w14:paraId="49557C25">
      <w:pPr>
        <w:snapToGrid w:val="0"/>
        <w:spacing w:line="460" w:lineRule="exact"/>
        <w:ind w:left="2940" w:leftChars="1400" w:firstLine="964" w:firstLineChars="300"/>
        <w:rPr>
          <w:rFonts w:hint="eastAsia" w:ascii="宋体"/>
          <w:b/>
          <w:color w:val="auto"/>
          <w:sz w:val="32"/>
          <w:szCs w:val="32"/>
          <w:highlight w:val="none"/>
        </w:rPr>
      </w:pPr>
    </w:p>
    <w:p w14:paraId="3A6A6544">
      <w:pPr>
        <w:snapToGrid w:val="0"/>
        <w:spacing w:line="460" w:lineRule="exact"/>
        <w:ind w:left="2940" w:leftChars="1400" w:firstLine="964" w:firstLineChars="300"/>
        <w:rPr>
          <w:rFonts w:hint="eastAsia" w:ascii="宋体"/>
          <w:b/>
          <w:color w:val="auto"/>
          <w:sz w:val="32"/>
          <w:szCs w:val="32"/>
          <w:highlight w:val="none"/>
        </w:rPr>
      </w:pPr>
    </w:p>
    <w:p w14:paraId="5365C1BE">
      <w:pPr>
        <w:snapToGrid w:val="0"/>
        <w:spacing w:line="460" w:lineRule="exact"/>
        <w:ind w:left="2940" w:leftChars="1400" w:firstLine="964" w:firstLineChars="300"/>
        <w:rPr>
          <w:rFonts w:hint="eastAsia" w:ascii="宋体"/>
          <w:b/>
          <w:color w:val="auto"/>
          <w:sz w:val="32"/>
          <w:szCs w:val="32"/>
          <w:highlight w:val="none"/>
        </w:rPr>
      </w:pPr>
    </w:p>
    <w:p w14:paraId="5DE7EC9F">
      <w:pPr>
        <w:snapToGrid w:val="0"/>
        <w:spacing w:line="460" w:lineRule="exact"/>
        <w:ind w:left="2940" w:leftChars="1400" w:firstLine="964" w:firstLineChars="300"/>
        <w:rPr>
          <w:rFonts w:hint="eastAsia" w:ascii="宋体"/>
          <w:b/>
          <w:color w:val="auto"/>
          <w:sz w:val="32"/>
          <w:szCs w:val="32"/>
          <w:highlight w:val="none"/>
        </w:rPr>
      </w:pPr>
    </w:p>
    <w:p w14:paraId="300A01FD">
      <w:pPr>
        <w:snapToGrid w:val="0"/>
        <w:spacing w:line="460" w:lineRule="exact"/>
        <w:ind w:left="2940" w:leftChars="1400" w:firstLine="964" w:firstLineChars="300"/>
        <w:rPr>
          <w:rFonts w:hint="eastAsia" w:ascii="宋体"/>
          <w:b/>
          <w:color w:val="auto"/>
          <w:sz w:val="32"/>
          <w:szCs w:val="32"/>
          <w:highlight w:val="none"/>
        </w:rPr>
      </w:pPr>
    </w:p>
    <w:p w14:paraId="558D973E">
      <w:pPr>
        <w:snapToGrid w:val="0"/>
        <w:spacing w:line="460" w:lineRule="exact"/>
        <w:ind w:left="2940" w:leftChars="1400" w:firstLine="964" w:firstLineChars="300"/>
        <w:rPr>
          <w:rFonts w:hint="eastAsia" w:ascii="宋体"/>
          <w:b/>
          <w:color w:val="auto"/>
          <w:sz w:val="32"/>
          <w:szCs w:val="32"/>
          <w:highlight w:val="none"/>
        </w:rPr>
      </w:pPr>
    </w:p>
    <w:p w14:paraId="1E2239E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b/>
          <w:color w:val="auto"/>
          <w:sz w:val="36"/>
          <w:szCs w:val="36"/>
          <w:highlight w:val="none"/>
        </w:rPr>
      </w:pPr>
      <w:r>
        <w:rPr>
          <w:rFonts w:ascii="宋体" w:hAnsi="宋体"/>
          <w:b/>
          <w:color w:val="auto"/>
          <w:sz w:val="30"/>
          <w:szCs w:val="30"/>
          <w:highlight w:val="none"/>
        </w:rPr>
        <w:br w:type="page"/>
      </w:r>
      <w:r>
        <w:rPr>
          <w:rFonts w:hint="eastAsia" w:ascii="宋体"/>
          <w:b/>
          <w:color w:val="auto"/>
          <w:sz w:val="36"/>
          <w:szCs w:val="36"/>
          <w:highlight w:val="none"/>
        </w:rPr>
        <w:t>（1）开标一览表</w:t>
      </w:r>
    </w:p>
    <w:p w14:paraId="7879A642">
      <w:pPr>
        <w:snapToGrid w:val="0"/>
        <w:spacing w:line="460" w:lineRule="exact"/>
        <w:ind w:left="2940" w:leftChars="1400" w:firstLine="720" w:firstLineChars="300"/>
        <w:rPr>
          <w:rFonts w:hint="eastAsia" w:ascii="宋体"/>
          <w:color w:val="auto"/>
          <w:sz w:val="24"/>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04D81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803" w:type="dxa"/>
            <w:tcBorders>
              <w:top w:val="single" w:color="auto" w:sz="12" w:space="0"/>
              <w:bottom w:val="single" w:color="auto" w:sz="12" w:space="0"/>
              <w:right w:val="single" w:color="auto" w:sz="12" w:space="0"/>
            </w:tcBorders>
            <w:noWrap w:val="0"/>
            <w:vAlign w:val="center"/>
          </w:tcPr>
          <w:p w14:paraId="18B2E5E9">
            <w:pPr>
              <w:spacing w:line="460" w:lineRule="exact"/>
              <w:jc w:val="center"/>
              <w:rPr>
                <w:rFonts w:hint="eastAsia"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5C474561">
            <w:pPr>
              <w:spacing w:line="360" w:lineRule="auto"/>
              <w:jc w:val="left"/>
              <w:rPr>
                <w:rFonts w:hint="eastAsia"/>
                <w:color w:val="auto"/>
                <w:sz w:val="24"/>
                <w:highlight w:val="none"/>
              </w:rPr>
            </w:pPr>
            <w:r>
              <w:rPr>
                <w:rFonts w:hint="eastAsia"/>
                <w:color w:val="auto"/>
                <w:sz w:val="24"/>
                <w:highlight w:val="none"/>
              </w:rPr>
              <w:t xml:space="preserve">         </w:t>
            </w:r>
          </w:p>
        </w:tc>
      </w:tr>
      <w:tr w14:paraId="6E8A7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803" w:type="dxa"/>
            <w:tcBorders>
              <w:top w:val="single" w:color="auto" w:sz="12" w:space="0"/>
              <w:right w:val="single" w:color="auto" w:sz="12" w:space="0"/>
            </w:tcBorders>
            <w:noWrap w:val="0"/>
            <w:vAlign w:val="center"/>
          </w:tcPr>
          <w:p w14:paraId="6AC67583">
            <w:pPr>
              <w:spacing w:line="460" w:lineRule="exact"/>
              <w:jc w:val="center"/>
              <w:rPr>
                <w:rFonts w:hint="eastAsia"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noWrap w:val="0"/>
            <w:vAlign w:val="center"/>
          </w:tcPr>
          <w:p w14:paraId="3B06DAE0">
            <w:pPr>
              <w:rPr>
                <w:rFonts w:hint="eastAsia" w:ascii="宋体"/>
                <w:color w:val="auto"/>
                <w:sz w:val="24"/>
                <w:highlight w:val="none"/>
              </w:rPr>
            </w:pPr>
          </w:p>
        </w:tc>
      </w:tr>
      <w:tr w14:paraId="5EC15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803" w:type="dxa"/>
            <w:tcBorders>
              <w:right w:val="single" w:color="auto" w:sz="12" w:space="0"/>
            </w:tcBorders>
            <w:noWrap w:val="0"/>
            <w:vAlign w:val="center"/>
          </w:tcPr>
          <w:p w14:paraId="7AD37AA7">
            <w:pPr>
              <w:spacing w:line="460" w:lineRule="exact"/>
              <w:ind w:firstLine="120" w:firstLineChars="50"/>
              <w:rPr>
                <w:rFonts w:hint="eastAsia"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noWrap w:val="0"/>
            <w:vAlign w:val="top"/>
          </w:tcPr>
          <w:p w14:paraId="0A64EE1A">
            <w:pPr>
              <w:pStyle w:val="6"/>
              <w:spacing w:line="460" w:lineRule="exact"/>
              <w:ind w:left="86" w:leftChars="41"/>
              <w:rPr>
                <w:rFonts w:hint="eastAsia" w:ascii="宋体" w:eastAsia="宋体"/>
                <w:color w:val="auto"/>
                <w:sz w:val="24"/>
                <w:szCs w:val="24"/>
                <w:highlight w:val="none"/>
              </w:rPr>
            </w:pPr>
          </w:p>
        </w:tc>
      </w:tr>
      <w:tr w14:paraId="15C20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1" w:hRule="exact"/>
          <w:jc w:val="center"/>
        </w:trPr>
        <w:tc>
          <w:tcPr>
            <w:tcW w:w="1803" w:type="dxa"/>
            <w:tcBorders>
              <w:right w:val="single" w:color="auto" w:sz="12" w:space="0"/>
            </w:tcBorders>
            <w:noWrap w:val="0"/>
            <w:vAlign w:val="center"/>
          </w:tcPr>
          <w:p w14:paraId="3630AB16">
            <w:pPr>
              <w:spacing w:line="360" w:lineRule="auto"/>
              <w:jc w:val="center"/>
              <w:rPr>
                <w:rFonts w:ascii="宋体"/>
                <w:color w:val="auto"/>
                <w:sz w:val="24"/>
                <w:highlight w:val="none"/>
              </w:rPr>
            </w:pPr>
            <w:r>
              <w:rPr>
                <w:rFonts w:hint="eastAsia" w:ascii="宋体"/>
                <w:color w:val="auto"/>
                <w:sz w:val="24"/>
                <w:highlight w:val="none"/>
              </w:rPr>
              <w:t>投标</w:t>
            </w:r>
            <w:r>
              <w:rPr>
                <w:rFonts w:hint="eastAsia" w:ascii="宋体"/>
                <w:color w:val="auto"/>
                <w:sz w:val="24"/>
                <w:highlight w:val="none"/>
                <w:lang w:val="en-US" w:eastAsia="zh-CN"/>
              </w:rPr>
              <w:t>报</w:t>
            </w:r>
            <w:r>
              <w:rPr>
                <w:rFonts w:hint="eastAsia" w:ascii="宋体"/>
                <w:color w:val="auto"/>
                <w:sz w:val="24"/>
                <w:highlight w:val="none"/>
              </w:rPr>
              <w:t>价</w:t>
            </w:r>
            <w:r>
              <w:rPr>
                <w:rFonts w:hint="eastAsia" w:ascii="宋体"/>
                <w:color w:val="auto"/>
                <w:sz w:val="24"/>
                <w:highlight w:val="none"/>
                <w:lang w:eastAsia="zh-CN"/>
              </w:rPr>
              <w:t>（</w:t>
            </w:r>
            <w:r>
              <w:rPr>
                <w:rFonts w:hint="eastAsia" w:ascii="宋体"/>
                <w:color w:val="auto"/>
                <w:sz w:val="24"/>
                <w:highlight w:val="none"/>
                <w:lang w:val="en-US" w:eastAsia="zh-CN"/>
              </w:rPr>
              <w:t>元）</w:t>
            </w:r>
            <w:r>
              <w:rPr>
                <w:rFonts w:hint="eastAsia" w:ascii="宋体"/>
                <w:color w:val="auto"/>
                <w:sz w:val="24"/>
                <w:highlight w:val="none"/>
              </w:rPr>
              <w:t>\</w:t>
            </w:r>
            <w:r>
              <w:rPr>
                <w:rFonts w:hint="eastAsia" w:ascii="宋体"/>
                <w:color w:val="auto"/>
                <w:sz w:val="24"/>
                <w:highlight w:val="none"/>
                <w:lang w:val="en-US" w:eastAsia="zh-CN"/>
              </w:rPr>
              <w:t>服务期</w:t>
            </w:r>
          </w:p>
        </w:tc>
        <w:tc>
          <w:tcPr>
            <w:tcW w:w="6952" w:type="dxa"/>
            <w:tcBorders>
              <w:left w:val="single" w:color="auto" w:sz="12" w:space="0"/>
            </w:tcBorders>
            <w:noWrap w:val="0"/>
            <w:vAlign w:val="center"/>
          </w:tcPr>
          <w:p w14:paraId="15B834B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投标报价（含税）</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大</w:t>
            </w:r>
            <w:r>
              <w:rPr>
                <w:rFonts w:hint="eastAsia" w:ascii="宋体" w:hAnsi="Times New Roman" w:eastAsia="宋体" w:cs="Times New Roman"/>
                <w:color w:val="auto"/>
                <w:sz w:val="24"/>
                <w:highlight w:val="none"/>
              </w:rPr>
              <w:t>写) ：</w:t>
            </w:r>
            <w:r>
              <w:rPr>
                <w:rFonts w:hint="eastAsia" w:ascii="宋体" w:hAnsi="Times New Roman" w:eastAsia="宋体" w:cs="Times New Roman"/>
                <w:color w:val="auto"/>
                <w:sz w:val="24"/>
                <w:highlight w:val="none"/>
                <w:u w:val="single"/>
                <w:lang w:val="en-US" w:eastAsia="zh-CN"/>
              </w:rPr>
              <w:t xml:space="preserve">         每年</w:t>
            </w:r>
            <w:r>
              <w:rPr>
                <w:rFonts w:hint="eastAsia" w:ascii="宋体" w:hAnsi="Times New Roman" w:eastAsia="宋体" w:cs="Times New Roman"/>
                <w:color w:val="auto"/>
                <w:sz w:val="24"/>
                <w:highlight w:val="none"/>
                <w:lang w:val="en-US" w:eastAsia="zh-CN"/>
              </w:rPr>
              <w:t xml:space="preserve">；         </w:t>
            </w:r>
          </w:p>
          <w:p w14:paraId="111E5C08">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rPr>
              <w:t>(小写)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lang w:val="en-US" w:eastAsia="zh-CN"/>
              </w:rPr>
              <w:t>元/年；</w:t>
            </w:r>
          </w:p>
          <w:p w14:paraId="32971E2C">
            <w:pPr>
              <w:pStyle w:val="2"/>
              <w:numPr>
                <w:ilvl w:val="0"/>
                <w:numId w:val="0"/>
              </w:numPr>
              <w:rPr>
                <w:rFonts w:hint="default"/>
                <w:color w:val="auto"/>
                <w:highlight w:val="none"/>
                <w:lang w:val="en-US" w:eastAsia="zh-CN"/>
              </w:rPr>
            </w:pPr>
          </w:p>
          <w:p w14:paraId="24A1E0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4"/>
                <w:highlight w:val="none"/>
                <w:lang w:val="en-US" w:eastAsia="zh-CN"/>
              </w:rPr>
            </w:pPr>
          </w:p>
          <w:p w14:paraId="7BA1A8F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ascii="宋体"/>
                <w:color w:val="auto"/>
                <w:sz w:val="24"/>
                <w:highlight w:val="none"/>
                <w:lang w:val="en-US" w:eastAsia="zh-CN"/>
              </w:rPr>
              <w:t>服务期</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 xml:space="preserve"> </w:t>
            </w:r>
            <w:r>
              <w:rPr>
                <w:rFonts w:hint="eastAsia" w:ascii="宋体"/>
                <w:color w:val="auto"/>
                <w:sz w:val="24"/>
                <w:highlight w:val="none"/>
                <w:u w:val="single"/>
                <w:lang w:val="en-US" w:eastAsia="zh-CN"/>
              </w:rPr>
              <w:t xml:space="preserve"> 安装调试期3个月，自安装调试期结束之日起五年，合同一年一签（考核合格后） </w:t>
            </w:r>
            <w:r>
              <w:rPr>
                <w:rFonts w:hint="eastAsia" w:ascii="宋体"/>
                <w:color w:val="auto"/>
                <w:sz w:val="24"/>
                <w:highlight w:val="none"/>
                <w:lang w:val="en-US" w:eastAsia="zh-CN"/>
              </w:rPr>
              <w:t>。</w:t>
            </w:r>
          </w:p>
        </w:tc>
      </w:tr>
    </w:tbl>
    <w:p w14:paraId="0F56A24E">
      <w:pPr>
        <w:snapToGrid w:val="0"/>
        <w:spacing w:line="460" w:lineRule="exact"/>
        <w:ind w:left="2940" w:leftChars="1400" w:firstLine="723" w:firstLineChars="300"/>
        <w:rPr>
          <w:rFonts w:hint="eastAsia" w:ascii="宋体"/>
          <w:b/>
          <w:color w:val="auto"/>
          <w:sz w:val="24"/>
          <w:highlight w:val="none"/>
        </w:rPr>
      </w:pPr>
    </w:p>
    <w:p w14:paraId="7FBFD64C">
      <w:pPr>
        <w:rPr>
          <w:rFonts w:hint="eastAsia" w:ascii="宋体"/>
          <w:color w:val="auto"/>
          <w:sz w:val="24"/>
          <w:highlight w:val="none"/>
        </w:rPr>
      </w:pPr>
      <w:r>
        <w:rPr>
          <w:rFonts w:hint="eastAsia" w:ascii="宋体"/>
          <w:color w:val="auto"/>
          <w:sz w:val="24"/>
          <w:highlight w:val="none"/>
        </w:rPr>
        <w:t>法定代表人（签章）：         投标人（签章）：</w:t>
      </w:r>
    </w:p>
    <w:p w14:paraId="19C79E0C">
      <w:pPr>
        <w:snapToGrid w:val="0"/>
        <w:spacing w:before="312" w:beforeLines="100" w:after="312" w:afterLines="100" w:line="360" w:lineRule="auto"/>
        <w:jc w:val="center"/>
        <w:rPr>
          <w:rFonts w:hint="eastAsia" w:ascii="宋体"/>
          <w:color w:val="auto"/>
          <w:sz w:val="24"/>
          <w:highlight w:val="none"/>
        </w:rPr>
      </w:pPr>
      <w:r>
        <w:rPr>
          <w:rFonts w:hint="eastAsia" w:ascii="宋体"/>
          <w:color w:val="auto"/>
          <w:sz w:val="24"/>
          <w:highlight w:val="none"/>
        </w:rPr>
        <w:t xml:space="preserve">                                    </w:t>
      </w:r>
    </w:p>
    <w:p w14:paraId="04A745C3">
      <w:pPr>
        <w:snapToGrid w:val="0"/>
        <w:spacing w:before="312" w:beforeLines="100" w:after="312" w:afterLines="100" w:line="360" w:lineRule="auto"/>
        <w:jc w:val="center"/>
        <w:rPr>
          <w:rFonts w:cs="Arial"/>
          <w:b/>
          <w:bCs/>
          <w:color w:val="auto"/>
          <w:sz w:val="30"/>
          <w:szCs w:val="30"/>
          <w:highlight w:val="none"/>
        </w:rPr>
        <w:sectPr>
          <w:footerReference r:id="rId15" w:type="default"/>
          <w:pgSz w:w="11905" w:h="16838"/>
          <w:pgMar w:top="1440" w:right="1083" w:bottom="1440" w:left="1083" w:header="851" w:footer="992" w:gutter="0"/>
          <w:pgNumType w:fmt="decimal"/>
          <w:cols w:space="720" w:num="1"/>
          <w:rtlGutter w:val="0"/>
          <w:docGrid w:type="lines" w:linePitch="335"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日</w:t>
      </w:r>
    </w:p>
    <w:p w14:paraId="034E0CEA">
      <w:pPr>
        <w:spacing w:line="360" w:lineRule="exact"/>
        <w:ind w:firstLine="531" w:firstLineChars="147"/>
        <w:jc w:val="center"/>
        <w:rPr>
          <w:rFonts w:hint="eastAsia" w:ascii="宋体"/>
          <w:b/>
          <w:color w:val="auto"/>
          <w:sz w:val="36"/>
          <w:szCs w:val="36"/>
          <w:highlight w:val="none"/>
        </w:rPr>
      </w:pPr>
    </w:p>
    <w:p w14:paraId="2FD899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b/>
          <w:color w:val="auto"/>
          <w:sz w:val="36"/>
          <w:szCs w:val="36"/>
          <w:highlight w:val="none"/>
        </w:rPr>
      </w:pPr>
      <w:r>
        <w:rPr>
          <w:rFonts w:hint="eastAsia" w:ascii="宋体"/>
          <w:b/>
          <w:color w:val="auto"/>
          <w:sz w:val="36"/>
          <w:szCs w:val="36"/>
          <w:highlight w:val="none"/>
        </w:rPr>
        <w:t>（2）投  标  函</w:t>
      </w:r>
    </w:p>
    <w:p w14:paraId="69CDE2A9">
      <w:pPr>
        <w:spacing w:line="440" w:lineRule="exact"/>
        <w:rPr>
          <w:rFonts w:hint="eastAsia" w:ascii="宋体"/>
          <w:color w:val="auto"/>
          <w:sz w:val="24"/>
          <w:highlight w:val="none"/>
        </w:rPr>
      </w:pPr>
    </w:p>
    <w:p w14:paraId="6BD46FE3">
      <w:pPr>
        <w:spacing w:line="500" w:lineRule="exact"/>
        <w:rPr>
          <w:rFonts w:hint="eastAsia" w:ascii="宋体"/>
          <w:color w:val="auto"/>
          <w:szCs w:val="21"/>
          <w:highlight w:val="none"/>
        </w:rPr>
      </w:pPr>
      <w:bookmarkStart w:id="268" w:name="_Toc449028957"/>
      <w:r>
        <w:rPr>
          <w:rFonts w:hint="eastAsia" w:ascii="宋体"/>
          <w:color w:val="auto"/>
          <w:szCs w:val="21"/>
          <w:highlight w:val="none"/>
        </w:rPr>
        <w:t>致：</w:t>
      </w:r>
      <w:r>
        <w:rPr>
          <w:rFonts w:hint="eastAsia" w:ascii="宋体"/>
          <w:color w:val="auto"/>
          <w:szCs w:val="21"/>
          <w:highlight w:val="none"/>
          <w:u w:val="single"/>
        </w:rPr>
        <w:t xml:space="preserve">       (招标人)       </w:t>
      </w:r>
      <w:r>
        <w:rPr>
          <w:rFonts w:hint="eastAsia" w:ascii="宋体"/>
          <w:color w:val="auto"/>
          <w:szCs w:val="21"/>
          <w:highlight w:val="none"/>
        </w:rPr>
        <w:t xml:space="preserve"> </w:t>
      </w:r>
    </w:p>
    <w:p w14:paraId="2FCB09C5">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根据你方招</w:t>
      </w:r>
      <w:bookmarkStart w:id="269" w:name="_Toc60061591"/>
      <w:r>
        <w:rPr>
          <w:rFonts w:hint="eastAsia" w:ascii="宋体" w:hAnsi="宋体"/>
          <w:color w:val="auto"/>
          <w:szCs w:val="21"/>
          <w:highlight w:val="none"/>
        </w:rPr>
        <w:t>标项目编号为</w:t>
      </w:r>
      <w:r>
        <w:rPr>
          <w:rFonts w:ascii="宋体" w:hAnsi="宋体"/>
          <w:color w:val="auto"/>
          <w:szCs w:val="21"/>
          <w:highlight w:val="none"/>
          <w:u w:val="single"/>
        </w:rPr>
        <w:t xml:space="preserve">  </w:t>
      </w:r>
      <w:bookmarkEnd w:id="269"/>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的</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招标文件，遵照《中华人民共和国招标投标法》等有关规定，经踏勘项目现场和研究上述招标文件的投标须知、合同条件、采购清单和其他有关文件后，</w:t>
      </w:r>
      <w:r>
        <w:rPr>
          <w:rFonts w:hint="eastAsia" w:ascii="宋体" w:hAnsi="宋体" w:cs="宋体"/>
          <w:color w:val="auto"/>
          <w:szCs w:val="21"/>
          <w:highlight w:val="none"/>
        </w:rPr>
        <w:t>我</w:t>
      </w:r>
      <w:r>
        <w:rPr>
          <w:rFonts w:hint="eastAsia" w:ascii="宋体" w:hAnsi="宋体" w:cs="宋体"/>
          <w:color w:val="auto"/>
          <w:sz w:val="21"/>
          <w:szCs w:val="21"/>
          <w:highlight w:val="none"/>
        </w:rPr>
        <w:t>方愿</w:t>
      </w:r>
      <w:r>
        <w:rPr>
          <w:rFonts w:ascii="宋体" w:hAnsi="宋体"/>
          <w:color w:val="auto"/>
          <w:sz w:val="21"/>
          <w:szCs w:val="21"/>
          <w:highlight w:val="none"/>
        </w:rPr>
        <w:t xml:space="preserve"> </w:t>
      </w:r>
      <w:r>
        <w:rPr>
          <w:rFonts w:hint="eastAsia" w:ascii="宋体" w:hAnsi="宋体"/>
          <w:color w:val="auto"/>
          <w:sz w:val="21"/>
          <w:szCs w:val="21"/>
          <w:highlight w:val="none"/>
        </w:rPr>
        <w:t>（币种，金额、单位）</w:t>
      </w:r>
      <w:r>
        <w:rPr>
          <w:rFonts w:hint="eastAsia" w:ascii="宋体" w:hAnsi="宋体"/>
          <w:color w:val="auto"/>
          <w:sz w:val="21"/>
          <w:szCs w:val="21"/>
          <w:highlight w:val="none"/>
          <w:u w:val="single"/>
        </w:rPr>
        <w:t>人民币           元</w:t>
      </w:r>
      <w:r>
        <w:rPr>
          <w:rFonts w:hint="eastAsia" w:ascii="宋体" w:hAnsi="宋体"/>
          <w:color w:val="auto"/>
          <w:sz w:val="21"/>
          <w:szCs w:val="21"/>
          <w:highlight w:val="none"/>
          <w:u w:val="single"/>
          <w:lang w:val="en-US" w:eastAsia="zh-CN"/>
        </w:rPr>
        <w:t xml:space="preserve">/年 ；           </w:t>
      </w:r>
      <w:r>
        <w:rPr>
          <w:rFonts w:hint="eastAsia" w:ascii="宋体" w:hAnsi="宋体"/>
          <w:color w:val="auto"/>
          <w:sz w:val="21"/>
          <w:szCs w:val="21"/>
          <w:highlight w:val="none"/>
          <w:u w:val="single"/>
        </w:rPr>
        <w:t>元</w:t>
      </w:r>
      <w:r>
        <w:rPr>
          <w:rFonts w:hint="eastAsia" w:ascii="宋体" w:hAnsi="宋体"/>
          <w:color w:val="auto"/>
          <w:sz w:val="21"/>
          <w:szCs w:val="21"/>
          <w:highlight w:val="none"/>
          <w:u w:val="single"/>
          <w:lang w:val="en-US" w:eastAsia="zh-CN"/>
        </w:rPr>
        <w:t xml:space="preserve">/五年    </w:t>
      </w:r>
      <w:r>
        <w:rPr>
          <w:rFonts w:hint="eastAsia" w:ascii="宋体" w:hAnsi="宋体"/>
          <w:color w:val="auto"/>
          <w:sz w:val="21"/>
          <w:szCs w:val="21"/>
          <w:highlight w:val="none"/>
        </w:rPr>
        <w:t>的投标</w:t>
      </w:r>
      <w:r>
        <w:rPr>
          <w:rFonts w:hint="eastAsia" w:ascii="宋体" w:hAnsi="宋体"/>
          <w:color w:val="auto"/>
          <w:sz w:val="21"/>
          <w:szCs w:val="21"/>
          <w:highlight w:val="none"/>
          <w:lang w:val="en-US" w:eastAsia="zh-CN"/>
        </w:rPr>
        <w:t>总</w:t>
      </w:r>
      <w:r>
        <w:rPr>
          <w:rFonts w:hint="eastAsia" w:ascii="宋体" w:hAnsi="宋体"/>
          <w:color w:val="auto"/>
          <w:sz w:val="21"/>
          <w:szCs w:val="21"/>
          <w:highlight w:val="none"/>
        </w:rPr>
        <w:t>报价</w:t>
      </w:r>
      <w:r>
        <w:rPr>
          <w:rFonts w:hint="eastAsia" w:ascii="宋体" w:hAnsi="宋体" w:eastAsia="宋体" w:cs="宋体"/>
          <w:color w:val="auto"/>
          <w:sz w:val="21"/>
          <w:szCs w:val="21"/>
          <w:highlight w:val="none"/>
        </w:rPr>
        <w:t>承</w:t>
      </w: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rPr>
        <w:t>上述</w:t>
      </w: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rPr>
        <w:t>。</w:t>
      </w:r>
    </w:p>
    <w:p w14:paraId="0E2ABB0B">
      <w:pPr>
        <w:tabs>
          <w:tab w:val="left" w:pos="840"/>
        </w:tabs>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2.我方已详细审核全部招标文件及有关附件，承诺招标文件及有关附件中所有条款。</w:t>
      </w:r>
    </w:p>
    <w:p w14:paraId="5A430605">
      <w:pPr>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一旦我方中标，按招标文件的要求承担本项目服务工作。</w:t>
      </w:r>
    </w:p>
    <w:p w14:paraId="52C20113">
      <w:pPr>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随本投标书，我方同时按照招标文件的要求提交投标保证金。如果我方在投标截止后撤销投标文件，或在中标后无正当理由不与招标人订立合同，在签订合同时向招标人提出附加条件，或者不按照招标文件要求提交履约保证金，贵单位有权不予退还投标保证金。</w:t>
      </w:r>
    </w:p>
    <w:p w14:paraId="66CE6C85">
      <w:pPr>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5.如果我方中标我方将按照招标文件的规定提交履约担保。服务期满后，方可退还。</w:t>
      </w:r>
    </w:p>
    <w:p w14:paraId="46489097">
      <w:pPr>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6.我方承诺在招标文件规定的投标有效期内不撤销投标文件。</w:t>
      </w:r>
    </w:p>
    <w:p w14:paraId="3BB7FB59">
      <w:pPr>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7.我单位提供如下通讯地址：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电子邮箱（地址），确认本项目相关法律文书均通过提供的以上地址送达，相关文书只要发送至以上电子邮箱（地址）即视为送达，投标人愿意承担一切法律后果。</w:t>
      </w:r>
    </w:p>
    <w:p w14:paraId="48F02212">
      <w:pPr>
        <w:spacing w:line="500" w:lineRule="exact"/>
        <w:ind w:firstLine="420" w:firstLineChars="200"/>
        <w:rPr>
          <w:rFonts w:hint="eastAsia" w:ascii="宋体"/>
          <w:color w:val="auto"/>
          <w:szCs w:val="21"/>
          <w:highlight w:val="none"/>
        </w:rPr>
      </w:pPr>
      <w:r>
        <w:rPr>
          <w:rFonts w:hint="eastAsia" w:ascii="宋体"/>
          <w:color w:val="auto"/>
          <w:szCs w:val="21"/>
          <w:highlight w:val="none"/>
        </w:rPr>
        <w:t> </w:t>
      </w: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7EC59BC">
      <w:pPr>
        <w:adjustRightInd w:val="0"/>
        <w:snapToGrid w:val="0"/>
        <w:spacing w:line="560" w:lineRule="exact"/>
        <w:ind w:firstLine="420" w:firstLineChars="200"/>
        <w:rPr>
          <w:rFonts w:hint="eastAsia" w:ascii="宋体" w:hAnsi="宋体"/>
          <w:color w:val="auto"/>
          <w:szCs w:val="21"/>
          <w:highlight w:val="none"/>
        </w:rPr>
      </w:pPr>
    </w:p>
    <w:p w14:paraId="31F7D001">
      <w:pPr>
        <w:adjustRightInd w:val="0"/>
        <w:snapToGrid w:val="0"/>
        <w:spacing w:line="5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rPr>
        <w:t>（签章）</w:t>
      </w:r>
      <w:r>
        <w:rPr>
          <w:rFonts w:ascii="宋体" w:hAnsi="宋体"/>
          <w:color w:val="auto"/>
          <w:szCs w:val="21"/>
          <w:highlight w:val="none"/>
          <w:u w:val="single"/>
        </w:rPr>
        <w:t xml:space="preserve">   </w:t>
      </w:r>
    </w:p>
    <w:p w14:paraId="11667BDF">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（签章）</w:t>
      </w:r>
    </w:p>
    <w:p w14:paraId="5A2DBA28">
      <w:pPr>
        <w:adjustRightInd w:val="0"/>
        <w:snapToGrid w:val="0"/>
        <w:spacing w:line="5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单位地址：</w:t>
      </w:r>
      <w:r>
        <w:rPr>
          <w:rFonts w:hint="eastAsia" w:ascii="宋体" w:hAnsi="宋体"/>
          <w:color w:val="auto"/>
          <w:sz w:val="21"/>
          <w:szCs w:val="21"/>
          <w:highlight w:val="none"/>
          <w:u w:val="single"/>
        </w:rPr>
        <w:t xml:space="preserve">                                       </w:t>
      </w:r>
    </w:p>
    <w:p w14:paraId="64B4109B">
      <w:pPr>
        <w:adjustRightInd w:val="0"/>
        <w:snapToGrid w:val="0"/>
        <w:spacing w:line="560" w:lineRule="exact"/>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邮政编码：</w:t>
      </w:r>
      <w:r>
        <w:rPr>
          <w:rFonts w:ascii="宋体" w:hAnsi="宋体"/>
          <w:color w:val="auto"/>
          <w:sz w:val="21"/>
          <w:szCs w:val="21"/>
          <w:highlight w:val="none"/>
          <w:u w:val="single"/>
        </w:rPr>
        <w:t xml:space="preserve">            </w:t>
      </w:r>
      <w:r>
        <w:rPr>
          <w:rFonts w:hint="eastAsia" w:ascii="宋体" w:hAnsi="宋体"/>
          <w:color w:val="auto"/>
          <w:sz w:val="21"/>
          <w:szCs w:val="21"/>
          <w:highlight w:val="none"/>
        </w:rPr>
        <w:t>联系人手机号码：</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传真：</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0C9E9E16">
      <w:pPr>
        <w:adjustRightInd w:val="0"/>
        <w:snapToGrid w:val="0"/>
        <w:spacing w:line="560" w:lineRule="exact"/>
        <w:ind w:firstLine="420" w:firstLineChars="200"/>
        <w:rPr>
          <w:color w:val="auto"/>
          <w:sz w:val="21"/>
          <w:szCs w:val="21"/>
          <w:highlight w:val="none"/>
          <w:u w:val="single"/>
        </w:rPr>
      </w:pPr>
      <w:r>
        <w:rPr>
          <w:rFonts w:hint="eastAsia" w:ascii="宋体" w:hAnsi="宋体"/>
          <w:color w:val="auto"/>
          <w:sz w:val="21"/>
          <w:szCs w:val="21"/>
          <w:highlight w:val="none"/>
        </w:rPr>
        <w:t>日期：</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6774200">
      <w:pPr>
        <w:snapToGrid w:val="0"/>
        <w:spacing w:before="161" w:beforeLines="50" w:after="161" w:afterLines="50" w:line="440" w:lineRule="exact"/>
        <w:jc w:val="both"/>
        <w:outlineLvl w:val="2"/>
        <w:rPr>
          <w:rFonts w:hint="eastAsia"/>
          <w:b/>
          <w:color w:val="auto"/>
          <w:sz w:val="28"/>
          <w:szCs w:val="28"/>
          <w:highlight w:val="none"/>
        </w:rPr>
        <w:sectPr>
          <w:pgSz w:w="11905" w:h="16838"/>
          <w:pgMar w:top="1440" w:right="1083" w:bottom="1440" w:left="1083" w:header="851" w:footer="992" w:gutter="0"/>
          <w:pgNumType w:fmt="decimal"/>
          <w:cols w:space="720" w:num="1"/>
          <w:rtlGutter w:val="0"/>
          <w:docGrid w:type="lines" w:linePitch="335" w:charSpace="0"/>
        </w:sectPr>
      </w:pPr>
    </w:p>
    <w:p w14:paraId="1604CB68">
      <w:pP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w:t>
      </w:r>
      <w:r>
        <w:rPr>
          <w:rFonts w:ascii="Times New Roman" w:hAnsi="Times New Roman" w:eastAsia="宋体" w:cs="Times New Roman"/>
          <w:b/>
          <w:color w:val="auto"/>
          <w:sz w:val="28"/>
          <w:szCs w:val="28"/>
          <w:highlight w:val="none"/>
          <w:lang w:bidi="ar"/>
        </w:rPr>
        <w:t>1</w:t>
      </w:r>
    </w:p>
    <w:p w14:paraId="2FBEDA63">
      <w:pPr>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关于联合惩戒失信行为加强信用查询管理的通知</w:t>
      </w:r>
    </w:p>
    <w:p w14:paraId="464A88B9">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一、失信行为联合惩戒的范围和查询渠道</w:t>
      </w:r>
    </w:p>
    <w:p w14:paraId="37A44F8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在我市公共资源交易活动中对存在下列失信行为的投标人、法定代表人及其项目经理（建造师）实施联合惩戒，禁止参与我市公共资源交易活动。</w:t>
      </w:r>
    </w:p>
    <w:p w14:paraId="6ABC1FA5">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（一）工程建设项目</w:t>
      </w:r>
    </w:p>
    <w:p w14:paraId="4678AD80">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1、“信用中国”网站（www.creditchina.gov.cn）查询</w:t>
      </w:r>
      <w:bookmarkStart w:id="270" w:name="OLE_LINK91"/>
      <w:bookmarkStart w:id="271" w:name="OLE_LINK103"/>
      <w:bookmarkStart w:id="272" w:name="OLE_LINK93"/>
      <w:bookmarkStart w:id="273" w:name="OLE_LINK92"/>
      <w:r>
        <w:rPr>
          <w:rFonts w:hint="eastAsia" w:ascii="宋体" w:hAnsi="宋体" w:eastAsia="宋体" w:cs="宋体"/>
          <w:color w:val="auto"/>
          <w:sz w:val="24"/>
          <w:szCs w:val="24"/>
          <w:highlight w:val="none"/>
        </w:rPr>
        <w:t>投标人、法定代表人及其项目经理(建造师)</w:t>
      </w:r>
      <w:bookmarkEnd w:id="270"/>
      <w:bookmarkEnd w:id="271"/>
      <w:bookmarkEnd w:id="272"/>
      <w:bookmarkEnd w:id="273"/>
      <w:r>
        <w:rPr>
          <w:rFonts w:hint="eastAsia" w:ascii="宋体" w:hAnsi="宋体" w:eastAsia="宋体" w:cs="宋体"/>
          <w:color w:val="auto"/>
          <w:sz w:val="24"/>
          <w:szCs w:val="24"/>
          <w:highlight w:val="none"/>
        </w:rPr>
        <w:t>以下失信行为：</w:t>
      </w:r>
    </w:p>
    <w:p w14:paraId="12A85153">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74" w:name="OLE_LINK94"/>
      <w:bookmarkStart w:id="275" w:name="OLE_LINK119"/>
      <w:bookmarkStart w:id="276" w:name="OLE_LINK3"/>
      <w:bookmarkStart w:id="277" w:name="OLE_LINK87"/>
      <w:bookmarkStart w:id="278" w:name="OLE_LINK86"/>
      <w:r>
        <w:rPr>
          <w:rFonts w:hint="eastAsia" w:ascii="宋体" w:hAnsi="宋体" w:eastAsia="宋体" w:cs="宋体"/>
          <w:color w:val="auto"/>
          <w:sz w:val="24"/>
          <w:szCs w:val="24"/>
          <w:highlight w:val="none"/>
        </w:rPr>
        <w:t>①被列入“失信被执行人”的;</w:t>
      </w:r>
    </w:p>
    <w:p w14:paraId="7399F4FA">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w:t>
      </w:r>
      <w:bookmarkStart w:id="279" w:name="OLE_LINK115"/>
      <w:bookmarkStart w:id="280" w:name="OLE_LINK116"/>
      <w:bookmarkStart w:id="281" w:name="OLE_LINK117"/>
      <w:bookmarkStart w:id="282" w:name="OLE_LINK118"/>
      <w:r>
        <w:rPr>
          <w:rFonts w:hint="eastAsia" w:ascii="宋体" w:hAnsi="宋体" w:eastAsia="宋体" w:cs="宋体"/>
          <w:color w:val="auto"/>
          <w:sz w:val="24"/>
          <w:szCs w:val="24"/>
          <w:highlight w:val="none"/>
        </w:rPr>
        <w:t>“重大税收违法失信主体”</w:t>
      </w:r>
      <w:bookmarkEnd w:id="279"/>
      <w:bookmarkEnd w:id="280"/>
      <w:bookmarkEnd w:id="281"/>
      <w:bookmarkEnd w:id="282"/>
      <w:r>
        <w:rPr>
          <w:rFonts w:hint="eastAsia" w:ascii="宋体" w:hAnsi="宋体" w:eastAsia="宋体" w:cs="宋体"/>
          <w:color w:val="auto"/>
          <w:sz w:val="24"/>
          <w:szCs w:val="24"/>
          <w:highlight w:val="none"/>
        </w:rPr>
        <w:t>的；</w:t>
      </w:r>
    </w:p>
    <w:p w14:paraId="5B224707">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③被列入“拖欠</w:t>
      </w:r>
      <w:bookmarkStart w:id="283" w:name="OLE_LINK84"/>
      <w:bookmarkStart w:id="284" w:name="OLE_LINK85"/>
      <w:r>
        <w:rPr>
          <w:rFonts w:hint="eastAsia" w:ascii="宋体" w:hAnsi="宋体" w:eastAsia="宋体" w:cs="宋体"/>
          <w:color w:val="auto"/>
          <w:sz w:val="24"/>
          <w:szCs w:val="24"/>
          <w:highlight w:val="none"/>
        </w:rPr>
        <w:t>农民工工资失信联合惩戒对象</w:t>
      </w:r>
      <w:bookmarkEnd w:id="283"/>
      <w:bookmarkEnd w:id="284"/>
      <w:r>
        <w:rPr>
          <w:rFonts w:hint="eastAsia" w:ascii="宋体" w:hAnsi="宋体" w:eastAsia="宋体" w:cs="宋体"/>
          <w:color w:val="auto"/>
          <w:sz w:val="24"/>
          <w:szCs w:val="24"/>
          <w:highlight w:val="none"/>
        </w:rPr>
        <w:t>名单”的；</w:t>
      </w:r>
    </w:p>
    <w:p w14:paraId="167FC1AD">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④被列入 “严重失信主体名单”的；</w:t>
      </w:r>
    </w:p>
    <w:p w14:paraId="777A49A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⑤在“信用中国”网站上披露的仍在公示期的严重失信行为(具体行为类别及判定依据见附件2)的。</w:t>
      </w:r>
    </w:p>
    <w:bookmarkEnd w:id="274"/>
    <w:bookmarkEnd w:id="275"/>
    <w:bookmarkEnd w:id="276"/>
    <w:bookmarkEnd w:id="277"/>
    <w:bookmarkEnd w:id="278"/>
    <w:p w14:paraId="62DBDC19">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285" w:name="OLE_LINK130"/>
      <w:r>
        <w:rPr>
          <w:rFonts w:hint="eastAsia" w:ascii="宋体" w:hAnsi="宋体" w:eastAsia="宋体" w:cs="宋体"/>
          <w:color w:val="auto"/>
          <w:sz w:val="24"/>
          <w:szCs w:val="24"/>
          <w:highlight w:val="none"/>
        </w:rPr>
        <w:t>国家企业信用信息公示系统网站</w:t>
      </w:r>
      <w:bookmarkEnd w:id="28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bookmarkStart w:id="286" w:name="OLE_LINK89"/>
      <w:bookmarkStart w:id="287" w:name="OLE_LINK90"/>
      <w:r>
        <w:rPr>
          <w:rStyle w:val="17"/>
          <w:rFonts w:hint="eastAsia" w:ascii="宋体" w:hAnsi="宋体" w:eastAsia="宋体" w:cs="宋体"/>
          <w:color w:val="auto"/>
          <w:sz w:val="24"/>
          <w:szCs w:val="24"/>
          <w:highlight w:val="none"/>
        </w:rPr>
        <w:t>www.gsxt.gov.cn</w:t>
      </w:r>
      <w:bookmarkEnd w:id="286"/>
      <w:bookmarkEnd w:id="287"/>
      <w:r>
        <w:rPr>
          <w:rStyle w:val="17"/>
          <w:rFonts w:hint="eastAsia" w:ascii="宋体" w:hAnsi="宋体" w:eastAsia="宋体" w:cs="宋体"/>
          <w:color w:val="auto"/>
          <w:sz w:val="24"/>
          <w:szCs w:val="24"/>
          <w:highlight w:val="none"/>
        </w:rPr>
        <w:t>）</w:t>
      </w:r>
      <w:r>
        <w:rPr>
          <w:rStyle w:val="17"/>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查询投标人以下失信行为：</w:t>
      </w:r>
    </w:p>
    <w:p w14:paraId="65A8898B">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88" w:name="OLE_LINK122"/>
      <w:bookmarkStart w:id="289" w:name="OLE_LINK121"/>
      <w:bookmarkStart w:id="290" w:name="OLE_LINK120"/>
      <w:r>
        <w:rPr>
          <w:rFonts w:hint="eastAsia" w:ascii="宋体" w:hAnsi="宋体" w:eastAsia="宋体" w:cs="宋体"/>
          <w:color w:val="auto"/>
          <w:sz w:val="24"/>
          <w:szCs w:val="24"/>
          <w:highlight w:val="none"/>
        </w:rPr>
        <w:t>①</w:t>
      </w:r>
      <w:bookmarkStart w:id="291" w:name="OLE_LINK114"/>
      <w:bookmarkStart w:id="292" w:name="OLE_LINK113"/>
      <w:r>
        <w:rPr>
          <w:rFonts w:hint="eastAsia" w:ascii="宋体" w:hAnsi="宋体" w:eastAsia="宋体" w:cs="宋体"/>
          <w:color w:val="auto"/>
          <w:sz w:val="24"/>
          <w:szCs w:val="24"/>
          <w:highlight w:val="none"/>
        </w:rPr>
        <w:t>被列入“经营异常名录”或者“严重违法失信名单”的</w:t>
      </w:r>
      <w:bookmarkEnd w:id="291"/>
      <w:bookmarkEnd w:id="292"/>
      <w:r>
        <w:rPr>
          <w:rFonts w:hint="eastAsia" w:ascii="宋体" w:hAnsi="宋体" w:eastAsia="宋体" w:cs="宋体"/>
          <w:color w:val="auto"/>
          <w:sz w:val="24"/>
          <w:szCs w:val="24"/>
          <w:highlight w:val="none"/>
        </w:rPr>
        <w:t>。</w:t>
      </w:r>
      <w:bookmarkEnd w:id="288"/>
      <w:bookmarkEnd w:id="289"/>
      <w:bookmarkEnd w:id="290"/>
    </w:p>
    <w:p w14:paraId="12D60208">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w:t>
      </w:r>
      <w:r>
        <w:rPr>
          <w:rFonts w:hint="eastAsia" w:ascii="宋体" w:hAnsi="宋体" w:eastAsia="宋体" w:cs="宋体"/>
          <w:color w:val="auto"/>
          <w:kern w:val="0"/>
          <w:sz w:val="24"/>
          <w:szCs w:val="24"/>
          <w:highlight w:val="none"/>
        </w:rPr>
        <w:t>投标人、法定代表人及其项目经理(建造师)</w:t>
      </w:r>
      <w:r>
        <w:rPr>
          <w:rFonts w:hint="eastAsia" w:ascii="宋体" w:hAnsi="宋体" w:eastAsia="宋体" w:cs="宋体"/>
          <w:color w:val="auto"/>
          <w:sz w:val="24"/>
          <w:szCs w:val="24"/>
          <w:highlight w:val="none"/>
        </w:rPr>
        <w:t>进行承诺，不进行现场网上信用查询的失信行为：</w:t>
      </w:r>
    </w:p>
    <w:p w14:paraId="1E48F1E6">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93" w:name="OLE_LINK124"/>
      <w:bookmarkStart w:id="294" w:name="OLE_LINK123"/>
      <w:r>
        <w:rPr>
          <w:rFonts w:hint="eastAsia" w:ascii="宋体" w:hAnsi="宋体" w:eastAsia="宋体" w:cs="宋体"/>
          <w:color w:val="auto"/>
          <w:sz w:val="24"/>
          <w:szCs w:val="24"/>
          <w:highlight w:val="none"/>
        </w:rPr>
        <w:t>①前三年有行贿犯罪行为的单位和个人；</w:t>
      </w:r>
    </w:p>
    <w:p w14:paraId="76985ED2">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②被滁州市县两级公管部门取消在一定期限内的投标资格且在取消期限内的；</w:t>
      </w:r>
    </w:p>
    <w:p w14:paraId="70B7992A">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③被滁州市县两级各行业主管部门取消在一定期限内的投标资格且在取消期限内的；</w:t>
      </w:r>
    </w:p>
    <w:p w14:paraId="477656D0">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④因拖欠农民工工资被</w:t>
      </w:r>
      <w:bookmarkStart w:id="295" w:name="OLE_LINK108"/>
      <w:bookmarkStart w:id="296" w:name="OLE_LINK107"/>
      <w:r>
        <w:rPr>
          <w:rFonts w:hint="eastAsia" w:ascii="宋体" w:hAnsi="宋体" w:eastAsia="宋体" w:cs="宋体"/>
          <w:color w:val="auto"/>
          <w:sz w:val="24"/>
          <w:szCs w:val="24"/>
          <w:highlight w:val="none"/>
        </w:rPr>
        <w:t>县级及以上有关行政主管部门限制投标资格且在限制期限内的</w:t>
      </w:r>
      <w:bookmarkEnd w:id="295"/>
      <w:bookmarkEnd w:id="296"/>
      <w:r>
        <w:rPr>
          <w:rFonts w:hint="eastAsia" w:ascii="宋体" w:hAnsi="宋体" w:eastAsia="宋体" w:cs="宋体"/>
          <w:color w:val="auto"/>
          <w:sz w:val="24"/>
          <w:szCs w:val="24"/>
          <w:highlight w:val="none"/>
        </w:rPr>
        <w:t>；</w:t>
      </w:r>
    </w:p>
    <w:p w14:paraId="39734C7A">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93"/>
    <w:bookmarkEnd w:id="294"/>
    <w:p w14:paraId="605874A5">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（二）政府采购项目</w:t>
      </w:r>
    </w:p>
    <w:p w14:paraId="5537063B">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t>
      </w:r>
      <w:r>
        <w:rPr>
          <w:rStyle w:val="17"/>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t>）查询供应商、法定代表人及其项目负责人以下失信行为：</w:t>
      </w:r>
    </w:p>
    <w:p w14:paraId="7165107D">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①被列入“失信被执行人”的;</w:t>
      </w:r>
    </w:p>
    <w:p w14:paraId="75BC3643">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②被列入“重大税收违法失信主体”的；</w:t>
      </w:r>
    </w:p>
    <w:p w14:paraId="790B9373">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 “严重失信主体名单”的；</w:t>
      </w:r>
    </w:p>
    <w:p w14:paraId="27571FDA">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④在“信用中国”网站上披露的仍在公示期的严重失信行为(具体行为类别及判定依据见附件2)的。</w:t>
      </w:r>
    </w:p>
    <w:p w14:paraId="1E22FBC9">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2、国家企业信用信息公示系统网站（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www.gsxt.gov.cn）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查询供应商以下失信行为：</w:t>
      </w:r>
    </w:p>
    <w:p w14:paraId="6DD28360">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297" w:name="OLE_LINK100"/>
      <w:bookmarkStart w:id="298" w:name="OLE_LINK101"/>
      <w:bookmarkStart w:id="299" w:name="OLE_LINK102"/>
      <w:r>
        <w:rPr>
          <w:rFonts w:hint="eastAsia" w:ascii="宋体" w:hAnsi="宋体" w:eastAsia="宋体" w:cs="宋体"/>
          <w:color w:val="auto"/>
          <w:sz w:val="24"/>
          <w:szCs w:val="24"/>
          <w:highlight w:val="none"/>
        </w:rPr>
        <w:t>被列入“经营异常名录”或者“严重违法失信名单”的</w:t>
      </w:r>
      <w:bookmarkEnd w:id="297"/>
      <w:bookmarkEnd w:id="298"/>
      <w:bookmarkEnd w:id="299"/>
      <w:r>
        <w:rPr>
          <w:rFonts w:hint="eastAsia" w:ascii="宋体" w:hAnsi="宋体" w:eastAsia="宋体" w:cs="宋体"/>
          <w:color w:val="auto"/>
          <w:sz w:val="24"/>
          <w:szCs w:val="24"/>
          <w:highlight w:val="none"/>
        </w:rPr>
        <w:t>。</w:t>
      </w:r>
    </w:p>
    <w:p w14:paraId="7E7D855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3、中国政府采购网站（</w:t>
      </w:r>
      <w:bookmarkStart w:id="300" w:name="OLE_LINK96"/>
      <w:bookmarkStart w:id="301" w:name="OLE_LINK95"/>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bookmarkEnd w:id="300"/>
      <w:bookmarkEnd w:id="301"/>
      <w:r>
        <w:rPr>
          <w:rFonts w:hint="eastAsia" w:ascii="宋体" w:hAnsi="宋体" w:eastAsia="宋体" w:cs="宋体"/>
          <w:color w:val="auto"/>
          <w:sz w:val="24"/>
          <w:szCs w:val="24"/>
          <w:highlight w:val="none"/>
        </w:rPr>
        <w:t>）查询以下失信行为：</w:t>
      </w:r>
    </w:p>
    <w:p w14:paraId="31B51AD9">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302" w:name="OLE_LINK105"/>
      <w:bookmarkStart w:id="303" w:name="OLE_LINK106"/>
      <w:bookmarkStart w:id="304" w:name="OLE_LINK104"/>
      <w:r>
        <w:rPr>
          <w:rFonts w:hint="eastAsia" w:ascii="宋体" w:hAnsi="宋体" w:eastAsia="宋体" w:cs="宋体"/>
          <w:color w:val="auto"/>
          <w:sz w:val="24"/>
          <w:szCs w:val="24"/>
          <w:highlight w:val="none"/>
        </w:rPr>
        <w:t>被列入“政府采购严重违法失信行为信息记录”的</w:t>
      </w:r>
      <w:bookmarkEnd w:id="302"/>
      <w:bookmarkEnd w:id="303"/>
      <w:bookmarkEnd w:id="304"/>
      <w:r>
        <w:rPr>
          <w:rFonts w:hint="eastAsia" w:ascii="宋体" w:hAnsi="宋体" w:eastAsia="宋体" w:cs="宋体"/>
          <w:color w:val="auto"/>
          <w:sz w:val="24"/>
          <w:szCs w:val="24"/>
          <w:highlight w:val="none"/>
        </w:rPr>
        <w:t>。</w:t>
      </w:r>
    </w:p>
    <w:p w14:paraId="74BAD4C4">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4、由竞争主体进行承诺，不进行现场网上信用查询的失信行为：</w:t>
      </w:r>
    </w:p>
    <w:p w14:paraId="64E941C9">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①前三年有行贿犯罪行为的单位和个人。</w:t>
      </w:r>
    </w:p>
    <w:p w14:paraId="222B4F47">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二、在开评标活动中的查询程序</w:t>
      </w:r>
    </w:p>
    <w:p w14:paraId="14E1985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FE3BD69">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7239A75">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3、项目单位及其委托的代理机构应当做好信用查询结果截图和记录留存。</w:t>
      </w:r>
    </w:p>
    <w:p w14:paraId="7999FD87">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三、相关要求</w:t>
      </w:r>
    </w:p>
    <w:p w14:paraId="79FFE3FD">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3EC1A5A8">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E2DB746">
      <w:pPr>
        <w:wordWrap w:val="0"/>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"https://credit.ah.gov.cn/xinyong-fuwu/xvbahv/index.html"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https://credit.ah.gov.cn/xinyong-fuwu/xvbahv/index.html</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0FD7BB6">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2、“信用中国”查询的严重失信行为判定依据为各行业主管部门下发的联合惩戒文件中规定的行为（按附件2执行）。</w:t>
      </w:r>
    </w:p>
    <w:p w14:paraId="35B11D9B">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3、资格预审的项目以递交资格预审申请文件截止时间查询为准；资格后审的项目以递交投标文件截止时间查询为准。</w:t>
      </w:r>
      <w:r>
        <w:rPr>
          <w:rFonts w:hint="eastAsia" w:ascii="宋体" w:hAnsi="宋体" w:eastAsia="宋体" w:cs="宋体"/>
          <w:b/>
          <w:color w:val="auto"/>
          <w:sz w:val="24"/>
          <w:szCs w:val="24"/>
          <w:highlight w:val="none"/>
          <w:lang w:bidi="ar"/>
        </w:rPr>
        <w:t xml:space="preserve"> </w:t>
      </w:r>
    </w:p>
    <w:p w14:paraId="3DAC5665">
      <w:pPr>
        <w:pStyle w:val="12"/>
        <w:ind w:firstLine="420"/>
        <w:rPr>
          <w:color w:val="auto"/>
          <w:highlight w:val="none"/>
        </w:rPr>
      </w:pPr>
      <w:r>
        <w:rPr>
          <w:rFonts w:hint="eastAsia"/>
          <w:color w:val="auto"/>
          <w:highlight w:val="none"/>
        </w:rPr>
        <w:t xml:space="preserve"> </w:t>
      </w:r>
    </w:p>
    <w:p w14:paraId="4DFA9660">
      <w:pPr>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w:t>
      </w:r>
      <w:r>
        <w:rPr>
          <w:rFonts w:ascii="Times New Roman" w:hAnsi="Times New Roman" w:eastAsia="宋体" w:cs="Times New Roman"/>
          <w:b/>
          <w:color w:val="auto"/>
          <w:sz w:val="24"/>
          <w:szCs w:val="24"/>
          <w:highlight w:val="none"/>
          <w:lang w:bidi="ar"/>
        </w:rPr>
        <w:t>2</w:t>
      </w:r>
    </w:p>
    <w:p w14:paraId="026D7789">
      <w:pPr>
        <w:adjustRightInd w:val="0"/>
        <w:snapToGrid w:val="0"/>
        <w:spacing w:line="560" w:lineRule="exact"/>
        <w:ind w:firstLine="645"/>
        <w:jc w:val="center"/>
        <w:rPr>
          <w:rFonts w:hint="eastAsia" w:ascii="宋体" w:hAnsi="宋体" w:eastAsia="宋体" w:cs="宋体"/>
          <w:b/>
          <w:color w:val="auto"/>
          <w:sz w:val="24"/>
          <w:szCs w:val="24"/>
          <w:highlight w:val="none"/>
          <w:lang w:eastAsia="zh-CN" w:bidi="ar"/>
        </w:rPr>
      </w:pPr>
      <w:r>
        <w:rPr>
          <w:rFonts w:hint="eastAsia" w:ascii="宋体" w:hAnsi="宋体" w:eastAsia="宋体" w:cs="宋体"/>
          <w:b/>
          <w:color w:val="auto"/>
          <w:sz w:val="24"/>
          <w:szCs w:val="24"/>
          <w:highlight w:val="none"/>
          <w:lang w:eastAsia="zh-CN" w:bidi="ar"/>
        </w:rPr>
        <w:t>“信用中国”查询的严重失信行为类别及判定依据</w:t>
      </w:r>
    </w:p>
    <w:p w14:paraId="1BDAD4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5572ADFA">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583EC9C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7137395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0FD191D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3912ECD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59E2A12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091B496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0078874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38EFA4B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1E5699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717BB05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22CE97A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4、其他违反安全生产法律法规受到行政处罚，且性质恶劣、情节严重的。</w:t>
      </w:r>
    </w:p>
    <w:p w14:paraId="2FE271FA">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2CB7C75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69954C6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480C0AD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19024E6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7A78DBF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23DE953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754D2E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47D76EF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2ADC23C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25C56D8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77C754B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7C63D05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7AF99B8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221505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3201695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66457F8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305" w:name="OLE_LINK10"/>
      <w:bookmarkStart w:id="306" w:name="OLE_LINK8"/>
      <w:bookmarkStart w:id="307" w:name="OLE_LINK9"/>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305"/>
      <w:bookmarkEnd w:id="306"/>
      <w:bookmarkEnd w:id="307"/>
      <w:r>
        <w:rPr>
          <w:rFonts w:hint="eastAsia" w:ascii="宋体" w:hAnsi="宋体" w:eastAsia="宋体" w:cs="宋体"/>
          <w:b/>
          <w:color w:val="auto"/>
          <w:sz w:val="24"/>
          <w:szCs w:val="24"/>
          <w:highlight w:val="none"/>
        </w:rPr>
        <w:t>》、《</w:t>
      </w:r>
      <w:bookmarkStart w:id="308" w:name="OLE_LINK12"/>
      <w:bookmarkStart w:id="309" w:name="OLE_LINK11"/>
      <w:r>
        <w:rPr>
          <w:rFonts w:hint="eastAsia" w:ascii="宋体" w:hAnsi="宋体" w:eastAsia="宋体" w:cs="宋体"/>
          <w:b/>
          <w:color w:val="auto"/>
          <w:sz w:val="24"/>
          <w:szCs w:val="24"/>
          <w:highlight w:val="none"/>
        </w:rPr>
        <w:t>企业环境信用评价办法（试行）</w:t>
      </w:r>
      <w:bookmarkEnd w:id="308"/>
      <w:bookmarkEnd w:id="309"/>
      <w:r>
        <w:rPr>
          <w:rFonts w:hint="eastAsia" w:ascii="宋体" w:hAnsi="宋体" w:eastAsia="宋体" w:cs="宋体"/>
          <w:b/>
          <w:color w:val="auto"/>
          <w:sz w:val="24"/>
          <w:szCs w:val="24"/>
          <w:highlight w:val="none"/>
        </w:rPr>
        <w:t>》（环发〔2013〕150号）</w:t>
      </w:r>
    </w:p>
    <w:p w14:paraId="22B6048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2A9104B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3D849A5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0B0F5E6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 投标的，或者限制投标人之间竞争的；</w:t>
      </w:r>
    </w:p>
    <w:p w14:paraId="65F3124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6E8424E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6B05161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0D54D58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6C2E416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C0E09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28091FA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4A8E50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69EEEA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16BF429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FCC0D6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E00577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（十五）采购人对应当实行集中采购的政府采购项目，不委托集中采购机构实行集中采购的； </w:t>
      </w:r>
    </w:p>
    <w:p w14:paraId="0F903E3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7A2636D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2777058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46FF08E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5D7557F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310" w:name="OLE_LINK13"/>
      <w:bookmarkStart w:id="311" w:name="OLE_LINK14"/>
      <w:r>
        <w:rPr>
          <w:rFonts w:hint="eastAsia" w:ascii="宋体" w:hAnsi="宋体" w:eastAsia="宋体" w:cs="宋体"/>
          <w:b/>
          <w:color w:val="auto"/>
          <w:sz w:val="24"/>
          <w:szCs w:val="24"/>
          <w:highlight w:val="none"/>
        </w:rPr>
        <w:t>关于对公共资源交易领域严重失信主体开展联合惩戒的备忘录</w:t>
      </w:r>
      <w:bookmarkEnd w:id="310"/>
      <w:bookmarkEnd w:id="311"/>
      <w:r>
        <w:rPr>
          <w:rFonts w:hint="eastAsia" w:ascii="宋体" w:hAnsi="宋体" w:eastAsia="宋体" w:cs="宋体"/>
          <w:b/>
          <w:color w:val="auto"/>
          <w:sz w:val="24"/>
          <w:szCs w:val="24"/>
          <w:highlight w:val="none"/>
        </w:rPr>
        <w:t>》（发改法规〔2018〕457号）</w:t>
      </w:r>
    </w:p>
    <w:p w14:paraId="32A614A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079A07F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2E85C44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334F9A1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08A814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（四）隐匿、转移、侵占、挪用社会保险费款、基金或者违规投资运营的；</w:t>
      </w:r>
    </w:p>
    <w:p w14:paraId="34F2F28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0B614A1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3C93129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4EEE2EC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43B24E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36E7A88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312" w:name="OLE_LINK15"/>
      <w:bookmarkStart w:id="313" w:name="OLE_LINK16"/>
      <w:r>
        <w:rPr>
          <w:rFonts w:hint="eastAsia" w:ascii="宋体" w:hAnsi="宋体" w:eastAsia="宋体" w:cs="宋体"/>
          <w:b/>
          <w:color w:val="auto"/>
          <w:sz w:val="24"/>
          <w:szCs w:val="24"/>
          <w:highlight w:val="none"/>
        </w:rPr>
        <w:t>关于对社会保险领域严重失信企业及其有关人员实施联合惩戒的合作备忘录</w:t>
      </w:r>
      <w:bookmarkEnd w:id="312"/>
      <w:bookmarkEnd w:id="313"/>
      <w:r>
        <w:rPr>
          <w:rFonts w:hint="eastAsia" w:ascii="宋体" w:hAnsi="宋体" w:eastAsia="宋体" w:cs="宋体"/>
          <w:b/>
          <w:color w:val="auto"/>
          <w:sz w:val="24"/>
          <w:szCs w:val="24"/>
          <w:highlight w:val="none"/>
        </w:rPr>
        <w:t>》（发改财金〔2018〕1704号）</w:t>
      </w:r>
    </w:p>
    <w:p w14:paraId="5A95471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7A146A7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19084D8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6DAD228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3E05E32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0804A34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10F6FA22">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314" w:name="OLE_LINK17"/>
      <w:bookmarkStart w:id="315" w:name="OLE_LINK18"/>
      <w:r>
        <w:rPr>
          <w:rFonts w:hint="eastAsia" w:ascii="宋体" w:hAnsi="宋体" w:eastAsia="宋体" w:cs="宋体"/>
          <w:b/>
          <w:color w:val="auto"/>
          <w:sz w:val="24"/>
          <w:szCs w:val="24"/>
          <w:highlight w:val="none"/>
        </w:rPr>
        <w:t>建筑市场信用管理暂行办法</w:t>
      </w:r>
      <w:bookmarkEnd w:id="314"/>
      <w:bookmarkEnd w:id="315"/>
      <w:r>
        <w:rPr>
          <w:rFonts w:hint="eastAsia" w:ascii="宋体" w:hAnsi="宋体" w:eastAsia="宋体" w:cs="宋体"/>
          <w:b/>
          <w:color w:val="auto"/>
          <w:sz w:val="24"/>
          <w:szCs w:val="24"/>
          <w:highlight w:val="none"/>
        </w:rPr>
        <w:t>》（建市〔2017〕241号）</w:t>
      </w:r>
    </w:p>
    <w:p w14:paraId="551F606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316" w:name="OLE_LINK19"/>
      <w:bookmarkStart w:id="317" w:name="OLE_LINK20"/>
      <w:r>
        <w:rPr>
          <w:rFonts w:hint="eastAsia" w:ascii="宋体" w:hAnsi="宋体" w:eastAsia="宋体" w:cs="宋体"/>
          <w:b/>
          <w:color w:val="auto"/>
          <w:sz w:val="24"/>
          <w:szCs w:val="24"/>
          <w:highlight w:val="none"/>
        </w:rPr>
        <w:t>政府采购严重失信行为</w:t>
      </w:r>
      <w:bookmarkEnd w:id="316"/>
      <w:bookmarkEnd w:id="317"/>
    </w:p>
    <w:p w14:paraId="1ABAC6C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（一）三万元以上罚款；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（二）在一至三年内禁止参加政府采购活动（处罚期限届满的除外）；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（三）在一至三年内禁止代理政府采购业务（处罚期限届满的除外）；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（四）撤销政府采购代理机构资格（仅针对《政府采购法》第78条修改前作出的处罚决定）。</w:t>
      </w:r>
    </w:p>
    <w:p w14:paraId="036A2C5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52205570">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p w14:paraId="72A44103">
      <w:pPr>
        <w:adjustRightInd w:val="0"/>
        <w:snapToGrid w:val="0"/>
        <w:spacing w:line="560" w:lineRule="exact"/>
        <w:ind w:firstLine="615"/>
        <w:rPr>
          <w:rFonts w:hint="eastAsia" w:ascii="FangSong_GB2312" w:eastAsia="FangSong_GB2312"/>
          <w:b/>
          <w:color w:val="auto"/>
          <w:sz w:val="32"/>
          <w:szCs w:val="32"/>
          <w:highlight w:val="none"/>
        </w:rPr>
      </w:pPr>
    </w:p>
    <w:p w14:paraId="270706F5">
      <w:pPr>
        <w:ind w:firstLine="615"/>
        <w:rPr>
          <w:rFonts w:hint="eastAsia" w:ascii="仿宋_GB2312" w:hAnsi="宋体" w:eastAsia="仿宋_GB2312"/>
          <w:b/>
          <w:color w:val="auto"/>
          <w:sz w:val="28"/>
          <w:szCs w:val="28"/>
          <w:highlight w:val="none"/>
        </w:rPr>
      </w:pPr>
    </w:p>
    <w:p w14:paraId="595DEF0B">
      <w:pPr>
        <w:spacing w:line="440" w:lineRule="exact"/>
        <w:jc w:val="center"/>
        <w:outlineLvl w:val="0"/>
        <w:rPr>
          <w:rFonts w:hint="eastAsia" w:hAnsi="宋体"/>
          <w:b/>
          <w:bCs/>
          <w:color w:val="auto"/>
          <w:sz w:val="32"/>
          <w:szCs w:val="32"/>
          <w:highlight w:val="none"/>
        </w:rPr>
      </w:pPr>
      <w:r>
        <w:rPr>
          <w:rFonts w:ascii="宋体"/>
          <w:b/>
          <w:color w:val="auto"/>
          <w:sz w:val="32"/>
          <w:szCs w:val="32"/>
          <w:highlight w:val="none"/>
        </w:rPr>
        <w:br w:type="page"/>
      </w:r>
      <w:bookmarkEnd w:id="268"/>
      <w:r>
        <w:rPr>
          <w:rFonts w:hint="eastAsia" w:hAnsi="宋体"/>
          <w:b/>
          <w:bCs/>
          <w:color w:val="auto"/>
          <w:sz w:val="32"/>
          <w:szCs w:val="32"/>
          <w:highlight w:val="none"/>
        </w:rPr>
        <w:t>第八章  招标单位和招标代理机构对本招标文件的确认</w:t>
      </w:r>
    </w:p>
    <w:bookmarkEnd w:id="0"/>
    <w:tbl>
      <w:tblPr>
        <w:tblStyle w:val="13"/>
        <w:tblW w:w="9374" w:type="dxa"/>
        <w:jc w:val="center"/>
        <w:tblLayout w:type="fixed"/>
        <w:tblCellMar>
          <w:top w:w="0" w:type="dxa"/>
          <w:left w:w="108" w:type="dxa"/>
          <w:bottom w:w="0" w:type="dxa"/>
          <w:right w:w="108" w:type="dxa"/>
        </w:tblCellMar>
      </w:tblPr>
      <w:tblGrid>
        <w:gridCol w:w="9374"/>
      </w:tblGrid>
      <w:tr w14:paraId="06026B7E">
        <w:tblPrEx>
          <w:tblCellMar>
            <w:top w:w="0" w:type="dxa"/>
            <w:left w:w="108" w:type="dxa"/>
            <w:bottom w:w="0" w:type="dxa"/>
            <w:right w:w="108" w:type="dxa"/>
          </w:tblCellMar>
        </w:tblPrEx>
        <w:trPr>
          <w:trHeight w:val="6231"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1B7F8F81">
            <w:pPr>
              <w:spacing w:line="440" w:lineRule="exact"/>
              <w:ind w:firstLine="560" w:firstLineChars="200"/>
              <w:rPr>
                <w:rFonts w:hint="eastAsia" w:ascii="宋体" w:cs="宋体"/>
                <w:color w:val="auto"/>
                <w:sz w:val="28"/>
                <w:szCs w:val="28"/>
                <w:highlight w:val="none"/>
              </w:rPr>
            </w:pPr>
          </w:p>
          <w:p w14:paraId="1D7DFF50">
            <w:pPr>
              <w:spacing w:after="159" w:afterLines="50"/>
              <w:rPr>
                <w:rFonts w:hint="eastAsia" w:ascii="宋体" w:cs="宋体"/>
                <w:color w:val="auto"/>
                <w:sz w:val="28"/>
                <w:szCs w:val="28"/>
                <w:highlight w:val="none"/>
              </w:rPr>
            </w:pPr>
            <w:r>
              <w:rPr>
                <w:rFonts w:hint="eastAsia" w:ascii="宋体" w:cs="宋体"/>
                <w:color w:val="auto"/>
                <w:sz w:val="28"/>
                <w:szCs w:val="28"/>
                <w:highlight w:val="none"/>
              </w:rPr>
              <w:t xml:space="preserve">   我单位对</w:t>
            </w:r>
            <w:r>
              <w:rPr>
                <w:rFonts w:hint="eastAsia" w:ascii="宋体" w:cs="宋体"/>
                <w:color w:val="auto"/>
                <w:sz w:val="28"/>
                <w:szCs w:val="28"/>
                <w:highlight w:val="none"/>
                <w:u w:val="single"/>
                <w:lang w:eastAsia="zh-CN"/>
              </w:rPr>
              <w:t>中新苏滁高新区无人机智能巡检服务项目</w:t>
            </w:r>
            <w:r>
              <w:rPr>
                <w:rFonts w:hint="eastAsia" w:ascii="宋体" w:cs="宋体"/>
                <w:color w:val="auto"/>
                <w:sz w:val="28"/>
                <w:szCs w:val="28"/>
                <w:highlight w:val="none"/>
              </w:rPr>
              <w:t>的招标文件进行确认。</w:t>
            </w:r>
          </w:p>
          <w:p w14:paraId="0F890DCF">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招标单位：</w:t>
            </w:r>
            <w:r>
              <w:rPr>
                <w:rFonts w:hint="eastAsia" w:ascii="宋体" w:cs="宋体"/>
                <w:color w:val="auto"/>
                <w:sz w:val="28"/>
                <w:szCs w:val="28"/>
                <w:highlight w:val="none"/>
                <w:lang w:eastAsia="zh-CN"/>
              </w:rPr>
              <w:t>滁州市苏滁市政公用发展有限公司</w:t>
            </w:r>
          </w:p>
          <w:p w14:paraId="4F91CB77">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联系人：</w:t>
            </w:r>
            <w:r>
              <w:rPr>
                <w:rFonts w:hint="eastAsia" w:ascii="宋体" w:cs="宋体"/>
                <w:color w:val="auto"/>
                <w:sz w:val="28"/>
                <w:szCs w:val="28"/>
                <w:highlight w:val="none"/>
                <w:lang w:eastAsia="zh-CN"/>
              </w:rPr>
              <w:t>李传旭</w:t>
            </w:r>
          </w:p>
          <w:p w14:paraId="22E0E5A9">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联系电话：</w:t>
            </w:r>
            <w:r>
              <w:rPr>
                <w:rFonts w:hint="eastAsia" w:ascii="宋体" w:cs="宋体"/>
                <w:color w:val="auto"/>
                <w:sz w:val="28"/>
                <w:szCs w:val="28"/>
                <w:highlight w:val="none"/>
                <w:lang w:eastAsia="zh-CN"/>
              </w:rPr>
              <w:t>18687820286</w:t>
            </w:r>
          </w:p>
          <w:p w14:paraId="1F318E07">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 xml:space="preserve">  </w:t>
            </w:r>
          </w:p>
          <w:p w14:paraId="7332FAF0">
            <w:pPr>
              <w:pStyle w:val="12"/>
              <w:ind w:firstLine="560"/>
              <w:rPr>
                <w:rFonts w:hint="eastAsia" w:ascii="宋体" w:cs="宋体"/>
                <w:color w:val="auto"/>
                <w:sz w:val="28"/>
                <w:szCs w:val="28"/>
                <w:highlight w:val="none"/>
              </w:rPr>
            </w:pPr>
          </w:p>
          <w:p w14:paraId="1055B5DB">
            <w:pPr>
              <w:rPr>
                <w:rFonts w:hint="eastAsia"/>
                <w:color w:val="auto"/>
                <w:highlight w:val="none"/>
              </w:rPr>
            </w:pPr>
          </w:p>
          <w:p w14:paraId="0B809334">
            <w:pPr>
              <w:spacing w:line="540" w:lineRule="exact"/>
              <w:ind w:firstLine="6720" w:firstLineChars="2400"/>
              <w:rPr>
                <w:rFonts w:hint="eastAsia" w:ascii="宋体" w:cs="宋体"/>
                <w:color w:val="auto"/>
                <w:sz w:val="28"/>
                <w:szCs w:val="28"/>
                <w:highlight w:val="none"/>
                <w:u w:val="single"/>
              </w:rPr>
            </w:pPr>
            <w:r>
              <w:rPr>
                <w:rFonts w:hint="eastAsia" w:ascii="宋体" w:cs="宋体"/>
                <w:color w:val="auto"/>
                <w:sz w:val="28"/>
                <w:szCs w:val="28"/>
                <w:highlight w:val="none"/>
                <w:u w:val="single"/>
              </w:rPr>
              <w:t xml:space="preserve"> 202</w:t>
            </w:r>
            <w:r>
              <w:rPr>
                <w:rFonts w:hint="eastAsia" w:ascii="宋体" w:cs="宋体"/>
                <w:color w:val="auto"/>
                <w:sz w:val="28"/>
                <w:szCs w:val="28"/>
                <w:highlight w:val="none"/>
                <w:u w:val="single"/>
                <w:lang w:val="en-US" w:eastAsia="zh-CN"/>
              </w:rPr>
              <w:t>5</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年</w:t>
            </w:r>
            <w:r>
              <w:rPr>
                <w:rFonts w:hint="eastAsia" w:ascii="宋体" w:cs="宋体"/>
                <w:color w:val="auto"/>
                <w:sz w:val="28"/>
                <w:szCs w:val="28"/>
                <w:highlight w:val="none"/>
                <w:u w:val="single"/>
                <w:lang w:val="en-US" w:eastAsia="zh-CN"/>
              </w:rPr>
              <w:t>09</w:t>
            </w:r>
            <w:r>
              <w:rPr>
                <w:rFonts w:hint="eastAsia" w:ascii="宋体" w:cs="宋体"/>
                <w:color w:val="auto"/>
                <w:sz w:val="28"/>
                <w:szCs w:val="28"/>
                <w:highlight w:val="none"/>
              </w:rPr>
              <w:t>月</w:t>
            </w:r>
            <w:r>
              <w:rPr>
                <w:rFonts w:hint="eastAsia" w:ascii="宋体" w:cs="宋体"/>
                <w:color w:val="auto"/>
                <w:sz w:val="28"/>
                <w:szCs w:val="28"/>
                <w:highlight w:val="none"/>
                <w:u w:val="single"/>
              </w:rPr>
              <w:t xml:space="preserve"> </w:t>
            </w:r>
          </w:p>
          <w:p w14:paraId="5466BF01">
            <w:pPr>
              <w:spacing w:line="440" w:lineRule="exact"/>
              <w:rPr>
                <w:rFonts w:hint="eastAsia" w:ascii="宋体" w:cs="宋体"/>
                <w:color w:val="auto"/>
                <w:sz w:val="28"/>
                <w:szCs w:val="28"/>
                <w:highlight w:val="none"/>
              </w:rPr>
            </w:pPr>
          </w:p>
          <w:p w14:paraId="7BCA0585">
            <w:pPr>
              <w:spacing w:line="540" w:lineRule="exact"/>
              <w:ind w:firstLine="6792" w:firstLineChars="2426"/>
              <w:rPr>
                <w:rFonts w:hint="eastAsia" w:ascii="宋体" w:cs="宋体"/>
                <w:color w:val="auto"/>
                <w:sz w:val="28"/>
                <w:szCs w:val="28"/>
                <w:highlight w:val="none"/>
              </w:rPr>
            </w:pPr>
          </w:p>
        </w:tc>
      </w:tr>
      <w:tr w14:paraId="6576ABA3">
        <w:tblPrEx>
          <w:tblCellMar>
            <w:top w:w="0" w:type="dxa"/>
            <w:left w:w="108" w:type="dxa"/>
            <w:bottom w:w="0" w:type="dxa"/>
            <w:right w:w="108" w:type="dxa"/>
          </w:tblCellMar>
        </w:tblPrEx>
        <w:trPr>
          <w:trHeight w:val="6378"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788A86C1">
            <w:pPr>
              <w:spacing w:line="520" w:lineRule="exact"/>
              <w:ind w:firstLine="560" w:firstLineChars="200"/>
              <w:rPr>
                <w:rFonts w:hint="eastAsia" w:ascii="宋体" w:cs="宋体"/>
                <w:color w:val="auto"/>
                <w:sz w:val="28"/>
                <w:szCs w:val="28"/>
                <w:highlight w:val="none"/>
              </w:rPr>
            </w:pPr>
          </w:p>
          <w:p w14:paraId="6AAFC4B9">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代理机构：滁州市城投工程咨询管理有限公司</w:t>
            </w:r>
          </w:p>
          <w:p w14:paraId="34D65EED">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联系人：</w:t>
            </w:r>
            <w:r>
              <w:rPr>
                <w:rFonts w:hint="eastAsia" w:ascii="宋体" w:cs="宋体"/>
                <w:color w:val="auto"/>
                <w:sz w:val="28"/>
                <w:szCs w:val="28"/>
                <w:highlight w:val="none"/>
                <w:lang w:eastAsia="zh-CN"/>
              </w:rPr>
              <w:t>曹思敏</w:t>
            </w:r>
          </w:p>
          <w:p w14:paraId="05A3FC01">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电  话：</w:t>
            </w:r>
            <w:r>
              <w:rPr>
                <w:rFonts w:hint="eastAsia" w:ascii="宋体" w:cs="宋体"/>
                <w:color w:val="auto"/>
                <w:sz w:val="28"/>
                <w:szCs w:val="28"/>
                <w:highlight w:val="none"/>
                <w:lang w:eastAsia="zh-CN"/>
              </w:rPr>
              <w:t>0550-3519516</w:t>
            </w:r>
            <w:r>
              <w:rPr>
                <w:rFonts w:hint="eastAsia" w:ascii="宋体" w:cs="宋体"/>
                <w:color w:val="auto"/>
                <w:sz w:val="28"/>
                <w:szCs w:val="28"/>
                <w:highlight w:val="none"/>
              </w:rPr>
              <w:t xml:space="preserve">  </w:t>
            </w:r>
            <w:r>
              <w:rPr>
                <w:rFonts w:hint="eastAsia" w:ascii="宋体" w:cs="宋体"/>
                <w:color w:val="auto"/>
                <w:sz w:val="28"/>
                <w:szCs w:val="28"/>
                <w:highlight w:val="none"/>
                <w:lang w:eastAsia="zh-CN"/>
              </w:rPr>
              <w:t>18712012204</w:t>
            </w:r>
          </w:p>
          <w:p w14:paraId="28D58506">
            <w:pPr>
              <w:pStyle w:val="10"/>
              <w:ind w:left="0" w:firstLine="0"/>
              <w:rPr>
                <w:rFonts w:hint="eastAsia"/>
                <w:color w:val="auto"/>
                <w:highlight w:val="none"/>
              </w:rPr>
            </w:pPr>
          </w:p>
          <w:p w14:paraId="1BEC1AF5">
            <w:pPr>
              <w:spacing w:line="540" w:lineRule="exact"/>
              <w:ind w:firstLine="6792" w:firstLineChars="2426"/>
              <w:rPr>
                <w:rFonts w:hint="eastAsia" w:ascii="宋体" w:cs="宋体"/>
                <w:color w:val="auto"/>
                <w:sz w:val="28"/>
                <w:szCs w:val="28"/>
                <w:highlight w:val="none"/>
                <w:u w:val="single"/>
              </w:rPr>
            </w:pPr>
          </w:p>
          <w:p w14:paraId="612B2054">
            <w:pPr>
              <w:spacing w:line="540" w:lineRule="exact"/>
              <w:ind w:firstLine="6792" w:firstLineChars="2426"/>
              <w:rPr>
                <w:rFonts w:hint="eastAsia" w:ascii="宋体" w:cs="宋体"/>
                <w:color w:val="auto"/>
                <w:sz w:val="28"/>
                <w:szCs w:val="28"/>
                <w:highlight w:val="none"/>
                <w:u w:val="single"/>
              </w:rPr>
            </w:pPr>
          </w:p>
          <w:p w14:paraId="474F0C03">
            <w:pPr>
              <w:spacing w:line="540" w:lineRule="exact"/>
              <w:ind w:firstLine="6792" w:firstLineChars="2426"/>
              <w:rPr>
                <w:rFonts w:hint="eastAsia" w:ascii="宋体" w:cs="宋体"/>
                <w:color w:val="auto"/>
                <w:sz w:val="28"/>
                <w:szCs w:val="28"/>
                <w:highlight w:val="none"/>
                <w:u w:val="single"/>
              </w:rPr>
            </w:pPr>
          </w:p>
          <w:p w14:paraId="7E53CBE0">
            <w:pPr>
              <w:spacing w:line="540" w:lineRule="exact"/>
              <w:ind w:firstLine="6792" w:firstLineChars="2426"/>
              <w:rPr>
                <w:rFonts w:hint="eastAsia" w:ascii="宋体" w:cs="宋体"/>
                <w:color w:val="auto"/>
                <w:sz w:val="28"/>
                <w:szCs w:val="28"/>
                <w:highlight w:val="none"/>
                <w:u w:val="single"/>
              </w:rPr>
            </w:pPr>
          </w:p>
          <w:p w14:paraId="4E3A2C33">
            <w:pPr>
              <w:spacing w:line="540" w:lineRule="exact"/>
              <w:ind w:firstLine="6792" w:firstLineChars="2426"/>
              <w:rPr>
                <w:rFonts w:hint="eastAsia" w:ascii="宋体" w:cs="宋体"/>
                <w:color w:val="auto"/>
                <w:sz w:val="28"/>
                <w:szCs w:val="28"/>
                <w:highlight w:val="none"/>
                <w:u w:val="single"/>
              </w:rPr>
            </w:pPr>
            <w:r>
              <w:rPr>
                <w:rFonts w:hint="eastAsia" w:ascii="宋体" w:cs="宋体"/>
                <w:color w:val="auto"/>
                <w:sz w:val="28"/>
                <w:szCs w:val="28"/>
                <w:highlight w:val="none"/>
                <w:u w:val="single"/>
              </w:rPr>
              <w:t xml:space="preserve"> 202</w:t>
            </w:r>
            <w:r>
              <w:rPr>
                <w:rFonts w:hint="eastAsia" w:ascii="宋体" w:cs="宋体"/>
                <w:color w:val="auto"/>
                <w:sz w:val="28"/>
                <w:szCs w:val="28"/>
                <w:highlight w:val="none"/>
                <w:u w:val="single"/>
                <w:lang w:val="en-US" w:eastAsia="zh-CN"/>
              </w:rPr>
              <w:t>5</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年</w:t>
            </w:r>
            <w:r>
              <w:rPr>
                <w:rFonts w:hint="eastAsia" w:ascii="宋体" w:cs="宋体"/>
                <w:color w:val="auto"/>
                <w:sz w:val="28"/>
                <w:szCs w:val="28"/>
                <w:highlight w:val="none"/>
                <w:u w:val="single"/>
                <w:lang w:val="en-US" w:eastAsia="zh-CN"/>
              </w:rPr>
              <w:t>09</w:t>
            </w:r>
            <w:r>
              <w:rPr>
                <w:rFonts w:hint="eastAsia" w:ascii="宋体" w:cs="宋体"/>
                <w:color w:val="auto"/>
                <w:sz w:val="28"/>
                <w:szCs w:val="28"/>
                <w:highlight w:val="none"/>
              </w:rPr>
              <w:t>月</w:t>
            </w:r>
          </w:p>
        </w:tc>
      </w:tr>
    </w:tbl>
    <w:p w14:paraId="1E8D34F6">
      <w:pPr>
        <w:rPr>
          <w:color w:val="auto"/>
          <w:highlight w:val="none"/>
        </w:rPr>
      </w:pPr>
    </w:p>
    <w:sectPr>
      <w:pgSz w:w="11905" w:h="16838"/>
      <w:pgMar w:top="1440" w:right="1083" w:bottom="1440" w:left="1083" w:header="851" w:footer="992" w:gutter="0"/>
      <w:pgNumType w:fmt="decimal"/>
      <w:cols w:space="72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D63F">
    <w:pPr>
      <w:pStyle w:val="7"/>
      <w:ind w:right="360"/>
      <w:rPr>
        <w:rStyle w:val="16"/>
      </w:rPr>
    </w:pPr>
  </w:p>
  <w:p w14:paraId="761BB11B">
    <w:pPr>
      <w:pStyle w:val="7"/>
      <w:framePr w:wrap="around" w:vAnchor="text" w:hAnchor="margin" w:xAlign="center" w:y="1"/>
      <w:ind w:right="360"/>
      <w:rPr>
        <w:rStyle w:val="16"/>
      </w:rPr>
    </w:pPr>
  </w:p>
  <w:p w14:paraId="68AC08F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6187">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6</w:t>
    </w:r>
    <w:r>
      <w:fldChar w:fldCharType="end"/>
    </w:r>
  </w:p>
  <w:p w14:paraId="143A9D7A">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C8EC">
    <w:pPr>
      <w:pStyle w:val="7"/>
      <w:tabs>
        <w:tab w:val="center" w:pos="4264"/>
        <w:tab w:val="clear" w:pos="4153"/>
        <w:tab w:val="clear" w:pos="8306"/>
      </w:tabs>
      <w:rPr>
        <w:rFonts w:hint="eastAsia"/>
      </w:rPr>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55BA">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C098A">
    <w:pPr>
      <w:pStyle w:val="7"/>
      <w:tabs>
        <w:tab w:val="center" w:pos="4264"/>
        <w:tab w:val="clear" w:pos="4153"/>
        <w:tab w:val="clear" w:pos="8306"/>
      </w:tabs>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DB58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1DB58E">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FDAC">
    <w:pPr>
      <w:pStyle w:val="7"/>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14A2D">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8014A2D">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97FDE">
    <w:pPr>
      <w:pStyle w:val="7"/>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427D1">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5427D1">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D3B58">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171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4331">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8D20A">
    <w:pPr>
      <w:pStyle w:val="8"/>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E915">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19C11">
    <w:pPr>
      <w:pStyle w:val="8"/>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FF46B"/>
    <w:multiLevelType w:val="singleLevel"/>
    <w:tmpl w:val="900FF46B"/>
    <w:lvl w:ilvl="0" w:tentative="0">
      <w:start w:val="1"/>
      <w:numFmt w:val="decimal"/>
      <w:suff w:val="nothing"/>
      <w:lvlText w:val="（%1）"/>
      <w:lvlJc w:val="left"/>
    </w:lvl>
  </w:abstractNum>
  <w:abstractNum w:abstractNumId="1">
    <w:nsid w:val="A24EAD72"/>
    <w:multiLevelType w:val="singleLevel"/>
    <w:tmpl w:val="A24EAD72"/>
    <w:lvl w:ilvl="0" w:tentative="0">
      <w:start w:val="21"/>
      <w:numFmt w:val="decimal"/>
      <w:suff w:val="space"/>
      <w:lvlText w:val="%1."/>
      <w:lvlJc w:val="left"/>
    </w:lvl>
  </w:abstractNum>
  <w:abstractNum w:abstractNumId="2">
    <w:nsid w:val="CEF19F5B"/>
    <w:multiLevelType w:val="singleLevel"/>
    <w:tmpl w:val="CEF19F5B"/>
    <w:lvl w:ilvl="0" w:tentative="0">
      <w:start w:val="1"/>
      <w:numFmt w:val="decimal"/>
      <w:suff w:val="nothing"/>
      <w:lvlText w:val="（%1）"/>
      <w:lvlJc w:val="left"/>
    </w:lvl>
  </w:abstractNum>
  <w:abstractNum w:abstractNumId="3">
    <w:nsid w:val="DCC14C35"/>
    <w:multiLevelType w:val="singleLevel"/>
    <w:tmpl w:val="DCC14C35"/>
    <w:lvl w:ilvl="0" w:tentative="0">
      <w:start w:val="1"/>
      <w:numFmt w:val="chineseCounting"/>
      <w:suff w:val="nothing"/>
      <w:lvlText w:val="（%1）"/>
      <w:lvlJc w:val="left"/>
      <w:rPr>
        <w:rFonts w:hint="eastAsia"/>
      </w:rPr>
    </w:lvl>
  </w:abstractNum>
  <w:abstractNum w:abstractNumId="4">
    <w:nsid w:val="181D5CA9"/>
    <w:multiLevelType w:val="singleLevel"/>
    <w:tmpl w:val="181D5CA9"/>
    <w:lvl w:ilvl="0" w:tentative="0">
      <w:start w:val="35"/>
      <w:numFmt w:val="decimal"/>
      <w:lvlText w:val="%1."/>
      <w:lvlJc w:val="left"/>
      <w:pPr>
        <w:tabs>
          <w:tab w:val="left" w:pos="312"/>
        </w:tabs>
      </w:pPr>
    </w:lvl>
  </w:abstractNum>
  <w:abstractNum w:abstractNumId="5">
    <w:nsid w:val="25E5C4CD"/>
    <w:multiLevelType w:val="singleLevel"/>
    <w:tmpl w:val="25E5C4CD"/>
    <w:lvl w:ilvl="0" w:tentative="0">
      <w:start w:val="5"/>
      <w:numFmt w:val="chineseCounting"/>
      <w:suff w:val="space"/>
      <w:lvlText w:val="第%1章"/>
      <w:lvlJc w:val="left"/>
      <w:rPr>
        <w:rFonts w:hint="eastAsia"/>
      </w:r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2"/>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29EA0F5"/>
    <w:multiLevelType w:val="singleLevel"/>
    <w:tmpl w:val="329EA0F5"/>
    <w:lvl w:ilvl="0" w:tentative="0">
      <w:start w:val="4"/>
      <w:numFmt w:val="chineseCounting"/>
      <w:suff w:val="nothing"/>
      <w:lvlText w:val="%1、"/>
      <w:lvlJc w:val="left"/>
      <w:rPr>
        <w:rFonts w:hint="eastAsia"/>
      </w:rPr>
    </w:lvl>
  </w:abstractNum>
  <w:abstractNum w:abstractNumId="8">
    <w:nsid w:val="3693A112"/>
    <w:multiLevelType w:val="singleLevel"/>
    <w:tmpl w:val="3693A112"/>
    <w:lvl w:ilvl="0" w:tentative="0">
      <w:start w:val="1"/>
      <w:numFmt w:val="decimal"/>
      <w:suff w:val="nothing"/>
      <w:lvlText w:val="（%1）"/>
      <w:lvlJc w:val="left"/>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F114D"/>
    <w:rsid w:val="0BE36304"/>
    <w:rsid w:val="237329B8"/>
    <w:rsid w:val="24751713"/>
    <w:rsid w:val="27734D48"/>
    <w:rsid w:val="2ED26038"/>
    <w:rsid w:val="2FB819F0"/>
    <w:rsid w:val="328F114D"/>
    <w:rsid w:val="3C77021F"/>
    <w:rsid w:val="549C03CB"/>
    <w:rsid w:val="61882403"/>
    <w:rsid w:val="713559D7"/>
    <w:rsid w:val="723D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pPr>
      <w:spacing w:after="120"/>
    </w:pPr>
  </w:style>
  <w:style w:type="paragraph" w:styleId="4">
    <w:name w:val="Body Text Indent"/>
    <w:basedOn w:val="1"/>
    <w:next w:val="5"/>
    <w:qFormat/>
    <w:uiPriority w:val="0"/>
    <w:pPr>
      <w:spacing w:after="120"/>
      <w:ind w:left="200" w:leftChars="200"/>
    </w:pPr>
  </w:style>
  <w:style w:type="paragraph" w:styleId="5">
    <w:name w:val="envelope return"/>
    <w:basedOn w:val="1"/>
    <w:qFormat/>
    <w:uiPriority w:val="0"/>
    <w:pPr>
      <w:snapToGrid w:val="0"/>
    </w:pPr>
    <w:rPr>
      <w:rFonts w:ascii="Arial" w:hAnsi="Arial"/>
    </w:rPr>
  </w:style>
  <w:style w:type="paragraph" w:styleId="6">
    <w:name w:val="Date"/>
    <w:basedOn w:val="1"/>
    <w:next w:val="1"/>
    <w:qFormat/>
    <w:uiPriority w:val="0"/>
    <w:rPr>
      <w:rFonts w:ascii="Arial" w:hAnsi="Arial" w:eastAsia="仿宋_GB2312"/>
      <w:color w:val="000000"/>
      <w:sz w:val="32"/>
      <w:szCs w:val="20"/>
      <w:u w:val="none" w:color="00000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39"/>
  </w:style>
  <w:style w:type="paragraph" w:styleId="10">
    <w:name w:val="List"/>
    <w:basedOn w:val="1"/>
    <w:next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11">
    <w:name w:val="Body Text First Indent"/>
    <w:basedOn w:val="3"/>
    <w:qFormat/>
    <w:uiPriority w:val="0"/>
    <w:pPr>
      <w:adjustRightInd/>
      <w:spacing w:after="120" w:line="240" w:lineRule="auto"/>
      <w:ind w:firstLine="420" w:firstLineChars="100"/>
      <w:jc w:val="both"/>
    </w:pPr>
  </w:style>
  <w:style w:type="paragraph" w:styleId="12">
    <w:name w:val="Body Text First Indent 2"/>
    <w:basedOn w:val="4"/>
    <w:next w:val="1"/>
    <w:qFormat/>
    <w:uiPriority w:val="0"/>
    <w:pPr>
      <w:ind w:left="42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uiPriority w:val="0"/>
  </w:style>
  <w:style w:type="character" w:styleId="17">
    <w:name w:val="Hyperlink"/>
    <w:basedOn w:val="15"/>
    <w:qFormat/>
    <w:uiPriority w:val="99"/>
    <w:rPr>
      <w:color w:val="333333"/>
      <w:u w:val="none"/>
    </w:rPr>
  </w:style>
  <w:style w:type="table" w:customStyle="1" w:styleId="18">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9">
    <w:name w:val="二级无"/>
    <w:basedOn w:val="20"/>
    <w:qFormat/>
    <w:uiPriority w:val="0"/>
    <w:pPr>
      <w:tabs>
        <w:tab w:val="left" w:pos="1620"/>
        <w:tab w:val="left" w:pos="1680"/>
        <w:tab w:val="left" w:pos="2100"/>
        <w:tab w:val="left" w:pos="2880"/>
      </w:tabs>
      <w:spacing w:before="0" w:after="0"/>
    </w:pPr>
    <w:rPr>
      <w:rFonts w:ascii="宋体" w:eastAsia="宋体"/>
    </w:rPr>
  </w:style>
  <w:style w:type="paragraph" w:customStyle="1" w:styleId="20">
    <w:name w:val="二级条标题"/>
    <w:basedOn w:val="21"/>
    <w:next w:val="23"/>
    <w:qFormat/>
    <w:uiPriority w:val="0"/>
    <w:pPr>
      <w:tabs>
        <w:tab w:val="left" w:pos="1620"/>
        <w:tab w:val="left" w:pos="1680"/>
        <w:tab w:val="left" w:pos="2100"/>
        <w:tab w:val="left" w:pos="2880"/>
      </w:tabs>
      <w:ind w:left="2100"/>
      <w:outlineLvl w:val="3"/>
    </w:pPr>
  </w:style>
  <w:style w:type="paragraph" w:customStyle="1" w:styleId="21">
    <w:name w:val="一级条标题"/>
    <w:basedOn w:val="22"/>
    <w:next w:val="23"/>
    <w:qFormat/>
    <w:uiPriority w:val="0"/>
    <w:pPr>
      <w:tabs>
        <w:tab w:val="left" w:pos="1620"/>
        <w:tab w:val="left" w:pos="1680"/>
      </w:tabs>
      <w:spacing w:beforeLines="0" w:afterLines="0"/>
      <w:ind w:left="1680" w:hanging="420"/>
      <w:outlineLvl w:val="2"/>
    </w:pPr>
  </w:style>
  <w:style w:type="paragraph" w:customStyle="1" w:styleId="22">
    <w:name w:val="章标题"/>
    <w:next w:val="23"/>
    <w:qFormat/>
    <w:uiPriority w:val="0"/>
    <w:pPr>
      <w:spacing w:beforeLines="50" w:afterLines="50"/>
      <w:outlineLvl w:val="1"/>
    </w:pPr>
    <w:rPr>
      <w:rFonts w:ascii="黑体" w:hAnsi="Calibri" w:eastAsia="黑体" w:cs="Times New Roman"/>
      <w:sz w:val="24"/>
      <w:szCs w:val="22"/>
      <w:lang w:val="en-US" w:eastAsia="zh-CN" w:bidi="ar-SA"/>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24">
    <w:name w:val="节标题"/>
    <w:basedOn w:val="1"/>
    <w:next w:val="1"/>
    <w:qFormat/>
    <w:uiPriority w:val="0"/>
    <w:pPr>
      <w:widowControl/>
      <w:spacing w:line="289" w:lineRule="atLeast"/>
      <w:jc w:val="center"/>
      <w:textAlignment w:val="baseline"/>
    </w:pPr>
    <w:rPr>
      <w:color w:val="000000"/>
      <w:kern w:val="0"/>
      <w:sz w:val="28"/>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19603</Words>
  <Characters>20890</Characters>
  <Lines>0</Lines>
  <Paragraphs>0</Paragraphs>
  <TotalTime>18</TotalTime>
  <ScaleCrop>false</ScaleCrop>
  <LinksUpToDate>false</LinksUpToDate>
  <CharactersWithSpaces>21492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2025-09-05T08:13:00Z</dcterms:created>
  <dc:creator>Pim Pom丶</dc:creator>
  <cp:lastModifiedBy>Pim Pom丶</cp:lastModifiedBy>
  <dcterms:modified xsi:type="dcterms:W3CDTF">2025-09-05T08:57:10Z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B520C056B6F54367BD9A7B8F774EA73F_11</vt:lpwstr>
  </property>
  <property fmtid="{D5CDD505-2E9C-101B-9397-08002B2CF9AE}" pid="4" name="KSOTemplateDocerSaveRecord">
    <vt:lpwstr>eyJoZGlkIjoiOTk1OGJkZDZlMmJiZjgxZThhZWQ4YzE0YWIxYTUyMmQiLCJ1c2VySWQiOiI0MDkyMjI1MTkifQ==</vt:lpwstr>
  </property>
</Properties>
</file>