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8967">
      <w:pPr>
        <w:pStyle w:val="34"/>
        <w:shd w:val="clear"/>
        <w:ind w:left="0" w:leftChars="0" w:firstLineChars="0"/>
        <w:jc w:val="center"/>
        <w:rPr>
          <w:rFonts w:ascii="新宋体" w:hAnsi="新宋体" w:eastAsia="新宋体"/>
          <w:b/>
          <w:color w:val="auto"/>
          <w:sz w:val="44"/>
          <w:szCs w:val="44"/>
          <w:highlight w:val="none"/>
        </w:rPr>
      </w:pPr>
      <w:bookmarkStart w:id="0" w:name="OLE_LINK1"/>
    </w:p>
    <w:p w14:paraId="0F02CA9C">
      <w:pPr>
        <w:shd w:val="clear"/>
        <w:spacing w:beforeLines="100" w:afterLines="100" w:line="840" w:lineRule="exact"/>
        <w:jc w:val="center"/>
        <w:rPr>
          <w:rFonts w:hint="eastAsia" w:ascii="宋体" w:hAnsi="宋体"/>
          <w:color w:val="auto"/>
          <w:sz w:val="40"/>
          <w:szCs w:val="36"/>
          <w:highlight w:val="none"/>
        </w:rPr>
      </w:pPr>
      <w:r>
        <w:rPr>
          <w:rFonts w:hint="eastAsia" w:ascii="新宋体" w:hAnsi="新宋体" w:eastAsia="新宋体"/>
          <w:b/>
          <w:color w:val="auto"/>
          <w:sz w:val="44"/>
          <w:szCs w:val="44"/>
          <w:highlight w:val="none"/>
          <w:lang w:val="en-US" w:eastAsia="zh-CN"/>
        </w:rPr>
        <w:t>来六、明巢高速机电设施维护项目</w:t>
      </w:r>
    </w:p>
    <w:p w14:paraId="1B798401">
      <w:pPr>
        <w:shd w:val="clear"/>
        <w:spacing w:beforeLines="50"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4F5A90E1">
      <w:pPr>
        <w:pStyle w:val="34"/>
        <w:shd w:val="clear"/>
        <w:ind w:left="0" w:leftChars="0" w:firstLine="2880" w:firstLineChars="1200"/>
        <w:rPr>
          <w:rFonts w:hint="eastAsia"/>
          <w:color w:val="auto"/>
          <w:sz w:val="24"/>
          <w:highlight w:val="none"/>
        </w:rPr>
      </w:pPr>
    </w:p>
    <w:p w14:paraId="70584516">
      <w:pPr>
        <w:pStyle w:val="34"/>
        <w:shd w:val="clear"/>
        <w:ind w:left="0" w:leftChars="0" w:firstLine="2880" w:firstLineChars="1200"/>
        <w:rPr>
          <w:rFonts w:hint="eastAsia"/>
          <w:color w:val="auto"/>
          <w:sz w:val="24"/>
          <w:highlight w:val="none"/>
        </w:rPr>
      </w:pPr>
      <w:r>
        <w:rPr>
          <w:rFonts w:hint="eastAsia"/>
          <w:color w:val="auto"/>
          <w:sz w:val="24"/>
          <w:highlight w:val="none"/>
        </w:rPr>
        <w:t>项目编号：</w:t>
      </w:r>
      <w:r>
        <w:rPr>
          <w:rFonts w:hint="eastAsia"/>
          <w:color w:val="auto"/>
          <w:sz w:val="24"/>
          <w:highlight w:val="none"/>
          <w:lang w:val="en-US" w:eastAsia="zh-CN"/>
        </w:rPr>
        <w:t>czsjqt202601-015</w:t>
      </w:r>
    </w:p>
    <w:p w14:paraId="179EFCC0">
      <w:pPr>
        <w:pStyle w:val="34"/>
        <w:shd w:val="clear"/>
        <w:ind w:left="0" w:leftChars="0" w:firstLine="2880" w:firstLineChars="1200"/>
        <w:rPr>
          <w:rFonts w:hint="eastAsia" w:eastAsia="宋体"/>
          <w:color w:val="auto"/>
          <w:sz w:val="24"/>
          <w:highlight w:val="none"/>
          <w:lang w:val="en-US" w:eastAsia="zh-CN"/>
        </w:rPr>
      </w:pPr>
      <w:r>
        <w:rPr>
          <w:rFonts w:hint="eastAsia"/>
          <w:color w:val="auto"/>
          <w:sz w:val="24"/>
          <w:highlight w:val="none"/>
          <w:lang w:val="en-US" w:eastAsia="zh-CN"/>
        </w:rPr>
        <w:t xml:space="preserve"> </w:t>
      </w:r>
    </w:p>
    <w:p w14:paraId="0EB0CBD0">
      <w:pPr>
        <w:pStyle w:val="53"/>
        <w:shd w:val="clear"/>
        <w:ind w:firstLine="0" w:firstLineChars="0"/>
        <w:rPr>
          <w:color w:val="auto"/>
          <w:highlight w:val="none"/>
        </w:rPr>
      </w:pPr>
    </w:p>
    <w:p w14:paraId="52AA32CA">
      <w:pPr>
        <w:pStyle w:val="53"/>
        <w:shd w:val="clear"/>
        <w:ind w:firstLine="480"/>
        <w:rPr>
          <w:color w:val="auto"/>
          <w:highlight w:val="none"/>
        </w:rPr>
      </w:pPr>
    </w:p>
    <w:p w14:paraId="68787B14">
      <w:pPr>
        <w:shd w:val="clear"/>
        <w:rPr>
          <w:rFonts w:ascii="宋体"/>
          <w:bCs/>
          <w:color w:val="auto"/>
          <w:szCs w:val="21"/>
          <w:highlight w:val="none"/>
        </w:rPr>
      </w:pPr>
    </w:p>
    <w:p w14:paraId="70D1C16A">
      <w:pPr>
        <w:shd w:val="clea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033419E">
      <w:pPr>
        <w:shd w:val="clear"/>
        <w:rPr>
          <w:rFonts w:ascii="宋体"/>
          <w:bCs/>
          <w:color w:val="auto"/>
          <w:szCs w:val="21"/>
          <w:highlight w:val="none"/>
        </w:rPr>
      </w:pPr>
    </w:p>
    <w:p w14:paraId="2F28F6ED">
      <w:pPr>
        <w:shd w:val="clear"/>
        <w:rPr>
          <w:rFonts w:ascii="宋体" w:hAnsi="宋体"/>
          <w:b/>
          <w:color w:val="auto"/>
          <w:sz w:val="84"/>
          <w:szCs w:val="84"/>
          <w:highlight w:val="none"/>
        </w:rPr>
      </w:pPr>
      <w:r>
        <w:rPr>
          <w:rFonts w:hint="eastAsia" w:ascii="宋体" w:hAnsi="宋体"/>
          <w:b/>
          <w:color w:val="auto"/>
          <w:sz w:val="84"/>
          <w:szCs w:val="84"/>
          <w:highlight w:val="none"/>
        </w:rPr>
        <w:t xml:space="preserve"> </w:t>
      </w:r>
    </w:p>
    <w:p w14:paraId="29499BEA">
      <w:pPr>
        <w:pStyle w:val="15"/>
        <w:shd w:val="clear"/>
        <w:ind w:left="420"/>
        <w:rPr>
          <w:color w:val="auto"/>
          <w:highlight w:val="none"/>
        </w:rPr>
      </w:pPr>
    </w:p>
    <w:p w14:paraId="58A751C8">
      <w:pPr>
        <w:shd w:val="clear"/>
        <w:spacing w:beforeLines="100" w:afterLines="100" w:line="360" w:lineRule="auto"/>
        <w:jc w:val="left"/>
        <w:rPr>
          <w:rFonts w:ascii="宋体"/>
          <w:b/>
          <w:color w:val="auto"/>
          <w:sz w:val="32"/>
          <w:szCs w:val="32"/>
          <w:highlight w:val="none"/>
        </w:rPr>
      </w:pPr>
      <w:bookmarkStart w:id="200" w:name="_GoBack"/>
    </w:p>
    <w:bookmarkEnd w:id="200"/>
    <w:p w14:paraId="289CD838">
      <w:pPr>
        <w:pStyle w:val="34"/>
        <w:shd w:val="clear"/>
        <w:ind w:firstLine="400"/>
        <w:rPr>
          <w:color w:val="auto"/>
          <w:highlight w:val="none"/>
        </w:rPr>
      </w:pPr>
    </w:p>
    <w:p w14:paraId="032BC327">
      <w:pPr>
        <w:shd w:val="clear"/>
        <w:spacing w:beforeLines="100"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 xml:space="preserve">  滁州市城投交通控股有限公司 </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p>
    <w:p w14:paraId="44A980C8">
      <w:pPr>
        <w:shd w:val="clear"/>
        <w:spacing w:beforeLines="100"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638AFC35">
      <w:pPr>
        <w:shd w:val="clear"/>
        <w:spacing w:beforeLines="100"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w:t>
      </w:r>
      <w:r>
        <w:rPr>
          <w:rFonts w:hint="eastAsia" w:ascii="宋体"/>
          <w:b/>
          <w:color w:val="auto"/>
          <w:sz w:val="32"/>
          <w:szCs w:val="32"/>
          <w:highlight w:val="none"/>
        </w:rPr>
        <w:t>月</w:t>
      </w:r>
    </w:p>
    <w:p w14:paraId="4CB6D157">
      <w:pPr>
        <w:shd w:val="clear"/>
        <w:spacing w:line="360" w:lineRule="exact"/>
        <w:rPr>
          <w:b/>
          <w:color w:val="auto"/>
          <w:sz w:val="36"/>
          <w:highlight w:val="none"/>
        </w:rPr>
      </w:pPr>
    </w:p>
    <w:p w14:paraId="3213DC9A">
      <w:pPr>
        <w:pStyle w:val="15"/>
        <w:shd w:val="clear"/>
        <w:ind w:left="0" w:leftChars="0"/>
        <w:rPr>
          <w:color w:val="auto"/>
          <w:highlight w:val="none"/>
        </w:rPr>
      </w:pPr>
    </w:p>
    <w:p w14:paraId="5E457507">
      <w:pPr>
        <w:pStyle w:val="16"/>
        <w:shd w:val="clear"/>
        <w:rPr>
          <w:color w:val="auto"/>
          <w:highlight w:val="none"/>
        </w:rPr>
      </w:pPr>
    </w:p>
    <w:p w14:paraId="068DA86A">
      <w:pPr>
        <w:shd w:val="clear"/>
        <w:spacing w:line="360" w:lineRule="exact"/>
        <w:jc w:val="center"/>
        <w:rPr>
          <w:b/>
          <w:color w:val="auto"/>
          <w:sz w:val="36"/>
          <w:highlight w:val="none"/>
        </w:rPr>
      </w:pPr>
    </w:p>
    <w:p w14:paraId="41AC21CE">
      <w:pPr>
        <w:shd w:val="clear"/>
        <w:spacing w:line="360" w:lineRule="auto"/>
        <w:jc w:val="center"/>
        <w:rPr>
          <w:b/>
          <w:color w:val="auto"/>
          <w:sz w:val="44"/>
          <w:szCs w:val="32"/>
          <w:highlight w:val="none"/>
        </w:rPr>
      </w:pPr>
      <w:r>
        <w:rPr>
          <w:rFonts w:hint="eastAsia"/>
          <w:b/>
          <w:color w:val="auto"/>
          <w:sz w:val="44"/>
          <w:szCs w:val="32"/>
          <w:highlight w:val="none"/>
        </w:rPr>
        <w:t>目  录</w:t>
      </w:r>
    </w:p>
    <w:p w14:paraId="0421470E">
      <w:pPr>
        <w:shd w:val="clear"/>
        <w:spacing w:line="720" w:lineRule="auto"/>
        <w:jc w:val="center"/>
        <w:rPr>
          <w:b/>
          <w:color w:val="auto"/>
          <w:sz w:val="36"/>
          <w:highlight w:val="none"/>
        </w:rPr>
      </w:pPr>
    </w:p>
    <w:p w14:paraId="0ECD3770">
      <w:pPr>
        <w:pStyle w:val="25"/>
        <w:shd w:val="clear"/>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p>
    <w:p w14:paraId="477109BC">
      <w:pPr>
        <w:pStyle w:val="25"/>
        <w:shd w:val="clear"/>
        <w:tabs>
          <w:tab w:val="right" w:leader="dot" w:pos="9072"/>
        </w:tabs>
        <w:spacing w:line="700" w:lineRule="exact"/>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11586E76">
      <w:pPr>
        <w:pStyle w:val="25"/>
        <w:shd w:val="clear"/>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281A9CEF">
      <w:pPr>
        <w:pStyle w:val="25"/>
        <w:shd w:val="clear"/>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2</w:t>
      </w:r>
    </w:p>
    <w:p w14:paraId="655C6131">
      <w:pPr>
        <w:pStyle w:val="25"/>
        <w:shd w:val="clear"/>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7C4CBD67">
      <w:pPr>
        <w:pStyle w:val="25"/>
        <w:shd w:val="clear"/>
        <w:tabs>
          <w:tab w:val="right" w:leader="dot" w:pos="9072"/>
        </w:tabs>
        <w:spacing w:line="700" w:lineRule="exact"/>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83</w:t>
      </w:r>
    </w:p>
    <w:p w14:paraId="7C01FC03">
      <w:pPr>
        <w:pStyle w:val="25"/>
        <w:shd w:val="clear"/>
        <w:tabs>
          <w:tab w:val="right" w:leader="dot" w:pos="9072"/>
        </w:tabs>
        <w:spacing w:line="700" w:lineRule="exact"/>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103</w:t>
      </w:r>
    </w:p>
    <w:p w14:paraId="5C84E589">
      <w:pPr>
        <w:pStyle w:val="25"/>
        <w:shd w:val="clear"/>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30DB0F1A">
      <w:pPr>
        <w:pStyle w:val="2"/>
        <w:shd w:val="clear"/>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621"/>
      <w:bookmarkStart w:id="3" w:name="_Toc28359079"/>
      <w:bookmarkStart w:id="4" w:name="_Toc28359002"/>
      <w:bookmarkStart w:id="5" w:name="_Toc35393790"/>
      <w:bookmarkStart w:id="6" w:name="_Hlk24379207"/>
    </w:p>
    <w:p w14:paraId="5E63901A">
      <w:pPr>
        <w:keepNext/>
        <w:keepLines/>
        <w:shd w:val="clea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43A01A7">
      <w:pPr>
        <w:keepNext/>
        <w:keepLines/>
        <w:pageBreakBefore w:val="0"/>
        <w:widowControl w:val="0"/>
        <w:shd w:val="clear"/>
        <w:kinsoku/>
        <w:wordWrap w:val="0"/>
        <w:overflowPunct/>
        <w:topLinePunct w:val="0"/>
        <w:autoSpaceDE/>
        <w:autoSpaceDN/>
        <w:bidi w:val="0"/>
        <w:adjustRightInd/>
        <w:snapToGrid/>
        <w:spacing w:line="480" w:lineRule="exact"/>
        <w:ind w:firstLine="560" w:firstLineChars="200"/>
        <w:textAlignment w:val="auto"/>
        <w:rPr>
          <w:rFonts w:ascii="黑体" w:hAnsi="黑体" w:cs="宋体"/>
          <w:color w:val="auto"/>
          <w:sz w:val="28"/>
          <w:szCs w:val="28"/>
          <w:highlight w:val="none"/>
        </w:rPr>
      </w:pPr>
      <w:r>
        <w:rPr>
          <w:rFonts w:hint="eastAsia" w:ascii="仿宋" w:hAnsi="仿宋" w:eastAsia="仿宋" w:cs="仿宋"/>
          <w:i w:val="0"/>
          <w:iCs w:val="0"/>
          <w:color w:val="auto"/>
          <w:sz w:val="28"/>
          <w:szCs w:val="28"/>
          <w:highlight w:val="none"/>
          <w:u w:val="single"/>
          <w:lang w:val="en-US" w:eastAsia="zh-CN"/>
        </w:rPr>
        <w:t>来六、明巢高速机电设施维护项目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rPr>
        <w:t>日08点</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p w14:paraId="66A92A0A">
      <w:pPr>
        <w:keepNext/>
        <w:keepLines/>
        <w:pageBreakBefore w:val="0"/>
        <w:widowControl w:val="0"/>
        <w:shd w:val="clear"/>
        <w:kinsoku/>
        <w:wordWrap/>
        <w:overflowPunct/>
        <w:topLinePunct w:val="0"/>
        <w:autoSpaceDE/>
        <w:autoSpaceDN/>
        <w:bidi w:val="0"/>
        <w:adjustRightInd/>
        <w:snapToGrid/>
        <w:spacing w:before="140" w:after="140"/>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3C953EA8">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 xml:space="preserve">czsjqt202601-015  </w:t>
      </w:r>
    </w:p>
    <w:p w14:paraId="423E7749">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val="en-US" w:eastAsia="zh-CN"/>
        </w:rPr>
        <w:t>来六、明巢高速机电设施维护项目</w:t>
      </w:r>
    </w:p>
    <w:p w14:paraId="563ACB96">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950000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w:t>
      </w:r>
    </w:p>
    <w:p w14:paraId="2B5F6F5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本项目投标报价采用百分比报价，投标人投标报价（费率）不得高于100%，否则，其投标文件按无效投标处理</w:t>
      </w:r>
      <w:r>
        <w:rPr>
          <w:rFonts w:hint="eastAsia" w:ascii="仿宋" w:hAnsi="仿宋" w:eastAsia="仿宋" w:cs="Times New Roman"/>
          <w:color w:val="auto"/>
          <w:sz w:val="28"/>
          <w:szCs w:val="28"/>
          <w:highlight w:val="none"/>
          <w:lang w:val="en-US" w:eastAsia="zh-CN"/>
        </w:rPr>
        <w:t>。</w:t>
      </w:r>
    </w:p>
    <w:p w14:paraId="2A7EAB57">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详见《采购内容及技术要求》和合同条款内容</w:t>
      </w:r>
    </w:p>
    <w:p w14:paraId="030EF2A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合同履行期限：服务期</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N（N=0、1、2）年</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合同一年一签</w:t>
      </w:r>
      <w:r>
        <w:rPr>
          <w:rFonts w:hint="eastAsia" w:ascii="仿宋" w:hAnsi="仿宋" w:eastAsia="仿宋"/>
          <w:color w:val="auto"/>
          <w:sz w:val="28"/>
          <w:szCs w:val="28"/>
          <w:highlight w:val="none"/>
          <w:lang w:eastAsia="zh-CN"/>
        </w:rPr>
        <w:t>。</w:t>
      </w:r>
    </w:p>
    <w:p w14:paraId="4947B9A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45607310">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bookmarkStart w:id="7" w:name="_Toc28359080"/>
      <w:bookmarkStart w:id="8" w:name="_Toc28359003"/>
      <w:bookmarkStart w:id="9" w:name="_Toc35393791"/>
      <w:bookmarkStart w:id="10" w:name="_Toc35393622"/>
      <w:r>
        <w:rPr>
          <w:rFonts w:hint="eastAsia" w:ascii="黑体" w:hAnsi="黑体" w:eastAsia="黑体" w:cs="黑体"/>
          <w:color w:val="auto"/>
          <w:sz w:val="28"/>
          <w:szCs w:val="28"/>
          <w:highlight w:val="none"/>
        </w:rPr>
        <w:t>二、申请人的资格要求</w:t>
      </w:r>
      <w:bookmarkEnd w:id="7"/>
      <w:bookmarkEnd w:id="8"/>
      <w:bookmarkEnd w:id="9"/>
      <w:bookmarkEnd w:id="10"/>
    </w:p>
    <w:p w14:paraId="25E230B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bookmarkStart w:id="11" w:name="_Toc35393623"/>
      <w:bookmarkStart w:id="12" w:name="_Toc28359004"/>
      <w:bookmarkStart w:id="13" w:name="_Toc35393792"/>
      <w:bookmarkStart w:id="14" w:name="_Toc28359081"/>
      <w:r>
        <w:rPr>
          <w:rFonts w:hint="eastAsia" w:ascii="仿宋" w:hAnsi="仿宋" w:eastAsia="仿宋" w:cs="Times New Roman"/>
          <w:color w:val="auto"/>
          <w:sz w:val="28"/>
          <w:szCs w:val="28"/>
          <w:highlight w:val="none"/>
        </w:rPr>
        <w:t>1.企业资格要求：</w:t>
      </w:r>
      <w:r>
        <w:rPr>
          <w:rFonts w:hint="eastAsia" w:ascii="仿宋" w:hAnsi="仿宋" w:eastAsia="仿宋" w:cs="Times New Roman"/>
          <w:color w:val="auto"/>
          <w:sz w:val="28"/>
          <w:szCs w:val="28"/>
          <w:highlight w:val="none"/>
          <w:lang w:val="en-US" w:eastAsia="zh-CN"/>
        </w:rPr>
        <w:t>投标人须具备</w:t>
      </w:r>
      <w:r>
        <w:rPr>
          <w:rFonts w:hint="eastAsia" w:ascii="仿宋" w:hAnsi="仿宋" w:eastAsia="仿宋" w:cs="楷体"/>
          <w:bCs/>
          <w:snapToGrid w:val="0"/>
          <w:color w:val="auto"/>
          <w:kern w:val="0"/>
          <w:sz w:val="28"/>
          <w:szCs w:val="28"/>
          <w:highlight w:val="none"/>
        </w:rPr>
        <w:t>公路交通工程专业承包（公路机电工程分项）一级资质</w:t>
      </w:r>
      <w:r>
        <w:rPr>
          <w:rFonts w:hint="eastAsia" w:ascii="仿宋" w:hAnsi="仿宋" w:eastAsia="仿宋" w:cs="楷体"/>
          <w:bCs/>
          <w:snapToGrid w:val="0"/>
          <w:color w:val="auto"/>
          <w:kern w:val="0"/>
          <w:sz w:val="28"/>
          <w:szCs w:val="28"/>
          <w:highlight w:val="none"/>
          <w:lang w:val="en-US" w:eastAsia="zh-CN"/>
        </w:rPr>
        <w:t>证书</w:t>
      </w:r>
      <w:r>
        <w:rPr>
          <w:rFonts w:hint="eastAsia" w:ascii="仿宋" w:hAnsi="仿宋" w:eastAsia="仿宋" w:cs="Times New Roman"/>
          <w:color w:val="auto"/>
          <w:sz w:val="28"/>
          <w:szCs w:val="28"/>
          <w:highlight w:val="none"/>
          <w:lang w:val="en-US" w:eastAsia="zh-CN"/>
        </w:rPr>
        <w:t>，且具有有效的安全生产许可证。</w:t>
      </w:r>
    </w:p>
    <w:p w14:paraId="18BBF51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2.项目负责人要求：须具备在本单位注册的机电工程专业二级（或以上）注册建造师证书，具备有效的安全生产考核合格(B类)证书</w:t>
      </w:r>
      <w:r>
        <w:rPr>
          <w:rFonts w:hint="eastAsia" w:ascii="仿宋" w:hAnsi="仿宋" w:eastAsia="仿宋" w:cs="Times New Roman"/>
          <w:color w:val="auto"/>
          <w:sz w:val="28"/>
          <w:szCs w:val="28"/>
          <w:highlight w:val="none"/>
        </w:rPr>
        <w:t>。</w:t>
      </w:r>
    </w:p>
    <w:p w14:paraId="0F0FCA5D">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.信誉要求：投标人不得存在以下情形：</w:t>
      </w:r>
    </w:p>
    <w:p w14:paraId="3CACD58D">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①被列入“信用中国”网站“失信被执行人”的;</w:t>
      </w:r>
    </w:p>
    <w:p w14:paraId="563DEABD">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5F5AD29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③被列入“信用中国”网站“拖欠农民工工资失信联合惩戒对象名单”的；</w:t>
      </w:r>
    </w:p>
    <w:p w14:paraId="445452CD">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④被列入“信用中国”网站 “严重失信主体名单”的；</w:t>
      </w:r>
    </w:p>
    <w:p w14:paraId="09C45DC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⑤在“信用中国”网站上披露的仍在公示期的严重失信行为(具体行为类别及判定依据见附件2)的。</w:t>
      </w:r>
    </w:p>
    <w:p w14:paraId="5ADD51A8">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⑥被列入</w:t>
      </w:r>
      <w:bookmarkStart w:id="15" w:name="OLE_LINK4"/>
      <w:r>
        <w:rPr>
          <w:rFonts w:hint="eastAsia" w:ascii="仿宋" w:hAnsi="仿宋" w:eastAsia="仿宋" w:cs="Times New Roman"/>
          <w:color w:val="auto"/>
          <w:sz w:val="28"/>
          <w:szCs w:val="28"/>
          <w:highlight w:val="none"/>
        </w:rPr>
        <w:t>国家企业信用信息公示系统网站</w:t>
      </w:r>
      <w:bookmarkEnd w:id="15"/>
      <w:r>
        <w:rPr>
          <w:rFonts w:hint="eastAsia" w:ascii="仿宋" w:hAnsi="仿宋" w:eastAsia="仿宋" w:cs="Times New Roman"/>
          <w:color w:val="auto"/>
          <w:sz w:val="28"/>
          <w:szCs w:val="28"/>
          <w:highlight w:val="none"/>
        </w:rPr>
        <w:t>“经营异常名录”或者“严重违法失信名单”的。</w:t>
      </w:r>
    </w:p>
    <w:p w14:paraId="0EBD8FD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p>
    <w:p w14:paraId="1ACC71A6">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⑧被滁州市县两级公管部门及各行业主管部门取消在一定期限内的投标资格且在取消期限内的；</w:t>
      </w:r>
    </w:p>
    <w:p w14:paraId="2F0CCE1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⑨因拖欠农民工工资被县级及以上有关行政主管部门限制投标资格且在限制期限内的；</w:t>
      </w:r>
    </w:p>
    <w:p w14:paraId="7EDDC89B">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3791BA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款信誉要求①-⑩项情形之一的，接受投标人参加本项目。</w:t>
      </w:r>
    </w:p>
    <w:p w14:paraId="1A42ED78">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3、4</w:t>
      </w:r>
      <w:r>
        <w:rPr>
          <w:rFonts w:hint="eastAsia" w:ascii="仿宋" w:hAnsi="仿宋" w:eastAsia="仿宋" w:cs="Times New Roman"/>
          <w:color w:val="auto"/>
          <w:sz w:val="28"/>
          <w:szCs w:val="28"/>
          <w:highlight w:val="none"/>
        </w:rPr>
        <w:t>条按照“关于联合惩戒失信行为加强信用查询管理的通知”查询或承诺。</w:t>
      </w:r>
    </w:p>
    <w:p w14:paraId="355EE675">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0BFB42E8">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30</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1189E151">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467C9853">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6462F083">
      <w:pPr>
        <w:keepNext w:val="0"/>
        <w:keepLines w:val="0"/>
        <w:pageBreakBefore w:val="0"/>
        <w:widowControl w:val="0"/>
        <w:shd w:val="clear"/>
        <w:kinsoku/>
        <w:wordWrap/>
        <w:overflowPunct/>
        <w:topLinePunct w:val="0"/>
        <w:autoSpaceDE/>
        <w:autoSpaceDN/>
        <w:bidi w:val="0"/>
        <w:adjustRightInd/>
        <w:snapToGrid/>
        <w:spacing w:line="480" w:lineRule="exact"/>
        <w:ind w:firstLine="539"/>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53883F6C">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bookmarkStart w:id="16" w:name="_Toc28359082"/>
      <w:bookmarkStart w:id="17" w:name="_Toc28359005"/>
      <w:bookmarkStart w:id="18" w:name="_Toc35393624"/>
      <w:bookmarkStart w:id="19" w:name="_Toc35393793"/>
      <w:r>
        <w:rPr>
          <w:rFonts w:hint="eastAsia" w:ascii="黑体" w:hAnsi="黑体" w:eastAsia="黑体" w:cs="黑体"/>
          <w:color w:val="auto"/>
          <w:sz w:val="28"/>
          <w:szCs w:val="28"/>
          <w:highlight w:val="none"/>
        </w:rPr>
        <w:t>四、提交投标文件</w:t>
      </w:r>
      <w:bookmarkEnd w:id="16"/>
      <w:bookmarkEnd w:id="17"/>
      <w:r>
        <w:rPr>
          <w:rFonts w:hint="eastAsia" w:ascii="黑体" w:hAnsi="黑体" w:eastAsia="黑体" w:cs="黑体"/>
          <w:color w:val="auto"/>
          <w:sz w:val="28"/>
          <w:szCs w:val="28"/>
          <w:highlight w:val="none"/>
        </w:rPr>
        <w:t>截止时间、开标时间和地点</w:t>
      </w:r>
      <w:bookmarkEnd w:id="18"/>
      <w:bookmarkEnd w:id="19"/>
    </w:p>
    <w:p w14:paraId="5E1996B5">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2</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26</w:t>
      </w:r>
      <w:r>
        <w:rPr>
          <w:rFonts w:hint="eastAsia" w:ascii="仿宋" w:hAnsi="仿宋" w:eastAsia="仿宋"/>
          <w:bCs/>
          <w:color w:val="auto"/>
          <w:sz w:val="28"/>
          <w:szCs w:val="28"/>
          <w:highlight w:val="none"/>
          <w:u w:val="single"/>
        </w:rPr>
        <w:t>日8点</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0分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619FA81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地点：网上开标（滁州市公共资源交易中心网）</w:t>
      </w:r>
    </w:p>
    <w:p w14:paraId="057DC34A">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bookmarkStart w:id="20" w:name="_Toc28359007"/>
      <w:bookmarkStart w:id="21" w:name="_Toc28359084"/>
      <w:bookmarkStart w:id="22" w:name="_Toc35393794"/>
      <w:bookmarkStart w:id="23" w:name="_Toc35393625"/>
      <w:r>
        <w:rPr>
          <w:rFonts w:hint="eastAsia" w:ascii="黑体" w:hAnsi="黑体" w:eastAsia="黑体" w:cs="黑体"/>
          <w:color w:val="auto"/>
          <w:sz w:val="28"/>
          <w:szCs w:val="28"/>
          <w:highlight w:val="none"/>
        </w:rPr>
        <w:t>五、公告期限</w:t>
      </w:r>
      <w:bookmarkEnd w:id="20"/>
      <w:bookmarkEnd w:id="21"/>
      <w:bookmarkEnd w:id="22"/>
      <w:bookmarkEnd w:id="23"/>
    </w:p>
    <w:p w14:paraId="53C3B979">
      <w:pPr>
        <w:shd w:val="clea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9A089B0">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37BBEC4A">
      <w:pPr>
        <w:pStyle w:val="120"/>
        <w:shd w:val="clear"/>
        <w:rPr>
          <w:color w:val="auto"/>
          <w:highlight w:val="none"/>
        </w:rPr>
      </w:pPr>
      <w:bookmarkStart w:id="24" w:name="_Toc35393626"/>
      <w:bookmarkStart w:id="25" w:name="_Toc35393795"/>
      <w:r>
        <w:rPr>
          <w:color w:val="auto"/>
          <w:highlight w:val="none"/>
        </w:rPr>
        <w:t>窗体顶端</w:t>
      </w:r>
    </w:p>
    <w:p w14:paraId="7DF5F79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rPr>
        <w:t>投标保证金收取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投标保证金的金额</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1.8</w:t>
      </w:r>
      <w:r>
        <w:rPr>
          <w:rFonts w:hint="eastAsia" w:ascii="仿宋" w:hAnsi="仿宋" w:eastAsia="仿宋" w:cs="Times New Roman"/>
          <w:color w:val="auto"/>
          <w:sz w:val="28"/>
          <w:szCs w:val="28"/>
          <w:highlight w:val="none"/>
        </w:rPr>
        <w:t>万元，</w:t>
      </w:r>
      <w:r>
        <w:rPr>
          <w:rFonts w:hint="eastAsia" w:ascii="仿宋" w:hAnsi="仿宋" w:eastAsia="仿宋" w:cs="Times New Roman"/>
          <w:color w:val="auto"/>
          <w:sz w:val="28"/>
          <w:szCs w:val="28"/>
          <w:highlight w:val="none"/>
          <w:lang w:val="en-US" w:eastAsia="zh-CN"/>
        </w:rPr>
        <w:t>要求</w:t>
      </w:r>
      <w:r>
        <w:rPr>
          <w:rFonts w:hint="eastAsia" w:ascii="仿宋" w:hAnsi="仿宋" w:eastAsia="仿宋" w:cs="Times New Roman"/>
          <w:color w:val="auto"/>
          <w:sz w:val="28"/>
          <w:szCs w:val="28"/>
          <w:highlight w:val="none"/>
        </w:rPr>
        <w:t>投标人提交投标保证金。</w:t>
      </w:r>
    </w:p>
    <w:p w14:paraId="463C3B4C">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投标保证金形式：</w:t>
      </w:r>
      <w:bookmarkStart w:id="26" w:name="OLE_LINK66"/>
      <w:bookmarkStart w:id="27" w:name="OLE_LINK69"/>
      <w:bookmarkStart w:id="28" w:name="OLE_LINK61"/>
      <w:bookmarkStart w:id="29" w:name="OLE_LINK71"/>
      <w:bookmarkStart w:id="30" w:name="OLE_LINK62"/>
      <w:r>
        <w:rPr>
          <w:rFonts w:hint="eastAsia" w:ascii="仿宋" w:hAnsi="仿宋" w:eastAsia="仿宋" w:cs="Times New Roman"/>
          <w:color w:val="auto"/>
          <w:sz w:val="28"/>
          <w:szCs w:val="28"/>
          <w:highlight w:val="none"/>
        </w:rPr>
        <w:t>支持现金（银行转账、银行电汇等）、非现金形式（支票、银行汇票、本票等）、电子保函、纸质银行保函。</w:t>
      </w:r>
      <w:bookmarkEnd w:id="26"/>
      <w:bookmarkEnd w:id="27"/>
      <w:bookmarkEnd w:id="28"/>
      <w:bookmarkEnd w:id="29"/>
      <w:bookmarkEnd w:id="30"/>
    </w:p>
    <w:p w14:paraId="3ED2005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接收投标保证金的账户信息：</w:t>
      </w:r>
    </w:p>
    <w:p w14:paraId="36D5B42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3D7BE35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①户名：滁州市公共资源交易中心</w:t>
      </w:r>
    </w:p>
    <w:p w14:paraId="77009F8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开户行：中国银行滁州分行 </w:t>
      </w:r>
    </w:p>
    <w:p w14:paraId="3915A5F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181227797200</w:t>
      </w:r>
      <w:r>
        <w:rPr>
          <w:rFonts w:hint="eastAsia" w:ascii="仿宋" w:hAnsi="仿宋" w:eastAsia="仿宋" w:cs="Times New Roman"/>
          <w:color w:val="auto"/>
          <w:sz w:val="28"/>
          <w:szCs w:val="28"/>
          <w:highlight w:val="none"/>
        </w:rPr>
        <w:t xml:space="preserve"> </w:t>
      </w:r>
    </w:p>
    <w:p w14:paraId="78897DB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②户名：滁州市公共资源交易中心 </w:t>
      </w:r>
    </w:p>
    <w:p w14:paraId="4828D4A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开户行：中国建设银行股份有限公司滁州南谯支行</w:t>
      </w:r>
    </w:p>
    <w:p w14:paraId="5C417E5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 xml:space="preserve">6232811720000038732 </w:t>
      </w:r>
    </w:p>
    <w:p w14:paraId="49C434A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③户名：滁州市公共资源交易中心        </w:t>
      </w:r>
    </w:p>
    <w:p w14:paraId="25407DD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开户行：中国农业银行滁州中都支行                </w:t>
      </w:r>
    </w:p>
    <w:p w14:paraId="58405AA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 xml:space="preserve">123340010400044210000000673 </w:t>
      </w:r>
    </w:p>
    <w:p w14:paraId="4BF57376">
      <w:pPr>
        <w:kinsoku/>
        <w:overflowPunct/>
        <w:bidi w:val="0"/>
        <w:spacing w:line="480" w:lineRule="exact"/>
        <w:ind w:left="279" w:leftChars="133" w:right="0" w:rightChars="0" w:firstLine="280" w:firstLineChars="1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采用现金形式缴纳保证金时须在交易附言中注明：“</w:t>
      </w:r>
      <w:r>
        <w:rPr>
          <w:rFonts w:hint="eastAsia" w:ascii="仿宋" w:hAnsi="仿宋" w:eastAsia="仿宋" w:cs="Times New Roman"/>
          <w:color w:val="auto"/>
          <w:sz w:val="28"/>
          <w:szCs w:val="28"/>
          <w:highlight w:val="none"/>
          <w:lang w:val="en-US" w:eastAsia="zh-CN"/>
        </w:rPr>
        <w:t xml:space="preserve">czsjqt202601-015  </w:t>
      </w:r>
      <w:r>
        <w:rPr>
          <w:rFonts w:hint="eastAsia" w:ascii="仿宋" w:hAnsi="仿宋" w:eastAsia="仿宋" w:cs="Times New Roman"/>
          <w:color w:val="auto"/>
          <w:sz w:val="28"/>
          <w:szCs w:val="28"/>
          <w:highlight w:val="none"/>
        </w:rPr>
        <w:t>项目投标保证金”。</w:t>
      </w:r>
    </w:p>
    <w:p w14:paraId="05CB566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2）采用支票、银行汇票、本票等非现金形式提交投标保证金时，投标人应在付款人开户行申请书附言处注明“</w:t>
      </w:r>
      <w:r>
        <w:rPr>
          <w:rFonts w:hint="eastAsia" w:ascii="仿宋" w:hAnsi="仿宋" w:eastAsia="仿宋" w:cs="Times New Roman"/>
          <w:color w:val="auto"/>
          <w:sz w:val="28"/>
          <w:szCs w:val="28"/>
          <w:highlight w:val="none"/>
          <w:lang w:val="en-US" w:eastAsia="zh-CN"/>
        </w:rPr>
        <w:t>czsjqt202601-015</w:t>
      </w:r>
      <w:r>
        <w:rPr>
          <w:rFonts w:hint="eastAsia" w:ascii="仿宋" w:hAnsi="仿宋" w:eastAsia="仿宋" w:cs="Times New Roman"/>
          <w:color w:val="auto"/>
          <w:sz w:val="28"/>
          <w:szCs w:val="28"/>
          <w:highlight w:val="none"/>
        </w:rPr>
        <w:t>项目投标保证金”字样，应确保收款人开户行进账单完整反映交易附言内容，由此导致无法识别投标保证金对应的投标项目，其后果由投标人负责。</w:t>
      </w:r>
    </w:p>
    <w:p w14:paraId="6491D71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3)采用电子保函形式具体要求如下：</w:t>
      </w:r>
    </w:p>
    <w:p w14:paraId="6442C2B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①电子保函提交要求：</w:t>
      </w:r>
    </w:p>
    <w:p w14:paraId="0282A81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a.投标人须在投标文件提交截止时间前提供与滁州市公共资源交易中心金融服务平台对接的电子保函，否则视为投标保证金未按规定要求缴纳。</w:t>
      </w:r>
    </w:p>
    <w:p w14:paraId="63CCF18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711FC0B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c.投标有效期内未能确定中标结果，需要延长投标有效期，投标人同意延长投标有效期的，须相应延长电子保函的有效期。</w:t>
      </w:r>
    </w:p>
    <w:p w14:paraId="0DF1D6F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d.</w:t>
      </w:r>
      <w:bookmarkStart w:id="31" w:name="OLE_LINK52"/>
      <w:bookmarkStart w:id="32" w:name="OLE_LINK53"/>
      <w:r>
        <w:rPr>
          <w:rFonts w:hint="eastAsia" w:ascii="仿宋" w:hAnsi="仿宋" w:eastAsia="仿宋" w:cs="Times New Roman"/>
          <w:color w:val="auto"/>
          <w:sz w:val="28"/>
          <w:szCs w:val="28"/>
          <w:highlight w:val="none"/>
        </w:rPr>
        <w:t>投标人存在投标保证金不予退还的情形，采用电子保函形式的将予以追缴。</w:t>
      </w:r>
    </w:p>
    <w:bookmarkEnd w:id="31"/>
    <w:bookmarkEnd w:id="32"/>
    <w:p w14:paraId="55F54B1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4)采用纸质</w:t>
      </w:r>
      <w:r>
        <w:rPr>
          <w:rFonts w:hint="eastAsia" w:ascii="仿宋" w:hAnsi="仿宋" w:eastAsia="仿宋" w:cs="Times New Roman"/>
          <w:color w:val="auto"/>
          <w:sz w:val="28"/>
          <w:szCs w:val="28"/>
          <w:highlight w:val="none"/>
          <w:lang w:eastAsia="zh-CN"/>
        </w:rPr>
        <w:t>银行</w:t>
      </w:r>
      <w:r>
        <w:rPr>
          <w:rFonts w:hint="eastAsia" w:ascii="仿宋" w:hAnsi="仿宋" w:eastAsia="仿宋" w:cs="Times New Roman"/>
          <w:color w:val="auto"/>
          <w:sz w:val="28"/>
          <w:szCs w:val="28"/>
          <w:highlight w:val="none"/>
        </w:rPr>
        <w:t>保函形式具体要求如下：</w:t>
      </w:r>
    </w:p>
    <w:p w14:paraId="1E98296B">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①应为投标人基本账户开户银行出具的不可撤销、不可转让的见索即付独立保函,所需费用由投标人承担。</w:t>
      </w:r>
    </w:p>
    <w:p w14:paraId="11EE012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②投标人在投标文件中必须提供基本存款账户证明（如基本存款账户开户许可证或基本存款账户信息），同时将纸质保函扫描件提供在投标文件中</w:t>
      </w:r>
      <w:r>
        <w:rPr>
          <w:rFonts w:hint="eastAsia" w:ascii="仿宋" w:hAnsi="仿宋" w:eastAsia="仿宋" w:cs="Times New Roman"/>
          <w:color w:val="auto"/>
          <w:sz w:val="28"/>
          <w:szCs w:val="28"/>
          <w:highlight w:val="none"/>
          <w:lang w:eastAsia="zh-CN"/>
        </w:rPr>
        <w:t>。</w:t>
      </w:r>
    </w:p>
    <w:p w14:paraId="46B109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③投标人在投标文件中必须提供明确有效的查询途径（ 网址链接及查询方式），否则该纸质银行保函无效。</w:t>
      </w:r>
    </w:p>
    <w:p w14:paraId="1ADBE5C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5B75C94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保证金电子保函业务应急处置措施。由于自然灾害、事故灾难、突发公共网络安全事件或者系统原因，以及保证金电子保函系统使用过程中出现的以下情况：</w:t>
      </w:r>
    </w:p>
    <w:p w14:paraId="57EFFD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（1）开标时，系统获取明文保函文件异常，无法正常获取保函文件；</w:t>
      </w:r>
    </w:p>
    <w:p w14:paraId="182690F4">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（2）保证金电子保函系统的软件或数据库出现错误，不能进行正常操作；</w:t>
      </w:r>
    </w:p>
    <w:p w14:paraId="41ABEB11">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（3）保证金电子保函系统服务器发生故障等情况，无法访问或无法使用电子保函；</w:t>
      </w:r>
    </w:p>
    <w:p w14:paraId="4AEC572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（4）保证金电子保函系统服务器受到病毒或其他外来的攻击；</w:t>
      </w:r>
    </w:p>
    <w:p w14:paraId="39CF6035">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（5）其他影响电子保函出具的异常情形。</w:t>
      </w:r>
    </w:p>
    <w:p w14:paraId="48795F26">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4FCB0DC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rPr>
        <w:t>本次招标失败，再次进行招标的，投标人须按照新的账户重新缴纳投标保证金。</w:t>
      </w:r>
    </w:p>
    <w:p w14:paraId="7EB7293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投标人为联合体投标的，由牵头人基本账户转出投标保证金或由牵头人办理保函。</w:t>
      </w:r>
    </w:p>
    <w:p w14:paraId="3BA810A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s="Times New Roman"/>
          <w:color w:val="auto"/>
          <w:sz w:val="28"/>
          <w:szCs w:val="28"/>
          <w:highlight w:val="none"/>
          <w:lang w:val="en-US" w:eastAsia="zh-CN"/>
        </w:rPr>
        <w:t>7</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是否适用免缴投标保证金政策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不适用</w:t>
      </w:r>
      <w:r>
        <w:rPr>
          <w:rFonts w:hint="eastAsia" w:ascii="仿宋" w:hAnsi="仿宋" w:eastAsia="仿宋"/>
          <w:color w:val="auto"/>
          <w:sz w:val="28"/>
          <w:szCs w:val="28"/>
          <w:highlight w:val="none"/>
        </w:rPr>
        <w:t>。</w:t>
      </w:r>
    </w:p>
    <w:p w14:paraId="01814087">
      <w:pPr>
        <w:pStyle w:val="121"/>
        <w:shd w:val="clear"/>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5D2C63F9">
      <w:pPr>
        <w:keepNext/>
        <w:keepLines/>
        <w:pageBreakBefore w:val="0"/>
        <w:widowControl w:val="0"/>
        <w:shd w:val="clear"/>
        <w:kinsoku/>
        <w:wordWrap/>
        <w:overflowPunct/>
        <w:topLinePunct w:val="0"/>
        <w:autoSpaceDE/>
        <w:autoSpaceDN/>
        <w:bidi w:val="0"/>
        <w:adjustRightInd/>
        <w:snapToGrid/>
        <w:spacing w:before="140" w:after="14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654E962B">
      <w:pPr>
        <w:keepNext w:val="0"/>
        <w:keepLines w:val="0"/>
        <w:pageBreakBefore w:val="0"/>
        <w:widowControl w:val="0"/>
        <w:shd w:val="clear"/>
        <w:kinsoku/>
        <w:wordWrap w:val="0"/>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DF598EC">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6BB5F85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65A7E833">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074C7AF2">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23</w:t>
      </w:r>
      <w:r>
        <w:rPr>
          <w:rFonts w:hint="eastAsia" w:ascii="仿宋" w:hAnsi="仿宋" w:eastAsia="仿宋"/>
          <w:color w:val="auto"/>
          <w:sz w:val="28"/>
          <w:szCs w:val="28"/>
          <w:highlight w:val="none"/>
        </w:rPr>
        <w:t>日08时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472C9D6B">
      <w:pPr>
        <w:keepNext w:val="0"/>
        <w:keepLines w:val="0"/>
        <w:pageBreakBefore w:val="0"/>
        <w:widowControl w:val="0"/>
        <w:shd w:val="clear"/>
        <w:kinsoku/>
        <w:wordWrap w:val="0"/>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孙工 0550-3500336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关勤勤</w:t>
      </w:r>
      <w:r>
        <w:rPr>
          <w:rFonts w:hint="eastAsia" w:ascii="仿宋" w:hAnsi="仿宋" w:eastAsia="仿宋"/>
          <w:color w:val="auto"/>
          <w:sz w:val="28"/>
          <w:szCs w:val="28"/>
          <w:highlight w:val="none"/>
        </w:rPr>
        <w:t>0550-3519590。</w:t>
      </w:r>
    </w:p>
    <w:p w14:paraId="0F692B9D">
      <w:pPr>
        <w:shd w:val="clea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0CC82A51">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0401545F">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val="en-US" w:eastAsia="zh-CN"/>
        </w:rPr>
        <w:t>滁州市城投交通控股有限公司</w:t>
      </w:r>
      <w:r>
        <w:rPr>
          <w:rFonts w:hint="eastAsia" w:ascii="仿宋" w:hAnsi="仿宋" w:eastAsia="仿宋" w:cs="仿宋"/>
          <w:color w:val="auto"/>
          <w:sz w:val="28"/>
          <w:szCs w:val="28"/>
          <w:highlight w:val="none"/>
          <w:u w:val="single"/>
        </w:rPr>
        <w:t xml:space="preserve">  </w:t>
      </w:r>
    </w:p>
    <w:p w14:paraId="3DCA736A">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val="en-US" w:eastAsia="zh-CN"/>
        </w:rPr>
        <w:t>滁州市中都大道1598号15层</w:t>
      </w:r>
    </w:p>
    <w:p w14:paraId="08056FCB">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 xml:space="preserve">0550-3500336   </w:t>
      </w:r>
      <w:r>
        <w:rPr>
          <w:rFonts w:hint="eastAsia" w:ascii="仿宋" w:hAnsi="仿宋" w:eastAsia="仿宋" w:cs="仿宋"/>
          <w:color w:val="auto"/>
          <w:sz w:val="28"/>
          <w:szCs w:val="28"/>
          <w:highlight w:val="none"/>
          <w:u w:val="single"/>
        </w:rPr>
        <w:t xml:space="preserve">                 </w:t>
      </w:r>
    </w:p>
    <w:p w14:paraId="249116B2">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70760C51">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7D000023">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5C96A8C6">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w:t>
      </w:r>
      <w:r>
        <w:rPr>
          <w:rFonts w:hint="eastAsia" w:ascii="仿宋" w:hAnsi="仿宋" w:eastAsia="仿宋" w:cs="仿宋"/>
          <w:color w:val="auto"/>
          <w:sz w:val="28"/>
          <w:szCs w:val="28"/>
          <w:highlight w:val="none"/>
          <w:u w:val="single"/>
          <w:lang w:val="en-US" w:eastAsia="zh-CN"/>
        </w:rPr>
        <w:t>18909605753</w:t>
      </w:r>
    </w:p>
    <w:p w14:paraId="541ED5B8">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57C5BAD5">
      <w:pPr>
        <w:pStyle w:val="19"/>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孙工</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u w:val="single"/>
          <w:lang w:val="en-US" w:eastAsia="zh-CN"/>
        </w:rPr>
        <w:t>关勤勤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28E7B289">
      <w:pPr>
        <w:pageBreakBefore w:val="0"/>
        <w:widowControl w:val="0"/>
        <w:shd w:val="clear"/>
        <w:kinsoku/>
        <w:wordWrap/>
        <w:overflowPunct/>
        <w:topLinePunct w:val="0"/>
        <w:autoSpaceDE/>
        <w:autoSpaceDN/>
        <w:bidi w:val="0"/>
        <w:adjustRightInd/>
        <w:snapToGrid/>
        <w:spacing w:line="480" w:lineRule="exact"/>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0550-3500336</w:t>
      </w:r>
      <w:r>
        <w:rPr>
          <w:rFonts w:hint="eastAsia" w:ascii="仿宋" w:hAnsi="仿宋" w:eastAsia="仿宋" w:cs="仿宋"/>
          <w:color w:val="auto"/>
          <w:sz w:val="28"/>
          <w:szCs w:val="28"/>
          <w:highlight w:val="none"/>
          <w:u w:val="single"/>
        </w:rPr>
        <w:t xml:space="preserve">、0550-3519590 </w:t>
      </w:r>
    </w:p>
    <w:p w14:paraId="292B10E7">
      <w:pPr>
        <w:rPr>
          <w:rFonts w:hint="eastAsia"/>
          <w:color w:val="auto"/>
          <w:highlight w:val="none"/>
        </w:rPr>
      </w:pPr>
      <w:bookmarkStart w:id="33" w:name="_Toc20364"/>
      <w:r>
        <w:rPr>
          <w:rFonts w:hint="eastAsia"/>
          <w:color w:val="auto"/>
          <w:highlight w:val="none"/>
        </w:rPr>
        <w:br w:type="page"/>
      </w:r>
    </w:p>
    <w:p w14:paraId="32C05E22">
      <w:pPr>
        <w:pStyle w:val="2"/>
        <w:keepNext/>
        <w:keepLines/>
        <w:pageBreakBefore w:val="0"/>
        <w:widowControl w:val="0"/>
        <w:shd w:val="clear"/>
        <w:kinsoku/>
        <w:wordWrap/>
        <w:overflowPunct/>
        <w:topLinePunct w:val="0"/>
        <w:autoSpaceDE/>
        <w:autoSpaceDN/>
        <w:bidi w:val="0"/>
        <w:adjustRightInd/>
        <w:snapToGrid/>
        <w:spacing w:beforeLines="50" w:afterLines="50" w:line="520" w:lineRule="exact"/>
        <w:textAlignment w:val="auto"/>
        <w:rPr>
          <w:rFonts w:ascii="宋体"/>
          <w:b w:val="0"/>
          <w:color w:val="auto"/>
          <w:szCs w:val="32"/>
          <w:highlight w:val="none"/>
        </w:rPr>
      </w:pPr>
      <w:r>
        <w:rPr>
          <w:rFonts w:hint="eastAsia"/>
          <w:color w:val="auto"/>
          <w:highlight w:val="none"/>
        </w:rPr>
        <w:t>第二章 投标人须知</w:t>
      </w:r>
      <w:bookmarkEnd w:id="33"/>
    </w:p>
    <w:p w14:paraId="340B4472">
      <w:pPr>
        <w:shd w:val="clear"/>
        <w:snapToGrid w:val="0"/>
        <w:spacing w:line="440" w:lineRule="exact"/>
        <w:jc w:val="center"/>
        <w:outlineLvl w:val="1"/>
        <w:rPr>
          <w:rFonts w:ascii="宋体"/>
          <w:b/>
          <w:color w:val="auto"/>
          <w:sz w:val="28"/>
          <w:szCs w:val="28"/>
          <w:highlight w:val="none"/>
        </w:rPr>
      </w:pPr>
      <w:bookmarkStart w:id="34" w:name="_Toc449028865"/>
      <w:bookmarkStart w:id="35" w:name="_Toc1019"/>
      <w:bookmarkStart w:id="36"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34"/>
      <w:bookmarkEnd w:id="35"/>
      <w:bookmarkEnd w:id="36"/>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4919BC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959D60F">
            <w:pPr>
              <w:pStyle w:val="19"/>
              <w:shd w:val="clear"/>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01326B29">
            <w:pPr>
              <w:pStyle w:val="19"/>
              <w:shd w:val="clear"/>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7D47AF78">
            <w:pPr>
              <w:pStyle w:val="19"/>
              <w:shd w:val="clear"/>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7B175F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44548235">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6E0A56A">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2A7A73AB">
            <w:pPr>
              <w:pStyle w:val="19"/>
              <w:shd w:val="clear"/>
              <w:spacing w:line="500" w:lineRule="exact"/>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来六、明巢高速机电设施维护项目</w:t>
            </w:r>
          </w:p>
        </w:tc>
      </w:tr>
      <w:tr w14:paraId="2C908A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B829123">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2CEC1A84">
            <w:pPr>
              <w:pStyle w:val="19"/>
              <w:shd w:val="clear"/>
              <w:spacing w:line="500" w:lineRule="exact"/>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05A8D5EC">
            <w:pPr>
              <w:pStyle w:val="19"/>
              <w:shd w:val="clear"/>
              <w:spacing w:line="500" w:lineRule="exact"/>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czsjqt202601-015</w:t>
            </w:r>
          </w:p>
        </w:tc>
      </w:tr>
      <w:tr w14:paraId="7C264E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0655D082">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59331298">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27F0F0A2">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本项目服务期</w:t>
            </w:r>
            <w:r>
              <w:rPr>
                <w:rFonts w:hint="eastAsia" w:ascii="宋体" w:hAnsi="宋体" w:cs="宋体"/>
                <w:color w:val="auto"/>
                <w:szCs w:val="21"/>
                <w:highlight w:val="none"/>
                <w:lang w:val="en-US" w:eastAsia="zh-CN"/>
              </w:rPr>
              <w:t>3±N（N=0、1、2）</w:t>
            </w:r>
            <w:r>
              <w:rPr>
                <w:rFonts w:hint="eastAsia" w:ascii="宋体" w:hAnsi="宋体" w:cs="宋体"/>
                <w:color w:val="auto"/>
                <w:szCs w:val="21"/>
                <w:highlight w:val="none"/>
              </w:rPr>
              <w:t>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合同一年一签。</w:t>
            </w:r>
          </w:p>
        </w:tc>
      </w:tr>
      <w:tr w14:paraId="4C73D5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E6224D0">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2D964F7C">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1B36716C">
            <w:pPr>
              <w:pStyle w:val="19"/>
              <w:shd w:val="clear"/>
              <w:spacing w:line="500" w:lineRule="exact"/>
              <w:rPr>
                <w:rFonts w:hAnsi="宋体" w:cs="宋体"/>
                <w:color w:val="auto"/>
                <w:szCs w:val="21"/>
                <w:highlight w:val="none"/>
              </w:rPr>
            </w:pPr>
            <w:r>
              <w:rPr>
                <w:rFonts w:hint="eastAsia" w:hAnsi="宋体" w:cs="宋体"/>
                <w:color w:val="auto"/>
                <w:szCs w:val="21"/>
                <w:highlight w:val="none"/>
              </w:rPr>
              <w:t>滁州市内</w:t>
            </w:r>
          </w:p>
        </w:tc>
      </w:tr>
      <w:tr w14:paraId="2EDB6F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2143E42D">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C738029">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6DF838C8">
            <w:pPr>
              <w:pStyle w:val="19"/>
              <w:shd w:val="clear"/>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孙工</w:t>
            </w:r>
            <w:r>
              <w:rPr>
                <w:rFonts w:hint="eastAsia" w:hAnsi="宋体" w:cs="宋体"/>
                <w:color w:val="auto"/>
                <w:szCs w:val="21"/>
                <w:highlight w:val="none"/>
              </w:rPr>
              <w:t xml:space="preserve">              电话：</w:t>
            </w:r>
            <w:r>
              <w:rPr>
                <w:rFonts w:hint="eastAsia" w:hAnsi="宋体" w:cs="宋体"/>
                <w:color w:val="auto"/>
                <w:szCs w:val="21"/>
                <w:highlight w:val="none"/>
                <w:lang w:val="en-US" w:eastAsia="zh-CN"/>
              </w:rPr>
              <w:t>0550-3500336</w:t>
            </w:r>
          </w:p>
        </w:tc>
      </w:tr>
      <w:tr w14:paraId="48EA6B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055236AD">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85EA7E4">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4529F4">
            <w:pPr>
              <w:pStyle w:val="19"/>
              <w:shd w:val="clear"/>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关勤勤</w:t>
            </w:r>
            <w:r>
              <w:rPr>
                <w:rFonts w:hint="eastAsia" w:hAnsi="宋体" w:cs="宋体"/>
                <w:color w:val="auto"/>
                <w:szCs w:val="21"/>
                <w:highlight w:val="none"/>
              </w:rPr>
              <w:t xml:space="preserve">            电话</w:t>
            </w:r>
            <w:r>
              <w:rPr>
                <w:rFonts w:hint="eastAsia" w:hAnsi="宋体" w:cs="宋体"/>
                <w:color w:val="auto"/>
                <w:szCs w:val="21"/>
                <w:highlight w:val="none"/>
                <w:lang w:eastAsia="zh-CN"/>
              </w:rPr>
              <w:t>：</w:t>
            </w:r>
            <w:r>
              <w:rPr>
                <w:rFonts w:hint="eastAsia" w:hAnsi="宋体" w:cs="宋体"/>
                <w:color w:val="auto"/>
                <w:szCs w:val="21"/>
                <w:highlight w:val="none"/>
              </w:rPr>
              <w:t xml:space="preserve">0550-3519590   </w:t>
            </w:r>
            <w:r>
              <w:rPr>
                <w:rFonts w:hint="eastAsia" w:hAnsi="宋体" w:cs="宋体"/>
                <w:color w:val="auto"/>
                <w:szCs w:val="21"/>
                <w:highlight w:val="none"/>
                <w:lang w:val="en-US" w:eastAsia="zh-CN"/>
              </w:rPr>
              <w:t>18909605753</w:t>
            </w:r>
          </w:p>
        </w:tc>
      </w:tr>
      <w:tr w14:paraId="1D9103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05C0347A">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6A80AAAE">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1D5D45BB">
            <w:pPr>
              <w:pStyle w:val="19"/>
              <w:shd w:val="clear"/>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24F297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0BA22E9B">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7CEE53D0">
            <w:pPr>
              <w:pStyle w:val="19"/>
              <w:shd w:val="clear"/>
              <w:spacing w:line="500" w:lineRule="exact"/>
              <w:rPr>
                <w:rFonts w:hAnsi="宋体" w:cs="宋体"/>
                <w:color w:val="auto"/>
                <w:szCs w:val="21"/>
                <w:highlight w:val="none"/>
              </w:rPr>
            </w:pPr>
            <w:r>
              <w:rPr>
                <w:rFonts w:hint="eastAsia" w:hAnsi="宋体" w:cs="宋体"/>
                <w:color w:val="auto"/>
                <w:szCs w:val="21"/>
                <w:highlight w:val="none"/>
                <w:lang w:val="en-US" w:eastAsia="zh-CN"/>
              </w:rPr>
              <w:t>采购</w:t>
            </w:r>
            <w:r>
              <w:rPr>
                <w:rFonts w:hint="eastAsia" w:hAnsi="宋体" w:cs="宋体"/>
                <w:color w:val="auto"/>
                <w:szCs w:val="21"/>
                <w:highlight w:val="none"/>
              </w:rPr>
              <w:t>预算</w:t>
            </w:r>
          </w:p>
        </w:tc>
        <w:tc>
          <w:tcPr>
            <w:tcW w:w="6610" w:type="dxa"/>
            <w:vAlign w:val="center"/>
          </w:tcPr>
          <w:p w14:paraId="1B1FD111">
            <w:pPr>
              <w:pStyle w:val="19"/>
              <w:shd w:val="clear"/>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950000</w:t>
            </w:r>
            <w:r>
              <w:rPr>
                <w:rFonts w:hint="eastAsia" w:hAnsi="宋体" w:cs="宋体"/>
                <w:color w:val="auto"/>
                <w:szCs w:val="21"/>
                <w:highlight w:val="none"/>
              </w:rPr>
              <w:t>元</w:t>
            </w:r>
            <w:r>
              <w:rPr>
                <w:rFonts w:hint="eastAsia" w:hAnsi="宋体" w:cs="宋体"/>
                <w:color w:val="auto"/>
                <w:szCs w:val="21"/>
                <w:highlight w:val="none"/>
                <w:lang w:val="en-US" w:eastAsia="zh-CN"/>
              </w:rPr>
              <w:t>/年</w:t>
            </w:r>
          </w:p>
        </w:tc>
      </w:tr>
      <w:tr w14:paraId="1ADBE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6ED05298">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1795133E">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49B2E147">
            <w:pPr>
              <w:keepNext w:val="0"/>
              <w:keepLines w:val="0"/>
              <w:pageBreakBefore w:val="0"/>
              <w:shd w:val="clear"/>
              <w:kinsoku/>
              <w:wordWrap/>
              <w:overflowPunct/>
              <w:autoSpaceDE/>
              <w:autoSpaceDN/>
              <w:bidi w:val="0"/>
              <w:adjustRightInd w:val="0"/>
              <w:snapToGrid w:val="0"/>
              <w:spacing w:line="44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本项目投标报价采用百分比报价，投标人投标报价（费率）不得高于100%，否则，其投标文件按无效投标处理。</w:t>
            </w:r>
          </w:p>
          <w:p w14:paraId="106E4EAE">
            <w:pPr>
              <w:keepNext w:val="0"/>
              <w:keepLines w:val="0"/>
              <w:pageBreakBefore w:val="0"/>
              <w:shd w:val="clear"/>
              <w:kinsoku/>
              <w:wordWrap/>
              <w:overflowPunct/>
              <w:autoSpaceDE/>
              <w:autoSpaceDN/>
              <w:bidi w:val="0"/>
              <w:adjustRightInd w:val="0"/>
              <w:snapToGrid w:val="0"/>
              <w:spacing w:line="440" w:lineRule="exact"/>
              <w:textAlignment w:val="auto"/>
              <w:rPr>
                <w:rFonts w:hint="default"/>
                <w:color w:val="auto"/>
                <w:highlight w:val="none"/>
                <w:lang w:val="en-US" w:eastAsia="zh-CN"/>
              </w:rPr>
            </w:pPr>
            <w:r>
              <w:rPr>
                <w:rFonts w:hint="eastAsia" w:hAnsi="宋体" w:cs="宋体"/>
                <w:b/>
                <w:color w:val="auto"/>
                <w:szCs w:val="21"/>
                <w:highlight w:val="none"/>
              </w:rPr>
              <w:t>本项目以</w:t>
            </w:r>
            <w:r>
              <w:rPr>
                <w:rFonts w:hint="eastAsia" w:hAnsi="宋体" w:cs="宋体"/>
                <w:b/>
                <w:color w:val="auto"/>
                <w:szCs w:val="21"/>
                <w:highlight w:val="none"/>
                <w:lang w:val="en-US" w:eastAsia="zh-CN"/>
              </w:rPr>
              <w:t>招标人发布的《维护清单》</w:t>
            </w:r>
            <w:r>
              <w:rPr>
                <w:rFonts w:hint="eastAsia" w:hAnsi="宋体" w:cs="宋体"/>
                <w:b/>
                <w:color w:val="auto"/>
                <w:szCs w:val="21"/>
                <w:highlight w:val="none"/>
              </w:rPr>
              <w:t>单价为</w:t>
            </w:r>
            <w:r>
              <w:rPr>
                <w:rFonts w:hint="eastAsia" w:hAnsi="宋体" w:cs="宋体"/>
                <w:b/>
                <w:color w:val="auto"/>
                <w:szCs w:val="21"/>
                <w:highlight w:val="none"/>
                <w:lang w:val="en-US" w:eastAsia="zh-CN"/>
              </w:rPr>
              <w:t>计费</w:t>
            </w:r>
            <w:r>
              <w:rPr>
                <w:rFonts w:hint="eastAsia" w:hAnsi="宋体" w:cs="宋体"/>
                <w:b/>
                <w:color w:val="auto"/>
                <w:szCs w:val="21"/>
                <w:highlight w:val="none"/>
              </w:rPr>
              <w:t>基数，若投标人报价为</w:t>
            </w:r>
            <w:r>
              <w:rPr>
                <w:rFonts w:hint="eastAsia" w:hAnsi="宋体" w:cs="宋体"/>
                <w:b/>
                <w:color w:val="auto"/>
                <w:szCs w:val="21"/>
                <w:highlight w:val="none"/>
                <w:lang w:val="en-US" w:eastAsia="zh-CN"/>
              </w:rPr>
              <w:t>80</w:t>
            </w:r>
            <w:r>
              <w:rPr>
                <w:rFonts w:hint="eastAsia" w:hAnsi="宋体" w:cs="宋体"/>
                <w:b/>
                <w:color w:val="auto"/>
                <w:szCs w:val="21"/>
                <w:highlight w:val="none"/>
              </w:rPr>
              <w:t>%，则结算</w:t>
            </w:r>
            <w:r>
              <w:rPr>
                <w:rFonts w:hint="eastAsia" w:hAnsi="宋体" w:cs="宋体"/>
                <w:b/>
                <w:color w:val="auto"/>
                <w:szCs w:val="21"/>
                <w:highlight w:val="none"/>
                <w:lang w:val="en-US" w:eastAsia="zh-CN"/>
              </w:rPr>
              <w:t>相应</w:t>
            </w:r>
            <w:r>
              <w:rPr>
                <w:rFonts w:hint="eastAsia" w:hAnsi="宋体" w:cs="宋体"/>
                <w:b/>
                <w:color w:val="auto"/>
                <w:szCs w:val="21"/>
                <w:highlight w:val="none"/>
              </w:rPr>
              <w:t>单价=</w:t>
            </w:r>
            <w:r>
              <w:rPr>
                <w:rFonts w:hint="eastAsia" w:hAnsi="宋体" w:cs="宋体"/>
                <w:b/>
                <w:color w:val="auto"/>
                <w:szCs w:val="21"/>
                <w:highlight w:val="none"/>
                <w:lang w:val="en-US" w:eastAsia="zh-CN"/>
              </w:rPr>
              <w:t>相应项目</w:t>
            </w:r>
            <w:r>
              <w:rPr>
                <w:rFonts w:hint="eastAsia" w:hAnsi="宋体" w:cs="宋体"/>
                <w:b/>
                <w:color w:val="auto"/>
                <w:szCs w:val="21"/>
                <w:highlight w:val="none"/>
              </w:rPr>
              <w:t>单价</w:t>
            </w:r>
            <w:r>
              <w:rPr>
                <w:rFonts w:hint="eastAsia" w:ascii="Times New Roman" w:hAnsi="宋体" w:eastAsia="宋体" w:cs="宋体"/>
                <w:b/>
                <w:color w:val="auto"/>
                <w:szCs w:val="21"/>
                <w:highlight w:val="none"/>
              </w:rPr>
              <w:t>×</w:t>
            </w:r>
            <w:r>
              <w:rPr>
                <w:rFonts w:hint="eastAsia" w:ascii="Times New Roman" w:hAnsi="宋体" w:eastAsia="宋体" w:cs="宋体"/>
                <w:b/>
                <w:color w:val="auto"/>
                <w:szCs w:val="21"/>
                <w:highlight w:val="none"/>
                <w:lang w:val="en-US" w:eastAsia="zh-CN"/>
              </w:rPr>
              <w:t>80</w:t>
            </w:r>
            <w:r>
              <w:rPr>
                <w:rFonts w:hint="eastAsia" w:ascii="Times New Roman" w:hAnsi="宋体" w:eastAsia="宋体" w:cs="宋体"/>
                <w:b/>
                <w:color w:val="auto"/>
                <w:szCs w:val="21"/>
                <w:highlight w:val="none"/>
              </w:rPr>
              <w:t>%</w:t>
            </w:r>
            <w:r>
              <w:rPr>
                <w:rFonts w:hint="eastAsia" w:ascii="宋体" w:hAnsi="宋体" w:eastAsia="宋体" w:cs="宋体"/>
                <w:b/>
                <w:bCs w:val="0"/>
                <w:color w:val="auto"/>
                <w:kern w:val="0"/>
                <w:sz w:val="21"/>
                <w:szCs w:val="21"/>
                <w:highlight w:val="none"/>
                <w:u w:val="none"/>
                <w:lang w:val="en-US" w:eastAsia="zh-CN" w:bidi="ar-SA"/>
              </w:rPr>
              <w:t>。</w:t>
            </w:r>
          </w:p>
          <w:p w14:paraId="725BC1E2">
            <w:pPr>
              <w:keepNext w:val="0"/>
              <w:keepLines w:val="0"/>
              <w:pageBreakBefore w:val="0"/>
              <w:shd w:val="clear"/>
              <w:kinsoku/>
              <w:wordWrap/>
              <w:overflowPunct/>
              <w:autoSpaceDE/>
              <w:autoSpaceDN/>
              <w:bidi w:val="0"/>
              <w:adjustRightInd w:val="0"/>
              <w:snapToGrid w:val="0"/>
              <w:spacing w:line="440" w:lineRule="exact"/>
              <w:textAlignment w:val="auto"/>
              <w:rPr>
                <w:rFonts w:hint="eastAsia" w:ascii="宋体" w:hAnsi="宋体" w:eastAsia="宋体" w:cs="宋体"/>
                <w:b/>
                <w:bCs/>
                <w:color w:val="auto"/>
                <w:sz w:val="21"/>
                <w:szCs w:val="21"/>
                <w:highlight w:val="none"/>
                <w:lang w:val="en-US" w:eastAsia="zh-CN"/>
              </w:rPr>
            </w:pPr>
            <w:r>
              <w:rPr>
                <w:rFonts w:hint="eastAsia" w:ascii="Times New Roman" w:eastAsia="宋体"/>
                <w:b/>
                <w:bCs/>
                <w:color w:val="auto"/>
                <w:highlight w:val="none"/>
                <w:lang w:val="en-US" w:eastAsia="zh-CN"/>
              </w:rPr>
              <w:t>注：投标报价费率小数点后最多保留两位小数，如填报多位小数的，按小数点后第3位四舍五入修正投标报价费率（如：某投标报价费率为95.567％，则修正为95.57％；某投标报价费率为77.884％，则修正为77.88％）</w:t>
            </w:r>
          </w:p>
        </w:tc>
      </w:tr>
      <w:tr w14:paraId="096633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250A6041">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BC21E71">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14447CC0">
            <w:pPr>
              <w:pStyle w:val="19"/>
              <w:shd w:val="clear"/>
              <w:spacing w:line="500" w:lineRule="exact"/>
              <w:rPr>
                <w:rFonts w:hAnsi="宋体" w:cs="宋体"/>
                <w:color w:val="auto"/>
                <w:szCs w:val="21"/>
                <w:highlight w:val="none"/>
              </w:rPr>
            </w:pPr>
            <w:r>
              <w:rPr>
                <w:rFonts w:hint="eastAsia" w:hAnsi="宋体" w:cs="宋体"/>
                <w:b/>
                <w:color w:val="auto"/>
                <w:kern w:val="0"/>
                <w:szCs w:val="21"/>
                <w:highlight w:val="none"/>
              </w:rPr>
              <w:t>具体</w:t>
            </w:r>
            <w:r>
              <w:rPr>
                <w:rFonts w:hint="eastAsia" w:hAnsi="宋体" w:cs="宋体"/>
                <w:b/>
                <w:color w:val="auto"/>
                <w:kern w:val="0"/>
                <w:szCs w:val="21"/>
                <w:highlight w:val="none"/>
                <w:lang w:val="en-US" w:eastAsia="zh-CN"/>
              </w:rPr>
              <w:t>详见《采购内容及技术要求》和合同条款内容</w:t>
            </w:r>
          </w:p>
        </w:tc>
      </w:tr>
      <w:tr w14:paraId="3F58B8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C55ADD8">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117551AB">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2A5597AC">
            <w:pPr>
              <w:pStyle w:val="19"/>
              <w:shd w:val="clear"/>
              <w:spacing w:line="500" w:lineRule="exact"/>
              <w:rPr>
                <w:rFonts w:hint="eastAsia" w:hAnsi="宋体" w:eastAsia="宋体" w:cs="宋体"/>
                <w:color w:val="auto"/>
                <w:szCs w:val="21"/>
                <w:highlight w:val="none"/>
                <w:lang w:val="en-US" w:eastAsia="zh-CN"/>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w:t>
            </w:r>
            <w:r>
              <w:rPr>
                <w:rFonts w:hint="eastAsia" w:hAnsi="宋体" w:cs="宋体"/>
                <w:color w:val="auto"/>
                <w:szCs w:val="21"/>
                <w:highlight w:val="none"/>
                <w:lang w:val="en-US" w:eastAsia="zh-CN"/>
              </w:rPr>
              <w:t>段</w:t>
            </w:r>
          </w:p>
        </w:tc>
      </w:tr>
      <w:tr w14:paraId="01350C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33DB9270">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4C0D8CE5">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5D2EF253">
            <w:pPr>
              <w:pStyle w:val="19"/>
              <w:shd w:val="clear"/>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20D077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20A72F57">
            <w:pPr>
              <w:pStyle w:val="19"/>
              <w:shd w:val="clear"/>
              <w:spacing w:line="500" w:lineRule="exact"/>
              <w:jc w:val="center"/>
              <w:rPr>
                <w:rFonts w:hint="eastAsia" w:hAnsi="宋体" w:eastAsia="宋体" w:cs="宋体"/>
                <w:color w:val="auto"/>
                <w:szCs w:val="21"/>
                <w:highlight w:val="none"/>
                <w:lang w:eastAsia="zh-CN"/>
              </w:rPr>
            </w:pPr>
            <w:r>
              <w:rPr>
                <w:rFonts w:hint="eastAsia" w:hAnsi="宋体" w:cs="宋体"/>
                <w:color w:val="auto"/>
                <w:szCs w:val="21"/>
                <w:highlight w:val="none"/>
              </w:rPr>
              <w:t>7.</w:t>
            </w:r>
            <w:r>
              <w:rPr>
                <w:rFonts w:hint="eastAsia" w:hAnsi="宋体" w:cs="宋体"/>
                <w:color w:val="auto"/>
                <w:szCs w:val="21"/>
                <w:highlight w:val="none"/>
                <w:lang w:val="en-US" w:eastAsia="zh-CN"/>
              </w:rPr>
              <w:t>1</w:t>
            </w:r>
          </w:p>
        </w:tc>
        <w:tc>
          <w:tcPr>
            <w:tcW w:w="2140" w:type="dxa"/>
            <w:gridSpan w:val="2"/>
            <w:vAlign w:val="center"/>
          </w:tcPr>
          <w:p w14:paraId="7AA1F7BB">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021339A2">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1384DD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3BC3A78">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6785A945">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2EC8505A">
            <w:pPr>
              <w:pStyle w:val="19"/>
              <w:shd w:val="clear"/>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388661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9774B29">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49BEE084">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78E797DA">
            <w:pPr>
              <w:pStyle w:val="19"/>
              <w:shd w:val="clear"/>
              <w:spacing w:line="500" w:lineRule="exact"/>
              <w:rPr>
                <w:rFonts w:hAnsi="宋体" w:cs="宋体"/>
                <w:color w:val="auto"/>
                <w:szCs w:val="21"/>
                <w:highlight w:val="none"/>
              </w:rPr>
            </w:pPr>
            <w:r>
              <w:rPr>
                <w:rFonts w:hint="eastAsia" w:hAnsi="宋体" w:cs="宋体"/>
                <w:color w:val="auto"/>
                <w:szCs w:val="21"/>
                <w:highlight w:val="none"/>
              </w:rPr>
              <w:t>不召开</w:t>
            </w:r>
          </w:p>
        </w:tc>
      </w:tr>
      <w:tr w14:paraId="3C675E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1865D638">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7B98E6C8">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38AA695A">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7125</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(参考计价格[2002]1980号文件50%)</w:t>
            </w:r>
            <w:r>
              <w:rPr>
                <w:rFonts w:hint="eastAsia" w:ascii="宋体" w:hAnsi="宋体" w:cs="宋体"/>
                <w:color w:val="auto"/>
                <w:szCs w:val="21"/>
                <w:highlight w:val="none"/>
              </w:rPr>
              <w:t>。</w:t>
            </w:r>
          </w:p>
          <w:p w14:paraId="5289A2C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代理服务费支付主体：中标单位。</w:t>
            </w:r>
          </w:p>
          <w:p w14:paraId="0CA95AB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招标单位</w:t>
            </w:r>
            <w:r>
              <w:rPr>
                <w:rFonts w:hint="eastAsia" w:ascii="宋体" w:hAnsi="宋体" w:cs="宋体"/>
                <w:color w:val="auto"/>
                <w:szCs w:val="21"/>
                <w:highlight w:val="none"/>
              </w:rPr>
              <w:t>。</w:t>
            </w:r>
          </w:p>
        </w:tc>
      </w:tr>
      <w:tr w14:paraId="35729B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1048" w:type="dxa"/>
            <w:vAlign w:val="center"/>
          </w:tcPr>
          <w:p w14:paraId="6C10CCB2">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0295400A">
            <w:pPr>
              <w:pStyle w:val="19"/>
              <w:shd w:val="clear"/>
              <w:spacing w:line="500" w:lineRule="exact"/>
              <w:jc w:val="left"/>
              <w:rPr>
                <w:rFonts w:ascii="宋体"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6217100C">
            <w:pPr>
              <w:pStyle w:val="19"/>
              <w:keepNext w:val="0"/>
              <w:keepLines w:val="0"/>
              <w:pageBreakBefore w:val="0"/>
              <w:widowControl w:val="0"/>
              <w:shd w:val="clear"/>
              <w:kinsoku/>
              <w:wordWrap w:val="0"/>
              <w:overflowPunct/>
              <w:topLinePunct w:val="0"/>
              <w:autoSpaceDE/>
              <w:autoSpaceDN/>
              <w:bidi w:val="0"/>
              <w:adjustRightInd/>
              <w:snapToGrid/>
              <w:spacing w:line="500" w:lineRule="exact"/>
              <w:textAlignment w:val="auto"/>
              <w:rPr>
                <w:rFonts w:ascii="宋体"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2</w:t>
            </w:r>
            <w:r>
              <w:rPr>
                <w:rFonts w:hint="eastAsia" w:hAnsi="宋体" w:cs="宋体"/>
                <w:b/>
                <w:bCs/>
                <w:color w:val="auto"/>
                <w:szCs w:val="21"/>
                <w:highlight w:val="none"/>
              </w:rPr>
              <w:t>月</w:t>
            </w:r>
            <w:r>
              <w:rPr>
                <w:rFonts w:hint="eastAsia" w:hAnsi="宋体" w:cs="宋体"/>
                <w:b/>
                <w:bCs/>
                <w:color w:val="auto"/>
                <w:szCs w:val="21"/>
                <w:highlight w:val="none"/>
                <w:lang w:val="en-US" w:eastAsia="zh-CN"/>
              </w:rPr>
              <w:t>23</w:t>
            </w:r>
            <w:r>
              <w:rPr>
                <w:rFonts w:hint="eastAsia" w:hAnsi="宋体" w:cs="宋体"/>
                <w:b/>
                <w:bCs/>
                <w:color w:val="auto"/>
                <w:szCs w:val="21"/>
                <w:highlight w:val="none"/>
              </w:rPr>
              <w:t>日8时</w:t>
            </w:r>
            <w:r>
              <w:rPr>
                <w:rFonts w:hint="eastAsia" w:hAnsi="宋体" w:cs="宋体"/>
                <w:b/>
                <w:bCs/>
                <w:color w:val="auto"/>
                <w:szCs w:val="21"/>
                <w:highlight w:val="none"/>
                <w:lang w:val="en-US" w:eastAsia="zh-CN"/>
              </w:rPr>
              <w:t>30分</w:t>
            </w:r>
            <w:r>
              <w:rPr>
                <w:rFonts w:hint="eastAsia" w:hAnsi="宋体" w:cs="宋体"/>
                <w:color w:val="auto"/>
                <w:szCs w:val="21"/>
                <w:highlight w:val="none"/>
              </w:rPr>
              <w:t xml:space="preserve">（投标截止10日）前在滁州市公共资源交易中心网电子交易系统中进行异议（质疑），具体操作步骤和程序请参见服务指南&gt;交易须知&gt;在线异议、质疑和投诉操作手册。 </w:t>
            </w:r>
          </w:p>
        </w:tc>
      </w:tr>
      <w:tr w14:paraId="31195C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26F159C1">
            <w:pPr>
              <w:shd w:val="clear"/>
              <w:spacing w:line="5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16.4</w:t>
            </w:r>
          </w:p>
        </w:tc>
        <w:tc>
          <w:tcPr>
            <w:tcW w:w="2140" w:type="dxa"/>
            <w:gridSpan w:val="2"/>
            <w:vAlign w:val="center"/>
          </w:tcPr>
          <w:p w14:paraId="7BF75BD0">
            <w:pPr>
              <w:pStyle w:val="19"/>
              <w:shd w:val="clear"/>
              <w:spacing w:line="500" w:lineRule="exact"/>
              <w:jc w:val="left"/>
              <w:rPr>
                <w:rFonts w:hint="eastAsia" w:ascii="宋体"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734C1AB6">
            <w:pPr>
              <w:keepNext w:val="0"/>
              <w:keepLines w:val="0"/>
              <w:pageBreakBefore w:val="0"/>
              <w:widowControl w:val="0"/>
              <w:shd w:val="clear"/>
              <w:kinsoku/>
              <w:wordWrap w:val="0"/>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2</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24</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7482F4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4773649">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77FD3CA6">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5540C305">
            <w:pPr>
              <w:pStyle w:val="19"/>
              <w:shd w:val="clear"/>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1BD461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66C28A3F">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0C8B623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2A1AB0BD">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投标保证金收取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投标保证金的金额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投标人提交投标保证金。</w:t>
            </w:r>
          </w:p>
          <w:p w14:paraId="1343CC74">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投标保证金形式：支持现金（银行转账、银行电汇等）、非现金形式（支票、银行汇票、本票等）、电子保函、纸质银行保函。</w:t>
            </w:r>
          </w:p>
          <w:p w14:paraId="434D9C6F">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接收投标保证金的账户信息：</w:t>
            </w:r>
          </w:p>
          <w:p w14:paraId="5D609D41">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7EB8E926">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①户名：滁州市公共资源交易中心</w:t>
            </w:r>
          </w:p>
          <w:p w14:paraId="3E7937DC">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开户行：中国银行滁州分行 </w:t>
            </w:r>
          </w:p>
          <w:p w14:paraId="54F04CC2">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181227797200</w:t>
            </w:r>
            <w:r>
              <w:rPr>
                <w:rFonts w:hint="eastAsia" w:ascii="宋体" w:hAnsi="宋体" w:cs="宋体"/>
                <w:color w:val="auto"/>
                <w:szCs w:val="21"/>
                <w:highlight w:val="none"/>
              </w:rPr>
              <w:t xml:space="preserve"> </w:t>
            </w:r>
          </w:p>
          <w:p w14:paraId="6049E932">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②户名：滁州市公共资源交易中心 </w:t>
            </w:r>
          </w:p>
          <w:p w14:paraId="2DE9AA23">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开户行：中国建设银行股份有限公司滁州南谯支行</w:t>
            </w:r>
          </w:p>
          <w:p w14:paraId="05E78948">
            <w:pPr>
              <w:widowControl/>
              <w:shd w:val="clear" w:color="auto"/>
              <w:spacing w:line="5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 xml:space="preserve">6232811720000038732 </w:t>
            </w:r>
          </w:p>
          <w:p w14:paraId="1CF06D0C">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③户名：滁州市公共资源交易中心        </w:t>
            </w:r>
          </w:p>
          <w:p w14:paraId="005D4D7C">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开户行：中国农业银行滁州中都支行                </w:t>
            </w:r>
          </w:p>
          <w:p w14:paraId="13B94F81">
            <w:pPr>
              <w:widowControl/>
              <w:shd w:val="clear" w:color="auto"/>
              <w:spacing w:line="5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123340010400044210000000673</w:t>
            </w:r>
          </w:p>
          <w:p w14:paraId="1C38DB5F">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采用现金形式缴纳保证金时须在交易附言中注明：“</w:t>
            </w:r>
            <w:r>
              <w:rPr>
                <w:rFonts w:hint="eastAsia" w:ascii="宋体" w:hAnsi="宋体" w:cs="宋体"/>
                <w:color w:val="auto"/>
                <w:szCs w:val="21"/>
                <w:highlight w:val="none"/>
                <w:lang w:val="en-US" w:eastAsia="zh-CN"/>
              </w:rPr>
              <w:t xml:space="preserve">czsjqt202601-015  </w:t>
            </w:r>
            <w:r>
              <w:rPr>
                <w:rFonts w:hint="eastAsia" w:ascii="宋体" w:hAnsi="宋体" w:cs="宋体"/>
                <w:color w:val="auto"/>
                <w:szCs w:val="21"/>
                <w:highlight w:val="none"/>
              </w:rPr>
              <w:t>项目投标保证金”。</w:t>
            </w:r>
          </w:p>
          <w:p w14:paraId="5835EFF2">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2）采用支票、银行汇票、本票等非现金形式提交投标保证金时，投标人应在付款人开户行申请书附言处注明“</w:t>
            </w:r>
            <w:r>
              <w:rPr>
                <w:rFonts w:hint="eastAsia" w:ascii="宋体" w:hAnsi="宋体" w:cs="宋体"/>
                <w:color w:val="auto"/>
                <w:szCs w:val="21"/>
                <w:highlight w:val="none"/>
                <w:lang w:val="en-US" w:eastAsia="zh-CN"/>
              </w:rPr>
              <w:t>czsjqt202601-015</w:t>
            </w:r>
            <w:r>
              <w:rPr>
                <w:rFonts w:hint="eastAsia" w:ascii="宋体" w:hAnsi="宋体" w:cs="宋体"/>
                <w:color w:val="auto"/>
                <w:szCs w:val="21"/>
                <w:highlight w:val="none"/>
              </w:rPr>
              <w:t>项目投标保证金”字样，应确保收款人开户行进账单完整反映交易附言内容，由此导致无法识别投标保证金对应的投标项目，其后果由投标人负责。</w:t>
            </w:r>
          </w:p>
          <w:p w14:paraId="79FAEF86">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3)采用电子保函形式具体要求如下：</w:t>
            </w:r>
          </w:p>
          <w:p w14:paraId="45C27B68">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①电子保函提交要求：</w:t>
            </w:r>
          </w:p>
          <w:p w14:paraId="2904827D">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a.投标人须在投标文件提交截止时间前提供与滁州市公共资源交易中心金融服务平台对接的电子保函，否则视为投标保证金未按规定要求缴纳。</w:t>
            </w:r>
          </w:p>
          <w:p w14:paraId="57B2E373">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28060319">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c.投标有效期内未能确定中标结果，需要延长投标有效期，投标人同意延长投标有效期的，须相应延长电子保函的有效期。</w:t>
            </w:r>
          </w:p>
          <w:p w14:paraId="3CAED5BA">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d.投标人存在投标保证金不予退还的情形，采用电子保函形式的将予以追缴。</w:t>
            </w:r>
          </w:p>
          <w:p w14:paraId="396BF8A0">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4)采用纸质</w:t>
            </w:r>
            <w:r>
              <w:rPr>
                <w:rFonts w:hint="eastAsia" w:ascii="宋体" w:hAnsi="宋体" w:cs="宋体"/>
                <w:color w:val="auto"/>
                <w:szCs w:val="21"/>
                <w:highlight w:val="none"/>
                <w:lang w:eastAsia="zh-CN"/>
              </w:rPr>
              <w:t>银行</w:t>
            </w:r>
            <w:r>
              <w:rPr>
                <w:rFonts w:hint="eastAsia" w:ascii="宋体" w:hAnsi="宋体" w:cs="宋体"/>
                <w:color w:val="auto"/>
                <w:szCs w:val="21"/>
                <w:highlight w:val="none"/>
              </w:rPr>
              <w:t>保函形式具体要求如下：</w:t>
            </w:r>
          </w:p>
          <w:p w14:paraId="1FE8C974">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①应为投标人基本账户开户银行出具的不可撤销、不可转让的见索即付独立保函,所需费用由投标人承担。</w:t>
            </w:r>
          </w:p>
          <w:p w14:paraId="610F1360">
            <w:pPr>
              <w:widowControl/>
              <w:shd w:val="clear" w:color="auto"/>
              <w:spacing w:line="5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②投标人在投标文件中必须提供基本存款账户证明（如基本存款账户开户许可证或基本存款账户信息），同时将纸质保函扫描件提供在投标文件中</w:t>
            </w:r>
            <w:r>
              <w:rPr>
                <w:rFonts w:hint="eastAsia" w:ascii="宋体" w:hAnsi="宋体" w:cs="宋体"/>
                <w:color w:val="auto"/>
                <w:szCs w:val="21"/>
                <w:highlight w:val="none"/>
                <w:lang w:eastAsia="zh-CN"/>
              </w:rPr>
              <w:t>。</w:t>
            </w:r>
          </w:p>
          <w:p w14:paraId="2F54D806">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③投标人在投标文件中必须提供明确有效的查询途径（ 网址链接及查询方式），否则该纸质银行保函无效。</w:t>
            </w:r>
          </w:p>
          <w:p w14:paraId="4D53BF15">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1AB50DE6">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保证金电子保函业务应急处置措施。由于自然灾害、事故灾难、突发公共网络安全事件或者系统原因，以及保证金电子保函系统使用过程中出现的以下情况：</w:t>
            </w:r>
          </w:p>
          <w:p w14:paraId="61BD57E1">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（1）开标时，系统获取明文保函文件异常，无法正常获取保函文件；</w:t>
            </w:r>
          </w:p>
          <w:p w14:paraId="484F43A1">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（2）保证金电子保函系统的软件或数据库出现错误，不能进行正常操作；</w:t>
            </w:r>
          </w:p>
          <w:p w14:paraId="23DF3AFA">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（3）保证金电子保函系统服务器发生故障等情况，无法访问或无法使用电子保函；</w:t>
            </w:r>
          </w:p>
          <w:p w14:paraId="7D8DB70B">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（4）保证金电子保函系统服务器受到病毒或其他外来的攻击；</w:t>
            </w:r>
          </w:p>
          <w:p w14:paraId="40D1A42C">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（5）其他影响电子保函出具的异常情形。</w:t>
            </w:r>
          </w:p>
          <w:p w14:paraId="7B6573E2">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6F874331">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本次招标失败，再次进行招标的，投标人须按照新的账户重新缴纳投标保证金。</w:t>
            </w:r>
          </w:p>
          <w:p w14:paraId="7B0FF833">
            <w:pPr>
              <w:widowControl/>
              <w:shd w:val="clear" w:color="auto"/>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投标人为联合体投标的，由牵头人基本账户转出投标保证金或由牵头人办理保函。</w:t>
            </w:r>
          </w:p>
          <w:p w14:paraId="717E2229">
            <w:pPr>
              <w:widowControl/>
              <w:shd w:val="clear" w:color="auto"/>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是否适用免缴投标保证金政策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不适用</w:t>
            </w:r>
            <w:r>
              <w:rPr>
                <w:rFonts w:hint="eastAsia" w:ascii="宋体" w:hAnsi="宋体" w:cs="宋体"/>
                <w:color w:val="auto"/>
                <w:szCs w:val="21"/>
                <w:highlight w:val="none"/>
              </w:rPr>
              <w:t>。</w:t>
            </w:r>
          </w:p>
        </w:tc>
      </w:tr>
      <w:tr w14:paraId="480A8B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4923DFF">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0E517D6F">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5794973B">
            <w:pPr>
              <w:widowControl/>
              <w:shd w:val="clear"/>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6EF76A6F">
            <w:pPr>
              <w:widowControl/>
              <w:shd w:val="clear"/>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（投标单位中标后须递交与网上电子投标文件完全一致的纸质版投标文件，并按要求加盖公章；份数：正本1份，副本2份；中标单位领取中标通知书时，一并递交给代理机构）</w:t>
            </w:r>
          </w:p>
        </w:tc>
      </w:tr>
      <w:tr w14:paraId="42EE8F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1677B3C">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46655E2E">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3BD525D3">
            <w:pPr>
              <w:widowControl/>
              <w:shd w:val="clear"/>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09A3BBA">
            <w:pPr>
              <w:widowControl/>
              <w:shd w:val="clear"/>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7E1EF6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7BAC04FC">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061F7399">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6C62444C">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26</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2EFCEA5D">
            <w:pPr>
              <w:shd w:val="clea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0C116C23">
            <w:pPr>
              <w:shd w:val="clea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50E733F0">
            <w:pPr>
              <w:shd w:val="clear"/>
              <w:wordWrap w:val="0"/>
              <w:spacing w:line="500" w:lineRule="exact"/>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26</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w:t>
            </w:r>
          </w:p>
        </w:tc>
      </w:tr>
      <w:tr w14:paraId="0AF05A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E80AE6E">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w:t>
            </w:r>
          </w:p>
        </w:tc>
        <w:tc>
          <w:tcPr>
            <w:tcW w:w="2140" w:type="dxa"/>
            <w:gridSpan w:val="2"/>
            <w:vAlign w:val="center"/>
          </w:tcPr>
          <w:p w14:paraId="1A1347DE">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549FE70E">
            <w:pPr>
              <w:shd w:val="clea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26</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7DF892C9">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4A5AC7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0E552998">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w:t>
            </w:r>
          </w:p>
        </w:tc>
        <w:tc>
          <w:tcPr>
            <w:tcW w:w="2140" w:type="dxa"/>
            <w:gridSpan w:val="2"/>
            <w:vAlign w:val="center"/>
          </w:tcPr>
          <w:p w14:paraId="2CE5140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3AD06AA7">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7E0B13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326C1DB">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lang w:val="en-US" w:eastAsia="zh-CN"/>
              </w:rPr>
              <w:t>30</w:t>
            </w:r>
            <w:r>
              <w:rPr>
                <w:rFonts w:hint="eastAsia" w:hAnsi="宋体" w:cs="宋体"/>
                <w:color w:val="auto"/>
                <w:szCs w:val="21"/>
                <w:highlight w:val="none"/>
              </w:rPr>
              <w:t>.1</w:t>
            </w:r>
          </w:p>
        </w:tc>
        <w:tc>
          <w:tcPr>
            <w:tcW w:w="2140" w:type="dxa"/>
            <w:gridSpan w:val="2"/>
            <w:vAlign w:val="center"/>
          </w:tcPr>
          <w:p w14:paraId="3CCD0D37">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57C3C329">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人，专家评委</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652A9BEE">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评标专家确定方式：专家评委由招标人在开标前从专家库中随机抽取。</w:t>
            </w:r>
          </w:p>
        </w:tc>
      </w:tr>
      <w:tr w14:paraId="1BCE86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61A4D817">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0FE5EC0D">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2A245155">
            <w:pPr>
              <w:pStyle w:val="19"/>
              <w:shd w:val="clear"/>
              <w:spacing w:line="500" w:lineRule="exact"/>
              <w:rPr>
                <w:rFonts w:hAnsi="宋体" w:cs="宋体"/>
                <w:color w:val="auto"/>
                <w:szCs w:val="21"/>
                <w:highlight w:val="none"/>
              </w:rPr>
            </w:pPr>
            <w:r>
              <w:rPr>
                <w:rFonts w:hint="eastAsia" w:hAnsi="宋体" w:cs="宋体"/>
                <w:color w:val="auto"/>
                <w:szCs w:val="21"/>
                <w:highlight w:val="none"/>
              </w:rPr>
              <w:t>是，评标委员会推荐3名中标候选人。</w:t>
            </w:r>
          </w:p>
        </w:tc>
      </w:tr>
      <w:tr w14:paraId="4D7BBF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0BF41B2E">
            <w:pPr>
              <w:pStyle w:val="19"/>
              <w:shd w:val="clear"/>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186885AA">
            <w:pPr>
              <w:pStyle w:val="19"/>
              <w:shd w:val="clear"/>
              <w:spacing w:line="500" w:lineRule="exact"/>
              <w:jc w:val="left"/>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16AED702">
            <w:pPr>
              <w:pStyle w:val="19"/>
              <w:shd w:val="clear"/>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49212326">
            <w:pPr>
              <w:pStyle w:val="19"/>
              <w:shd w:val="clear"/>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00503D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49554EAB">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4084D84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2C71C974">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88762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FDC9494">
            <w:pPr>
              <w:shd w:val="clear"/>
              <w:spacing w:line="500" w:lineRule="exact"/>
              <w:jc w:val="center"/>
              <w:rPr>
                <w:rFonts w:ascii="宋体" w:hAnsi="宋体" w:cs="宋体"/>
                <w:color w:val="auto"/>
                <w:szCs w:val="21"/>
                <w:highlight w:val="none"/>
              </w:rPr>
            </w:pPr>
          </w:p>
        </w:tc>
        <w:tc>
          <w:tcPr>
            <w:tcW w:w="2140" w:type="dxa"/>
            <w:gridSpan w:val="2"/>
            <w:vAlign w:val="center"/>
          </w:tcPr>
          <w:p w14:paraId="68550CCF">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2547DFDF">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7AF683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42601D6">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716A3183">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760E3BE">
            <w:pPr>
              <w:shd w:val="clear"/>
              <w:tabs>
                <w:tab w:val="left" w:pos="5034"/>
              </w:tabs>
              <w:spacing w:line="500" w:lineRule="exact"/>
              <w:rPr>
                <w:rFonts w:hint="eastAsia" w:ascii="宋体" w:hAnsi="宋体" w:cs="宋体"/>
                <w:color w:val="auto"/>
                <w:szCs w:val="21"/>
                <w:highlight w:val="none"/>
              </w:rPr>
            </w:pPr>
            <w:r>
              <w:rPr>
                <w:rFonts w:hint="eastAsia" w:ascii="宋体" w:hAnsi="宋体" w:cs="宋体"/>
                <w:color w:val="auto"/>
                <w:szCs w:val="21"/>
                <w:highlight w:val="none"/>
              </w:rPr>
              <w:t>是否收取履约担保：收取</w:t>
            </w:r>
          </w:p>
          <w:p w14:paraId="40B1309B">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7E6A3EA8">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履约担保的金额：中标合同金额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暂按95万元计取</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p>
          <w:p w14:paraId="6D0EC168">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7537DFA8">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FA9CA10">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509FFE8E">
            <w:pPr>
              <w:shd w:val="clea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履约保证金退还方式：（1）采用银行转账方式：合同服务期满后，一个月内无息退还。</w:t>
            </w:r>
          </w:p>
          <w:p w14:paraId="30FE0E33">
            <w:pPr>
              <w:numPr>
                <w:ilvl w:val="0"/>
                <w:numId w:val="8"/>
              </w:numPr>
              <w:shd w:val="clear"/>
              <w:spacing w:line="50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采用银行保函方式，保函有效期为：合同服务期满后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个月</w:t>
            </w:r>
            <w:r>
              <w:rPr>
                <w:rFonts w:hint="eastAsia" w:ascii="宋体" w:hAnsi="宋体" w:cs="宋体"/>
                <w:color w:val="auto"/>
                <w:szCs w:val="21"/>
                <w:highlight w:val="none"/>
                <w:lang w:eastAsia="zh-CN"/>
              </w:rPr>
              <w:t>。</w:t>
            </w:r>
          </w:p>
          <w:p w14:paraId="3AF19EE3">
            <w:pPr>
              <w:numPr>
                <w:ilvl w:val="0"/>
                <w:numId w:val="0"/>
              </w:numPr>
              <w:shd w:val="clear"/>
              <w:spacing w:line="500" w:lineRule="exact"/>
              <w:rPr>
                <w:color w:val="auto"/>
                <w:highlight w:val="none"/>
              </w:rPr>
            </w:pPr>
            <w:r>
              <w:rPr>
                <w:rFonts w:hint="eastAsia" w:ascii="宋体" w:hAnsi="宋体" w:cs="宋体"/>
                <w:color w:val="auto"/>
                <w:szCs w:val="21"/>
                <w:highlight w:val="none"/>
              </w:rPr>
              <w:t>其他相关要求：保函内容及格式等均须经招标人认可。</w:t>
            </w:r>
          </w:p>
        </w:tc>
      </w:tr>
      <w:tr w14:paraId="365CBA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3CFC2894">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0554BD53">
            <w:pPr>
              <w:pStyle w:val="52"/>
              <w:keepNext w:val="0"/>
              <w:keepLines w:val="0"/>
              <w:pageBreakBefore w:val="0"/>
              <w:widowControl w:val="0"/>
              <w:numPr>
                <w:ilvl w:val="0"/>
                <w:numId w:val="0"/>
              </w:numPr>
              <w:kinsoku/>
              <w:overflowPunct/>
              <w:topLinePunct w:val="0"/>
              <w:autoSpaceDE/>
              <w:autoSpaceDN/>
              <w:bidi w:val="0"/>
              <w:adjustRightInd/>
              <w:spacing w:before="0" w:line="440" w:lineRule="exact"/>
              <w:ind w:left="0" w:leftChars="0" w:firstLine="0" w:firstLineChars="0"/>
              <w:textAlignment w:val="auto"/>
              <w:rPr>
                <w:rFonts w:hint="eastAsia" w:ascii="宋体"/>
                <w:b/>
                <w:bCs/>
                <w:color w:val="auto"/>
                <w:szCs w:val="21"/>
                <w:highlight w:val="none"/>
              </w:rPr>
            </w:pPr>
            <w:r>
              <w:rPr>
                <w:rFonts w:hint="eastAsia" w:ascii="宋体"/>
                <w:b/>
                <w:bCs/>
                <w:color w:val="auto"/>
                <w:szCs w:val="21"/>
                <w:highlight w:val="none"/>
                <w:lang w:val="en-US" w:eastAsia="zh-CN"/>
              </w:rPr>
              <w:t xml:space="preserve">服务费按季度据实结算,招标人按季度进行考核,服务费以考核结果为依据进行支付，下一季度首月支付上一季度服务费: </w:t>
            </w:r>
          </w:p>
          <w:p w14:paraId="05088242">
            <w:pPr>
              <w:pStyle w:val="52"/>
              <w:keepNext w:val="0"/>
              <w:keepLines w:val="0"/>
              <w:pageBreakBefore w:val="0"/>
              <w:widowControl w:val="0"/>
              <w:numPr>
                <w:ilvl w:val="0"/>
                <w:numId w:val="0"/>
              </w:numPr>
              <w:kinsoku/>
              <w:overflowPunct/>
              <w:topLinePunct w:val="0"/>
              <w:autoSpaceDE/>
              <w:autoSpaceDN/>
              <w:bidi w:val="0"/>
              <w:adjustRightInd/>
              <w:spacing w:before="0" w:line="440" w:lineRule="exact"/>
              <w:ind w:left="0" w:leftChars="0" w:firstLine="0" w:firstLineChars="0"/>
              <w:textAlignment w:val="auto"/>
              <w:rPr>
                <w:rFonts w:hint="eastAsia" w:ascii="宋体"/>
                <w:b/>
                <w:bCs/>
                <w:color w:val="auto"/>
                <w:szCs w:val="21"/>
                <w:highlight w:val="none"/>
              </w:rPr>
            </w:pPr>
            <w:r>
              <w:rPr>
                <w:rFonts w:hint="eastAsia" w:ascii="宋体"/>
                <w:b/>
                <w:bCs/>
                <w:color w:val="auto"/>
                <w:szCs w:val="21"/>
                <w:highlight w:val="none"/>
                <w:lang w:val="en-US" w:eastAsia="zh-CN"/>
              </w:rPr>
              <w:t>①当季考核得分≥90分,全额支付支付当季服务费；</w:t>
            </w:r>
          </w:p>
          <w:p w14:paraId="3F35CF5E">
            <w:pPr>
              <w:pStyle w:val="52"/>
              <w:keepNext w:val="0"/>
              <w:keepLines w:val="0"/>
              <w:pageBreakBefore w:val="0"/>
              <w:widowControl w:val="0"/>
              <w:numPr>
                <w:ilvl w:val="0"/>
                <w:numId w:val="0"/>
              </w:numPr>
              <w:kinsoku/>
              <w:overflowPunct/>
              <w:topLinePunct w:val="0"/>
              <w:autoSpaceDE/>
              <w:autoSpaceDN/>
              <w:bidi w:val="0"/>
              <w:adjustRightInd/>
              <w:spacing w:before="0" w:line="440" w:lineRule="exact"/>
              <w:ind w:left="0" w:leftChars="0" w:firstLine="0" w:firstLineChars="0"/>
              <w:textAlignment w:val="auto"/>
              <w:rPr>
                <w:rFonts w:hint="eastAsia" w:ascii="宋体"/>
                <w:b/>
                <w:bCs/>
                <w:color w:val="auto"/>
                <w:szCs w:val="21"/>
                <w:highlight w:val="none"/>
              </w:rPr>
            </w:pPr>
            <w:r>
              <w:rPr>
                <w:rFonts w:hint="eastAsia" w:ascii="宋体"/>
                <w:b/>
                <w:bCs/>
                <w:color w:val="auto"/>
                <w:szCs w:val="21"/>
                <w:highlight w:val="none"/>
                <w:lang w:val="en-US" w:eastAsia="zh-CN"/>
              </w:rPr>
              <w:t xml:space="preserve">②60分≤当季考核得分＜90分,从当季服务费中进行相应扣款，扣款标准为（90-当季考核得分）* 当季服务费金额 * 1%； </w:t>
            </w:r>
          </w:p>
          <w:p w14:paraId="62832E9E">
            <w:pPr>
              <w:pStyle w:val="52"/>
              <w:keepNext w:val="0"/>
              <w:keepLines w:val="0"/>
              <w:pageBreakBefore w:val="0"/>
              <w:widowControl w:val="0"/>
              <w:numPr>
                <w:ilvl w:val="0"/>
                <w:numId w:val="0"/>
              </w:numPr>
              <w:kinsoku/>
              <w:overflowPunct/>
              <w:topLinePunct w:val="0"/>
              <w:autoSpaceDE/>
              <w:autoSpaceDN/>
              <w:bidi w:val="0"/>
              <w:adjustRightInd/>
              <w:spacing w:before="0" w:line="440" w:lineRule="exact"/>
              <w:ind w:left="0" w:leftChars="0" w:firstLine="0" w:firstLineChars="0"/>
              <w:textAlignment w:val="auto"/>
              <w:rPr>
                <w:color w:val="auto"/>
                <w:highlight w:val="none"/>
              </w:rPr>
            </w:pPr>
            <w:r>
              <w:rPr>
                <w:rFonts w:hint="eastAsia" w:ascii="宋体"/>
                <w:b/>
                <w:bCs/>
                <w:color w:val="auto"/>
                <w:szCs w:val="21"/>
                <w:highlight w:val="none"/>
                <w:lang w:val="en-US" w:eastAsia="zh-CN"/>
              </w:rPr>
              <w:t>③当季考核得分在60分以下为不合格,当季度服务费全额扣除</w:t>
            </w:r>
            <w:r>
              <w:rPr>
                <w:rFonts w:hint="eastAsia" w:ascii="宋体"/>
                <w:b/>
                <w:bCs/>
                <w:color w:val="auto"/>
                <w:szCs w:val="21"/>
                <w:highlight w:val="none"/>
              </w:rPr>
              <w:t>。</w:t>
            </w:r>
          </w:p>
        </w:tc>
      </w:tr>
      <w:tr w14:paraId="120850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57336682">
            <w:pPr>
              <w:shd w:val="clea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2E967195">
            <w:pPr>
              <w:shd w:val="clea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49654C59">
            <w:pPr>
              <w:shd w:val="clea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02C1D3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D746F94">
            <w:pPr>
              <w:shd w:val="clea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7130C23A">
            <w:pPr>
              <w:keepNext w:val="0"/>
              <w:keepLines w:val="0"/>
              <w:pageBreakBefore w:val="0"/>
              <w:widowControl w:val="0"/>
              <w:shd w:val="clear"/>
              <w:kinsoku/>
              <w:wordWrap w:val="0"/>
              <w:overflowPunct/>
              <w:topLinePunct w:val="0"/>
              <w:autoSpaceDE/>
              <w:autoSpaceDN/>
              <w:bidi w:val="0"/>
              <w:adjustRightInd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64BB76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585019D">
            <w:pPr>
              <w:widowControl/>
              <w:shd w:val="clear"/>
              <w:spacing w:line="5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5ACE32A8">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4D7F3A8A">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185517">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F57DAE3">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A7B4FF1">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B792A9B">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6F1E7AB5">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0A3201D0">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27DD9AE7">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1E9854EB">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CC3E954">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652A552B">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3748731D">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34D8BB41">
            <w:pPr>
              <w:shd w:val="clear"/>
              <w:spacing w:line="500" w:lineRule="exact"/>
              <w:jc w:val="left"/>
              <w:rPr>
                <w:rFonts w:ascii="宋体" w:hAnsi="宋体" w:cs="宋体"/>
                <w:b/>
                <w:bCs/>
                <w:color w:val="auto"/>
                <w:szCs w:val="21"/>
                <w:highlight w:val="none"/>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4C2EA0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F439700">
            <w:pPr>
              <w:shd w:val="clear"/>
              <w:spacing w:line="500" w:lineRule="exact"/>
              <w:jc w:val="center"/>
              <w:rPr>
                <w:rFonts w:ascii="宋体" w:hAnsi="宋体" w:cs="宋体"/>
                <w:bCs/>
                <w:color w:val="auto"/>
                <w:szCs w:val="21"/>
                <w:highlight w:val="none"/>
              </w:rPr>
            </w:pPr>
            <w:r>
              <w:rPr>
                <w:rFonts w:hint="eastAsia" w:ascii="宋体" w:hAnsi="宋体" w:cs="宋体"/>
                <w:bCs/>
                <w:color w:val="auto"/>
                <w:szCs w:val="21"/>
                <w:highlight w:val="none"/>
              </w:rPr>
              <w:t>其他</w:t>
            </w:r>
          </w:p>
        </w:tc>
        <w:tc>
          <w:tcPr>
            <w:tcW w:w="7872" w:type="dxa"/>
            <w:gridSpan w:val="2"/>
            <w:shd w:val="clear" w:color="auto" w:fill="auto"/>
          </w:tcPr>
          <w:p w14:paraId="40EBDC7A">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77C11388">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329D9B69">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7E7BB3FF">
            <w:pPr>
              <w:shd w:val="clea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497C2A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87BE7B5">
            <w:pPr>
              <w:shd w:val="clear"/>
              <w:adjustRightInd w:val="0"/>
              <w:snapToGrid w:val="0"/>
              <w:spacing w:line="500" w:lineRule="exact"/>
              <w:jc w:val="center"/>
              <w:rPr>
                <w:rFonts w:ascii="宋体" w:hAnsi="宋体" w:cs="宋体"/>
                <w:bCs/>
                <w:color w:val="auto"/>
                <w:szCs w:val="21"/>
                <w:highlight w:val="none"/>
              </w:rPr>
            </w:pPr>
            <w:r>
              <w:rPr>
                <w:rFonts w:hint="eastAsia" w:ascii="宋体" w:hAnsi="宋体" w:cs="宋体"/>
                <w:bCs/>
                <w:color w:val="auto"/>
                <w:szCs w:val="21"/>
                <w:highlight w:val="none"/>
              </w:rPr>
              <w:t>变更招标方式</w:t>
            </w:r>
          </w:p>
        </w:tc>
        <w:tc>
          <w:tcPr>
            <w:tcW w:w="7872" w:type="dxa"/>
            <w:gridSpan w:val="2"/>
            <w:shd w:val="clear" w:color="auto" w:fill="auto"/>
            <w:vAlign w:val="center"/>
          </w:tcPr>
          <w:p w14:paraId="5D394EDF">
            <w:pPr>
              <w:pStyle w:val="14"/>
              <w:shd w:val="clear"/>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0E1874DD">
      <w:pPr>
        <w:pageBreakBefore/>
        <w:shd w:val="clear"/>
        <w:spacing w:beforeLines="100" w:afterLines="100" w:line="500" w:lineRule="exact"/>
        <w:jc w:val="center"/>
        <w:outlineLvl w:val="1"/>
        <w:rPr>
          <w:rFonts w:ascii="宋体"/>
          <w:b/>
          <w:color w:val="auto"/>
          <w:sz w:val="28"/>
          <w:szCs w:val="32"/>
          <w:highlight w:val="none"/>
        </w:rPr>
      </w:pPr>
      <w:bookmarkStart w:id="37" w:name="_Toc58430315"/>
      <w:bookmarkStart w:id="38" w:name="_Toc449028866"/>
      <w:bookmarkStart w:id="39" w:name="_Toc28397"/>
      <w:r>
        <w:rPr>
          <w:rFonts w:hint="eastAsia" w:ascii="宋体"/>
          <w:b/>
          <w:color w:val="auto"/>
          <w:sz w:val="28"/>
          <w:szCs w:val="28"/>
          <w:highlight w:val="none"/>
        </w:rPr>
        <w:t>二、投标人须知</w:t>
      </w:r>
      <w:bookmarkEnd w:id="37"/>
      <w:bookmarkEnd w:id="38"/>
      <w:bookmarkEnd w:id="39"/>
    </w:p>
    <w:p w14:paraId="7C91EF85">
      <w:pPr>
        <w:shd w:val="clear"/>
        <w:spacing w:beforeLines="50" w:afterLines="50" w:line="500" w:lineRule="exact"/>
        <w:jc w:val="center"/>
        <w:rPr>
          <w:rFonts w:ascii="宋体" w:hAnsi="宋体" w:cs="宋体"/>
          <w:color w:val="auto"/>
          <w:sz w:val="28"/>
          <w:szCs w:val="28"/>
          <w:highlight w:val="none"/>
        </w:rPr>
      </w:pPr>
      <w:bookmarkStart w:id="40" w:name="_Toc449028867"/>
      <w:r>
        <w:rPr>
          <w:rFonts w:hint="eastAsia" w:ascii="宋体" w:hAnsi="宋体" w:cs="宋体"/>
          <w:b/>
          <w:color w:val="auto"/>
          <w:sz w:val="28"/>
          <w:szCs w:val="28"/>
          <w:highlight w:val="none"/>
        </w:rPr>
        <w:t>（一）总  则</w:t>
      </w:r>
      <w:bookmarkEnd w:id="40"/>
    </w:p>
    <w:p w14:paraId="2E8BFBD2">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4B6D2555">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253CF305">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339A6DFF">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0B17F5F1">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合同履行期限</w:t>
      </w:r>
      <w:r>
        <w:rPr>
          <w:rFonts w:hint="eastAsia" w:ascii="宋体" w:hAnsi="宋体" w:cs="宋体"/>
          <w:color w:val="auto"/>
          <w:szCs w:val="21"/>
          <w:highlight w:val="none"/>
        </w:rPr>
        <w:t>：见投标人须知前附表。</w:t>
      </w:r>
    </w:p>
    <w:p w14:paraId="3D3FD474">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56434A09">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w:t>
      </w:r>
      <w:r>
        <w:rPr>
          <w:rFonts w:hint="eastAsia" w:hAnsi="宋体" w:cs="宋体"/>
          <w:color w:val="auto"/>
          <w:szCs w:val="21"/>
          <w:highlight w:val="none"/>
        </w:rPr>
        <w:t>招标人联系人及电话</w:t>
      </w:r>
      <w:r>
        <w:rPr>
          <w:rFonts w:hint="eastAsia" w:ascii="宋体" w:hAnsi="宋体" w:cs="宋体"/>
          <w:color w:val="auto"/>
          <w:szCs w:val="21"/>
          <w:highlight w:val="none"/>
        </w:rPr>
        <w:t>: 见投标人须知前附表。</w:t>
      </w:r>
    </w:p>
    <w:p w14:paraId="793F7CDA">
      <w:pPr>
        <w:shd w:val="clea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采购代理机构联系人及电话</w:t>
      </w:r>
      <w:r>
        <w:rPr>
          <w:rFonts w:hint="eastAsia" w:ascii="宋体" w:hAnsi="宋体" w:cs="宋体"/>
          <w:color w:val="auto"/>
          <w:szCs w:val="21"/>
          <w:highlight w:val="none"/>
        </w:rPr>
        <w:t>: 见投标人须知前附表。</w:t>
      </w:r>
    </w:p>
    <w:p w14:paraId="6021C998">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5A5BE635">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预算：见投标人须知前附表。</w:t>
      </w:r>
    </w:p>
    <w:p w14:paraId="3B358086">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6E9AD16F">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5DAF78A4">
      <w:pPr>
        <w:shd w:val="clea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w:t>
      </w:r>
      <w:r>
        <w:rPr>
          <w:rFonts w:hint="eastAsia" w:ascii="宋体" w:hAnsi="宋体" w:cs="宋体"/>
          <w:color w:val="auto"/>
          <w:szCs w:val="21"/>
          <w:highlight w:val="none"/>
          <w:lang w:val="en-US" w:eastAsia="zh-CN"/>
        </w:rPr>
        <w:t>详见《采购内容及技术要求》和合同条款内容</w:t>
      </w:r>
      <w:r>
        <w:rPr>
          <w:rFonts w:hint="eastAsia" w:ascii="宋体" w:hAnsi="宋体" w:cs="宋体"/>
          <w:color w:val="auto"/>
          <w:szCs w:val="21"/>
          <w:highlight w:val="none"/>
        </w:rPr>
        <w:t>。</w:t>
      </w:r>
    </w:p>
    <w:p w14:paraId="579F0E8B">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w:t>
      </w:r>
      <w:r>
        <w:rPr>
          <w:rFonts w:hint="eastAsia" w:ascii="宋体" w:hAnsi="宋体" w:cs="宋体"/>
          <w:color w:val="auto"/>
          <w:szCs w:val="21"/>
          <w:highlight w:val="none"/>
          <w:lang w:val="en-US" w:eastAsia="zh-CN"/>
        </w:rPr>
        <w:t>详见《采购内容及技术要求》和合同条款内容</w:t>
      </w:r>
      <w:r>
        <w:rPr>
          <w:rFonts w:hint="eastAsia" w:ascii="宋体" w:hAnsi="宋体" w:cs="宋体"/>
          <w:color w:val="auto"/>
          <w:szCs w:val="21"/>
          <w:highlight w:val="none"/>
        </w:rPr>
        <w:t>。</w:t>
      </w:r>
    </w:p>
    <w:p w14:paraId="68B3B4A1">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标段</w:t>
      </w:r>
      <w:r>
        <w:rPr>
          <w:rFonts w:hint="eastAsia" w:ascii="宋体" w:hAnsi="宋体" w:cs="宋体"/>
          <w:b/>
          <w:color w:val="auto"/>
          <w:szCs w:val="21"/>
          <w:highlight w:val="none"/>
        </w:rPr>
        <w:t>划分：</w:t>
      </w:r>
    </w:p>
    <w:p w14:paraId="743025D5">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147F4A7B">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7B7E39E">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1BF5A421">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54EEC9AF">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E3403C8">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2CD91402">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0A3A889A">
      <w:pPr>
        <w:shd w:val="clea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4F1868DC">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23F6D567">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7FE6ED3B">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29A9C6F7">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05F49D8C">
      <w:pPr>
        <w:shd w:val="clea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50E8D4F7">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41" w:name="_Toc152045539"/>
      <w:bookmarkStart w:id="42" w:name="_Toc247592876"/>
      <w:bookmarkStart w:id="43" w:name="_Toc247527563"/>
      <w:bookmarkStart w:id="44" w:name="_Toc247513962"/>
      <w:bookmarkStart w:id="45" w:name="_Toc296602429"/>
      <w:bookmarkStart w:id="46" w:name="_Toc144974507"/>
      <w:bookmarkStart w:id="47" w:name="_Toc152042315"/>
      <w:r>
        <w:rPr>
          <w:rFonts w:hint="eastAsia" w:ascii="宋体" w:hAnsi="宋体" w:cs="宋体"/>
          <w:b/>
          <w:color w:val="auto"/>
          <w:szCs w:val="21"/>
          <w:highlight w:val="none"/>
        </w:rPr>
        <w:t xml:space="preserve"> 踏勘现场</w:t>
      </w:r>
      <w:bookmarkEnd w:id="41"/>
      <w:bookmarkEnd w:id="42"/>
      <w:bookmarkEnd w:id="43"/>
      <w:bookmarkEnd w:id="44"/>
      <w:bookmarkEnd w:id="45"/>
      <w:bookmarkEnd w:id="46"/>
      <w:bookmarkEnd w:id="47"/>
    </w:p>
    <w:p w14:paraId="7BEAE9AA">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4CABEC4">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109DD9CD">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6F4DACA0">
      <w:pPr>
        <w:shd w:val="clea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8" w:name="_Toc247592877"/>
      <w:bookmarkStart w:id="49" w:name="_Toc296602430"/>
      <w:bookmarkStart w:id="50" w:name="_Toc152042316"/>
      <w:bookmarkStart w:id="51" w:name="_Toc152045540"/>
      <w:bookmarkStart w:id="52" w:name="_Toc144974508"/>
      <w:bookmarkStart w:id="53" w:name="_Toc247513963"/>
      <w:bookmarkStart w:id="54" w:name="_Toc247527564"/>
    </w:p>
    <w:p w14:paraId="630E94F2">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8"/>
      <w:bookmarkEnd w:id="49"/>
      <w:bookmarkEnd w:id="50"/>
      <w:bookmarkEnd w:id="51"/>
      <w:bookmarkEnd w:id="52"/>
      <w:bookmarkEnd w:id="53"/>
      <w:bookmarkEnd w:id="54"/>
      <w:r>
        <w:rPr>
          <w:rFonts w:hint="eastAsia" w:ascii="宋体" w:hAnsi="宋体" w:cs="宋体"/>
          <w:b/>
          <w:color w:val="auto"/>
          <w:szCs w:val="21"/>
          <w:highlight w:val="none"/>
        </w:rPr>
        <w:t>（本项目不采用）</w:t>
      </w:r>
    </w:p>
    <w:p w14:paraId="3E7ACE74">
      <w:pPr>
        <w:shd w:val="clea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65F36A77">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1D6F1746">
      <w:pPr>
        <w:shd w:val="clea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22339CE7">
      <w:pPr>
        <w:shd w:val="clea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2F16FCB9">
      <w:pPr>
        <w:shd w:val="clea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7FA2DAC6">
      <w:pPr>
        <w:shd w:val="clea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026F0C25">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633995C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22EE48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7EC924C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5D7A8DD2">
      <w:pPr>
        <w:shd w:val="clea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14CC601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DB6AC0F">
      <w:pPr>
        <w:shd w:val="clea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5F0638E9">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54455928">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261C232D">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174A70ED">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244FB60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11122E92">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527572F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2D596CCF">
      <w:pPr>
        <w:pStyle w:val="34"/>
        <w:shd w:val="clear"/>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BFFABED">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A271EAC">
      <w:pPr>
        <w:pStyle w:val="34"/>
        <w:shd w:val="clear"/>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3656C44F">
      <w:pPr>
        <w:shd w:val="clear"/>
        <w:spacing w:beforeLines="50" w:afterLines="50" w:line="500" w:lineRule="exact"/>
        <w:jc w:val="center"/>
        <w:rPr>
          <w:rFonts w:ascii="宋体" w:hAnsi="宋体" w:cs="宋体"/>
          <w:b/>
          <w:color w:val="auto"/>
          <w:sz w:val="28"/>
          <w:szCs w:val="28"/>
          <w:highlight w:val="none"/>
        </w:rPr>
      </w:pPr>
      <w:bookmarkStart w:id="55" w:name="_Toc449028868"/>
      <w:r>
        <w:rPr>
          <w:rFonts w:hint="eastAsia" w:ascii="宋体" w:hAnsi="宋体" w:cs="宋体"/>
          <w:b/>
          <w:color w:val="auto"/>
          <w:sz w:val="28"/>
          <w:szCs w:val="28"/>
          <w:highlight w:val="none"/>
        </w:rPr>
        <w:t>（二）</w:t>
      </w:r>
      <w:bookmarkEnd w:id="55"/>
      <w:r>
        <w:rPr>
          <w:rFonts w:hint="eastAsia" w:ascii="宋体" w:hAnsi="宋体" w:cs="宋体"/>
          <w:b/>
          <w:color w:val="auto"/>
          <w:sz w:val="28"/>
          <w:szCs w:val="28"/>
          <w:highlight w:val="none"/>
        </w:rPr>
        <w:t>招标文件</w:t>
      </w:r>
    </w:p>
    <w:p w14:paraId="155C7E16">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53F2C54C">
      <w:pPr>
        <w:shd w:val="clea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24DA610A">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679E8FAD">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7FEDDABC">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0A172FD2">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173AFCCE">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639A3735">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 xml:space="preserve">第四章  </w:t>
      </w:r>
      <w:r>
        <w:rPr>
          <w:rFonts w:hint="eastAsia" w:ascii="宋体" w:hAnsi="宋体" w:cs="宋体"/>
          <w:color w:val="auto"/>
          <w:szCs w:val="21"/>
          <w:highlight w:val="none"/>
          <w:lang w:val="en-US" w:eastAsia="zh-CN"/>
        </w:rPr>
        <w:t>采购内容及技术要求</w:t>
      </w:r>
    </w:p>
    <w:p w14:paraId="4FBCDDB3">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12A43E14">
      <w:pPr>
        <w:shd w:val="clea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F79B2CD">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55A069BF">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投标人应仔细阅读和检查招标文件的全部内容。如发现缺页或附件不全，应及时向招标人提出，以便补齐。</w:t>
      </w:r>
    </w:p>
    <w:p w14:paraId="174F59D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14F77E92">
      <w:pPr>
        <w:shd w:val="clea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009A871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D6BA4F3">
      <w:pPr>
        <w:shd w:val="clea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4D2C5C44">
      <w:pPr>
        <w:shd w:val="clea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招标文件的解释</w:t>
      </w:r>
    </w:p>
    <w:p w14:paraId="213C1D9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65A88C1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1B86063">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7415148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6C8B3CE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6241D4B1">
      <w:pPr>
        <w:shd w:val="clea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63A0A2D0">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417F7AC4">
      <w:pPr>
        <w:shd w:val="clear"/>
        <w:spacing w:line="500" w:lineRule="exact"/>
        <w:ind w:left="-420" w:leftChars="-200" w:right="-420" w:rightChars="-200" w:firstLine="843" w:firstLineChars="400"/>
        <w:rPr>
          <w:rFonts w:ascii="宋体" w:hAnsi="宋体" w:cs="宋体"/>
          <w:b/>
          <w:bCs/>
          <w:color w:val="auto"/>
          <w:szCs w:val="21"/>
          <w:highlight w:val="none"/>
        </w:rPr>
      </w:pPr>
      <w:bookmarkStart w:id="56" w:name="_Toc449028869"/>
      <w:r>
        <w:rPr>
          <w:rFonts w:hint="eastAsia" w:ascii="宋体" w:hAnsi="宋体" w:cs="宋体"/>
          <w:b/>
          <w:bCs/>
          <w:color w:val="auto"/>
          <w:szCs w:val="21"/>
          <w:highlight w:val="none"/>
        </w:rPr>
        <w:t>19. 样品（本项目不采用）</w:t>
      </w:r>
    </w:p>
    <w:p w14:paraId="70941E9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1D6181D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2A0452B0">
      <w:pPr>
        <w:shd w:val="clear"/>
        <w:spacing w:beforeLines="50"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6"/>
    </w:p>
    <w:p w14:paraId="6704723C">
      <w:pPr>
        <w:shd w:val="clear"/>
        <w:spacing w:line="500" w:lineRule="exact"/>
        <w:ind w:firstLine="306" w:firstLineChars="145"/>
        <w:jc w:val="left"/>
        <w:rPr>
          <w:rFonts w:hint="eastAsia"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69089488">
      <w:pPr>
        <w:shd w:val="clear"/>
        <w:spacing w:line="500" w:lineRule="exact"/>
        <w:ind w:firstLine="304" w:firstLineChars="145"/>
        <w:jc w:val="left"/>
        <w:rPr>
          <w:rFonts w:hint="eastAsia"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3DDFA0F7">
      <w:pPr>
        <w:shd w:val="clear"/>
        <w:spacing w:line="500" w:lineRule="exact"/>
        <w:ind w:firstLine="304" w:firstLineChars="145"/>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12A5CA2E">
      <w:pPr>
        <w:shd w:val="clea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753CBD84">
      <w:pPr>
        <w:shd w:val="clea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4BE3A89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17EB096A">
      <w:pPr>
        <w:shd w:val="clea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50E6BA9F">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165E694D">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530AECA2">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6B6F354F">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29AA8221">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FD27C66">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B9AB68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0CC864B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0DD215E8">
      <w:pPr>
        <w:shd w:val="clea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03EC4914">
      <w:pPr>
        <w:shd w:val="clea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3968D149">
      <w:pPr>
        <w:shd w:val="clea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34F7BAD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本项目投标报价采用费率报价</w:t>
      </w:r>
      <w:r>
        <w:rPr>
          <w:rFonts w:hint="eastAsia" w:ascii="宋体" w:hAnsi="宋体" w:cs="宋体"/>
          <w:color w:val="auto"/>
          <w:szCs w:val="21"/>
          <w:highlight w:val="none"/>
        </w:rPr>
        <w:t>。</w:t>
      </w:r>
    </w:p>
    <w:p w14:paraId="1F7B504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22.2投标人只允许有一个方案、一个报价。</w:t>
      </w:r>
    </w:p>
    <w:p w14:paraId="46D2A75E">
      <w:pPr>
        <w:shd w:val="clear"/>
        <w:spacing w:line="500" w:lineRule="exact"/>
        <w:ind w:firstLine="420" w:firstLineChars="200"/>
        <w:rPr>
          <w:rFonts w:hint="eastAsia" w:ascii="宋体"/>
          <w:b/>
          <w:bCs/>
          <w:color w:val="auto"/>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r>
        <w:rPr>
          <w:rFonts w:hint="eastAsia" w:ascii="宋体"/>
          <w:b/>
          <w:bCs/>
          <w:color w:val="auto"/>
          <w:szCs w:val="21"/>
          <w:highlight w:val="none"/>
          <w:lang w:val="en-US" w:eastAsia="zh-CN"/>
        </w:rPr>
        <w:t>投标人报价中应充分考虑运输、装卸、安全、技术、服务、保险、税金、验收、完全达到招标文件要求内容并通过验收合格所需的全部费用。因材料丢失、被盗等所造成的损失视为中标人巡查不到位，所有损失由中标人负责（不可抗力除外）。</w:t>
      </w:r>
    </w:p>
    <w:p w14:paraId="1730EC8B">
      <w:pPr>
        <w:shd w:val="clea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投标报价的价格是完成项目全部内容（包括后期的相关服务）交付验收的价格，其价格即为履行合同的固定价格。</w:t>
      </w:r>
    </w:p>
    <w:p w14:paraId="64CE1440">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技术要求中规定的安装、调试和培训费用应包括在投标价格中。投标文件报价为含税价，采购人不再为此次招标支付任何费用。</w:t>
      </w:r>
    </w:p>
    <w:p w14:paraId="0412B61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投标报价应由法定代表人或被授权人签署。</w:t>
      </w:r>
    </w:p>
    <w:p w14:paraId="5BD44A3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6D54DBD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总投标价中不得包含招标文件要求以外的内容，否则，在评标时不予核减，但在授予合同时，采购人有权将这部分价格从其中标价格中扣除。</w:t>
      </w:r>
    </w:p>
    <w:p w14:paraId="28AE4639">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2153E16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2304F07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1E1994C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338FAAF">
      <w:pPr>
        <w:shd w:val="clea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7AFFA2AE">
      <w:pPr>
        <w:shd w:val="clear"/>
        <w:spacing w:line="500" w:lineRule="exact"/>
        <w:ind w:firstLine="420" w:firstLineChars="200"/>
        <w:jc w:val="left"/>
        <w:rPr>
          <w:rFonts w:ascii="宋体" w:hAnsi="宋体" w:cs="宋体"/>
          <w:color w:val="auto"/>
          <w:szCs w:val="21"/>
          <w:highlight w:val="none"/>
        </w:rPr>
      </w:pPr>
      <w:bookmarkStart w:id="57"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09025C3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1DA1290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61A924B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4683981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77BE565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54DA51B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967CC0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7105313">
      <w:pPr>
        <w:shd w:val="clear"/>
        <w:spacing w:beforeLines="50"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7"/>
    </w:p>
    <w:p w14:paraId="079AF969">
      <w:pPr>
        <w:shd w:val="clea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55D2BA1A">
      <w:pPr>
        <w:shd w:val="clear"/>
        <w:spacing w:line="500" w:lineRule="exact"/>
        <w:ind w:firstLine="420" w:firstLineChars="200"/>
        <w:jc w:val="left"/>
        <w:rPr>
          <w:rFonts w:ascii="宋体" w:hAnsi="宋体" w:cs="宋体"/>
          <w:color w:val="auto"/>
          <w:szCs w:val="21"/>
          <w:highlight w:val="none"/>
        </w:rPr>
      </w:pPr>
      <w:bookmarkStart w:id="58"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24C41AC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19555D1">
      <w:pPr>
        <w:shd w:val="clea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4D2D6706">
      <w:pPr>
        <w:shd w:val="clea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1E927314">
      <w:pPr>
        <w:shd w:val="clea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69ADAB56">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497970F">
      <w:pPr>
        <w:shd w:val="clea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456E248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6198100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43A1A6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11380D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66EBB2D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3B8F67D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33B7655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6A843382">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2A8DC910">
      <w:pPr>
        <w:shd w:val="clear"/>
        <w:spacing w:beforeLines="50"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1438C703">
      <w:pPr>
        <w:shd w:val="clear"/>
        <w:spacing w:beforeLines="50"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8"/>
    </w:p>
    <w:p w14:paraId="3A2F66A8">
      <w:pPr>
        <w:shd w:val="clea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316BEA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E97D8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6D1DD4A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4959C0C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67E231BC">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03B6F98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65D3768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792CF16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1FB485A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3FE478B0">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B53A5A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4174001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03052A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25AF261">
      <w:pPr>
        <w:shd w:val="clea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773ACAD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752FD2EC">
      <w:pPr>
        <w:shd w:val="clea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F1B3DC">
      <w:pPr>
        <w:shd w:val="clea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EE76D1D">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9093D1">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46671416">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68AB2943">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6519FB4">
      <w:pPr>
        <w:shd w:val="clea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E7D673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1B0FD0C7">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3E2B4F6">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1320132E">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EA1703F">
      <w:pPr>
        <w:shd w:val="clea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138E64E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219DA98">
      <w:pPr>
        <w:shd w:val="clear"/>
        <w:spacing w:line="500" w:lineRule="exact"/>
        <w:ind w:firstLine="420" w:firstLineChars="200"/>
        <w:jc w:val="left"/>
        <w:rPr>
          <w:rFonts w:ascii="宋体" w:hAnsi="宋体" w:cs="宋体"/>
          <w:color w:val="auto"/>
          <w:szCs w:val="21"/>
          <w:highlight w:val="none"/>
        </w:rPr>
      </w:pPr>
      <w:bookmarkStart w:id="59"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71F00AD0">
      <w:pPr>
        <w:shd w:val="clea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6770AC9B">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6B9AE18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w:t>
      </w:r>
      <w:r>
        <w:rPr>
          <w:rFonts w:hint="eastAsia" w:ascii="宋体"/>
          <w:color w:val="auto"/>
          <w:szCs w:val="21"/>
          <w:highlight w:val="none"/>
          <w:lang w:eastAsia="zh-CN"/>
        </w:rPr>
        <w:t>，</w:t>
      </w:r>
      <w:r>
        <w:rPr>
          <w:rFonts w:hint="eastAsia" w:ascii="宋体"/>
          <w:color w:val="auto"/>
          <w:szCs w:val="21"/>
          <w:highlight w:val="none"/>
        </w:rPr>
        <w:t>评标委员会认为需要，在公共资源交易监督管理部门的监督下，可要求投标人对投标文件中的有关问题进行澄清或提供补充说明及有关资料，投标人应做出书面答复。</w:t>
      </w:r>
    </w:p>
    <w:p w14:paraId="7CC14914">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674100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4BAD98A5">
      <w:pPr>
        <w:shd w:val="clea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C005C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5FA72EB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476EAB96">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2D818E81">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403F298B">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C59A9E8">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72F0B9D2">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5DA0A9CF">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1ABC40D3">
      <w:pPr>
        <w:shd w:val="clea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1E4C70BF">
      <w:pPr>
        <w:shd w:val="clea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3D4AD389">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11F9399">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w:t>
      </w: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color w:val="auto"/>
          <w:szCs w:val="21"/>
          <w:highlight w:val="none"/>
        </w:rPr>
        <w:t>。</w:t>
      </w:r>
    </w:p>
    <w:p w14:paraId="1B868DB0">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701CAA28">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48F9143D">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65DD346C">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1D4BD24C">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1B85A56">
      <w:pPr>
        <w:shd w:val="clea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406A0602">
      <w:pPr>
        <w:shd w:val="clea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7F60AFB3">
      <w:pPr>
        <w:shd w:val="clea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7D80DA66">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4371328">
      <w:pPr>
        <w:shd w:val="clear"/>
        <w:adjustRightInd w:val="0"/>
        <w:snapToGrid w:val="0"/>
        <w:spacing w:line="50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4D561E2">
      <w:pPr>
        <w:shd w:val="clear"/>
        <w:adjustRightInd w:val="0"/>
        <w:snapToGrid w:val="0"/>
        <w:spacing w:line="50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14:paraId="1199740D">
      <w:pPr>
        <w:shd w:val="clear"/>
        <w:adjustRightInd w:val="0"/>
        <w:snapToGrid w:val="0"/>
        <w:spacing w:line="500" w:lineRule="exact"/>
        <w:ind w:firstLine="420" w:firstLineChars="200"/>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14:paraId="77E6A2E1">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3C0DB972">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2069C872">
      <w:pPr>
        <w:shd w:val="clea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4D33BDDD">
      <w:pPr>
        <w:shd w:val="clear"/>
        <w:tabs>
          <w:tab w:val="left" w:pos="720"/>
        </w:tabs>
        <w:spacing w:line="500" w:lineRule="exact"/>
        <w:ind w:firstLine="420" w:firstLineChars="200"/>
        <w:jc w:val="left"/>
        <w:rPr>
          <w:rFonts w:ascii="宋体"/>
          <w:color w:val="auto"/>
          <w:szCs w:val="21"/>
          <w:highlight w:val="none"/>
        </w:rPr>
      </w:pPr>
      <w:bookmarkStart w:id="60" w:name="_Toc449028872"/>
      <w:r>
        <w:rPr>
          <w:rFonts w:hint="eastAsia" w:ascii="宋体"/>
          <w:color w:val="auto"/>
          <w:szCs w:val="21"/>
          <w:highlight w:val="none"/>
        </w:rPr>
        <w:t>按照滁州市公管局相关规定执行。</w:t>
      </w:r>
      <w:bookmarkEnd w:id="60"/>
    </w:p>
    <w:p w14:paraId="7302AC6F">
      <w:pPr>
        <w:shd w:val="clea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9"/>
    </w:p>
    <w:p w14:paraId="4BF65633">
      <w:pPr>
        <w:shd w:val="clea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4C1420D3">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784F1B64">
      <w:pPr>
        <w:shd w:val="clea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24BB9B24">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CDC041">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254C5D9">
      <w:pPr>
        <w:shd w:val="clea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7A38CD5D">
      <w:pPr>
        <w:shd w:val="clea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61"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61"/>
      <w:r>
        <w:rPr>
          <w:rFonts w:hint="eastAsia" w:ascii="宋体" w:hAnsi="宋体" w:cs="宋体"/>
          <w:b/>
          <w:color w:val="auto"/>
          <w:szCs w:val="21"/>
          <w:highlight w:val="none"/>
        </w:rPr>
        <w:t>担保</w:t>
      </w:r>
    </w:p>
    <w:p w14:paraId="406D7A95">
      <w:pPr>
        <w:shd w:val="clea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141F4B15">
      <w:pPr>
        <w:shd w:val="clea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E3E7D89">
      <w:pPr>
        <w:shd w:val="clear"/>
        <w:spacing w:beforeLines="100" w:afterLines="100" w:line="500" w:lineRule="exact"/>
        <w:jc w:val="center"/>
        <w:rPr>
          <w:rFonts w:ascii="宋体"/>
          <w:b/>
          <w:color w:val="auto"/>
          <w:sz w:val="28"/>
          <w:szCs w:val="28"/>
          <w:highlight w:val="none"/>
        </w:rPr>
      </w:pPr>
      <w:bookmarkStart w:id="62" w:name="_Toc449028874"/>
      <w:r>
        <w:rPr>
          <w:rFonts w:hint="eastAsia" w:ascii="宋体"/>
          <w:b/>
          <w:color w:val="auto"/>
          <w:sz w:val="28"/>
          <w:szCs w:val="28"/>
          <w:highlight w:val="none"/>
        </w:rPr>
        <w:t>（七）纪律和监督</w:t>
      </w:r>
      <w:bookmarkEnd w:id="62"/>
    </w:p>
    <w:p w14:paraId="36A062C0">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221C6BD">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723539E2">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2BF1867">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500656CB">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321C5028">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1A5F7BE">
      <w:pPr>
        <w:shd w:val="clea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1C42F96B">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550728D7">
      <w:pPr>
        <w:shd w:val="clear"/>
        <w:spacing w:beforeLines="100"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6D1B0C9E">
      <w:pPr>
        <w:shd w:val="clea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0DC9000B">
      <w:pPr>
        <w:shd w:val="clea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7DD0F5D3">
      <w:pPr>
        <w:shd w:val="clear"/>
        <w:adjustRightInd w:val="0"/>
        <w:snapToGrid w:val="0"/>
        <w:spacing w:line="50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53B0BCC5">
      <w:pPr>
        <w:rPr>
          <w:color w:val="auto"/>
          <w:highlight w:val="none"/>
        </w:rPr>
      </w:pPr>
      <w:r>
        <w:rPr>
          <w:color w:val="auto"/>
          <w:highlight w:val="none"/>
        </w:rPr>
        <w:br w:type="page"/>
      </w:r>
    </w:p>
    <w:p w14:paraId="12AE14ED">
      <w:pPr>
        <w:pStyle w:val="2"/>
        <w:keepNext/>
        <w:keepLines/>
        <w:pageBreakBefore w:val="0"/>
        <w:widowControl w:val="0"/>
        <w:shd w:val="clear"/>
        <w:kinsoku/>
        <w:wordWrap/>
        <w:overflowPunct/>
        <w:topLinePunct w:val="0"/>
        <w:autoSpaceDE/>
        <w:autoSpaceDN/>
        <w:bidi w:val="0"/>
        <w:adjustRightInd/>
        <w:snapToGrid/>
        <w:spacing w:before="0" w:beforeLines="100" w:after="0" w:afterLines="100" w:line="440" w:lineRule="exact"/>
        <w:textAlignment w:val="auto"/>
        <w:rPr>
          <w:rFonts w:ascii="宋体"/>
          <w:b w:val="0"/>
          <w:color w:val="auto"/>
          <w:szCs w:val="32"/>
          <w:highlight w:val="none"/>
        </w:rPr>
      </w:pPr>
      <w:bookmarkStart w:id="63" w:name="_Toc28871"/>
      <w:r>
        <w:rPr>
          <w:rFonts w:hint="eastAsia" w:ascii="宋体"/>
          <w:bCs w:val="0"/>
          <w:color w:val="auto"/>
          <w:szCs w:val="32"/>
          <w:highlight w:val="none"/>
        </w:rPr>
        <w:t>第三章 评标办法（综合评分法）</w:t>
      </w:r>
      <w:bookmarkEnd w:id="63"/>
    </w:p>
    <w:p w14:paraId="348C11CE">
      <w:pPr>
        <w:shd w:val="clear"/>
        <w:spacing w:beforeLines="50" w:afterLines="50" w:line="500" w:lineRule="exact"/>
        <w:jc w:val="center"/>
        <w:outlineLvl w:val="1"/>
        <w:rPr>
          <w:rFonts w:ascii="宋体" w:hAnsi="宋体" w:cs="宋体"/>
          <w:b/>
          <w:color w:val="auto"/>
          <w:sz w:val="28"/>
          <w:szCs w:val="28"/>
          <w:highlight w:val="none"/>
        </w:rPr>
      </w:pPr>
      <w:bookmarkStart w:id="64" w:name="_Toc58430317"/>
      <w:bookmarkStart w:id="65" w:name="_Toc20697"/>
      <w:bookmarkStart w:id="66" w:name="_Toc449028877"/>
      <w:bookmarkStart w:id="67" w:name="_Toc362983801"/>
      <w:bookmarkStart w:id="68" w:name="_Toc267320058"/>
      <w:bookmarkStart w:id="69" w:name="_Toc363135205"/>
      <w:r>
        <w:rPr>
          <w:rFonts w:hint="eastAsia" w:ascii="宋体" w:hAnsi="宋体" w:cs="宋体"/>
          <w:b/>
          <w:color w:val="auto"/>
          <w:sz w:val="28"/>
          <w:szCs w:val="28"/>
          <w:highlight w:val="none"/>
        </w:rPr>
        <w:t>一、总则</w:t>
      </w:r>
      <w:bookmarkEnd w:id="64"/>
      <w:bookmarkEnd w:id="65"/>
      <w:bookmarkEnd w:id="66"/>
      <w:bookmarkEnd w:id="67"/>
    </w:p>
    <w:p w14:paraId="2C80926C">
      <w:pPr>
        <w:shd w:val="clea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38C34B8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24DBA1B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13CB7B3">
      <w:pPr>
        <w:shd w:val="clea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34002D7B">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3B647AB6">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41F2CBE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14C19F54">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6B0601F9">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417BE671">
      <w:pPr>
        <w:shd w:val="clea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2F15415F">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0D631D55">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527F6D2A">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7199208D">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12D59651">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258869D8">
      <w:pPr>
        <w:shd w:val="clea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5A9B7028">
      <w:pPr>
        <w:shd w:val="clea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70" w:name="_Toc58430318"/>
      <w:bookmarkStart w:id="71" w:name="_Toc362983802"/>
      <w:bookmarkStart w:id="72" w:name="_Toc449028878"/>
    </w:p>
    <w:p w14:paraId="72F28CDE">
      <w:pPr>
        <w:shd w:val="clear"/>
        <w:spacing w:beforeLines="50"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70"/>
      <w:bookmarkEnd w:id="71"/>
      <w:bookmarkEnd w:id="72"/>
    </w:p>
    <w:p w14:paraId="401C8BDC">
      <w:pPr>
        <w:shd w:val="clea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012D69DD">
      <w:pPr>
        <w:shd w:val="clea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35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17"/>
        <w:gridCol w:w="4964"/>
        <w:gridCol w:w="3036"/>
      </w:tblGrid>
      <w:tr w14:paraId="52DE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642" w:type="dxa"/>
            <w:vAlign w:val="center"/>
          </w:tcPr>
          <w:p w14:paraId="66380ACF">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681" w:type="dxa"/>
            <w:gridSpan w:val="2"/>
            <w:vAlign w:val="center"/>
          </w:tcPr>
          <w:p w14:paraId="518FA2C1">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036" w:type="dxa"/>
            <w:vAlign w:val="center"/>
          </w:tcPr>
          <w:p w14:paraId="0140E1BD">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7C2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42" w:type="dxa"/>
            <w:vAlign w:val="center"/>
          </w:tcPr>
          <w:p w14:paraId="5A4E550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717" w:type="dxa"/>
            <w:vAlign w:val="center"/>
          </w:tcPr>
          <w:p w14:paraId="4A47BFC9">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重要要求</w:t>
            </w:r>
          </w:p>
        </w:tc>
        <w:tc>
          <w:tcPr>
            <w:tcW w:w="4964" w:type="dxa"/>
            <w:vAlign w:val="center"/>
          </w:tcPr>
          <w:p w14:paraId="2D13D32A">
            <w:pPr>
              <w:keepNext w:val="0"/>
              <w:keepLines w:val="0"/>
              <w:pageBreakBefore w:val="0"/>
              <w:shd w:val="clea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036" w:type="dxa"/>
            <w:vAlign w:val="center"/>
          </w:tcPr>
          <w:p w14:paraId="0CD3C436">
            <w:pPr>
              <w:keepNext w:val="0"/>
              <w:keepLines w:val="0"/>
              <w:pageBreakBefore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1AA7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642" w:type="dxa"/>
            <w:vMerge w:val="restart"/>
            <w:vAlign w:val="center"/>
          </w:tcPr>
          <w:p w14:paraId="5D11E7C3">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717" w:type="dxa"/>
            <w:vMerge w:val="restart"/>
            <w:vAlign w:val="center"/>
          </w:tcPr>
          <w:p w14:paraId="74A553A0">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964" w:type="dxa"/>
            <w:vAlign w:val="center"/>
          </w:tcPr>
          <w:p w14:paraId="30837AA4">
            <w:pPr>
              <w:keepNext w:val="0"/>
              <w:keepLines w:val="0"/>
              <w:pageBreakBefore w:val="0"/>
              <w:shd w:val="clea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3036" w:type="dxa"/>
            <w:vAlign w:val="center"/>
          </w:tcPr>
          <w:p w14:paraId="2E1F418C">
            <w:pPr>
              <w:keepNext w:val="0"/>
              <w:keepLines w:val="0"/>
              <w:pageBreakBefore w:val="0"/>
              <w:shd w:val="clea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7544395C">
            <w:pPr>
              <w:keepNext w:val="0"/>
              <w:keepLines w:val="0"/>
              <w:pageBreakBefore w:val="0"/>
              <w:shd w:val="clea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投标人有效的营业执照、税务登记证、组织机构码证（或“三证合一证书”）</w:t>
            </w:r>
          </w:p>
        </w:tc>
      </w:tr>
      <w:tr w14:paraId="7F9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42" w:type="dxa"/>
            <w:vMerge w:val="continue"/>
            <w:vAlign w:val="center"/>
          </w:tcPr>
          <w:p w14:paraId="3D6FEE1C">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p>
        </w:tc>
        <w:tc>
          <w:tcPr>
            <w:tcW w:w="717" w:type="dxa"/>
            <w:vMerge w:val="continue"/>
            <w:vAlign w:val="center"/>
          </w:tcPr>
          <w:p w14:paraId="6CB3CED5">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964" w:type="dxa"/>
            <w:vAlign w:val="center"/>
          </w:tcPr>
          <w:p w14:paraId="4911A218">
            <w:pPr>
              <w:keepNext w:val="0"/>
              <w:keepLines w:val="0"/>
              <w:pageBreakBefore w:val="0"/>
              <w:shd w:val="clea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企业资质证书、有效的安全生产许可证</w:t>
            </w:r>
          </w:p>
        </w:tc>
        <w:tc>
          <w:tcPr>
            <w:tcW w:w="3036" w:type="dxa"/>
            <w:vMerge w:val="restart"/>
            <w:vAlign w:val="center"/>
          </w:tcPr>
          <w:p w14:paraId="72FA1C98">
            <w:pPr>
              <w:keepNext w:val="0"/>
              <w:keepLines w:val="0"/>
              <w:pageBreakBefore w:val="0"/>
              <w:shd w:val="clea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3988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42" w:type="dxa"/>
            <w:vMerge w:val="continue"/>
            <w:vAlign w:val="center"/>
          </w:tcPr>
          <w:p w14:paraId="5BE9949B">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p>
        </w:tc>
        <w:tc>
          <w:tcPr>
            <w:tcW w:w="717" w:type="dxa"/>
            <w:vMerge w:val="continue"/>
            <w:vAlign w:val="center"/>
          </w:tcPr>
          <w:p w14:paraId="55A0AFF4">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964" w:type="dxa"/>
            <w:vAlign w:val="center"/>
          </w:tcPr>
          <w:p w14:paraId="2ECA5F4C">
            <w:pPr>
              <w:keepNext w:val="0"/>
              <w:keepLines w:val="0"/>
              <w:pageBreakBefore w:val="0"/>
              <w:widowControl/>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项目负责人身份证、注册证书、安全生产考核合格证书证书及持有社保部门出具的本单位为其缴纳的投标前近三个月连续的养老保险证明（证明文件两个月内有效），投标申请人是事业单位的，须由其主管部门出具证明</w:t>
            </w:r>
          </w:p>
        </w:tc>
        <w:tc>
          <w:tcPr>
            <w:tcW w:w="3036" w:type="dxa"/>
            <w:vMerge w:val="continue"/>
            <w:vAlign w:val="center"/>
          </w:tcPr>
          <w:p w14:paraId="4E77801D">
            <w:pPr>
              <w:keepNext w:val="0"/>
              <w:keepLines w:val="0"/>
              <w:pageBreakBefore w:val="0"/>
              <w:shd w:val="clea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p>
        </w:tc>
      </w:tr>
      <w:tr w14:paraId="2E04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42" w:type="dxa"/>
            <w:vMerge w:val="continue"/>
            <w:vAlign w:val="center"/>
          </w:tcPr>
          <w:p w14:paraId="1C718D20">
            <w:pPr>
              <w:keepNext w:val="0"/>
              <w:keepLines w:val="0"/>
              <w:pageBreakBefore w:val="0"/>
              <w:shd w:val="clear"/>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p>
        </w:tc>
        <w:tc>
          <w:tcPr>
            <w:tcW w:w="717" w:type="dxa"/>
            <w:vMerge w:val="continue"/>
            <w:vAlign w:val="center"/>
          </w:tcPr>
          <w:p w14:paraId="0FE8E69B">
            <w:pPr>
              <w:keepNext w:val="0"/>
              <w:keepLines w:val="0"/>
              <w:pageBreakBefore w:val="0"/>
              <w:shd w:val="clear"/>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tc>
        <w:tc>
          <w:tcPr>
            <w:tcW w:w="4964" w:type="dxa"/>
            <w:vAlign w:val="center"/>
          </w:tcPr>
          <w:p w14:paraId="51779800">
            <w:pPr>
              <w:keepNext w:val="0"/>
              <w:keepLines w:val="0"/>
              <w:pageBreakBefore w:val="0"/>
              <w:shd w:val="clear"/>
              <w:kinsoku/>
              <w:wordWrap/>
              <w:overflowPunct/>
              <w:topLinePunct w:val="0"/>
              <w:autoSpaceDE/>
              <w:autoSpaceDN/>
              <w:bidi w:val="0"/>
              <w:adjustRightInd/>
              <w:snapToGrid/>
              <w:spacing w:line="400" w:lineRule="exact"/>
              <w:jc w:val="left"/>
              <w:textAlignment w:val="auto"/>
              <w:rPr>
                <w:rFonts w:ascii="宋体" w:hAnsi="宋体" w:cs="宋体"/>
                <w:b/>
                <w:color w:val="auto"/>
                <w:szCs w:val="21"/>
                <w:highlight w:val="none"/>
              </w:rPr>
            </w:pPr>
            <w:r>
              <w:rPr>
                <w:rFonts w:hint="eastAsia" w:ascii="宋体" w:hAnsi="宋体" w:cs="宋体"/>
                <w:color w:val="auto"/>
                <w:szCs w:val="21"/>
                <w:highlight w:val="none"/>
              </w:rPr>
              <w:t>（5）诚信投标承诺书或公共信用信息报告（无违法违规证明版或核查版）</w:t>
            </w:r>
          </w:p>
        </w:tc>
        <w:tc>
          <w:tcPr>
            <w:tcW w:w="3036" w:type="dxa"/>
            <w:vAlign w:val="center"/>
          </w:tcPr>
          <w:p w14:paraId="110E06A2">
            <w:pPr>
              <w:keepNext w:val="0"/>
              <w:keepLines w:val="0"/>
              <w:pageBreakBefore w:val="0"/>
              <w:shd w:val="clear"/>
              <w:kinsoku/>
              <w:wordWrap/>
              <w:overflowPunct/>
              <w:topLinePunct w:val="0"/>
              <w:autoSpaceDE/>
              <w:autoSpaceDN/>
              <w:bidi w:val="0"/>
              <w:adjustRightInd/>
              <w:snapToGrid/>
              <w:spacing w:line="400" w:lineRule="exact"/>
              <w:jc w:val="left"/>
              <w:textAlignment w:val="auto"/>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6289B29C">
      <w:pPr>
        <w:shd w:val="clear"/>
        <w:spacing w:line="500" w:lineRule="exact"/>
        <w:ind w:right="-164" w:rightChars="-78" w:firstLine="508" w:firstLineChars="241"/>
        <w:jc w:val="left"/>
        <w:rPr>
          <w:rFonts w:hint="eastAsia"/>
          <w:color w:val="auto"/>
          <w:highlight w:val="none"/>
        </w:rPr>
      </w:pPr>
      <w:bookmarkStart w:id="73" w:name="_Toc15058904"/>
      <w:bookmarkStart w:id="74" w:name="_Toc506107319"/>
      <w:bookmarkStart w:id="75" w:name="_Toc60061491"/>
      <w:bookmarkStart w:id="76" w:name="_Toc95223394"/>
      <w:bookmarkStart w:id="77" w:name="_Toc324404866"/>
      <w:r>
        <w:rPr>
          <w:rFonts w:hint="eastAsia" w:ascii="宋体" w:hAnsi="宋体" w:eastAsia="宋体" w:cs="宋体"/>
          <w:b/>
          <w:color w:val="auto"/>
          <w:szCs w:val="21"/>
          <w:highlight w:val="none"/>
        </w:rPr>
        <w:t>重要提示：</w:t>
      </w:r>
    </w:p>
    <w:p w14:paraId="588487EB">
      <w:pPr>
        <w:shd w:val="clear"/>
        <w:spacing w:line="500" w:lineRule="exact"/>
        <w:ind w:right="36" w:rightChars="17"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36A581F">
      <w:pPr>
        <w:shd w:val="clear"/>
        <w:spacing w:line="500" w:lineRule="exact"/>
        <w:ind w:right="36" w:rightChars="17"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25BA6961">
      <w:pPr>
        <w:shd w:val="clear"/>
        <w:spacing w:line="500" w:lineRule="exact"/>
        <w:ind w:right="36" w:rightChars="17" w:firstLine="508" w:firstLineChars="241"/>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0AFDA359">
      <w:pPr>
        <w:shd w:val="clear"/>
        <w:spacing w:line="500" w:lineRule="exact"/>
        <w:ind w:right="36" w:rightChars="17" w:firstLine="508" w:firstLineChars="241"/>
        <w:jc w:val="left"/>
        <w:rPr>
          <w:b/>
          <w:bCs/>
          <w:color w:val="auto"/>
          <w:highlight w:val="none"/>
        </w:rPr>
      </w:pPr>
      <w:r>
        <w:rPr>
          <w:rFonts w:hint="eastAsia" w:ascii="宋体" w:hAnsi="宋体" w:eastAsia="宋体" w:cs="宋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bookmarkEnd w:id="73"/>
      <w:bookmarkEnd w:id="74"/>
      <w:bookmarkEnd w:id="75"/>
      <w:bookmarkEnd w:id="76"/>
      <w:bookmarkEnd w:id="77"/>
    </w:p>
    <w:p w14:paraId="2B2D3B7F">
      <w:pPr>
        <w:shd w:val="clea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7E6C777E">
      <w:pPr>
        <w:shd w:val="clea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96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31"/>
      </w:tblGrid>
      <w:tr w14:paraId="41E5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61AF6F6">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44B1B613">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31" w:type="dxa"/>
            <w:vAlign w:val="center"/>
          </w:tcPr>
          <w:p w14:paraId="5B6289DE">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12F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6B605502">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308B9786">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630D96C2">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31" w:type="dxa"/>
            <w:vAlign w:val="center"/>
          </w:tcPr>
          <w:p w14:paraId="58B2E96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544EA62F">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67B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4DD229F9">
            <w:pPr>
              <w:shd w:val="clear"/>
              <w:spacing w:line="500" w:lineRule="exact"/>
              <w:jc w:val="left"/>
              <w:rPr>
                <w:rFonts w:ascii="宋体" w:hAnsi="宋体" w:cs="宋体"/>
                <w:color w:val="auto"/>
                <w:szCs w:val="21"/>
                <w:highlight w:val="none"/>
              </w:rPr>
            </w:pPr>
          </w:p>
        </w:tc>
        <w:tc>
          <w:tcPr>
            <w:tcW w:w="1318" w:type="dxa"/>
            <w:vMerge w:val="continue"/>
            <w:vAlign w:val="center"/>
          </w:tcPr>
          <w:p w14:paraId="40533F9E">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p>
        </w:tc>
        <w:tc>
          <w:tcPr>
            <w:tcW w:w="2931" w:type="dxa"/>
            <w:vAlign w:val="center"/>
          </w:tcPr>
          <w:p w14:paraId="75826FC9">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31" w:type="dxa"/>
            <w:vAlign w:val="center"/>
          </w:tcPr>
          <w:p w14:paraId="1EC48AE4">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19E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FAC2FDE">
            <w:pPr>
              <w:shd w:val="clear"/>
              <w:spacing w:line="500" w:lineRule="exact"/>
              <w:jc w:val="left"/>
              <w:rPr>
                <w:rFonts w:ascii="宋体" w:hAnsi="宋体" w:cs="宋体"/>
                <w:color w:val="auto"/>
                <w:szCs w:val="21"/>
                <w:highlight w:val="none"/>
              </w:rPr>
            </w:pPr>
          </w:p>
        </w:tc>
        <w:tc>
          <w:tcPr>
            <w:tcW w:w="1318" w:type="dxa"/>
            <w:vMerge w:val="continue"/>
            <w:vAlign w:val="center"/>
          </w:tcPr>
          <w:p w14:paraId="41F9A22C">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p>
        </w:tc>
        <w:tc>
          <w:tcPr>
            <w:tcW w:w="2931" w:type="dxa"/>
            <w:vAlign w:val="center"/>
          </w:tcPr>
          <w:p w14:paraId="06EBEA00">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31" w:type="dxa"/>
            <w:vAlign w:val="center"/>
          </w:tcPr>
          <w:p w14:paraId="2D33A63C">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238A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1769C82E">
            <w:pPr>
              <w:shd w:val="clear"/>
              <w:spacing w:line="500" w:lineRule="exact"/>
              <w:jc w:val="left"/>
              <w:rPr>
                <w:rFonts w:ascii="宋体" w:hAnsi="宋体" w:cs="宋体"/>
                <w:color w:val="auto"/>
                <w:szCs w:val="21"/>
                <w:highlight w:val="none"/>
              </w:rPr>
            </w:pPr>
          </w:p>
        </w:tc>
        <w:tc>
          <w:tcPr>
            <w:tcW w:w="1318" w:type="dxa"/>
            <w:vMerge w:val="continue"/>
            <w:vAlign w:val="center"/>
          </w:tcPr>
          <w:p w14:paraId="697578BC">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p>
        </w:tc>
        <w:tc>
          <w:tcPr>
            <w:tcW w:w="2931" w:type="dxa"/>
            <w:vAlign w:val="center"/>
          </w:tcPr>
          <w:p w14:paraId="645100D4">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31" w:type="dxa"/>
            <w:vAlign w:val="center"/>
          </w:tcPr>
          <w:p w14:paraId="3ECC4C21">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6F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29F1DDE7">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52DB7871">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3EF33D9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31" w:type="dxa"/>
            <w:vAlign w:val="center"/>
          </w:tcPr>
          <w:p w14:paraId="541851D7">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760E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04BCBF31">
            <w:pPr>
              <w:shd w:val="clear"/>
              <w:spacing w:line="500" w:lineRule="exact"/>
              <w:jc w:val="left"/>
              <w:rPr>
                <w:rFonts w:ascii="宋体" w:hAnsi="宋体" w:cs="宋体"/>
                <w:color w:val="auto"/>
                <w:szCs w:val="21"/>
                <w:highlight w:val="none"/>
              </w:rPr>
            </w:pPr>
          </w:p>
        </w:tc>
        <w:tc>
          <w:tcPr>
            <w:tcW w:w="1318" w:type="dxa"/>
            <w:vMerge w:val="continue"/>
            <w:vAlign w:val="center"/>
          </w:tcPr>
          <w:p w14:paraId="41CD1179">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p>
        </w:tc>
        <w:tc>
          <w:tcPr>
            <w:tcW w:w="2931" w:type="dxa"/>
            <w:vAlign w:val="center"/>
          </w:tcPr>
          <w:p w14:paraId="0A1C1249">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31" w:type="dxa"/>
            <w:vAlign w:val="center"/>
          </w:tcPr>
          <w:p w14:paraId="1D49BC1B">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327D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5AE02637">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4B484432">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72BE59D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31" w:type="dxa"/>
            <w:vAlign w:val="center"/>
          </w:tcPr>
          <w:p w14:paraId="0FDFFF1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020E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176F5255">
            <w:pPr>
              <w:shd w:val="clear"/>
              <w:spacing w:line="500" w:lineRule="exact"/>
              <w:jc w:val="left"/>
              <w:rPr>
                <w:rFonts w:ascii="宋体" w:hAnsi="宋体" w:cs="宋体"/>
                <w:color w:val="auto"/>
                <w:szCs w:val="21"/>
                <w:highlight w:val="none"/>
              </w:rPr>
            </w:pPr>
          </w:p>
        </w:tc>
        <w:tc>
          <w:tcPr>
            <w:tcW w:w="1318" w:type="dxa"/>
            <w:vMerge w:val="continue"/>
            <w:vAlign w:val="center"/>
          </w:tcPr>
          <w:p w14:paraId="6324ACE2">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p>
        </w:tc>
        <w:tc>
          <w:tcPr>
            <w:tcW w:w="2931" w:type="dxa"/>
            <w:vAlign w:val="center"/>
          </w:tcPr>
          <w:p w14:paraId="456AD78D">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31" w:type="dxa"/>
            <w:vAlign w:val="center"/>
          </w:tcPr>
          <w:p w14:paraId="59CC08D4">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75B0F63E">
      <w:pPr>
        <w:shd w:val="clea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CA00520">
      <w:pPr>
        <w:shd w:val="clea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3924DB5">
      <w:pPr>
        <w:shd w:val="clea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5AB98D78">
      <w:pPr>
        <w:shd w:val="clea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77F0BFDB">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391518F5">
      <w:pPr>
        <w:shd w:val="clea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4F187FD5">
      <w:pPr>
        <w:shd w:val="clea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49195413">
      <w:pPr>
        <w:shd w:val="clear"/>
        <w:spacing w:beforeLines="50" w:afterLines="50"/>
        <w:jc w:val="center"/>
        <w:outlineLvl w:val="1"/>
        <w:rPr>
          <w:rFonts w:ascii="宋体"/>
          <w:b/>
          <w:color w:val="auto"/>
          <w:sz w:val="28"/>
          <w:szCs w:val="28"/>
          <w:highlight w:val="none"/>
        </w:rPr>
      </w:pPr>
      <w:bookmarkStart w:id="78" w:name="_Toc449028879"/>
      <w:bookmarkStart w:id="79" w:name="_Toc58430319"/>
      <w:bookmarkStart w:id="80" w:name="_Toc14002"/>
      <w:bookmarkStart w:id="81" w:name="_Toc362983803"/>
      <w:r>
        <w:rPr>
          <w:rFonts w:hint="eastAsia" w:ascii="宋体"/>
          <w:b/>
          <w:color w:val="auto"/>
          <w:sz w:val="28"/>
          <w:szCs w:val="28"/>
          <w:highlight w:val="none"/>
        </w:rPr>
        <w:t>三、投标文件的澄清和补正</w:t>
      </w:r>
      <w:bookmarkEnd w:id="78"/>
      <w:bookmarkEnd w:id="79"/>
      <w:bookmarkEnd w:id="80"/>
      <w:bookmarkEnd w:id="81"/>
    </w:p>
    <w:p w14:paraId="035499CA">
      <w:pPr>
        <w:shd w:val="clea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rPr>
        <w:t>如因投标人未参加开标导致开评标过程中无法澄清、说明或补正的，视同投标人放弃该权利。</w:t>
      </w:r>
    </w:p>
    <w:p w14:paraId="35142ED8">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6CB3DD03">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447B8A24">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ADE800">
      <w:pPr>
        <w:shd w:val="clea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23B27E0">
      <w:pPr>
        <w:shd w:val="clea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8"/>
    <w:p w14:paraId="0EF8C6F4">
      <w:pPr>
        <w:shd w:val="clear"/>
        <w:spacing w:beforeLines="50" w:afterLines="50"/>
        <w:jc w:val="center"/>
        <w:outlineLvl w:val="1"/>
        <w:rPr>
          <w:rFonts w:ascii="宋体"/>
          <w:b/>
          <w:color w:val="auto"/>
          <w:sz w:val="28"/>
          <w:szCs w:val="28"/>
          <w:highlight w:val="none"/>
        </w:rPr>
      </w:pPr>
      <w:bookmarkStart w:id="82" w:name="_Toc449028880"/>
      <w:bookmarkStart w:id="83" w:name="_Toc58430320"/>
      <w:bookmarkStart w:id="84" w:name="_Toc3630"/>
      <w:bookmarkStart w:id="85" w:name="_Hlk101517174"/>
      <w:r>
        <w:rPr>
          <w:rFonts w:hint="eastAsia" w:ascii="宋体"/>
          <w:b/>
          <w:color w:val="auto"/>
          <w:sz w:val="28"/>
          <w:szCs w:val="28"/>
          <w:highlight w:val="none"/>
        </w:rPr>
        <w:t>四、比较与评价</w:t>
      </w:r>
      <w:bookmarkEnd w:id="82"/>
      <w:bookmarkEnd w:id="83"/>
      <w:bookmarkEnd w:id="84"/>
    </w:p>
    <w:p w14:paraId="52174A82">
      <w:pPr>
        <w:shd w:val="clea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86"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063381AF">
      <w:pPr>
        <w:shd w:val="clea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tbl>
      <w:tblPr>
        <w:tblStyle w:val="35"/>
        <w:tblW w:w="961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1"/>
        <w:gridCol w:w="766"/>
        <w:gridCol w:w="7002"/>
      </w:tblGrid>
      <w:tr w14:paraId="035E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EDDBDCF">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51" w:type="dxa"/>
            <w:vAlign w:val="center"/>
          </w:tcPr>
          <w:p w14:paraId="5C2F01E3">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66" w:type="dxa"/>
            <w:vAlign w:val="center"/>
          </w:tcPr>
          <w:p w14:paraId="06071A15">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002" w:type="dxa"/>
            <w:vAlign w:val="center"/>
          </w:tcPr>
          <w:p w14:paraId="673F96E5">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0E21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F5429D3">
            <w:pPr>
              <w:pStyle w:val="14"/>
              <w:shd w:val="clear"/>
              <w:spacing w:line="500" w:lineRule="exact"/>
              <w:jc w:val="center"/>
              <w:rPr>
                <w:rFonts w:ascii="宋体" w:hAnsi="宋体" w:cs="宋体"/>
                <w:b/>
                <w:bCs/>
                <w:color w:val="auto"/>
                <w:highlight w:val="none"/>
              </w:rPr>
            </w:pPr>
            <w:r>
              <w:rPr>
                <w:rFonts w:hint="eastAsia" w:ascii="宋体" w:hAnsi="宋体" w:cs="宋体"/>
                <w:b/>
                <w:bCs/>
                <w:color w:val="auto"/>
                <w:highlight w:val="none"/>
              </w:rPr>
              <w:t>1</w:t>
            </w:r>
          </w:p>
        </w:tc>
        <w:tc>
          <w:tcPr>
            <w:tcW w:w="1151" w:type="dxa"/>
            <w:vAlign w:val="center"/>
          </w:tcPr>
          <w:p w14:paraId="0088E6A7">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企业业绩</w:t>
            </w:r>
          </w:p>
        </w:tc>
        <w:tc>
          <w:tcPr>
            <w:tcW w:w="766" w:type="dxa"/>
            <w:vAlign w:val="center"/>
          </w:tcPr>
          <w:p w14:paraId="16504C93">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分</w:t>
            </w:r>
          </w:p>
        </w:tc>
        <w:tc>
          <w:tcPr>
            <w:tcW w:w="7002" w:type="dxa"/>
            <w:vAlign w:val="center"/>
          </w:tcPr>
          <w:p w14:paraId="01FC005C">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ascii="宋体" w:hAnsi="宋体" w:cs="宋体"/>
                <w:b/>
                <w:bCs/>
                <w:color w:val="auto"/>
                <w:highlight w:val="none"/>
              </w:rPr>
            </w:pPr>
            <w:r>
              <w:rPr>
                <w:rFonts w:hint="eastAsia" w:ascii="宋体" w:hAnsi="宋体" w:cs="宋体"/>
                <w:color w:val="auto"/>
                <w:szCs w:val="21"/>
                <w:highlight w:val="none"/>
                <w:lang w:val="en-US" w:eastAsia="zh-CN"/>
              </w:rPr>
              <w:t>投标人自2020年12月1日至投标截止时间（以合同签订时间为准)，独立完成过高速公路机电维护项目或高速公路机电施工项目</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每有1个得7分，本项最高得7</w:t>
            </w:r>
            <w:r>
              <w:rPr>
                <w:rFonts w:hint="eastAsia" w:ascii="宋体" w:hAnsi="宋体" w:cs="宋体"/>
                <w:color w:val="auto"/>
                <w:szCs w:val="21"/>
                <w:highlight w:val="none"/>
              </w:rPr>
              <w:t>分。</w:t>
            </w:r>
          </w:p>
          <w:p w14:paraId="363DEBEB">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rPr>
              <w:t>注：</w:t>
            </w:r>
            <w:r>
              <w:rPr>
                <w:rFonts w:hint="eastAsia" w:ascii="宋体" w:hAnsi="宋体" w:cs="宋体"/>
                <w:b/>
                <w:bCs/>
                <w:color w:val="auto"/>
                <w:highlight w:val="none"/>
                <w:lang w:val="en-US" w:eastAsia="zh-CN"/>
              </w:rPr>
              <w:t>①</w:t>
            </w:r>
            <w:r>
              <w:rPr>
                <w:rFonts w:hint="eastAsia" w:ascii="宋体" w:hAnsi="宋体" w:cs="宋体"/>
                <w:b/>
                <w:color w:val="auto"/>
                <w:szCs w:val="21"/>
                <w:highlight w:val="none"/>
              </w:rPr>
              <w:t>中标通知书扫描件（中标通知书须加盖招投标管理部门印章或招投标管理部门备案印章，无招投标管理部门盖章的还须提供招投标管理部门官网或公共资源交易平台官网发布的中标公示网页完整截图及网址链接</w:t>
            </w:r>
            <w:r>
              <w:rPr>
                <w:rFonts w:hint="eastAsia" w:ascii="宋体" w:hAnsi="宋体" w:cs="宋体"/>
                <w:b/>
                <w:bCs/>
                <w:color w:val="auto"/>
                <w:highlight w:val="none"/>
                <w:lang w:val="en-US" w:eastAsia="zh-CN"/>
              </w:rPr>
              <w:t>）；②合同。</w:t>
            </w:r>
          </w:p>
          <w:p w14:paraId="21B94388">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以上材料缺一不可，如上述材料不能够充分有效证明该业绩的养护内容</w:t>
            </w:r>
            <w:r>
              <w:rPr>
                <w:rFonts w:hint="eastAsia" w:ascii="宋体" w:hAnsi="宋体" w:eastAsia="宋体" w:cs="宋体"/>
                <w:b/>
                <w:bCs/>
                <w:color w:val="auto"/>
                <w:highlight w:val="none"/>
                <w:lang w:val="en-US" w:eastAsia="zh-CN"/>
              </w:rPr>
              <w:t>、类型等内容，还须另外提供建设单位出具的加盖建设单位公章的证明材料，不符合要求，不得分。业绩</w:t>
            </w:r>
            <w:r>
              <w:rPr>
                <w:rFonts w:hint="eastAsia" w:ascii="宋体" w:hAnsi="宋体" w:cs="宋体"/>
                <w:b/>
                <w:color w:val="auto"/>
                <w:szCs w:val="21"/>
                <w:highlight w:val="none"/>
              </w:rPr>
              <w:t>时间以合同签订时间为准</w:t>
            </w:r>
            <w:r>
              <w:rPr>
                <w:rFonts w:hint="eastAsia" w:ascii="宋体" w:hAnsi="宋体" w:eastAsia="宋体" w:cs="宋体"/>
                <w:b/>
                <w:bCs/>
                <w:color w:val="auto"/>
                <w:highlight w:val="none"/>
                <w:lang w:val="en-US" w:eastAsia="zh-CN"/>
              </w:rPr>
              <w:t>。</w:t>
            </w:r>
          </w:p>
          <w:p w14:paraId="3E4D6737">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eastAsia="宋体" w:cs="宋体"/>
                <w:b/>
                <w:bCs/>
                <w:color w:val="auto"/>
                <w:highlight w:val="none"/>
                <w:lang w:val="en-US" w:eastAsia="zh-CN"/>
              </w:rPr>
              <w:t>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w:t>
            </w:r>
            <w:r>
              <w:rPr>
                <w:rFonts w:hint="eastAsia" w:ascii="宋体" w:hAnsi="宋体" w:cs="宋体"/>
                <w:b/>
                <w:bCs/>
                <w:color w:val="auto"/>
                <w:highlight w:val="none"/>
                <w:lang w:val="en-US" w:eastAsia="zh-CN"/>
              </w:rPr>
              <w:t>，视为一个业绩，不可重复计分</w:t>
            </w:r>
            <w:r>
              <w:rPr>
                <w:rFonts w:hint="eastAsia" w:ascii="宋体" w:hAnsi="宋体" w:eastAsia="宋体" w:cs="宋体"/>
                <w:b/>
                <w:bCs/>
                <w:color w:val="auto"/>
                <w:highlight w:val="none"/>
                <w:lang w:val="en-US" w:eastAsia="zh-CN"/>
              </w:rPr>
              <w:t>。</w:t>
            </w:r>
          </w:p>
        </w:tc>
      </w:tr>
      <w:tr w14:paraId="4285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5F9BF7">
            <w:pPr>
              <w:pStyle w:val="14"/>
              <w:shd w:val="clear"/>
              <w:spacing w:line="500" w:lineRule="exact"/>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w:t>
            </w:r>
          </w:p>
        </w:tc>
        <w:tc>
          <w:tcPr>
            <w:tcW w:w="1151" w:type="dxa"/>
            <w:vAlign w:val="center"/>
          </w:tcPr>
          <w:p w14:paraId="5562AA9F">
            <w:pPr>
              <w:shd w:val="clea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项目负责人业绩</w:t>
            </w:r>
          </w:p>
        </w:tc>
        <w:tc>
          <w:tcPr>
            <w:tcW w:w="766" w:type="dxa"/>
            <w:vAlign w:val="center"/>
          </w:tcPr>
          <w:p w14:paraId="742DFDAC">
            <w:pPr>
              <w:shd w:val="clear"/>
              <w:spacing w:line="5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分</w:t>
            </w:r>
          </w:p>
        </w:tc>
        <w:tc>
          <w:tcPr>
            <w:tcW w:w="7002" w:type="dxa"/>
            <w:vAlign w:val="center"/>
          </w:tcPr>
          <w:p w14:paraId="1E3AF80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项目负责人自2020年12月1日至投标截止时间（以合同签订时间为准)，独立完成过高速公路机电维护项目或高速公路机电施工项目</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每有1个得7分，本项最高得7</w:t>
            </w:r>
            <w:r>
              <w:rPr>
                <w:rFonts w:hint="eastAsia" w:ascii="宋体" w:hAnsi="宋体" w:cs="宋体"/>
                <w:color w:val="auto"/>
                <w:szCs w:val="21"/>
                <w:highlight w:val="none"/>
              </w:rPr>
              <w:t>分。</w:t>
            </w:r>
          </w:p>
          <w:p w14:paraId="605CC39D">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注：</w:t>
            </w:r>
            <w:r>
              <w:rPr>
                <w:rFonts w:hint="eastAsia" w:ascii="宋体" w:hAnsi="宋体" w:cs="宋体"/>
                <w:b/>
                <w:bCs/>
                <w:color w:val="auto"/>
                <w:highlight w:val="none"/>
                <w:lang w:val="en-US" w:eastAsia="zh-CN"/>
              </w:rPr>
              <w:t>①</w:t>
            </w:r>
            <w:r>
              <w:rPr>
                <w:rFonts w:hint="eastAsia" w:ascii="宋体" w:hAnsi="宋体" w:cs="宋体"/>
                <w:b/>
                <w:color w:val="auto"/>
                <w:szCs w:val="21"/>
                <w:highlight w:val="none"/>
              </w:rPr>
              <w:t>中标通知书扫描件（中标通知书须加盖招投标管理部门印章或招投标管理部门备案印章，无招投标管理部门盖章的还须提供招投标管理部门官网或公共资源交易平台官网发布的中标公示网页完整截图及网址链接</w:t>
            </w:r>
            <w:r>
              <w:rPr>
                <w:rFonts w:hint="eastAsia" w:ascii="宋体" w:hAnsi="宋体" w:cs="宋体"/>
                <w:b/>
                <w:bCs/>
                <w:color w:val="auto"/>
                <w:highlight w:val="none"/>
                <w:lang w:val="en-US" w:eastAsia="zh-CN"/>
              </w:rPr>
              <w:t>）；②合同。</w:t>
            </w:r>
            <w:r>
              <w:rPr>
                <w:rFonts w:hint="eastAsia" w:ascii="宋体" w:hAnsi="宋体" w:eastAsia="宋体" w:cs="宋体"/>
                <w:b/>
                <w:bCs/>
                <w:color w:val="auto"/>
                <w:highlight w:val="none"/>
                <w:lang w:val="en-US" w:eastAsia="zh-CN"/>
              </w:rPr>
              <w:t>业绩</w:t>
            </w:r>
            <w:r>
              <w:rPr>
                <w:rFonts w:hint="eastAsia" w:ascii="宋体" w:hAnsi="宋体" w:cs="宋体"/>
                <w:b/>
                <w:color w:val="auto"/>
                <w:szCs w:val="21"/>
                <w:highlight w:val="none"/>
              </w:rPr>
              <w:t>时间以合同签订时间为准</w:t>
            </w:r>
            <w:r>
              <w:rPr>
                <w:rFonts w:hint="eastAsia" w:ascii="宋体" w:hAnsi="宋体" w:cs="宋体"/>
                <w:b/>
                <w:color w:val="auto"/>
                <w:szCs w:val="21"/>
                <w:highlight w:val="none"/>
                <w:lang w:eastAsia="zh-CN"/>
              </w:rPr>
              <w:t>。</w:t>
            </w:r>
            <w:r>
              <w:rPr>
                <w:rFonts w:hint="eastAsia" w:ascii="宋体" w:hAnsi="宋体" w:eastAsia="宋体" w:cs="宋体"/>
                <w:b/>
                <w:bCs/>
                <w:color w:val="auto"/>
                <w:highlight w:val="none"/>
                <w:lang w:val="en-US" w:eastAsia="zh-CN"/>
              </w:rPr>
              <w:t>项目负责人以合同中约定姓名为准，且必须以项目负责人身份参与的，其他身份参与的不予认可。</w:t>
            </w:r>
          </w:p>
          <w:p w14:paraId="45A21829">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以上材料缺一不可，如上述材料不能够充分有效证明该业绩养护内容</w:t>
            </w:r>
            <w:r>
              <w:rPr>
                <w:rFonts w:hint="eastAsia" w:ascii="宋体" w:hAnsi="宋体" w:eastAsia="宋体" w:cs="宋体"/>
                <w:b/>
                <w:bCs/>
                <w:color w:val="auto"/>
                <w:highlight w:val="none"/>
                <w:lang w:val="en-US" w:eastAsia="zh-CN"/>
              </w:rPr>
              <w:t>、类型等内容，还须另外提供建设单位出具的加盖建设单位公章的证明材料，不符合要求，不得分。</w:t>
            </w:r>
          </w:p>
          <w:p w14:paraId="653CC60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宋体" w:hAnsi="宋体" w:cs="宋体"/>
                <w:b/>
                <w:bCs/>
                <w:color w:val="auto"/>
                <w:highlight w:val="none"/>
                <w:lang w:val="en-US" w:eastAsia="zh-CN"/>
              </w:rPr>
            </w:pPr>
            <w:r>
              <w:rPr>
                <w:rFonts w:hint="eastAsia" w:ascii="宋体" w:hAnsi="宋体" w:eastAsia="宋体" w:cs="宋体"/>
                <w:b/>
                <w:bCs/>
                <w:color w:val="auto"/>
                <w:highlight w:val="none"/>
                <w:lang w:val="en-US" w:eastAsia="zh-CN"/>
              </w:rPr>
              <w:t>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w:t>
            </w:r>
            <w:r>
              <w:rPr>
                <w:rFonts w:hint="eastAsia" w:ascii="宋体" w:hAnsi="宋体" w:cs="宋体"/>
                <w:b/>
                <w:bCs/>
                <w:color w:val="auto"/>
                <w:highlight w:val="none"/>
                <w:lang w:val="en-US" w:eastAsia="zh-CN"/>
              </w:rPr>
              <w:t>，视为一个业绩，不可重复计分</w:t>
            </w:r>
            <w:r>
              <w:rPr>
                <w:rFonts w:hint="eastAsia" w:ascii="宋体" w:hAnsi="宋体" w:eastAsia="宋体" w:cs="宋体"/>
                <w:b/>
                <w:bCs/>
                <w:color w:val="auto"/>
                <w:highlight w:val="none"/>
                <w:lang w:val="en-US" w:eastAsia="zh-CN"/>
              </w:rPr>
              <w:t>。</w:t>
            </w:r>
          </w:p>
        </w:tc>
      </w:tr>
      <w:tr w14:paraId="7367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Align w:val="center"/>
          </w:tcPr>
          <w:p w14:paraId="6BA85A4D">
            <w:pPr>
              <w:pStyle w:val="14"/>
              <w:shd w:val="clear"/>
              <w:spacing w:line="500" w:lineRule="exact"/>
              <w:jc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3</w:t>
            </w:r>
          </w:p>
        </w:tc>
        <w:tc>
          <w:tcPr>
            <w:tcW w:w="1151" w:type="dxa"/>
            <w:vAlign w:val="center"/>
          </w:tcPr>
          <w:p w14:paraId="4DD35739">
            <w:pPr>
              <w:shd w:val="clea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服务团队</w:t>
            </w:r>
          </w:p>
        </w:tc>
        <w:tc>
          <w:tcPr>
            <w:tcW w:w="766" w:type="dxa"/>
            <w:vAlign w:val="center"/>
          </w:tcPr>
          <w:p w14:paraId="2BCD8519">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分</w:t>
            </w:r>
          </w:p>
        </w:tc>
        <w:tc>
          <w:tcPr>
            <w:tcW w:w="7002" w:type="dxa"/>
            <w:vAlign w:val="center"/>
          </w:tcPr>
          <w:p w14:paraId="58F29F44">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1、拟派项目负责人具有机电工程相关专业中级及以上技术职称的得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分，本</w:t>
            </w:r>
            <w:r>
              <w:rPr>
                <w:rFonts w:hint="eastAsia" w:ascii="宋体" w:hAnsi="宋体" w:cs="Times New Roman"/>
                <w:color w:val="auto"/>
                <w:szCs w:val="21"/>
                <w:highlight w:val="none"/>
                <w:lang w:val="en-US" w:eastAsia="zh-CN"/>
              </w:rPr>
              <w:t>项</w:t>
            </w:r>
            <w:r>
              <w:rPr>
                <w:rFonts w:hint="eastAsia" w:ascii="宋体" w:hAnsi="宋体" w:eastAsia="宋体" w:cs="Times New Roman"/>
                <w:color w:val="auto"/>
                <w:szCs w:val="21"/>
                <w:highlight w:val="none"/>
                <w:lang w:val="en-US" w:eastAsia="zh-CN"/>
              </w:rPr>
              <w:t>最高得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分；</w:t>
            </w:r>
          </w:p>
          <w:p w14:paraId="173811B0">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、服务团队在满足</w:t>
            </w:r>
            <w:r>
              <w:rPr>
                <w:rFonts w:hint="eastAsia" w:ascii="宋体" w:hAnsi="宋体" w:eastAsia="宋体" w:cs="Times New Roman"/>
                <w:color w:val="auto"/>
                <w:szCs w:val="21"/>
                <w:highlight w:val="none"/>
                <w:lang w:val="en-US" w:eastAsia="zh-CN"/>
              </w:rPr>
              <w:t>《采购内容及技术要求》中最低人员配备的前提下，每增加1名具有机电工程相关专业技术职称人员的得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分，</w:t>
            </w:r>
            <w:r>
              <w:rPr>
                <w:rFonts w:hint="eastAsia" w:ascii="宋体" w:hAnsi="宋体" w:cs="Times New Roman"/>
                <w:color w:val="auto"/>
                <w:szCs w:val="21"/>
                <w:highlight w:val="none"/>
                <w:lang w:val="en-US" w:eastAsia="zh-CN"/>
              </w:rPr>
              <w:t>本项</w:t>
            </w:r>
            <w:r>
              <w:rPr>
                <w:rFonts w:hint="eastAsia" w:ascii="宋体" w:hAnsi="宋体" w:eastAsia="宋体" w:cs="Times New Roman"/>
                <w:color w:val="auto"/>
                <w:szCs w:val="21"/>
                <w:highlight w:val="none"/>
                <w:lang w:val="en-US" w:eastAsia="zh-CN"/>
              </w:rPr>
              <w:t>最高得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分；</w:t>
            </w:r>
          </w:p>
          <w:p w14:paraId="3EAD1F7E">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注：同时提供上述人员</w:t>
            </w:r>
            <w:r>
              <w:rPr>
                <w:rFonts w:hint="eastAsia" w:ascii="宋体" w:hAnsi="宋体" w:cs="Times New Roman"/>
                <w:b/>
                <w:bCs/>
                <w:color w:val="auto"/>
                <w:szCs w:val="21"/>
                <w:highlight w:val="none"/>
                <w:lang w:val="en-US" w:eastAsia="zh-CN"/>
              </w:rPr>
              <w:t>有效期内的</w:t>
            </w:r>
            <w:r>
              <w:rPr>
                <w:rFonts w:hint="eastAsia" w:ascii="宋体" w:hAnsi="宋体" w:eastAsia="宋体" w:cs="Times New Roman"/>
                <w:b/>
                <w:bCs/>
                <w:color w:val="auto"/>
                <w:szCs w:val="21"/>
                <w:highlight w:val="none"/>
                <w:lang w:val="en-US" w:eastAsia="zh-CN"/>
              </w:rPr>
              <w:t>证书扫描件</w:t>
            </w:r>
            <w:r>
              <w:rPr>
                <w:rFonts w:hint="eastAsia" w:ascii="宋体" w:hAnsi="宋体" w:cs="Times New Roman"/>
                <w:b/>
                <w:bCs/>
                <w:color w:val="auto"/>
                <w:szCs w:val="21"/>
                <w:highlight w:val="none"/>
                <w:lang w:val="en-US" w:eastAsia="zh-CN"/>
              </w:rPr>
              <w:t>、身份证扫描件、</w:t>
            </w:r>
            <w:r>
              <w:rPr>
                <w:rFonts w:hint="eastAsia" w:ascii="宋体" w:hAnsi="宋体" w:eastAsia="宋体" w:cs="Times New Roman"/>
                <w:b/>
                <w:bCs/>
                <w:color w:val="auto"/>
                <w:szCs w:val="21"/>
                <w:highlight w:val="none"/>
                <w:lang w:val="en-US" w:eastAsia="zh-CN"/>
              </w:rPr>
              <w:t>社保部门出具的投标单位为上述人员缴纳的投标前近三个月中任意1个月的养老保险证明（含官网在线打印件，证明文件两个月内有效）。</w:t>
            </w:r>
          </w:p>
          <w:p w14:paraId="11A972B2">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Times New Roman"/>
                <w:b/>
                <w:bCs/>
                <w:color w:val="auto"/>
                <w:szCs w:val="21"/>
                <w:highlight w:val="none"/>
                <w:lang w:val="en-US" w:eastAsia="zh-CN"/>
              </w:rPr>
              <w:t>机电工程相关专业包括：机电工程</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机电一体化</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机械设备</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机械设计</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机械制造</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设备工程</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电气</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自动化</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电子信息工程</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通信工程</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交通机电</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交通信号</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交通通信</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交通工程、暖通、给排水等专业职称。</w:t>
            </w:r>
          </w:p>
        </w:tc>
      </w:tr>
      <w:bookmarkEnd w:id="85"/>
    </w:tbl>
    <w:p w14:paraId="3E947C90">
      <w:pPr>
        <w:shd w:val="clea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bl>
      <w:tblPr>
        <w:tblStyle w:val="35"/>
        <w:tblW w:w="957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7"/>
        <w:gridCol w:w="778"/>
        <w:gridCol w:w="6977"/>
      </w:tblGrid>
      <w:tr w14:paraId="25E8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FECA773">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27" w:type="dxa"/>
            <w:vAlign w:val="center"/>
          </w:tcPr>
          <w:p w14:paraId="4E93F01A">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78" w:type="dxa"/>
            <w:vAlign w:val="center"/>
          </w:tcPr>
          <w:p w14:paraId="103756A1">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6977" w:type="dxa"/>
            <w:vAlign w:val="center"/>
          </w:tcPr>
          <w:p w14:paraId="119AB06B">
            <w:pPr>
              <w:shd w:val="clea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451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E08784C">
            <w:pPr>
              <w:pStyle w:val="14"/>
              <w:shd w:val="clear"/>
              <w:spacing w:after="0"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1127" w:type="dxa"/>
            <w:vAlign w:val="center"/>
          </w:tcPr>
          <w:p w14:paraId="5141FFA0">
            <w:pPr>
              <w:widowControl/>
              <w:shd w:val="clea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维护方案</w:t>
            </w:r>
          </w:p>
        </w:tc>
        <w:tc>
          <w:tcPr>
            <w:tcW w:w="778" w:type="dxa"/>
            <w:vAlign w:val="center"/>
          </w:tcPr>
          <w:p w14:paraId="06639F75">
            <w:pPr>
              <w:shd w:val="clea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10分</w:t>
            </w:r>
          </w:p>
        </w:tc>
        <w:tc>
          <w:tcPr>
            <w:tcW w:w="6977" w:type="dxa"/>
            <w:vAlign w:val="center"/>
          </w:tcPr>
          <w:p w14:paraId="008F013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各投标人提供的针对本项目实际情况制定的维护方案，包括但不限于日常维护方案（如每日巡检流程、突发故障响应机制、设备外观检查标准等）、月计划维护方案（如月度设备性能检测、线路隐患排查、零部件损耗评估等）、维修方法、安装环境、实施路径等，评标委员会从方案的完整性、可行性、针对性等综合评分，</w:t>
            </w:r>
            <w:r>
              <w:rPr>
                <w:rFonts w:hint="eastAsia" w:ascii="宋体" w:hAnsi="宋体" w:eastAsia="宋体" w:cs="宋体"/>
                <w:color w:val="auto"/>
                <w:sz w:val="21"/>
                <w:szCs w:val="21"/>
                <w:highlight w:val="none"/>
                <w:lang w:val="en-US" w:eastAsia="zh-CN"/>
              </w:rPr>
              <w:t>优秀</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好</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分；一般的得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不合格或</w:t>
            </w:r>
            <w:r>
              <w:rPr>
                <w:rFonts w:hint="eastAsia" w:ascii="宋体" w:hAnsi="宋体" w:eastAsia="宋体" w:cs="宋体"/>
                <w:color w:val="auto"/>
                <w:sz w:val="21"/>
                <w:szCs w:val="21"/>
                <w:highlight w:val="none"/>
              </w:rPr>
              <w:t>未提供的不得分。</w:t>
            </w:r>
          </w:p>
          <w:p w14:paraId="74FB286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【技术标中须能充分反映出本评分项内容】</w:t>
            </w:r>
          </w:p>
        </w:tc>
      </w:tr>
      <w:tr w14:paraId="35A2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3CD9DD6">
            <w:pPr>
              <w:pStyle w:val="14"/>
              <w:shd w:val="clear"/>
              <w:spacing w:after="0"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1127" w:type="dxa"/>
            <w:vAlign w:val="center"/>
          </w:tcPr>
          <w:p w14:paraId="2BB47F32">
            <w:pPr>
              <w:widowControl/>
              <w:shd w:val="clear"/>
              <w:spacing w:line="440" w:lineRule="exact"/>
              <w:jc w:val="center"/>
              <w:rPr>
                <w:rFonts w:ascii="宋体" w:hAnsi="宋体" w:cs="宋体"/>
                <w:b/>
                <w:bCs/>
                <w:color w:val="auto"/>
                <w:szCs w:val="21"/>
                <w:highlight w:val="none"/>
              </w:rPr>
            </w:pPr>
            <w:r>
              <w:rPr>
                <w:rFonts w:ascii="宋体" w:hAnsi="宋体" w:cs="宋体"/>
                <w:b/>
                <w:bCs/>
                <w:color w:val="auto"/>
                <w:szCs w:val="21"/>
                <w:highlight w:val="none"/>
              </w:rPr>
              <w:t>质量与安全保障措施</w:t>
            </w:r>
          </w:p>
        </w:tc>
        <w:tc>
          <w:tcPr>
            <w:tcW w:w="778" w:type="dxa"/>
            <w:vAlign w:val="center"/>
          </w:tcPr>
          <w:p w14:paraId="67F867D1">
            <w:pPr>
              <w:shd w:val="clear"/>
              <w:spacing w:line="5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10分</w:t>
            </w:r>
          </w:p>
        </w:tc>
        <w:tc>
          <w:tcPr>
            <w:tcW w:w="6977" w:type="dxa"/>
            <w:vAlign w:val="top"/>
          </w:tcPr>
          <w:p w14:paraId="17C75DB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ascii="Segoe UI" w:hAnsi="Segoe UI" w:eastAsia="Segoe UI" w:cs="Segoe UI"/>
                <w:i w:val="0"/>
                <w:iCs w:val="0"/>
                <w:caps w:val="0"/>
                <w:color w:val="auto"/>
                <w:spacing w:val="0"/>
                <w:sz w:val="21"/>
                <w:szCs w:val="21"/>
                <w:highlight w:val="none"/>
                <w:shd w:val="clear" w:fill="FFFFFF"/>
              </w:rPr>
              <w:t>根据各投标人提供的针对本项目实际情况制定的质量与安全保障措施，包括但不限于质量目标设定、维护过程全流程管控（含材料检验、施工工艺把关、维修效果验收）、质量问题追溯与整改机制、安全管理制度（含作业许可、现场防护）、风险辨识与分级防控（针对高处作业、电气作业、道路旁施工等场景）、安全应急处置流程、安全培训与考核计划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评标委员会从</w:t>
            </w:r>
            <w:r>
              <w:rPr>
                <w:rFonts w:hint="eastAsia" w:ascii="宋体" w:hAnsi="宋体" w:eastAsia="宋体" w:cs="宋体"/>
                <w:color w:val="auto"/>
                <w:sz w:val="21"/>
                <w:szCs w:val="21"/>
                <w:highlight w:val="none"/>
                <w:lang w:val="en-US" w:eastAsia="zh-CN"/>
              </w:rPr>
              <w:t>保障措施</w:t>
            </w:r>
            <w:r>
              <w:rPr>
                <w:rFonts w:hint="eastAsia" w:ascii="宋体" w:hAnsi="宋体" w:eastAsia="宋体" w:cs="宋体"/>
                <w:color w:val="auto"/>
                <w:sz w:val="21"/>
                <w:szCs w:val="21"/>
                <w:highlight w:val="none"/>
              </w:rPr>
              <w:t>完整性、可行性、针对性等综合评分，</w:t>
            </w:r>
            <w:r>
              <w:rPr>
                <w:rFonts w:hint="eastAsia" w:ascii="宋体" w:hAnsi="宋体" w:eastAsia="宋体" w:cs="宋体"/>
                <w:color w:val="auto"/>
                <w:sz w:val="21"/>
                <w:szCs w:val="21"/>
                <w:highlight w:val="none"/>
                <w:lang w:val="en-US" w:eastAsia="zh-CN"/>
              </w:rPr>
              <w:t>优秀</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好</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分；一般的得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不合格或</w:t>
            </w:r>
            <w:r>
              <w:rPr>
                <w:rFonts w:hint="eastAsia" w:ascii="宋体" w:hAnsi="宋体" w:eastAsia="宋体" w:cs="宋体"/>
                <w:color w:val="auto"/>
                <w:sz w:val="21"/>
                <w:szCs w:val="21"/>
                <w:highlight w:val="none"/>
              </w:rPr>
              <w:t>未提供的不得分。</w:t>
            </w:r>
          </w:p>
          <w:p w14:paraId="4322BCA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【技术标中须能充分反映出本评分项内容】</w:t>
            </w:r>
          </w:p>
        </w:tc>
      </w:tr>
      <w:tr w14:paraId="18EB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F9E4020">
            <w:pPr>
              <w:pStyle w:val="14"/>
              <w:shd w:val="clear"/>
              <w:spacing w:after="0" w:line="50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1127" w:type="dxa"/>
            <w:vAlign w:val="center"/>
          </w:tcPr>
          <w:p w14:paraId="77C1D647">
            <w:pPr>
              <w:widowControl/>
              <w:shd w:val="clea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响应及时性与应急预案</w:t>
            </w:r>
          </w:p>
        </w:tc>
        <w:tc>
          <w:tcPr>
            <w:tcW w:w="778" w:type="dxa"/>
            <w:vAlign w:val="center"/>
          </w:tcPr>
          <w:p w14:paraId="38B6567A">
            <w:pPr>
              <w:shd w:val="clear"/>
              <w:spacing w:line="5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10分</w:t>
            </w:r>
          </w:p>
        </w:tc>
        <w:tc>
          <w:tcPr>
            <w:tcW w:w="6977" w:type="dxa"/>
            <w:vAlign w:val="top"/>
          </w:tcPr>
          <w:p w14:paraId="7F455D5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ascii="Segoe UI" w:hAnsi="Segoe UI" w:eastAsia="Segoe UI" w:cs="Segoe UI"/>
                <w:i w:val="0"/>
                <w:iCs w:val="0"/>
                <w:caps w:val="0"/>
                <w:color w:val="auto"/>
                <w:spacing w:val="0"/>
                <w:sz w:val="21"/>
                <w:szCs w:val="21"/>
                <w:highlight w:val="none"/>
                <w:shd w:val="clear" w:fill="FFFFFF"/>
              </w:rPr>
              <w:t>根据各投标人提供的针对本项目实际情况制定的响应及时性与应急预案，包括但不限于分级响应机制（对应一至四级故障的响应流程、责任人、联络渠道）、到场时限保障措施（人员排班、车辆调度、应急点位布局）、应急预案体系（含设备故障应急、恶劣天气应急、交通事故联动应急、电力中断应急等场景）、应急队伍配置、应急物资（工具、备件、防护用品）储备清单与管理、应急演练计划与复盘机制等</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评标委员会从</w:t>
            </w:r>
            <w:r>
              <w:rPr>
                <w:rFonts w:hint="eastAsia" w:ascii="宋体" w:hAnsi="宋体" w:eastAsia="宋体" w:cs="宋体"/>
                <w:i w:val="0"/>
                <w:iCs w:val="0"/>
                <w:caps w:val="0"/>
                <w:color w:val="auto"/>
                <w:spacing w:val="0"/>
                <w:sz w:val="21"/>
                <w:szCs w:val="21"/>
                <w:highlight w:val="none"/>
              </w:rPr>
              <w:t>方案</w:t>
            </w:r>
            <w:r>
              <w:rPr>
                <w:rFonts w:hint="eastAsia" w:ascii="宋体" w:hAnsi="宋体" w:eastAsia="宋体" w:cs="宋体"/>
                <w:color w:val="auto"/>
                <w:sz w:val="21"/>
                <w:szCs w:val="21"/>
                <w:highlight w:val="none"/>
              </w:rPr>
              <w:t>周全性、具体性、有效性等综合评分，</w:t>
            </w:r>
            <w:r>
              <w:rPr>
                <w:rFonts w:hint="eastAsia" w:ascii="宋体" w:hAnsi="宋体" w:eastAsia="宋体" w:cs="宋体"/>
                <w:color w:val="auto"/>
                <w:sz w:val="21"/>
                <w:szCs w:val="21"/>
                <w:highlight w:val="none"/>
                <w:lang w:val="en-US" w:eastAsia="zh-CN"/>
              </w:rPr>
              <w:t>优秀</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好</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分；一般的得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不合格或</w:t>
            </w:r>
            <w:r>
              <w:rPr>
                <w:rFonts w:hint="eastAsia" w:ascii="宋体" w:hAnsi="宋体" w:eastAsia="宋体" w:cs="宋体"/>
                <w:color w:val="auto"/>
                <w:sz w:val="21"/>
                <w:szCs w:val="21"/>
                <w:highlight w:val="none"/>
              </w:rPr>
              <w:t>未提供的不得分。</w:t>
            </w:r>
          </w:p>
          <w:p w14:paraId="1358956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i w:val="0"/>
                <w:iCs w:val="0"/>
                <w:caps w:val="0"/>
                <w:color w:val="auto"/>
                <w:spacing w:val="0"/>
                <w:sz w:val="21"/>
                <w:szCs w:val="21"/>
                <w:highlight w:val="none"/>
              </w:rPr>
              <w:t>【技术标中须能充分反映出本评分项内容】</w:t>
            </w:r>
          </w:p>
        </w:tc>
      </w:tr>
      <w:tr w14:paraId="6877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EB7C79B">
            <w:pPr>
              <w:pStyle w:val="14"/>
              <w:shd w:val="clear"/>
              <w:spacing w:after="0" w:line="50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1127" w:type="dxa"/>
            <w:vAlign w:val="center"/>
          </w:tcPr>
          <w:p w14:paraId="3A2DCE51">
            <w:pPr>
              <w:widowControl/>
              <w:shd w:val="clea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设备保障</w:t>
            </w:r>
          </w:p>
        </w:tc>
        <w:tc>
          <w:tcPr>
            <w:tcW w:w="778" w:type="dxa"/>
            <w:vAlign w:val="center"/>
          </w:tcPr>
          <w:p w14:paraId="530155C6">
            <w:pPr>
              <w:shd w:val="clear"/>
              <w:spacing w:line="5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10分</w:t>
            </w:r>
          </w:p>
        </w:tc>
        <w:tc>
          <w:tcPr>
            <w:tcW w:w="6977" w:type="dxa"/>
            <w:vAlign w:val="center"/>
          </w:tcPr>
          <w:p w14:paraId="09BAD11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ascii="Segoe UI" w:hAnsi="Segoe UI" w:eastAsia="Segoe UI" w:cs="Segoe UI"/>
                <w:i w:val="0"/>
                <w:iCs w:val="0"/>
                <w:caps w:val="0"/>
                <w:color w:val="auto"/>
                <w:spacing w:val="0"/>
                <w:sz w:val="21"/>
                <w:szCs w:val="21"/>
                <w:highlight w:val="none"/>
                <w:shd w:val="clear" w:fill="FFFFFF"/>
              </w:rPr>
              <w:t>根据各投标人提供的设备保障，包括但不限于核心备件储备方案（含本项目所需球型监控摄像机、交换机、电源设备等关键备件清单、最低储备量、储备地点及调配流程）、备件质量保障（原厂授权证明、检测标准）、备件补充与更新机制、自有检测设备配置（如光功率计、网络测试仪等）、第三方检测资源合作协议、老旧设备性能评估与升级建议、设备兼容性保障措施等，评标委员会从储备合理性、保障有效性、资源充足性等综合评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优秀</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好</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分；一般的得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不合格或</w:t>
            </w:r>
            <w:r>
              <w:rPr>
                <w:rFonts w:hint="eastAsia" w:ascii="宋体" w:hAnsi="宋体" w:eastAsia="宋体" w:cs="宋体"/>
                <w:color w:val="auto"/>
                <w:sz w:val="21"/>
                <w:szCs w:val="21"/>
                <w:highlight w:val="none"/>
              </w:rPr>
              <w:t>未提供的不得分。</w:t>
            </w:r>
          </w:p>
          <w:p w14:paraId="18616F4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i w:val="0"/>
                <w:iCs w:val="0"/>
                <w:caps w:val="0"/>
                <w:color w:val="auto"/>
                <w:spacing w:val="0"/>
                <w:sz w:val="21"/>
                <w:szCs w:val="21"/>
                <w:highlight w:val="none"/>
              </w:rPr>
              <w:t>【技术标中须能充分反映出本评分项内容】</w:t>
            </w:r>
          </w:p>
        </w:tc>
      </w:tr>
      <w:tr w14:paraId="2E3B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2838750">
            <w:pPr>
              <w:pStyle w:val="14"/>
              <w:shd w:val="clear"/>
              <w:spacing w:after="0" w:line="50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p>
        </w:tc>
        <w:tc>
          <w:tcPr>
            <w:tcW w:w="1127" w:type="dxa"/>
            <w:vAlign w:val="center"/>
          </w:tcPr>
          <w:p w14:paraId="68238A38">
            <w:pPr>
              <w:widowControl/>
              <w:shd w:val="clea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技术支持与服务承诺</w:t>
            </w:r>
          </w:p>
        </w:tc>
        <w:tc>
          <w:tcPr>
            <w:tcW w:w="778" w:type="dxa"/>
            <w:vAlign w:val="center"/>
          </w:tcPr>
          <w:p w14:paraId="770109B7">
            <w:pPr>
              <w:shd w:val="clear"/>
              <w:spacing w:line="5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分</w:t>
            </w:r>
          </w:p>
        </w:tc>
        <w:tc>
          <w:tcPr>
            <w:tcW w:w="6977" w:type="dxa"/>
            <w:vAlign w:val="top"/>
          </w:tcPr>
          <w:p w14:paraId="7B1EA78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ascii="Segoe UI" w:hAnsi="Segoe UI" w:eastAsia="Segoe UI" w:cs="Segoe UI"/>
                <w:i w:val="0"/>
                <w:iCs w:val="0"/>
                <w:caps w:val="0"/>
                <w:color w:val="auto"/>
                <w:spacing w:val="0"/>
                <w:sz w:val="21"/>
                <w:szCs w:val="21"/>
                <w:highlight w:val="none"/>
                <w:shd w:val="clear" w:fill="FFFFFF"/>
              </w:rPr>
              <w:t>根据各投标人提供的技术支持与服务承诺，包括但不限于技术支持团队配置（人员资质、专业分工、驻场安排）、</w:t>
            </w:r>
            <w:r>
              <w:rPr>
                <w:rFonts w:hint="eastAsia" w:ascii="Segoe UI" w:hAnsi="Segoe UI" w:eastAsia="Segoe UI" w:cs="Segoe UI"/>
                <w:i w:val="0"/>
                <w:iCs w:val="0"/>
                <w:caps w:val="0"/>
                <w:color w:val="auto"/>
                <w:spacing w:val="0"/>
                <w:sz w:val="21"/>
                <w:szCs w:val="21"/>
                <w:highlight w:val="none"/>
                <w:shd w:val="clear" w:fill="FFFFFF"/>
                <w:lang w:val="en-US" w:eastAsia="zh-CN"/>
              </w:rPr>
              <w:t>24</w:t>
            </w:r>
            <w:r>
              <w:rPr>
                <w:rFonts w:ascii="Segoe UI" w:hAnsi="Segoe UI" w:eastAsia="Segoe UI" w:cs="Segoe UI"/>
                <w:i w:val="0"/>
                <w:iCs w:val="0"/>
                <w:caps w:val="0"/>
                <w:color w:val="auto"/>
                <w:spacing w:val="0"/>
                <w:sz w:val="21"/>
                <w:szCs w:val="21"/>
                <w:highlight w:val="none"/>
                <w:shd w:val="clear" w:fill="FFFFFF"/>
              </w:rPr>
              <w:t>小时服务响应渠道（热线、线上平台、专属联系人）、服务流程（报修、派单、维修、验收、回访闭环机制）、质保期延长承诺、维修服务质量保证（如返修率承诺）、投诉处理时限与流程、增值服务（如设备运行数据分析、优化建议报告、免费技术培训升级）等，评标委员会从团队专业性、响应及时性、承诺兑现可行性、服务附加值等综合评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优秀</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好</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分；一般的得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不合格或</w:t>
            </w:r>
            <w:r>
              <w:rPr>
                <w:rFonts w:hint="eastAsia" w:ascii="宋体" w:hAnsi="宋体" w:eastAsia="宋体" w:cs="宋体"/>
                <w:color w:val="auto"/>
                <w:sz w:val="21"/>
                <w:szCs w:val="21"/>
                <w:highlight w:val="none"/>
              </w:rPr>
              <w:t>未提供的不得分。</w:t>
            </w:r>
          </w:p>
          <w:p w14:paraId="063ADC4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i w:val="0"/>
                <w:iCs w:val="0"/>
                <w:caps w:val="0"/>
                <w:color w:val="auto"/>
                <w:spacing w:val="0"/>
                <w:sz w:val="21"/>
                <w:szCs w:val="21"/>
                <w:highlight w:val="none"/>
              </w:rPr>
              <w:t>【技术标中须能充分反映出本评分项内容】</w:t>
            </w:r>
          </w:p>
        </w:tc>
      </w:tr>
      <w:tr w14:paraId="4B07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79" w:type="dxa"/>
            <w:gridSpan w:val="4"/>
            <w:vAlign w:val="center"/>
          </w:tcPr>
          <w:p w14:paraId="2C4C9339">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注：1.各投标人技术标总得分为各评委评分的平均值为最终得分。取两位小数，小数点后第三位四舍五入。</w:t>
            </w:r>
          </w:p>
          <w:p w14:paraId="5662BD99">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3294304">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技术标暗标不设空白页。技术标投标文件封面不出现投标人、法定代表人签章内容，格式以系统设置为准。正文必须按招标文件要求的顺序进行排版；</w:t>
            </w:r>
          </w:p>
          <w:p w14:paraId="21FCAFEF">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241C1049">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89DF803">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3.技术标暗标文件的格式、制作不符合上述要求的，每一分项扣0.2分。技术标实行暗标的，对技术标（暗标）部分不予澄清、说明或者补正。</w:t>
            </w:r>
          </w:p>
          <w:p w14:paraId="2459598C">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b/>
                <w:bCs/>
                <w:color w:val="auto"/>
                <w:kern w:val="0"/>
                <w:szCs w:val="21"/>
                <w:highlight w:val="none"/>
              </w:rPr>
              <w:t>技术标的</w:t>
            </w:r>
            <w:r>
              <w:rPr>
                <w:rFonts w:hint="eastAsia" w:ascii="宋体" w:hAnsi="宋体" w:cs="宋体"/>
                <w:b/>
                <w:bCs/>
                <w:color w:val="auto"/>
                <w:kern w:val="0"/>
                <w:szCs w:val="21"/>
                <w:highlight w:val="none"/>
                <w:lang w:val="en-US" w:eastAsia="zh-CN"/>
              </w:rPr>
              <w:t>每个评分点</w:t>
            </w:r>
            <w:r>
              <w:rPr>
                <w:rFonts w:hint="eastAsia" w:ascii="宋体" w:hAnsi="宋体" w:cs="宋体"/>
                <w:b/>
                <w:bCs/>
                <w:color w:val="auto"/>
                <w:kern w:val="0"/>
                <w:szCs w:val="21"/>
                <w:highlight w:val="none"/>
              </w:rPr>
              <w:t>页数不多于</w:t>
            </w:r>
            <w:r>
              <w:rPr>
                <w:rFonts w:hint="eastAsia" w:ascii="宋体" w:hAnsi="宋体" w:cs="宋体"/>
                <w:b/>
                <w:bCs/>
                <w:color w:val="auto"/>
                <w:kern w:val="0"/>
                <w:szCs w:val="21"/>
                <w:highlight w:val="none"/>
                <w:lang w:val="en-US" w:eastAsia="zh-CN"/>
              </w:rPr>
              <w:t>30</w:t>
            </w:r>
            <w:r>
              <w:rPr>
                <w:rFonts w:hint="eastAsia" w:ascii="宋体" w:hAnsi="宋体" w:cs="宋体"/>
                <w:b/>
                <w:bCs/>
                <w:color w:val="auto"/>
                <w:kern w:val="0"/>
                <w:szCs w:val="21"/>
                <w:highlight w:val="none"/>
              </w:rPr>
              <w:t>页</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含附图、附表</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rPr>
              <w:t>具体篇幅(字数)要求及扣分标准（扣分值为0.</w:t>
            </w:r>
            <w:r>
              <w:rPr>
                <w:rFonts w:hint="eastAsia" w:ascii="宋体" w:hAnsi="宋体"/>
                <w:color w:val="auto"/>
                <w:szCs w:val="21"/>
                <w:highlight w:val="none"/>
                <w:lang w:val="en-US" w:eastAsia="zh-CN"/>
              </w:rPr>
              <w:t>5</w:t>
            </w:r>
            <w:r>
              <w:rPr>
                <w:rFonts w:hint="eastAsia" w:ascii="宋体" w:hAnsi="宋体"/>
                <w:color w:val="auto"/>
                <w:szCs w:val="21"/>
                <w:highlight w:val="none"/>
              </w:rPr>
              <w:t>分）。偏离规定标准的，评标委员会应酌情扣分。</w:t>
            </w:r>
          </w:p>
          <w:p w14:paraId="221A5AB5">
            <w:pPr>
              <w:widowControl/>
              <w:shd w:val="clear"/>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1E5566D5">
            <w:pPr>
              <w:shd w:val="clear"/>
              <w:spacing w:line="500" w:lineRule="exact"/>
              <w:jc w:val="left"/>
              <w:rPr>
                <w:rFonts w:ascii="宋体" w:hAnsi="宋体" w:cs="宋体"/>
                <w:b/>
                <w:bCs/>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如所有投标企业技术标都出现能反映企业信息等相关内容的，该项目流标。</w:t>
            </w:r>
          </w:p>
        </w:tc>
      </w:tr>
    </w:tbl>
    <w:p w14:paraId="0F9BB553">
      <w:pPr>
        <w:shd w:val="clea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609F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2B08E22">
            <w:pPr>
              <w:shd w:val="clear"/>
              <w:spacing w:line="500" w:lineRule="exact"/>
              <w:jc w:val="center"/>
              <w:rPr>
                <w:rFonts w:ascii="宋体" w:hAnsi="宋体" w:cs="宋体"/>
                <w:b/>
                <w:bCs/>
                <w:color w:val="auto"/>
                <w:highlight w:val="none"/>
              </w:rPr>
            </w:pPr>
            <w:bookmarkStart w:id="87" w:name="_Toc58430321"/>
            <w:bookmarkStart w:id="88" w:name="_Toc449028881"/>
            <w:bookmarkStart w:id="89" w:name="_Toc23311"/>
            <w:r>
              <w:rPr>
                <w:rFonts w:hint="eastAsia" w:ascii="宋体" w:hAnsi="宋体" w:cs="宋体"/>
                <w:b/>
                <w:bCs/>
                <w:color w:val="auto"/>
                <w:highlight w:val="none"/>
              </w:rPr>
              <w:t>评分因素</w:t>
            </w:r>
          </w:p>
        </w:tc>
        <w:tc>
          <w:tcPr>
            <w:tcW w:w="8584" w:type="dxa"/>
            <w:vAlign w:val="center"/>
          </w:tcPr>
          <w:p w14:paraId="65B3C38C">
            <w:pPr>
              <w:shd w:val="clea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0CC4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7C699C20">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5AC233B1">
            <w:pPr>
              <w:shd w:val="clea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8584" w:type="dxa"/>
          </w:tcPr>
          <w:p w14:paraId="4DA7EAE9">
            <w:pPr>
              <w:shd w:val="clea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2B3C4012">
            <w:pPr>
              <w:shd w:val="clea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14:paraId="70D0C48F">
            <w:pPr>
              <w:shd w:val="clea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分，小数点后保留两位小数，第三位四舍五入；</w:t>
            </w:r>
          </w:p>
          <w:p w14:paraId="33B79FC5">
            <w:pPr>
              <w:shd w:val="clea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F7E997E">
      <w:pPr>
        <w:shd w:val="clear"/>
        <w:spacing w:beforeLines="50"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86"/>
      <w:bookmarkEnd w:id="87"/>
      <w:bookmarkEnd w:id="88"/>
      <w:bookmarkEnd w:id="89"/>
    </w:p>
    <w:p w14:paraId="3AB9AD1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06F3F443">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568010D1">
      <w:pPr>
        <w:keepNext w:val="0"/>
        <w:keepLines w:val="0"/>
        <w:pageBreakBefore w:val="0"/>
        <w:shd w:val="clear"/>
        <w:kinsoku/>
        <w:overflowPunct/>
        <w:topLinePunct w:val="0"/>
        <w:autoSpaceDE/>
        <w:autoSpaceDN/>
        <w:bidi w:val="0"/>
        <w:snapToGrid w:val="0"/>
        <w:spacing w:line="44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bCs/>
          <w:color w:val="auto"/>
          <w:szCs w:val="21"/>
          <w:highlight w:val="none"/>
        </w:rPr>
        <w:t>7.2</w:t>
      </w: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00A09511">
      <w:pPr>
        <w:keepNext w:val="0"/>
        <w:keepLines w:val="0"/>
        <w:pageBreakBefore w:val="0"/>
        <w:shd w:val="clear"/>
        <w:kinsoku/>
        <w:wordWrap w:val="0"/>
        <w:overflowPunct/>
        <w:topLinePunct w:val="0"/>
        <w:autoSpaceDE/>
        <w:autoSpaceDN/>
        <w:bidi w:val="0"/>
        <w:adjustRightInd w:val="0"/>
        <w:snapToGrid w:val="0"/>
        <w:spacing w:line="440" w:lineRule="exact"/>
        <w:ind w:right="0" w:rightChars="0"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评标委员会登录全国建筑市场监管公共服务平台(四库一平台)https://jzsc.mohurd.gov.cn/home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号），对中标候选人的关系企业履约能力的建造师数量进行评审：</w:t>
      </w:r>
    </w:p>
    <w:p w14:paraId="26B5628A">
      <w:pPr>
        <w:keepNext w:val="0"/>
        <w:keepLines w:val="0"/>
        <w:pageBreakBefore w:val="0"/>
        <w:widowControl/>
        <w:shd w:val="clear"/>
        <w:kinsoku/>
        <w:overflowPunct/>
        <w:topLinePunct w:val="0"/>
        <w:autoSpaceDE/>
        <w:autoSpaceDN/>
        <w:bidi w:val="0"/>
        <w:adjustRightInd w:val="0"/>
        <w:snapToGrid w:val="0"/>
        <w:spacing w:line="440" w:lineRule="exact"/>
        <w:ind w:right="0" w:rightChars="0" w:firstLine="422" w:firstLineChars="200"/>
        <w:jc w:val="left"/>
        <w:textAlignment w:val="auto"/>
        <w:rPr>
          <w:rFonts w:hint="eastAsia" w:ascii="宋体" w:hAnsi="宋体" w:cs="宋体"/>
          <w:b/>
          <w:bCs/>
          <w:color w:val="auto"/>
          <w:szCs w:val="21"/>
          <w:highlight w:val="none"/>
        </w:rPr>
      </w:pPr>
      <w:r>
        <w:rPr>
          <w:rFonts w:hint="eastAsia" w:ascii="宋体" w:hAnsi="宋体" w:eastAsia="宋体" w:cs="宋体"/>
          <w:b/>
          <w:bCs/>
          <w:color w:val="auto"/>
          <w:szCs w:val="21"/>
          <w:highlight w:val="none"/>
        </w:rPr>
        <w:t>①公路交通工程专业承包（公路机电工程分项）</w:t>
      </w:r>
      <w:r>
        <w:rPr>
          <w:rFonts w:hint="eastAsia" w:ascii="宋体" w:hAnsi="宋体" w:eastAsia="宋体" w:cs="宋体"/>
          <w:b/>
          <w:bCs/>
          <w:color w:val="auto"/>
          <w:szCs w:val="21"/>
          <w:highlight w:val="none"/>
          <w:lang w:val="en-US" w:eastAsia="zh-CN"/>
        </w:rPr>
        <w:t>一级资质</w:t>
      </w:r>
      <w:r>
        <w:rPr>
          <w:rFonts w:hint="eastAsia" w:ascii="宋体" w:hAnsi="宋体" w:eastAsia="宋体" w:cs="宋体"/>
          <w:b/>
          <w:bCs/>
          <w:color w:val="auto"/>
          <w:szCs w:val="21"/>
          <w:highlight w:val="none"/>
        </w:rPr>
        <w:t>企业</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公路工程、机电工程专业</w:t>
      </w:r>
      <w:r>
        <w:rPr>
          <w:rFonts w:hint="eastAsia" w:ascii="宋体" w:hAnsi="宋体" w:cs="宋体"/>
          <w:b/>
          <w:bCs/>
          <w:color w:val="auto"/>
          <w:szCs w:val="21"/>
          <w:highlight w:val="none"/>
        </w:rPr>
        <w:t>一级</w:t>
      </w:r>
      <w:r>
        <w:rPr>
          <w:rFonts w:hint="eastAsia" w:ascii="宋体" w:hAnsi="宋体" w:eastAsia="宋体" w:cs="宋体"/>
          <w:b/>
          <w:bCs/>
          <w:color w:val="auto"/>
          <w:szCs w:val="21"/>
          <w:highlight w:val="none"/>
        </w:rPr>
        <w:t>注</w:t>
      </w:r>
      <w:r>
        <w:rPr>
          <w:rFonts w:hint="eastAsia" w:ascii="宋体" w:hAnsi="宋体" w:cs="宋体"/>
          <w:b/>
          <w:bCs/>
          <w:color w:val="auto"/>
          <w:szCs w:val="21"/>
          <w:highlight w:val="none"/>
        </w:rPr>
        <w:t>册建造师</w:t>
      </w:r>
      <w:r>
        <w:rPr>
          <w:rFonts w:hint="eastAsia" w:ascii="宋体" w:hAnsi="宋体" w:cs="宋体"/>
          <w:b/>
          <w:bCs/>
          <w:color w:val="auto"/>
          <w:szCs w:val="21"/>
          <w:highlight w:val="none"/>
          <w:lang w:val="en-US" w:eastAsia="zh-CN"/>
        </w:rPr>
        <w:t>合计不少于10人</w:t>
      </w:r>
      <w:r>
        <w:rPr>
          <w:rFonts w:hint="eastAsia" w:ascii="宋体" w:hAnsi="宋体" w:cs="宋体"/>
          <w:b/>
          <w:bCs/>
          <w:color w:val="auto"/>
          <w:szCs w:val="21"/>
          <w:highlight w:val="none"/>
        </w:rPr>
        <w:t>。</w:t>
      </w:r>
    </w:p>
    <w:p w14:paraId="15D0B651">
      <w:pPr>
        <w:keepNext w:val="0"/>
        <w:keepLines w:val="0"/>
        <w:pageBreakBefore w:val="0"/>
        <w:widowControl/>
        <w:shd w:val="clear"/>
        <w:kinsoku/>
        <w:overflowPunct/>
        <w:topLinePunct w:val="0"/>
        <w:autoSpaceDE/>
        <w:autoSpaceDN/>
        <w:bidi w:val="0"/>
        <w:adjustRightInd w:val="0"/>
        <w:snapToGrid w:val="0"/>
        <w:spacing w:line="440" w:lineRule="exact"/>
        <w:ind w:right="0" w:rightChars="0" w:firstLine="422" w:firstLineChars="200"/>
        <w:jc w:val="left"/>
        <w:textAlignment w:val="auto"/>
        <w:rPr>
          <w:rFonts w:hint="eastAsia" w:ascii="宋体" w:hAnsi="宋体" w:cs="宋体"/>
          <w:b/>
          <w:bCs/>
          <w:color w:val="auto"/>
          <w:szCs w:val="21"/>
          <w:highlight w:val="none"/>
        </w:rPr>
      </w:pPr>
      <w:r>
        <w:rPr>
          <w:rFonts w:hint="eastAsia" w:ascii="宋体" w:hAnsi="宋体" w:eastAsia="宋体" w:cs="宋体"/>
          <w:b/>
          <w:bCs/>
          <w:color w:val="auto"/>
          <w:szCs w:val="21"/>
          <w:highlight w:val="none"/>
        </w:rPr>
        <w:t>②公路交通工程专业承包（公路机电工程分项）</w:t>
      </w:r>
      <w:r>
        <w:rPr>
          <w:rFonts w:hint="eastAsia" w:ascii="宋体" w:hAnsi="宋体" w:eastAsia="宋体" w:cs="宋体"/>
          <w:b/>
          <w:bCs/>
          <w:color w:val="auto"/>
          <w:szCs w:val="21"/>
          <w:highlight w:val="none"/>
          <w:lang w:val="en-US" w:eastAsia="zh-CN"/>
        </w:rPr>
        <w:t>二级</w:t>
      </w:r>
      <w:r>
        <w:rPr>
          <w:rFonts w:hint="eastAsia" w:ascii="宋体" w:hAnsi="宋体" w:eastAsia="宋体" w:cs="宋体"/>
          <w:b/>
          <w:bCs/>
          <w:color w:val="auto"/>
          <w:szCs w:val="21"/>
          <w:highlight w:val="none"/>
        </w:rPr>
        <w:t>资质</w:t>
      </w:r>
      <w:r>
        <w:rPr>
          <w:rFonts w:hint="eastAsia" w:ascii="宋体" w:hAnsi="宋体" w:cs="宋体"/>
          <w:b/>
          <w:bCs/>
          <w:color w:val="auto"/>
          <w:szCs w:val="21"/>
          <w:highlight w:val="none"/>
        </w:rPr>
        <w:t>企业</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公路工程、机电工程专业</w:t>
      </w:r>
      <w:r>
        <w:rPr>
          <w:rFonts w:hint="eastAsia" w:ascii="宋体" w:hAnsi="宋体" w:cs="宋体"/>
          <w:b/>
          <w:bCs/>
          <w:color w:val="auto"/>
          <w:szCs w:val="21"/>
          <w:highlight w:val="none"/>
        </w:rPr>
        <w:t>注册建造师</w:t>
      </w:r>
      <w:r>
        <w:rPr>
          <w:rFonts w:hint="eastAsia" w:ascii="宋体" w:hAnsi="宋体" w:cs="宋体"/>
          <w:b/>
          <w:bCs/>
          <w:color w:val="auto"/>
          <w:szCs w:val="21"/>
          <w:highlight w:val="none"/>
          <w:lang w:val="en-US" w:eastAsia="zh-CN"/>
        </w:rPr>
        <w:t>合计</w:t>
      </w:r>
      <w:r>
        <w:rPr>
          <w:rFonts w:hint="eastAsia" w:ascii="宋体" w:hAnsi="宋体" w:cs="宋体"/>
          <w:b/>
          <w:bCs/>
          <w:color w:val="auto"/>
          <w:szCs w:val="21"/>
          <w:highlight w:val="none"/>
        </w:rPr>
        <w:t>不少于</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人。</w:t>
      </w:r>
    </w:p>
    <w:p w14:paraId="3A86AC32">
      <w:pPr>
        <w:keepNext w:val="0"/>
        <w:keepLines w:val="0"/>
        <w:pageBreakBefore w:val="0"/>
        <w:shd w:val="clear"/>
        <w:kinsoku/>
        <w:overflowPunct/>
        <w:topLinePunct w:val="0"/>
        <w:autoSpaceDE/>
        <w:autoSpaceDN/>
        <w:bidi w:val="0"/>
        <w:snapToGrid w:val="0"/>
        <w:spacing w:line="440" w:lineRule="exact"/>
        <w:ind w:right="0" w:rightChars="0" w:firstLine="422" w:firstLineChars="200"/>
        <w:textAlignment w:val="auto"/>
        <w:rPr>
          <w:rFonts w:hint="eastAsia" w:ascii="宋体" w:hAnsi="宋体" w:cs="宋体"/>
          <w:b/>
          <w:bCs/>
          <w:color w:val="auto"/>
          <w:szCs w:val="21"/>
          <w:highlight w:val="none"/>
        </w:rPr>
      </w:pPr>
      <w:r>
        <w:rPr>
          <w:rFonts w:hint="eastAsia" w:ascii="黑体" w:hAnsi="黑体" w:cs="黑体"/>
          <w:b/>
          <w:bCs/>
          <w:color w:val="auto"/>
          <w:sz w:val="21"/>
          <w:szCs w:val="21"/>
          <w:highlight w:val="none"/>
        </w:rPr>
        <w:t>中标候选人的注册建造师不满足上述要求的，评标委员会对该投标不予认可，并将该情形报送相关行政主管部门。中标候选人依次替补，评标委员会再次对替补单位进行核查。</w:t>
      </w:r>
    </w:p>
    <w:p w14:paraId="36FAF708">
      <w:pPr>
        <w:shd w:val="clea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130990FF">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165CF2A">
      <w:pPr>
        <w:shd w:val="clea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）未在开标截止时间前通过网上招标投标系统递交有效电子投标文件的，开标系统不予接收，投标将被拒绝。</w:t>
      </w:r>
    </w:p>
    <w:p w14:paraId="0FE6C475">
      <w:pPr>
        <w:shd w:val="clea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1A36FF33">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45EFCD6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54EA738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601EB877">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5E2499ED">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3CF309A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AC80866">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35930E2B">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32C9DC1">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3FA8F645">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）保证金不按第二章“投标人须知”及其前附表要求提交投标保证金的；</w:t>
      </w:r>
    </w:p>
    <w:p w14:paraId="683E9871">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11A931DD">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71B40EAF">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4EA6908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D27A1D9">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）其它情形，经评标委员会委提出按无效投标处理，并经公共资源交易监督部门核准的；</w:t>
      </w:r>
    </w:p>
    <w:p w14:paraId="5AE98000">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）投标人投标MAC地址或投标人联系人或联系电话相同的，由评标委员会否决其投标，并报告监管部门作不良行为处理和进一步调查；</w:t>
      </w:r>
    </w:p>
    <w:p w14:paraId="5D82418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62EFCAC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0570C6F6">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4FCDE3E5">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）投标文件签字、盖章不全，经评标委员会一致认定对开评标内容有实质性影响并经公共资源交易监督部门核准的；</w:t>
      </w:r>
    </w:p>
    <w:p w14:paraId="142F0696">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）未按规定的格式填写导致实质性内容不全以及实质上不响应，或者关键字迹模糊、无法辨认； 经公共资源交易监督部门核准的；</w:t>
      </w:r>
    </w:p>
    <w:p w14:paraId="0E724ADA">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13196FBA">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79EAFA4E">
      <w:pPr>
        <w:shd w:val="clea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462AFF5D">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06CAA607">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）其它情形，经评标委员会委提出按无效投标处理，并经公共资源交易监督部门核准的；</w:t>
      </w:r>
    </w:p>
    <w:p w14:paraId="45654798">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）投标文件含有招标人不能接受的附加条件的;</w:t>
      </w:r>
    </w:p>
    <w:p w14:paraId="38A03649">
      <w:pPr>
        <w:shd w:val="clea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07D2E54">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297EBF5">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5AE4171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2563CFB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4E72078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0FE27F1E">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2CB56FEA">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14EBBF72">
      <w:pPr>
        <w:shd w:val="clea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bookmarkEnd w:id="69"/>
    <w:p w14:paraId="32B9D1CD">
      <w:pPr>
        <w:numPr>
          <w:ilvl w:val="0"/>
          <w:numId w:val="9"/>
        </w:numPr>
        <w:shd w:val="clear"/>
        <w:snapToGrid w:val="0"/>
        <w:spacing w:line="440" w:lineRule="exact"/>
        <w:ind w:left="-10" w:leftChars="-5" w:right="-334" w:rightChars="-159" w:firstLine="14"/>
        <w:jc w:val="center"/>
        <w:outlineLvl w:val="0"/>
        <w:rPr>
          <w:rFonts w:hAnsi="宋体"/>
          <w:b/>
          <w:bCs/>
          <w:color w:val="auto"/>
          <w:sz w:val="32"/>
          <w:szCs w:val="32"/>
          <w:highlight w:val="none"/>
        </w:rPr>
      </w:pPr>
      <w:bookmarkStart w:id="90" w:name="_Toc30417"/>
      <w:bookmarkStart w:id="91" w:name="_Toc449028945"/>
      <w:bookmarkStart w:id="92" w:name="_Toc22340"/>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90"/>
    </w:p>
    <w:p w14:paraId="77AD25E5">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40" w:lineRule="exact"/>
        <w:textAlignment w:val="auto"/>
        <w:rPr>
          <w:rFonts w:hint="default" w:ascii="Times New Roman" w:hAnsi="宋体" w:eastAsia="宋体" w:cs="Times New Roman"/>
          <w:b/>
          <w:bCs/>
          <w:color w:val="auto"/>
          <w:kern w:val="2"/>
          <w:sz w:val="24"/>
          <w:szCs w:val="24"/>
          <w:highlight w:val="none"/>
          <w:lang w:val="en-US" w:eastAsia="zh-CN" w:bidi="ar-SA"/>
        </w:rPr>
      </w:pPr>
      <w:r>
        <w:rPr>
          <w:rFonts w:hint="eastAsia" w:ascii="Times New Roman" w:hAnsi="宋体" w:eastAsia="宋体" w:cs="Times New Roman"/>
          <w:b/>
          <w:bCs/>
          <w:color w:val="auto"/>
          <w:kern w:val="2"/>
          <w:sz w:val="24"/>
          <w:szCs w:val="24"/>
          <w:highlight w:val="none"/>
          <w:lang w:val="en-US" w:eastAsia="zh-CN" w:bidi="ar-SA"/>
        </w:rPr>
        <w:t>一、</w:t>
      </w:r>
      <w:r>
        <w:rPr>
          <w:rFonts w:hint="eastAsia" w:hAnsi="宋体" w:cs="Times New Roman"/>
          <w:b/>
          <w:bCs/>
          <w:color w:val="auto"/>
          <w:kern w:val="2"/>
          <w:sz w:val="24"/>
          <w:szCs w:val="24"/>
          <w:highlight w:val="none"/>
          <w:lang w:val="en-US" w:eastAsia="zh-CN" w:bidi="ar-SA"/>
        </w:rPr>
        <w:t>服务范围</w:t>
      </w:r>
    </w:p>
    <w:p w14:paraId="615CEA6F">
      <w:pPr>
        <w:pStyle w:val="52"/>
        <w:keepNext w:val="0"/>
        <w:keepLines w:val="0"/>
        <w:pageBreakBefore w:val="0"/>
        <w:widowControl w:val="0"/>
        <w:shd w:val="clear"/>
        <w:kinsoku/>
        <w:wordWrap/>
        <w:overflowPunct/>
        <w:topLinePunct w:val="0"/>
        <w:autoSpaceDE/>
        <w:autoSpaceDN/>
        <w:bidi w:val="0"/>
        <w:adjustRightInd/>
        <w:snapToGrid/>
        <w:spacing w:before="157" w:beforeLines="50" w:after="157" w:afterLines="50" w:line="440" w:lineRule="exact"/>
        <w:ind w:left="0" w:leftChars="0" w:firstLine="422" w:firstLineChars="200"/>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 xml:space="preserve">来六、明巢高速全线收费系统、监控系统、通信系统、供配电系统四大系统维护维修,服务范围包括:日常巡检与预防性维护、故障应急修复。   </w:t>
      </w:r>
    </w:p>
    <w:p w14:paraId="0B4AE023">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40" w:lineRule="exact"/>
        <w:textAlignment w:val="auto"/>
        <w:rPr>
          <w:rFonts w:hint="eastAsia" w:ascii="Times New Roman" w:hAnsi="宋体" w:eastAsia="宋体" w:cs="Times New Roman"/>
          <w:b/>
          <w:bCs/>
          <w:color w:val="auto"/>
          <w:kern w:val="2"/>
          <w:sz w:val="24"/>
          <w:szCs w:val="24"/>
          <w:highlight w:val="none"/>
          <w:lang w:val="en-US" w:eastAsia="zh-CN" w:bidi="ar-SA"/>
        </w:rPr>
      </w:pPr>
      <w:r>
        <w:rPr>
          <w:rFonts w:hint="eastAsia" w:ascii="Times New Roman" w:hAnsi="宋体" w:eastAsia="宋体" w:cs="Times New Roman"/>
          <w:b/>
          <w:bCs/>
          <w:color w:val="auto"/>
          <w:kern w:val="2"/>
          <w:sz w:val="24"/>
          <w:szCs w:val="24"/>
          <w:highlight w:val="none"/>
          <w:lang w:val="en-US" w:eastAsia="zh-CN" w:bidi="ar-SA"/>
        </w:rPr>
        <w:t>二、工作内容</w:t>
      </w:r>
    </w:p>
    <w:p w14:paraId="7114575D">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cs="宋体"/>
          <w:b/>
          <w:bCs/>
          <w:color w:val="auto"/>
          <w:kern w:val="2"/>
          <w:sz w:val="21"/>
          <w:szCs w:val="21"/>
          <w:highlight w:val="none"/>
          <w:lang w:val="en-US" w:eastAsia="zh-CN" w:bidi="ar-SA"/>
        </w:rPr>
        <w:t>维护</w:t>
      </w:r>
      <w:r>
        <w:rPr>
          <w:rFonts w:hint="eastAsia" w:ascii="宋体" w:hAnsi="宋体" w:eastAsia="宋体" w:cs="宋体"/>
          <w:b/>
          <w:bCs/>
          <w:color w:val="auto"/>
          <w:kern w:val="2"/>
          <w:sz w:val="21"/>
          <w:szCs w:val="21"/>
          <w:highlight w:val="none"/>
          <w:lang w:val="en-US" w:eastAsia="zh-CN" w:bidi="ar-SA"/>
        </w:rPr>
        <w:t>清单</w:t>
      </w:r>
    </w:p>
    <w:tbl>
      <w:tblPr>
        <w:tblStyle w:val="35"/>
        <w:tblW w:w="9197"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1981"/>
        <w:gridCol w:w="2075"/>
        <w:gridCol w:w="766"/>
        <w:gridCol w:w="461"/>
        <w:gridCol w:w="911"/>
        <w:gridCol w:w="992"/>
        <w:gridCol w:w="1196"/>
      </w:tblGrid>
      <w:tr w14:paraId="2665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BFD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45EB">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97A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r>
              <w:rPr>
                <w:rStyle w:val="136"/>
                <w:rFonts w:eastAsia="宋体"/>
                <w:color w:val="auto"/>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品牌型号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5E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1DE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E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w:t>
            </w:r>
            <w:r>
              <w:rPr>
                <w:rFonts w:hint="eastAsia" w:ascii="宋体" w:hAnsi="宋体" w:cs="宋体"/>
                <w:b/>
                <w:bCs/>
                <w:i w:val="0"/>
                <w:iCs w:val="0"/>
                <w:color w:val="auto"/>
                <w:kern w:val="0"/>
                <w:sz w:val="21"/>
                <w:szCs w:val="21"/>
                <w:highlight w:val="none"/>
                <w:u w:val="none"/>
                <w:lang w:val="en-US" w:eastAsia="zh-CN" w:bidi="ar"/>
              </w:rPr>
              <w:t>（元）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AD8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合价</w:t>
            </w:r>
            <w:r>
              <w:rPr>
                <w:rFonts w:hint="eastAsia" w:ascii="宋体" w:hAnsi="宋体" w:cs="宋体"/>
                <w:b/>
                <w:bCs/>
                <w:i w:val="0"/>
                <w:iCs w:val="0"/>
                <w:color w:val="auto"/>
                <w:kern w:val="0"/>
                <w:sz w:val="21"/>
                <w:szCs w:val="21"/>
                <w:highlight w:val="none"/>
                <w:u w:val="none"/>
                <w:lang w:val="en-US" w:eastAsia="zh-CN" w:bidi="ar"/>
              </w:rPr>
              <w:t>（元）</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B83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C1E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8C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83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D6C912">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定期技术服务</w:t>
            </w:r>
            <w:r>
              <w:rPr>
                <w:rFonts w:hint="eastAsia" w:ascii="宋体" w:hAnsi="宋体" w:cs="宋体"/>
                <w:b/>
                <w:bCs/>
                <w:i w:val="0"/>
                <w:iCs w:val="0"/>
                <w:color w:val="auto"/>
                <w:kern w:val="0"/>
                <w:sz w:val="21"/>
                <w:szCs w:val="21"/>
                <w:highlight w:val="none"/>
                <w:u w:val="none"/>
                <w:lang w:val="en-US" w:eastAsia="zh-CN" w:bidi="ar"/>
              </w:rPr>
              <w:t>（日常巡检、预防性维护）</w:t>
            </w:r>
          </w:p>
        </w:tc>
      </w:tr>
      <w:tr w14:paraId="34DB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FB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29B2">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三合集收费站维护巡查</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9188">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收费站级别：</w:t>
            </w:r>
            <w:r>
              <w:rPr>
                <w:rFonts w:hint="default" w:ascii="Calibri" w:hAnsi="Calibri" w:eastAsia="宋体" w:cs="Calibri"/>
                <w:i w:val="0"/>
                <w:iCs w:val="0"/>
                <w:color w:val="auto"/>
                <w:kern w:val="0"/>
                <w:sz w:val="21"/>
                <w:szCs w:val="21"/>
                <w:highlight w:val="none"/>
                <w:u w:val="none"/>
                <w:lang w:val="en-US" w:eastAsia="zh-CN" w:bidi="ar"/>
              </w:rPr>
              <w:t>3</w:t>
            </w:r>
            <w:r>
              <w:rPr>
                <w:rStyle w:val="137"/>
                <w:color w:val="auto"/>
                <w:highlight w:val="none"/>
                <w:lang w:val="en-US" w:eastAsia="zh-CN" w:bidi="ar"/>
              </w:rPr>
              <w:t>进</w:t>
            </w:r>
            <w:r>
              <w:rPr>
                <w:rFonts w:hint="default" w:ascii="Calibri" w:hAnsi="Calibri" w:eastAsia="宋体" w:cs="Calibri"/>
                <w:i w:val="0"/>
                <w:iCs w:val="0"/>
                <w:color w:val="auto"/>
                <w:kern w:val="0"/>
                <w:sz w:val="21"/>
                <w:szCs w:val="21"/>
                <w:highlight w:val="none"/>
                <w:u w:val="none"/>
                <w:lang w:val="en-US" w:eastAsia="zh-CN" w:bidi="ar"/>
              </w:rPr>
              <w:t>5</w:t>
            </w:r>
            <w:r>
              <w:rPr>
                <w:rStyle w:val="137"/>
                <w:color w:val="auto"/>
                <w:highlight w:val="none"/>
                <w:lang w:val="en-US" w:eastAsia="zh-CN" w:bidi="ar"/>
              </w:rPr>
              <w:t>出</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C5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3C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D4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D1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51600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765C">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6B26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31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849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定远东收费站维护巡查</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81B1">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收费站级别：</w:t>
            </w:r>
            <w:r>
              <w:rPr>
                <w:rFonts w:hint="default" w:ascii="Calibri" w:hAnsi="Calibri" w:eastAsia="宋体" w:cs="Calibri"/>
                <w:i w:val="0"/>
                <w:iCs w:val="0"/>
                <w:color w:val="auto"/>
                <w:kern w:val="0"/>
                <w:sz w:val="21"/>
                <w:szCs w:val="21"/>
                <w:highlight w:val="none"/>
                <w:u w:val="none"/>
                <w:lang w:val="en-US" w:eastAsia="zh-CN" w:bidi="ar"/>
              </w:rPr>
              <w:t>4</w:t>
            </w:r>
            <w:r>
              <w:rPr>
                <w:rStyle w:val="137"/>
                <w:color w:val="auto"/>
                <w:highlight w:val="none"/>
                <w:lang w:val="en-US" w:eastAsia="zh-CN" w:bidi="ar"/>
              </w:rPr>
              <w:t>进</w:t>
            </w:r>
            <w:r>
              <w:rPr>
                <w:rFonts w:hint="default" w:ascii="Calibri" w:hAnsi="Calibri" w:eastAsia="宋体" w:cs="Calibri"/>
                <w:i w:val="0"/>
                <w:iCs w:val="0"/>
                <w:color w:val="auto"/>
                <w:kern w:val="0"/>
                <w:sz w:val="21"/>
                <w:szCs w:val="21"/>
                <w:highlight w:val="none"/>
                <w:u w:val="none"/>
                <w:lang w:val="en-US" w:eastAsia="zh-CN" w:bidi="ar"/>
              </w:rPr>
              <w:t>6</w:t>
            </w:r>
            <w:r>
              <w:rPr>
                <w:rStyle w:val="137"/>
                <w:color w:val="auto"/>
                <w:highlight w:val="none"/>
                <w:lang w:val="en-US" w:eastAsia="zh-CN" w:bidi="ar"/>
              </w:rPr>
              <w:t>出</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4C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89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0A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F6D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60000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8A0E">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01B6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1B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7479">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大桥收费站维护巡查</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169F">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收费站级别：</w:t>
            </w:r>
            <w:r>
              <w:rPr>
                <w:rFonts w:hint="default" w:ascii="Calibri" w:hAnsi="Calibri" w:eastAsia="宋体" w:cs="Calibri"/>
                <w:i w:val="0"/>
                <w:iCs w:val="0"/>
                <w:color w:val="auto"/>
                <w:kern w:val="0"/>
                <w:sz w:val="21"/>
                <w:szCs w:val="21"/>
                <w:highlight w:val="none"/>
                <w:u w:val="none"/>
                <w:lang w:val="en-US" w:eastAsia="zh-CN" w:bidi="ar"/>
              </w:rPr>
              <w:t>3</w:t>
            </w:r>
            <w:r>
              <w:rPr>
                <w:rStyle w:val="137"/>
                <w:color w:val="auto"/>
                <w:highlight w:val="none"/>
                <w:lang w:val="en-US" w:eastAsia="zh-CN" w:bidi="ar"/>
              </w:rPr>
              <w:t>进</w:t>
            </w:r>
            <w:r>
              <w:rPr>
                <w:rFonts w:hint="default" w:ascii="Calibri" w:hAnsi="Calibri" w:eastAsia="宋体" w:cs="Calibri"/>
                <w:i w:val="0"/>
                <w:iCs w:val="0"/>
                <w:color w:val="auto"/>
                <w:kern w:val="0"/>
                <w:sz w:val="21"/>
                <w:szCs w:val="21"/>
                <w:highlight w:val="none"/>
                <w:u w:val="none"/>
                <w:lang w:val="en-US" w:eastAsia="zh-CN" w:bidi="ar"/>
              </w:rPr>
              <w:t>5</w:t>
            </w:r>
            <w:r>
              <w:rPr>
                <w:rStyle w:val="137"/>
                <w:color w:val="auto"/>
                <w:highlight w:val="none"/>
                <w:lang w:val="en-US" w:eastAsia="zh-CN" w:bidi="ar"/>
              </w:rPr>
              <w:t>出</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FD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1B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22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FF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51600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DDE3">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21EF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9D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8519">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来安北收费站维护巡查</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5F90">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收费站级别：</w:t>
            </w:r>
            <w:r>
              <w:rPr>
                <w:rFonts w:hint="default" w:ascii="Calibri" w:hAnsi="Calibri" w:eastAsia="宋体" w:cs="Calibri"/>
                <w:i w:val="0"/>
                <w:iCs w:val="0"/>
                <w:color w:val="auto"/>
                <w:kern w:val="0"/>
                <w:sz w:val="21"/>
                <w:szCs w:val="21"/>
                <w:highlight w:val="none"/>
                <w:u w:val="none"/>
                <w:lang w:val="en-US" w:eastAsia="zh-CN" w:bidi="ar"/>
              </w:rPr>
              <w:t>3</w:t>
            </w:r>
            <w:r>
              <w:rPr>
                <w:rStyle w:val="137"/>
                <w:color w:val="auto"/>
                <w:highlight w:val="none"/>
                <w:lang w:val="en-US" w:eastAsia="zh-CN" w:bidi="ar"/>
              </w:rPr>
              <w:t>进</w:t>
            </w:r>
            <w:r>
              <w:rPr>
                <w:rFonts w:hint="default" w:ascii="Calibri" w:hAnsi="Calibri" w:eastAsia="宋体" w:cs="Calibri"/>
                <w:i w:val="0"/>
                <w:iCs w:val="0"/>
                <w:color w:val="auto"/>
                <w:kern w:val="0"/>
                <w:sz w:val="21"/>
                <w:szCs w:val="21"/>
                <w:highlight w:val="none"/>
                <w:u w:val="none"/>
                <w:lang w:val="en-US" w:eastAsia="zh-CN" w:bidi="ar"/>
              </w:rPr>
              <w:t>5</w:t>
            </w:r>
            <w:r>
              <w:rPr>
                <w:rStyle w:val="137"/>
                <w:color w:val="auto"/>
                <w:highlight w:val="none"/>
                <w:lang w:val="en-US" w:eastAsia="zh-CN" w:bidi="ar"/>
              </w:rPr>
              <w:t>出</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D3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EA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583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9A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51600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06EE">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2411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0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2F68">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施官收费站收费站维护巡查</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530">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收费站级别：</w:t>
            </w:r>
            <w:r>
              <w:rPr>
                <w:rFonts w:hint="default" w:ascii="Calibri" w:hAnsi="Calibri" w:eastAsia="宋体" w:cs="Calibri"/>
                <w:i w:val="0"/>
                <w:iCs w:val="0"/>
                <w:color w:val="auto"/>
                <w:kern w:val="0"/>
                <w:sz w:val="21"/>
                <w:szCs w:val="21"/>
                <w:highlight w:val="none"/>
                <w:u w:val="none"/>
                <w:lang w:val="en-US" w:eastAsia="zh-CN" w:bidi="ar"/>
              </w:rPr>
              <w:t>3</w:t>
            </w:r>
            <w:r>
              <w:rPr>
                <w:rStyle w:val="137"/>
                <w:color w:val="auto"/>
                <w:highlight w:val="none"/>
                <w:lang w:val="en-US" w:eastAsia="zh-CN" w:bidi="ar"/>
              </w:rPr>
              <w:t>进</w:t>
            </w:r>
            <w:r>
              <w:rPr>
                <w:rFonts w:hint="default" w:ascii="Calibri" w:hAnsi="Calibri" w:eastAsia="宋体" w:cs="Calibri"/>
                <w:i w:val="0"/>
                <w:iCs w:val="0"/>
                <w:color w:val="auto"/>
                <w:kern w:val="0"/>
                <w:sz w:val="21"/>
                <w:szCs w:val="21"/>
                <w:highlight w:val="none"/>
                <w:u w:val="none"/>
                <w:lang w:val="en-US" w:eastAsia="zh-CN" w:bidi="ar"/>
              </w:rPr>
              <w:t>5</w:t>
            </w:r>
            <w:r>
              <w:rPr>
                <w:rStyle w:val="137"/>
                <w:color w:val="auto"/>
                <w:highlight w:val="none"/>
                <w:lang w:val="en-US" w:eastAsia="zh-CN" w:bidi="ar"/>
              </w:rPr>
              <w:t>出</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EAD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0F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66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77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51600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1F7F">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54F4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5C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46CC">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干线设备维护巡检（明巢段）</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871F">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含全线摄像机、情报板、</w:t>
            </w:r>
            <w:r>
              <w:rPr>
                <w:rFonts w:hint="default" w:ascii="Calibri" w:hAnsi="Calibri" w:eastAsia="宋体" w:cs="Calibri"/>
                <w:i w:val="0"/>
                <w:iCs w:val="0"/>
                <w:color w:val="auto"/>
                <w:kern w:val="0"/>
                <w:sz w:val="21"/>
                <w:szCs w:val="21"/>
                <w:highlight w:val="none"/>
                <w:u w:val="none"/>
                <w:lang w:val="en-US" w:eastAsia="zh-CN" w:bidi="ar"/>
              </w:rPr>
              <w:t>ETC</w:t>
            </w:r>
            <w:r>
              <w:rPr>
                <w:rStyle w:val="137"/>
                <w:color w:val="auto"/>
                <w:highlight w:val="none"/>
                <w:lang w:val="en-US" w:eastAsia="zh-CN" w:bidi="ar"/>
              </w:rPr>
              <w:t>门架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D6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AB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B7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9F7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81600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F3C">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4934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AB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46FD">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干线设备维护巡检（来六段）</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64FB">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含全线摄像机、情报板、</w:t>
            </w:r>
            <w:r>
              <w:rPr>
                <w:rFonts w:hint="default" w:ascii="Calibri" w:hAnsi="Calibri" w:eastAsia="宋体" w:cs="Calibri"/>
                <w:i w:val="0"/>
                <w:iCs w:val="0"/>
                <w:color w:val="auto"/>
                <w:kern w:val="0"/>
                <w:sz w:val="21"/>
                <w:szCs w:val="21"/>
                <w:highlight w:val="none"/>
                <w:u w:val="none"/>
                <w:lang w:val="en-US" w:eastAsia="zh-CN" w:bidi="ar"/>
              </w:rPr>
              <w:t>ETC</w:t>
            </w:r>
            <w:r>
              <w:rPr>
                <w:rStyle w:val="137"/>
                <w:color w:val="auto"/>
                <w:highlight w:val="none"/>
                <w:lang w:val="en-US" w:eastAsia="zh-CN" w:bidi="ar"/>
              </w:rPr>
              <w:t>门架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A4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月</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A2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10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EC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81600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85BE">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7888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1C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8</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67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4G物联网卡（主、备线路）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3FDB">
            <w:pPr>
              <w:pageBreakBefore w:val="0"/>
              <w:kinsoku/>
              <w:wordWrap/>
              <w:overflowPunct/>
              <w:topLinePunct w:val="0"/>
              <w:autoSpaceDE/>
              <w:autoSpaceDN/>
              <w:bidi w:val="0"/>
              <w:spacing w:line="360" w:lineRule="exact"/>
              <w:jc w:val="left"/>
              <w:rPr>
                <w:rFonts w:hint="eastAsia" w:ascii="宋体" w:hAnsi="宋体" w:eastAsia="宋体" w:cs="宋体"/>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529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9E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717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69000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272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69000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8888">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明巢、来六高速各收费站收费数据站部直传主、备链路业务。</w:t>
            </w:r>
          </w:p>
        </w:tc>
      </w:tr>
      <w:tr w14:paraId="66A5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B8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9</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0B69">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电光诱导装置流量卡</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B14B">
            <w:pPr>
              <w:pageBreakBefore w:val="0"/>
              <w:kinsoku/>
              <w:wordWrap/>
              <w:overflowPunct/>
              <w:topLinePunct w:val="0"/>
              <w:autoSpaceDE/>
              <w:autoSpaceDN/>
              <w:bidi w:val="0"/>
              <w:spacing w:line="360" w:lineRule="exact"/>
              <w:jc w:val="left"/>
              <w:rPr>
                <w:rFonts w:hint="eastAsia" w:ascii="宋体" w:hAnsi="宋体" w:eastAsia="宋体" w:cs="宋体"/>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E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4F0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AF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120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C2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720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1C9F">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1年期流量费</w:t>
            </w:r>
          </w:p>
        </w:tc>
      </w:tr>
      <w:tr w14:paraId="3387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21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29B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小计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3A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499320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0F6F">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C6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97AE">
            <w:pPr>
              <w:pageBreakBefore w:val="0"/>
              <w:kinsoku/>
              <w:wordWrap/>
              <w:overflowPunct/>
              <w:topLinePunct w:val="0"/>
              <w:autoSpaceDE/>
              <w:autoSpaceDN/>
              <w:bidi w:val="0"/>
              <w:spacing w:line="360" w:lineRule="exact"/>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二</w:t>
            </w:r>
          </w:p>
        </w:tc>
        <w:tc>
          <w:tcPr>
            <w:tcW w:w="83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BF802E">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专项巡查</w:t>
            </w:r>
          </w:p>
        </w:tc>
      </w:tr>
      <w:tr w14:paraId="3C8A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C6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i w:val="0"/>
                <w:iCs w:val="0"/>
                <w:color w:val="auto"/>
                <w:kern w:val="0"/>
                <w:sz w:val="21"/>
                <w:szCs w:val="21"/>
                <w:highlight w:val="none"/>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1B19">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发电机专项维保</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20E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康明斯</w:t>
            </w:r>
            <w:r>
              <w:rPr>
                <w:rFonts w:hint="eastAsia" w:ascii="宋体" w:hAnsi="宋体" w:cs="宋体"/>
                <w:i w:val="0"/>
                <w:iCs w:val="0"/>
                <w:color w:val="auto"/>
                <w:kern w:val="0"/>
                <w:sz w:val="21"/>
                <w:szCs w:val="21"/>
                <w:highlight w:val="none"/>
                <w:u w:val="none"/>
                <w:lang w:val="en-US" w:eastAsia="zh-CN" w:bidi="ar"/>
              </w:rPr>
              <w:t>/上柴</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B7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台</w:t>
            </w:r>
            <w:r>
              <w:rPr>
                <w:rFonts w:hint="default" w:ascii="Calibri" w:hAnsi="Calibri" w:eastAsia="宋体" w:cs="Calibri"/>
                <w:i w:val="0"/>
                <w:iCs w:val="0"/>
                <w:color w:val="auto"/>
                <w:kern w:val="0"/>
                <w:sz w:val="21"/>
                <w:szCs w:val="21"/>
                <w:highlight w:val="none"/>
                <w:u w:val="none"/>
                <w:lang w:val="en-US" w:eastAsia="zh-CN" w:bidi="ar"/>
              </w:rPr>
              <w:t>/</w:t>
            </w:r>
            <w:r>
              <w:rPr>
                <w:rStyle w:val="137"/>
                <w:color w:val="auto"/>
                <w:highlight w:val="none"/>
                <w:lang w:val="en-US" w:eastAsia="zh-CN" w:bidi="ar"/>
              </w:rPr>
              <w:t>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21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default" w:ascii="Calibri" w:hAnsi="Calibri" w:eastAsia="宋体" w:cs="Calibri"/>
                <w:i w:val="0"/>
                <w:iCs w:val="0"/>
                <w:color w:val="auto"/>
                <w:kern w:val="0"/>
                <w:sz w:val="21"/>
                <w:szCs w:val="21"/>
                <w:highlight w:val="none"/>
                <w:u w:val="none"/>
                <w:lang w:val="en-US" w:eastAsia="zh-CN" w:bidi="ar"/>
              </w:rPr>
              <w:t>1</w:t>
            </w:r>
            <w:r>
              <w:rPr>
                <w:rFonts w:hint="eastAsia" w:ascii="Calibri" w:hAnsi="Calibri" w:cs="Calibri"/>
                <w:i w:val="0"/>
                <w:iCs w:val="0"/>
                <w:color w:val="auto"/>
                <w:kern w:val="0"/>
                <w:sz w:val="21"/>
                <w:szCs w:val="21"/>
                <w:highlight w:val="none"/>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17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882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i w:val="0"/>
                <w:iCs w:val="0"/>
                <w:color w:val="auto"/>
                <w:kern w:val="0"/>
                <w:sz w:val="21"/>
                <w:szCs w:val="21"/>
                <w:highlight w:val="none"/>
                <w:u w:val="none"/>
                <w:lang w:val="en-US" w:eastAsia="zh-CN" w:bidi="ar"/>
              </w:rPr>
              <w:t>60000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3B1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保养、更换机油机滤</w:t>
            </w:r>
            <w:r>
              <w:rPr>
                <w:rFonts w:hint="eastAsia" w:ascii="宋体" w:hAnsi="宋体" w:cs="宋体"/>
                <w:i w:val="0"/>
                <w:iCs w:val="0"/>
                <w:color w:val="auto"/>
                <w:kern w:val="0"/>
                <w:sz w:val="21"/>
                <w:szCs w:val="21"/>
                <w:highlight w:val="none"/>
                <w:u w:val="none"/>
                <w:lang w:val="en-US" w:eastAsia="zh-CN" w:bidi="ar"/>
              </w:rPr>
              <w:t>、电池检测检修、除尘</w:t>
            </w:r>
            <w:r>
              <w:rPr>
                <w:rFonts w:hint="eastAsia" w:ascii="宋体" w:hAnsi="宋体" w:eastAsia="宋体" w:cs="宋体"/>
                <w:i w:val="0"/>
                <w:iCs w:val="0"/>
                <w:color w:val="auto"/>
                <w:kern w:val="0"/>
                <w:sz w:val="21"/>
                <w:szCs w:val="21"/>
                <w:highlight w:val="none"/>
                <w:u w:val="none"/>
                <w:lang w:val="en-US" w:eastAsia="zh-CN" w:bidi="ar"/>
              </w:rPr>
              <w:t>等，据实计量</w:t>
            </w:r>
            <w:r>
              <w:rPr>
                <w:rFonts w:hint="eastAsia" w:ascii="宋体" w:hAnsi="宋体" w:cs="宋体"/>
                <w:i w:val="0"/>
                <w:iCs w:val="0"/>
                <w:color w:val="auto"/>
                <w:kern w:val="0"/>
                <w:sz w:val="21"/>
                <w:szCs w:val="21"/>
                <w:highlight w:val="none"/>
                <w:u w:val="none"/>
                <w:lang w:val="en-US" w:eastAsia="zh-CN" w:bidi="ar"/>
              </w:rPr>
              <w:t>（其中来六4台待现维保合同到期后执行）</w:t>
            </w:r>
          </w:p>
        </w:tc>
      </w:tr>
      <w:tr w14:paraId="1885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9D9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i w:val="0"/>
                <w:iCs w:val="0"/>
                <w:color w:val="auto"/>
                <w:kern w:val="0"/>
                <w:sz w:val="21"/>
                <w:szCs w:val="21"/>
                <w:highlight w:val="none"/>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EFD2">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UPS</w:t>
            </w:r>
            <w:r>
              <w:rPr>
                <w:rFonts w:hint="eastAsia" w:ascii="宋体" w:hAnsi="宋体" w:eastAsia="宋体" w:cs="宋体"/>
                <w:i w:val="0"/>
                <w:iCs w:val="0"/>
                <w:color w:val="auto"/>
                <w:kern w:val="0"/>
                <w:sz w:val="21"/>
                <w:szCs w:val="21"/>
                <w:highlight w:val="none"/>
                <w:u w:val="none"/>
                <w:lang w:val="en-US" w:eastAsia="zh-CN" w:bidi="ar"/>
              </w:rPr>
              <w:t>检测</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5FDE">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0D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Style w:val="137"/>
                <w:rFonts w:hint="eastAsia"/>
                <w:color w:val="auto"/>
                <w:highlight w:val="none"/>
                <w:lang w:val="en-US" w:eastAsia="zh-CN" w:bidi="ar"/>
              </w:rPr>
              <w:t>收费站</w:t>
            </w:r>
            <w:r>
              <w:rPr>
                <w:rFonts w:hint="default" w:ascii="Calibri" w:hAnsi="Calibri" w:eastAsia="宋体" w:cs="Calibri"/>
                <w:i w:val="0"/>
                <w:iCs w:val="0"/>
                <w:color w:val="auto"/>
                <w:kern w:val="0"/>
                <w:sz w:val="21"/>
                <w:szCs w:val="21"/>
                <w:highlight w:val="none"/>
                <w:u w:val="none"/>
                <w:lang w:val="en-US" w:eastAsia="zh-CN" w:bidi="ar"/>
              </w:rPr>
              <w:t>/</w:t>
            </w:r>
            <w:r>
              <w:rPr>
                <w:rStyle w:val="137"/>
                <w:color w:val="auto"/>
                <w:highlight w:val="none"/>
                <w:lang w:val="en-US" w:eastAsia="zh-CN" w:bidi="ar"/>
              </w:rPr>
              <w:t>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7B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i w:val="0"/>
                <w:iCs w:val="0"/>
                <w:color w:val="auto"/>
                <w:kern w:val="0"/>
                <w:sz w:val="21"/>
                <w:szCs w:val="21"/>
                <w:highlight w:val="none"/>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A3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E6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i w:val="0"/>
                <w:iCs w:val="0"/>
                <w:color w:val="auto"/>
                <w:kern w:val="0"/>
                <w:sz w:val="21"/>
                <w:szCs w:val="21"/>
                <w:highlight w:val="none"/>
                <w:u w:val="none"/>
                <w:lang w:val="en-US" w:eastAsia="zh-CN" w:bidi="ar"/>
              </w:rPr>
              <w:t>15</w:t>
            </w:r>
            <w:r>
              <w:rPr>
                <w:rFonts w:hint="default" w:ascii="Calibri" w:hAnsi="Calibri" w:eastAsia="宋体" w:cs="Calibri"/>
                <w:i w:val="0"/>
                <w:iCs w:val="0"/>
                <w:color w:val="auto"/>
                <w:kern w:val="0"/>
                <w:sz w:val="21"/>
                <w:szCs w:val="21"/>
                <w:highlight w:val="none"/>
                <w:u w:val="none"/>
                <w:lang w:val="en-US" w:eastAsia="zh-CN" w:bidi="ar"/>
              </w:rPr>
              <w:t>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9DA4">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放电、保养、检测等</w:t>
            </w:r>
            <w:r>
              <w:rPr>
                <w:rFonts w:hint="eastAsia" w:ascii="宋体" w:hAnsi="宋体" w:cs="宋体"/>
                <w:i w:val="0"/>
                <w:iCs w:val="0"/>
                <w:color w:val="auto"/>
                <w:kern w:val="0"/>
                <w:sz w:val="21"/>
                <w:szCs w:val="21"/>
                <w:highlight w:val="none"/>
                <w:u w:val="none"/>
                <w:lang w:val="en-US" w:eastAsia="zh-CN" w:bidi="ar"/>
              </w:rPr>
              <w:t>，并出具检测报告</w:t>
            </w:r>
          </w:p>
        </w:tc>
      </w:tr>
      <w:tr w14:paraId="2759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5C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i w:val="0"/>
                <w:iCs w:val="0"/>
                <w:color w:val="auto"/>
                <w:kern w:val="0"/>
                <w:sz w:val="21"/>
                <w:szCs w:val="21"/>
                <w:highlight w:val="none"/>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24AE">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收费站、服务区机房与主线门架灭鼠</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E8E0">
            <w:pPr>
              <w:pageBreakBefore w:val="0"/>
              <w:kinsoku/>
              <w:wordWrap/>
              <w:overflowPunct/>
              <w:topLinePunct w:val="0"/>
              <w:autoSpaceDE/>
              <w:autoSpaceDN/>
              <w:bidi w:val="0"/>
              <w:spacing w:line="360" w:lineRule="exact"/>
              <w:jc w:val="left"/>
              <w:rPr>
                <w:rFonts w:hint="eastAsia" w:ascii="宋体" w:hAnsi="宋体" w:eastAsia="宋体" w:cs="宋体"/>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0B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处</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6A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E1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658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15000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17AC">
            <w:pPr>
              <w:pageBreakBefore w:val="0"/>
              <w:kinsoku/>
              <w:wordWrap/>
              <w:overflowPunct/>
              <w:topLinePunct w:val="0"/>
              <w:autoSpaceDE/>
              <w:autoSpaceDN/>
              <w:bidi w:val="0"/>
              <w:spacing w:line="360" w:lineRule="exact"/>
              <w:jc w:val="left"/>
              <w:rPr>
                <w:rFonts w:hint="eastAsia" w:ascii="宋体" w:hAnsi="宋体" w:eastAsia="宋体" w:cs="宋体"/>
                <w:i w:val="0"/>
                <w:iCs w:val="0"/>
                <w:color w:val="auto"/>
                <w:sz w:val="21"/>
                <w:szCs w:val="21"/>
                <w:highlight w:val="none"/>
                <w:u w:val="none"/>
              </w:rPr>
            </w:pPr>
          </w:p>
        </w:tc>
      </w:tr>
      <w:tr w14:paraId="5015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5C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i w:val="0"/>
                <w:iCs w:val="0"/>
                <w:color w:val="auto"/>
                <w:kern w:val="0"/>
                <w:sz w:val="21"/>
                <w:szCs w:val="21"/>
                <w:highlight w:val="none"/>
                <w:u w:val="none"/>
                <w:lang w:val="en-US" w:eastAsia="zh-CN"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4AE6">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维护维修资料、平台维护</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DB30">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0E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E65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21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72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5255">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7D49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7DC6">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9993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小计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23C0">
            <w:pPr>
              <w:pageBreakBefore w:val="0"/>
              <w:kinsoku/>
              <w:wordWrap/>
              <w:overflowPunct/>
              <w:topLinePunct w:val="0"/>
              <w:autoSpaceDE/>
              <w:autoSpaceDN/>
              <w:bidi w:val="0"/>
              <w:spacing w:line="360" w:lineRule="exact"/>
              <w:jc w:val="center"/>
              <w:rPr>
                <w:rFonts w:hint="eastAsia" w:ascii="宋体" w:hAnsi="宋体" w:eastAsia="宋体" w:cs="宋体"/>
                <w:i w:val="0"/>
                <w:iCs w:val="0"/>
                <w:color w:val="auto"/>
                <w:sz w:val="21"/>
                <w:szCs w:val="21"/>
                <w:highlight w:val="none"/>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2AFE">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A08B">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4E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b/>
                <w:bCs/>
                <w:i w:val="0"/>
                <w:iCs w:val="0"/>
                <w:color w:val="auto"/>
                <w:sz w:val="21"/>
                <w:szCs w:val="21"/>
                <w:highlight w:val="none"/>
                <w:u w:val="none"/>
                <w:lang w:val="en-US"/>
              </w:rPr>
            </w:pPr>
            <w:r>
              <w:rPr>
                <w:rFonts w:hint="eastAsia" w:ascii="Calibri" w:hAnsi="Calibri" w:cs="Calibri"/>
                <w:b w:val="0"/>
                <w:bCs w:val="0"/>
                <w:i w:val="0"/>
                <w:iCs w:val="0"/>
                <w:color w:val="auto"/>
                <w:kern w:val="0"/>
                <w:sz w:val="21"/>
                <w:szCs w:val="21"/>
                <w:highlight w:val="none"/>
                <w:u w:val="none"/>
                <w:lang w:val="en-US" w:eastAsia="zh-CN" w:bidi="ar"/>
              </w:rPr>
              <w:t>95000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8FD9">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p>
        </w:tc>
      </w:tr>
      <w:tr w14:paraId="25AA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92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三</w:t>
            </w:r>
          </w:p>
        </w:tc>
        <w:tc>
          <w:tcPr>
            <w:tcW w:w="83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284FE2">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不定期维护</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数量为预估量，</w:t>
            </w:r>
            <w:r>
              <w:rPr>
                <w:rFonts w:hint="eastAsia" w:ascii="宋体" w:hAnsi="宋体" w:cs="宋体"/>
                <w:b/>
                <w:bCs/>
                <w:i w:val="0"/>
                <w:iCs w:val="0"/>
                <w:color w:val="auto"/>
                <w:kern w:val="0"/>
                <w:sz w:val="21"/>
                <w:szCs w:val="21"/>
                <w:highlight w:val="none"/>
                <w:u w:val="none"/>
                <w:lang w:val="en-US" w:eastAsia="zh-CN" w:bidi="ar"/>
              </w:rPr>
              <w:t>具体以实际发生为准）</w:t>
            </w:r>
          </w:p>
        </w:tc>
      </w:tr>
      <w:tr w14:paraId="61A1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9114">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83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8B99B6">
            <w:pPr>
              <w:keepNext w:val="0"/>
              <w:keepLines w:val="0"/>
              <w:pageBreakBefore w:val="0"/>
              <w:kinsoku/>
              <w:wordWrap w:val="0"/>
              <w:overflowPunct/>
              <w:topLinePunct w:val="0"/>
              <w:autoSpaceDE/>
              <w:autoSpaceDN/>
              <w:bidi w:val="0"/>
              <w:adjustRightInd/>
              <w:snapToGrid/>
              <w:spacing w:line="360" w:lineRule="exact"/>
              <w:jc w:val="left"/>
              <w:rPr>
                <w:rFonts w:hint="default" w:ascii="Calibri" w:hAnsi="Calibri" w:eastAsia="宋体" w:cs="Calibri"/>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人工、车辆费</w:t>
            </w:r>
          </w:p>
        </w:tc>
      </w:tr>
      <w:tr w14:paraId="023E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3D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AB7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计日工</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007C">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6E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工日</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0F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DF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585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5D3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DFEB">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p>
        </w:tc>
      </w:tr>
      <w:tr w14:paraId="1A08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60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00D4">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工程车辆</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33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黄色</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BB1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台班</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36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A44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E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ADEF">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p>
        </w:tc>
      </w:tr>
      <w:tr w14:paraId="38D3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DA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6AC4">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登高作业车辆</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7930">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AF1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台班</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2B3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BD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1560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7D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1560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EA1">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p>
        </w:tc>
      </w:tr>
      <w:tr w14:paraId="1FAD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AD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387C">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吊车</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A607">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84D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台班</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517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FB2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1560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9BB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1560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2EC">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p>
        </w:tc>
      </w:tr>
      <w:tr w14:paraId="5F89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95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E1D1">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叉车</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092F">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A0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CF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B7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41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220">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p>
        </w:tc>
      </w:tr>
      <w:tr w14:paraId="68A5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CCE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9D8B">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软件专业维修</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5E15">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409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E0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F83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6BF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2B0E">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p>
        </w:tc>
      </w:tr>
      <w:tr w14:paraId="438A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73A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83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67AFCC">
            <w:pPr>
              <w:pageBreakBefore w:val="0"/>
              <w:kinsoku/>
              <w:wordWrap/>
              <w:overflowPunct/>
              <w:topLinePunct w:val="0"/>
              <w:autoSpaceDE/>
              <w:autoSpaceDN/>
              <w:bidi w:val="0"/>
              <w:spacing w:line="360" w:lineRule="exact"/>
              <w:jc w:val="left"/>
              <w:rPr>
                <w:rFonts w:hint="default" w:ascii="Calibri" w:hAnsi="Calibri" w:eastAsia="宋体" w:cs="Calibri"/>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系统备件材料</w:t>
            </w:r>
          </w:p>
        </w:tc>
      </w:tr>
      <w:tr w14:paraId="2E02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AEA8">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0BC0">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球型监控摄像机（外场）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DDB4">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B1F1">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2CFE">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A341">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6142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21D">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6142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C7E1">
            <w:pPr>
              <w:spacing w:line="360" w:lineRule="exact"/>
              <w:jc w:val="left"/>
              <w:rPr>
                <w:rFonts w:hint="default" w:ascii="Calibri" w:hAnsi="Calibri" w:eastAsia="宋体" w:cs="Calibri"/>
                <w:i w:val="0"/>
                <w:iCs w:val="0"/>
                <w:color w:val="auto"/>
                <w:sz w:val="21"/>
                <w:szCs w:val="21"/>
                <w:highlight w:val="none"/>
                <w:u w:val="none"/>
              </w:rPr>
            </w:pPr>
          </w:p>
        </w:tc>
      </w:tr>
      <w:tr w14:paraId="5E52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F435">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color w:val="auto"/>
                <w:kern w:val="0"/>
                <w:szCs w:val="21"/>
                <w:highlight w:val="none"/>
                <w:lang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0199">
            <w:pPr>
              <w:widowControl/>
              <w:spacing w:line="360" w:lineRule="exact"/>
              <w:jc w:val="left"/>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ETC</w:t>
            </w:r>
            <w:r>
              <w:rPr>
                <w:rStyle w:val="137"/>
                <w:rFonts w:hint="default"/>
                <w:color w:val="auto"/>
                <w:highlight w:val="none"/>
                <w:lang w:bidi="ar"/>
              </w:rPr>
              <w:t>门架枪式监控摄像机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1DDA">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4A67">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0404">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1014">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3600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508A">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3600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43DA">
            <w:pPr>
              <w:spacing w:line="360" w:lineRule="exact"/>
              <w:jc w:val="left"/>
              <w:rPr>
                <w:rFonts w:hint="default" w:ascii="Calibri" w:hAnsi="Calibri" w:eastAsia="宋体" w:cs="Calibri"/>
                <w:i w:val="0"/>
                <w:iCs w:val="0"/>
                <w:color w:val="auto"/>
                <w:sz w:val="21"/>
                <w:szCs w:val="21"/>
                <w:highlight w:val="none"/>
                <w:u w:val="none"/>
                <w:lang w:val="en-US" w:eastAsia="zh-CN"/>
              </w:rPr>
            </w:pPr>
          </w:p>
        </w:tc>
      </w:tr>
      <w:tr w14:paraId="2B70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8319">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color w:val="auto"/>
                <w:kern w:val="0"/>
                <w:szCs w:val="21"/>
                <w:highlight w:val="none"/>
                <w:lang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B5D8">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高音喇叭</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106A">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702F">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55DB">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C34">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850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6DF2">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850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A425">
            <w:pPr>
              <w:spacing w:line="360" w:lineRule="exact"/>
              <w:jc w:val="left"/>
              <w:rPr>
                <w:rFonts w:hint="default" w:ascii="Calibri" w:hAnsi="Calibri" w:eastAsia="宋体" w:cs="Calibri"/>
                <w:i w:val="0"/>
                <w:iCs w:val="0"/>
                <w:color w:val="auto"/>
                <w:sz w:val="21"/>
                <w:szCs w:val="21"/>
                <w:highlight w:val="none"/>
                <w:u w:val="none"/>
              </w:rPr>
            </w:pPr>
          </w:p>
        </w:tc>
      </w:tr>
      <w:tr w14:paraId="7B6B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3DF6">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color w:val="auto"/>
                <w:kern w:val="0"/>
                <w:szCs w:val="21"/>
                <w:highlight w:val="none"/>
                <w:lang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E598">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工业以太网交换机（接入）</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6F07">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171F">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B846">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A89D">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5450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53BE">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5450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107D">
            <w:pPr>
              <w:spacing w:line="360" w:lineRule="exact"/>
              <w:jc w:val="left"/>
              <w:rPr>
                <w:rFonts w:hint="default" w:ascii="Calibri" w:hAnsi="Calibri" w:eastAsia="宋体" w:cs="Calibri"/>
                <w:i w:val="0"/>
                <w:iCs w:val="0"/>
                <w:color w:val="auto"/>
                <w:sz w:val="21"/>
                <w:szCs w:val="21"/>
                <w:highlight w:val="none"/>
                <w:u w:val="none"/>
              </w:rPr>
            </w:pPr>
          </w:p>
        </w:tc>
      </w:tr>
      <w:tr w14:paraId="754A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A7D">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color w:val="auto"/>
                <w:kern w:val="0"/>
                <w:szCs w:val="21"/>
                <w:highlight w:val="none"/>
                <w:lang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7307">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工业以太网交换机（汇聚）</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4C01">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A258">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9CB6">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9E6A">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5983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F192">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5983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4DA2">
            <w:pPr>
              <w:spacing w:line="360" w:lineRule="exact"/>
              <w:jc w:val="left"/>
              <w:rPr>
                <w:rFonts w:hint="default" w:ascii="Calibri" w:hAnsi="Calibri" w:eastAsia="宋体" w:cs="Calibri"/>
                <w:i w:val="0"/>
                <w:iCs w:val="0"/>
                <w:color w:val="auto"/>
                <w:sz w:val="21"/>
                <w:szCs w:val="21"/>
                <w:highlight w:val="none"/>
                <w:u w:val="none"/>
              </w:rPr>
            </w:pPr>
          </w:p>
        </w:tc>
      </w:tr>
      <w:tr w14:paraId="4E51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6DCB">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color w:val="auto"/>
                <w:kern w:val="0"/>
                <w:szCs w:val="21"/>
                <w:highlight w:val="none"/>
                <w:lang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CEE9">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球型监控摄像机（场区）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A24A">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261B">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2940">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CCCB">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3916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35F2">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3916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F42">
            <w:pPr>
              <w:spacing w:line="360" w:lineRule="exact"/>
              <w:jc w:val="left"/>
              <w:rPr>
                <w:rFonts w:hint="default" w:ascii="Calibri" w:hAnsi="Calibri" w:eastAsia="宋体" w:cs="Calibri"/>
                <w:i w:val="0"/>
                <w:iCs w:val="0"/>
                <w:color w:val="auto"/>
                <w:sz w:val="21"/>
                <w:szCs w:val="21"/>
                <w:highlight w:val="none"/>
                <w:u w:val="none"/>
              </w:rPr>
            </w:pPr>
          </w:p>
        </w:tc>
      </w:tr>
      <w:tr w14:paraId="235A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A818">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color w:val="auto"/>
                <w:kern w:val="0"/>
                <w:szCs w:val="21"/>
                <w:highlight w:val="none"/>
                <w:lang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93DE">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网络半球摄像机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CD21">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45C0">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AD0">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4201">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830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FE25">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830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3662">
            <w:pPr>
              <w:spacing w:line="360" w:lineRule="exact"/>
              <w:jc w:val="left"/>
              <w:rPr>
                <w:rFonts w:hint="default" w:ascii="Calibri" w:hAnsi="Calibri" w:eastAsia="宋体" w:cs="Calibri"/>
                <w:i w:val="0"/>
                <w:iCs w:val="0"/>
                <w:color w:val="auto"/>
                <w:sz w:val="21"/>
                <w:szCs w:val="21"/>
                <w:highlight w:val="none"/>
                <w:u w:val="none"/>
              </w:rPr>
            </w:pPr>
          </w:p>
        </w:tc>
      </w:tr>
      <w:tr w14:paraId="2C21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DB79">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color w:val="auto"/>
                <w:kern w:val="0"/>
                <w:szCs w:val="21"/>
                <w:highlight w:val="none"/>
                <w:lang w:bidi="ar"/>
              </w:rPr>
              <w:t>8</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C4A6">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光纤收发器（前端）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6673">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9323">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FE9">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63C6">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170E">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700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CAB">
            <w:pPr>
              <w:spacing w:line="360" w:lineRule="exact"/>
              <w:jc w:val="left"/>
              <w:rPr>
                <w:rFonts w:hint="default" w:ascii="Calibri" w:hAnsi="Calibri" w:eastAsia="宋体" w:cs="Calibri"/>
                <w:i w:val="0"/>
                <w:iCs w:val="0"/>
                <w:color w:val="auto"/>
                <w:sz w:val="21"/>
                <w:szCs w:val="21"/>
                <w:highlight w:val="none"/>
                <w:u w:val="none"/>
              </w:rPr>
            </w:pPr>
          </w:p>
        </w:tc>
      </w:tr>
      <w:tr w14:paraId="133D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7990">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hint="eastAsia" w:ascii="Calibri" w:hAnsi="Calibri" w:cs="Calibri"/>
                <w:color w:val="auto"/>
                <w:kern w:val="0"/>
                <w:szCs w:val="21"/>
                <w:highlight w:val="none"/>
                <w:lang w:bidi="ar"/>
              </w:rPr>
              <w:t>9</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92C3">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光纤收发器（局端）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B5EF">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ECB">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CFFF">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873D">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eastAsia="zh-CN"/>
              </w:rPr>
            </w:pPr>
            <w:r>
              <w:rPr>
                <w:rFonts w:hint="eastAsia" w:ascii="Calibri" w:hAnsi="Calibri" w:cs="Calibri"/>
                <w:color w:val="auto"/>
                <w:kern w:val="0"/>
                <w:szCs w:val="21"/>
                <w:highlight w:val="none"/>
                <w:lang w:bidi="ar"/>
              </w:rPr>
              <w:t>1</w:t>
            </w:r>
            <w:r>
              <w:rPr>
                <w:rFonts w:hint="eastAsia" w:ascii="Calibri" w:hAnsi="Calibri" w:cs="Calibri"/>
                <w:color w:val="auto"/>
                <w:kern w:val="0"/>
                <w:szCs w:val="21"/>
                <w:highlight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9592">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eastAsia="zh-CN"/>
              </w:rPr>
            </w:pPr>
            <w:r>
              <w:rPr>
                <w:rFonts w:hint="eastAsia" w:ascii="Calibri" w:hAnsi="Calibri" w:cs="Calibri"/>
                <w:color w:val="auto"/>
                <w:kern w:val="0"/>
                <w:szCs w:val="21"/>
                <w:highlight w:val="none"/>
                <w:lang w:bidi="ar"/>
              </w:rPr>
              <w:t>1</w:t>
            </w:r>
            <w:r>
              <w:rPr>
                <w:rFonts w:hint="eastAsia" w:ascii="Calibri" w:hAnsi="Calibri" w:cs="Calibri"/>
                <w:color w:val="auto"/>
                <w:kern w:val="0"/>
                <w:szCs w:val="21"/>
                <w:highlight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503C">
            <w:pPr>
              <w:spacing w:line="360" w:lineRule="exact"/>
              <w:jc w:val="left"/>
              <w:rPr>
                <w:rFonts w:hint="default" w:ascii="Calibri" w:hAnsi="Calibri" w:eastAsia="宋体" w:cs="Calibri"/>
                <w:i w:val="0"/>
                <w:iCs w:val="0"/>
                <w:color w:val="auto"/>
                <w:sz w:val="21"/>
                <w:szCs w:val="21"/>
                <w:highlight w:val="none"/>
                <w:u w:val="none"/>
                <w:lang w:val="en-US" w:eastAsia="zh-CN"/>
              </w:rPr>
            </w:pPr>
          </w:p>
        </w:tc>
      </w:tr>
      <w:tr w14:paraId="03F6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32B0">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10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D402">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视频交换机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B9F7">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3B02">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2564">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D68E">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5476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D841">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5476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5975">
            <w:pPr>
              <w:spacing w:line="360" w:lineRule="exact"/>
              <w:jc w:val="left"/>
              <w:rPr>
                <w:rFonts w:hint="default" w:ascii="Calibri" w:hAnsi="Calibri" w:eastAsia="宋体" w:cs="Calibri"/>
                <w:i w:val="0"/>
                <w:iCs w:val="0"/>
                <w:color w:val="auto"/>
                <w:sz w:val="21"/>
                <w:szCs w:val="21"/>
                <w:highlight w:val="none"/>
                <w:u w:val="none"/>
              </w:rPr>
            </w:pPr>
          </w:p>
        </w:tc>
      </w:tr>
      <w:tr w14:paraId="60F9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67E4">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r>
              <w:rPr>
                <w:rFonts w:hint="eastAsia" w:ascii="Calibri" w:hAnsi="Calibri" w:cs="Calibri"/>
                <w:color w:val="auto"/>
                <w:kern w:val="0"/>
                <w:szCs w:val="21"/>
                <w:highlight w:val="none"/>
                <w:lang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6858">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Style w:val="137"/>
                <w:rFonts w:hint="default"/>
                <w:color w:val="auto"/>
                <w:highlight w:val="none"/>
                <w:lang w:bidi="ar"/>
              </w:rPr>
              <w:t>无线</w:t>
            </w:r>
            <w:r>
              <w:rPr>
                <w:rFonts w:ascii="Calibri" w:hAnsi="Calibri" w:cs="Calibri"/>
                <w:color w:val="auto"/>
                <w:kern w:val="0"/>
                <w:szCs w:val="21"/>
                <w:highlight w:val="none"/>
                <w:lang w:bidi="ar"/>
              </w:rPr>
              <w:t>AP</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C2F0">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BBF6">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8A88">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9197">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952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3F95">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952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17B1">
            <w:pPr>
              <w:spacing w:line="360" w:lineRule="exact"/>
              <w:jc w:val="left"/>
              <w:rPr>
                <w:rFonts w:hint="default" w:ascii="Calibri" w:hAnsi="Calibri" w:eastAsia="宋体" w:cs="Calibri"/>
                <w:i w:val="0"/>
                <w:iCs w:val="0"/>
                <w:color w:val="auto"/>
                <w:sz w:val="21"/>
                <w:szCs w:val="21"/>
                <w:highlight w:val="none"/>
                <w:u w:val="none"/>
              </w:rPr>
            </w:pPr>
          </w:p>
        </w:tc>
      </w:tr>
      <w:tr w14:paraId="5DDB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A087">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12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8448">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电光诱导终端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200A">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2986">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F23F">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FE94">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904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B59D">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904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E737">
            <w:pPr>
              <w:spacing w:line="360" w:lineRule="exact"/>
              <w:jc w:val="left"/>
              <w:rPr>
                <w:rFonts w:hint="default" w:ascii="Calibri" w:hAnsi="Calibri" w:eastAsia="宋体" w:cs="Calibri"/>
                <w:i w:val="0"/>
                <w:iCs w:val="0"/>
                <w:color w:val="auto"/>
                <w:sz w:val="21"/>
                <w:szCs w:val="21"/>
                <w:highlight w:val="none"/>
                <w:u w:val="none"/>
              </w:rPr>
            </w:pPr>
          </w:p>
        </w:tc>
      </w:tr>
      <w:tr w14:paraId="119B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A2AB">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13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913E">
            <w:pPr>
              <w:widowControl/>
              <w:spacing w:line="360" w:lineRule="exact"/>
              <w:jc w:val="left"/>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CPC</w:t>
            </w:r>
            <w:r>
              <w:rPr>
                <w:rStyle w:val="137"/>
                <w:rFonts w:hint="default"/>
                <w:color w:val="auto"/>
                <w:highlight w:val="none"/>
                <w:lang w:bidi="ar"/>
              </w:rPr>
              <w:t>卡读写器</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E365">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CAD">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8882">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A172">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2145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231">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2145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A3F7">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2CE8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696">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14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CD68">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绿通手持终端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8F20">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E116">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CB2">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69CD">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8705">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7CC3">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3A3D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6345">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15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405B">
            <w:pPr>
              <w:widowControl/>
              <w:spacing w:line="360" w:lineRule="exact"/>
              <w:jc w:val="left"/>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ETC</w:t>
            </w:r>
            <w:r>
              <w:rPr>
                <w:rStyle w:val="138"/>
                <w:rFonts w:hint="default"/>
                <w:color w:val="auto"/>
                <w:highlight w:val="none"/>
                <w:lang w:bidi="ar"/>
              </w:rPr>
              <w:t>应急收费机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AA69">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C51B">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1831">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459C">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6136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5C63">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6136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E1C7">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36A8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2514">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16</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74FD">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车道工控机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D58F">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B59C">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D5FA">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67E1">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14160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6E8D">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14160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7EE8">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4ABE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4667">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17</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110D">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显示器</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35DC">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F024">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6B98">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842D">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944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8B0">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944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4D7B">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7394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7CD3">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18</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BEC2">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专用键盘</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8668">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9F92">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04E">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8200">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1416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39B6">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1416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30BC">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5244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FAB">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19</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E26E">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雨棚信号灯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5157">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D844">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C891">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000D">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2054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82CE">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2054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AF16">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3F43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7E53">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4A75">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拾音器</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6675">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187">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33B">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DD77">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141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6F18">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ECAB">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5315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60C4">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D5EC">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移动支付终端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5E49">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C692">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0CB7">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ABA6">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7800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C241">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7800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348">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64D9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6C13">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0207">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光栅</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B965">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370B">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298F">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2387">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2950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C1A">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2950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77E0">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547D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5DAC">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8E7F">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车型自动识别设备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3DA8">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ED85">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EF43">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7418">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18880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4FE0">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18880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568E">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7F3F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946">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C41F">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车牌识别摄像机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A89A">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01D0">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FCFA">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1BD5">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9800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8DAA">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9800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BAC0">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4373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F4B8">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D98C">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补光灯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8F62">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8546">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台</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0457">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3A9F">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1235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10E">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1235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4F57">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1CA0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F292">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26</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18E8">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Style w:val="137"/>
                <w:rFonts w:hint="default"/>
                <w:color w:val="auto"/>
                <w:highlight w:val="none"/>
                <w:lang w:bidi="ar"/>
              </w:rPr>
              <w:t xml:space="preserve">雨棚照明 </w:t>
            </w:r>
            <w:r>
              <w:rPr>
                <w:rFonts w:ascii="Calibri" w:hAnsi="Calibri" w:cs="Calibri"/>
                <w:color w:val="auto"/>
                <w:kern w:val="0"/>
                <w:szCs w:val="21"/>
                <w:highlight w:val="none"/>
                <w:lang w:bidi="ar"/>
              </w:rPr>
              <w:t>100W LED</w:t>
            </w:r>
            <w:r>
              <w:rPr>
                <w:rStyle w:val="137"/>
                <w:rFonts w:hint="default"/>
                <w:color w:val="auto"/>
                <w:highlight w:val="none"/>
                <w:lang w:bidi="ar"/>
              </w:rPr>
              <w:t>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1E0B">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FD8A">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基</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E86E">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AF6">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eastAsia="zh-CN"/>
              </w:rPr>
            </w:pPr>
            <w:r>
              <w:rPr>
                <w:rFonts w:hint="eastAsia" w:ascii="Calibri" w:hAnsi="Calibri" w:cs="Calibri"/>
                <w:color w:val="auto"/>
                <w:kern w:val="0"/>
                <w:szCs w:val="21"/>
                <w:highlight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F8D1">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eastAsia="zh-CN"/>
              </w:rPr>
            </w:pPr>
            <w:r>
              <w:rPr>
                <w:rFonts w:hint="eastAsia" w:ascii="Calibri" w:hAnsi="Calibri" w:cs="Calibri"/>
                <w:color w:val="auto"/>
                <w:kern w:val="0"/>
                <w:szCs w:val="21"/>
                <w:highlight w:val="none"/>
                <w:lang w:val="en-US" w:eastAsia="zh-CN" w:bidi="ar"/>
              </w:rPr>
              <w:t>500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FDC5">
            <w:pPr>
              <w:spacing w:line="360" w:lineRule="exact"/>
              <w:jc w:val="left"/>
              <w:rPr>
                <w:rFonts w:hint="default" w:ascii="Calibri" w:hAnsi="Calibri" w:eastAsia="宋体" w:cs="Calibri"/>
                <w:i w:val="0"/>
                <w:iCs w:val="0"/>
                <w:color w:val="auto"/>
                <w:sz w:val="21"/>
                <w:szCs w:val="21"/>
                <w:highlight w:val="none"/>
                <w:u w:val="none"/>
              </w:rPr>
            </w:pPr>
          </w:p>
        </w:tc>
      </w:tr>
      <w:tr w14:paraId="2A72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3D41">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27</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1BBF">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费额显示器</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3EA2">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BC86">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F10D">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9DE7">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6344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F2CC">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6344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09ED">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0159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973E">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27-1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B154">
            <w:pPr>
              <w:widowControl/>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显示屏</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C271">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336A">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1F35">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B806">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3813">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74AB">
            <w:pPr>
              <w:spacing w:line="360" w:lineRule="exact"/>
              <w:jc w:val="left"/>
              <w:rPr>
                <w:rFonts w:hint="default" w:ascii="Calibri" w:hAnsi="Calibri" w:eastAsia="宋体" w:cs="Calibri"/>
                <w:i w:val="0"/>
                <w:iCs w:val="0"/>
                <w:color w:val="auto"/>
                <w:sz w:val="21"/>
                <w:szCs w:val="21"/>
                <w:highlight w:val="none"/>
                <w:u w:val="none"/>
              </w:rPr>
            </w:pPr>
          </w:p>
        </w:tc>
      </w:tr>
      <w:tr w14:paraId="2735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2BEC">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27-2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179B">
            <w:pPr>
              <w:widowControl/>
              <w:spacing w:line="360" w:lineRule="exact"/>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控制模块</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816F">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B3C7">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C8A5">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F21C">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2A0B">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2400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098C">
            <w:pPr>
              <w:spacing w:line="360" w:lineRule="exact"/>
              <w:jc w:val="left"/>
              <w:rPr>
                <w:rFonts w:hint="default" w:ascii="Calibri" w:hAnsi="Calibri" w:eastAsia="宋体" w:cs="Calibri"/>
                <w:i w:val="0"/>
                <w:iCs w:val="0"/>
                <w:color w:val="auto"/>
                <w:sz w:val="21"/>
                <w:szCs w:val="21"/>
                <w:highlight w:val="none"/>
                <w:u w:val="none"/>
              </w:rPr>
            </w:pPr>
          </w:p>
        </w:tc>
      </w:tr>
      <w:tr w14:paraId="5C25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23D1">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27-3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5A49">
            <w:pPr>
              <w:widowControl/>
              <w:spacing w:line="360" w:lineRule="exact"/>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电源器件</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35A5">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1EA2">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9CFC">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F2FB">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298C">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D63A">
            <w:pPr>
              <w:spacing w:line="360" w:lineRule="exact"/>
              <w:jc w:val="left"/>
              <w:rPr>
                <w:rFonts w:hint="default" w:ascii="Calibri" w:hAnsi="Calibri" w:eastAsia="宋体" w:cs="Calibri"/>
                <w:i w:val="0"/>
                <w:iCs w:val="0"/>
                <w:color w:val="auto"/>
                <w:sz w:val="21"/>
                <w:szCs w:val="21"/>
                <w:highlight w:val="none"/>
                <w:u w:val="none"/>
              </w:rPr>
            </w:pPr>
          </w:p>
        </w:tc>
      </w:tr>
      <w:tr w14:paraId="5588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A60">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28</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F4B0">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手动栏杆</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E530">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C6E4">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6D85">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870">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1820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9B7D">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1820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E5D7">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678B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0C51">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29</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8C7">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限高架</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D250">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A311">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8601">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CEE3">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18000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ECCC">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18000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789">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1C98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B9D4">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BA34">
            <w:pPr>
              <w:widowControl/>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限高架杆件</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1BFA">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76D5">
            <w:pPr>
              <w:widowControl/>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168A">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2B4">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36D">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2085">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35D4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7322">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31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DC4B">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自动栏杆（单开）</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A82A">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4D05">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2B9F">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994">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31655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A739">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31655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5151">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7EDA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39D">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31-1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9826">
            <w:pPr>
              <w:widowControl/>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栏杆杆件</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2BF">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1DD">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1879">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D285">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A2F1">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1400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C1D2">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064C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4D4D">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31-2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68B">
            <w:pPr>
              <w:widowControl/>
              <w:spacing w:line="360" w:lineRule="exact"/>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电机驱动</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BE12">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6C15">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2370">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C26F">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94DF">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20000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69B1">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66BF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B2DF">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31-3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F43E">
            <w:pPr>
              <w:widowControl/>
              <w:spacing w:line="360" w:lineRule="exact"/>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控制单元</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DB1E">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105">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CDC8">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2D63">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9800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8637">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9800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479">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39DB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16F1">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32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2A02">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自动栏杆（双开）</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0EE7">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F6E5">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110B">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D00F">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51200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676F">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51200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56DB">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217B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8451">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32-1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C8B3">
            <w:pPr>
              <w:widowControl/>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栏杆杆件</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0BFA">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814F">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D12">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C520">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071">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190B">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7D70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51A6">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32-2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171">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电机驱动</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C1CD">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FA32">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1F63">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3299">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7662">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20000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18CA">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43EE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4816">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32-3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0853">
            <w:pPr>
              <w:widowControl/>
              <w:spacing w:line="36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控制单元</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0640">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17C7">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8CA6">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5313">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9800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7714">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9800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82ED">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661D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064D">
            <w:pPr>
              <w:widowControl/>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color w:val="auto"/>
                <w:kern w:val="0"/>
                <w:szCs w:val="21"/>
                <w:highlight w:val="none"/>
                <w:lang w:bidi="ar"/>
              </w:rPr>
              <w:t>33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74D6">
            <w:pPr>
              <w:widowControl/>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雾灯（含同步器）</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E048">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CAD5">
            <w:pPr>
              <w:widowControl/>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lang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2703">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1A6">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1D0">
            <w:pPr>
              <w:widowControl/>
              <w:spacing w:line="360" w:lineRule="exact"/>
              <w:jc w:val="center"/>
              <w:textAlignment w:val="center"/>
              <w:rPr>
                <w:rFonts w:hint="default" w:ascii="Calibri" w:hAnsi="Calibri" w:eastAsia="宋体" w:cs="Calibri"/>
                <w:i w:val="0"/>
                <w:iCs w:val="0"/>
                <w:color w:val="auto"/>
                <w:sz w:val="21"/>
                <w:szCs w:val="21"/>
                <w:highlight w:val="none"/>
                <w:u w:val="none"/>
              </w:rPr>
            </w:pPr>
            <w:r>
              <w:rPr>
                <w:rFonts w:ascii="Calibri" w:hAnsi="Calibri" w:cs="Calibri"/>
                <w:color w:val="auto"/>
                <w:kern w:val="0"/>
                <w:szCs w:val="21"/>
                <w:highlight w:val="none"/>
                <w:lang w:bidi="ar"/>
              </w:rPr>
              <w:t>1300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14E6">
            <w:pPr>
              <w:spacing w:line="360" w:lineRule="exact"/>
              <w:jc w:val="left"/>
              <w:rPr>
                <w:rFonts w:hint="default" w:ascii="Calibri" w:hAnsi="Calibri" w:eastAsia="宋体" w:cs="Calibri"/>
                <w:i w:val="0"/>
                <w:iCs w:val="0"/>
                <w:color w:val="auto"/>
                <w:kern w:val="2"/>
                <w:sz w:val="21"/>
                <w:szCs w:val="21"/>
                <w:highlight w:val="none"/>
                <w:u w:val="none"/>
                <w:lang w:val="en-US" w:eastAsia="zh-CN" w:bidi="ar-SA"/>
              </w:rPr>
            </w:pPr>
          </w:p>
        </w:tc>
      </w:tr>
      <w:tr w14:paraId="7909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43BF">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5691">
            <w:pPr>
              <w:widowControl/>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中杆灯投光灯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54D2">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D343">
            <w:pPr>
              <w:widowControl/>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盏</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AA27">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E9A9">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B13F">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1000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2858">
            <w:pPr>
              <w:spacing w:line="360" w:lineRule="exact"/>
              <w:jc w:val="left"/>
              <w:rPr>
                <w:rFonts w:hint="default" w:ascii="Calibri" w:hAnsi="Calibri" w:eastAsia="宋体" w:cs="Calibri"/>
                <w:i w:val="0"/>
                <w:iCs w:val="0"/>
                <w:color w:val="auto"/>
                <w:sz w:val="21"/>
                <w:szCs w:val="21"/>
                <w:highlight w:val="none"/>
                <w:u w:val="none"/>
              </w:rPr>
            </w:pPr>
          </w:p>
        </w:tc>
      </w:tr>
      <w:tr w14:paraId="3209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7970">
            <w:pPr>
              <w:widowControl/>
              <w:spacing w:line="360" w:lineRule="exact"/>
              <w:jc w:val="center"/>
              <w:textAlignment w:val="center"/>
              <w:rPr>
                <w:rFonts w:hint="default" w:ascii="Calibri" w:hAnsi="Calibri"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7293">
            <w:pPr>
              <w:widowControl/>
              <w:spacing w:line="360" w:lineRule="exact"/>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高杆灯投光灯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ADE0">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国产、订制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1D3A">
            <w:pPr>
              <w:widowControl/>
              <w:spacing w:line="36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盏</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1C3">
            <w:pPr>
              <w:widowControl/>
              <w:spacing w:line="360" w:lineRule="exact"/>
              <w:jc w:val="center"/>
              <w:textAlignment w:val="center"/>
              <w:rPr>
                <w:rFonts w:hint="default" w:ascii="Calibri" w:hAnsi="Calibri"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EE1">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1400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E5FA">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1400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1F86">
            <w:pPr>
              <w:spacing w:line="360" w:lineRule="exact"/>
              <w:jc w:val="left"/>
              <w:rPr>
                <w:rFonts w:hint="default" w:ascii="Calibri" w:hAnsi="Calibri" w:eastAsia="宋体" w:cs="Calibri"/>
                <w:i w:val="0"/>
                <w:iCs w:val="0"/>
                <w:color w:val="auto"/>
                <w:sz w:val="21"/>
                <w:szCs w:val="21"/>
                <w:highlight w:val="none"/>
                <w:u w:val="none"/>
              </w:rPr>
            </w:pPr>
          </w:p>
        </w:tc>
      </w:tr>
      <w:tr w14:paraId="0D02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6486">
            <w:pPr>
              <w:widowControl/>
              <w:spacing w:line="360" w:lineRule="exact"/>
              <w:jc w:val="center"/>
              <w:textAlignment w:val="center"/>
              <w:rPr>
                <w:rFonts w:hint="eastAsia"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w:t>
            </w:r>
            <w:r>
              <w:rPr>
                <w:rFonts w:hint="eastAsia" w:ascii="Calibri" w:hAnsi="Calibri" w:cs="Calibri"/>
                <w:color w:val="auto"/>
                <w:kern w:val="0"/>
                <w:szCs w:val="21"/>
                <w:highlight w:val="none"/>
                <w:lang w:val="en-US" w:eastAsia="zh-CN"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494B">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val="en-US" w:eastAsia="zh-CN" w:bidi="ar"/>
              </w:rPr>
              <w:t>情报板（信息屏）</w:t>
            </w:r>
            <w:r>
              <w:rPr>
                <w:rFonts w:hint="eastAsia" w:ascii="宋体" w:hAnsi="宋体" w:cs="宋体"/>
                <w:color w:val="auto"/>
                <w:kern w:val="0"/>
                <w:szCs w:val="21"/>
                <w:highlight w:val="none"/>
                <w:lang w:bidi="ar"/>
              </w:rPr>
              <w:t>显示模块</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84C6">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00E3">
            <w:pPr>
              <w:widowControl/>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6E0D">
            <w:pPr>
              <w:widowControl/>
              <w:spacing w:line="360" w:lineRule="exact"/>
              <w:jc w:val="center"/>
              <w:textAlignment w:val="center"/>
              <w:rPr>
                <w:rFonts w:hint="eastAsia" w:ascii="Calibri" w:hAnsi="Calibri"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00C9">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0149">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0CC">
            <w:pPr>
              <w:spacing w:line="360" w:lineRule="exact"/>
              <w:jc w:val="left"/>
              <w:rPr>
                <w:rFonts w:hint="default" w:ascii="Calibri" w:hAnsi="Calibri" w:eastAsia="宋体" w:cs="Calibri"/>
                <w:i w:val="0"/>
                <w:iCs w:val="0"/>
                <w:color w:val="auto"/>
                <w:sz w:val="21"/>
                <w:szCs w:val="21"/>
                <w:highlight w:val="none"/>
                <w:u w:val="none"/>
              </w:rPr>
            </w:pPr>
          </w:p>
        </w:tc>
      </w:tr>
      <w:tr w14:paraId="2B53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0537">
            <w:pPr>
              <w:widowControl/>
              <w:spacing w:line="360" w:lineRule="exact"/>
              <w:jc w:val="center"/>
              <w:textAlignment w:val="center"/>
              <w:rPr>
                <w:rFonts w:hint="eastAsia"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w:t>
            </w:r>
            <w:r>
              <w:rPr>
                <w:rFonts w:hint="eastAsia" w:ascii="Calibri" w:hAnsi="Calibri" w:cs="Calibri"/>
                <w:color w:val="auto"/>
                <w:kern w:val="0"/>
                <w:szCs w:val="21"/>
                <w:highlight w:val="none"/>
                <w:lang w:val="en-US" w:eastAsia="zh-CN"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EAC">
            <w:pPr>
              <w:widowControl/>
              <w:spacing w:line="36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val="en-US" w:eastAsia="zh-CN" w:bidi="ar"/>
              </w:rPr>
              <w:t>情报板（信息屏）</w:t>
            </w:r>
            <w:r>
              <w:rPr>
                <w:rFonts w:hint="eastAsia" w:ascii="宋体" w:hAnsi="宋体" w:cs="宋体"/>
                <w:color w:val="auto"/>
                <w:kern w:val="0"/>
                <w:szCs w:val="21"/>
                <w:highlight w:val="none"/>
                <w:lang w:bidi="ar"/>
              </w:rPr>
              <w:t>控制模块</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5C8C">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91BC">
            <w:pPr>
              <w:widowControl/>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DB69">
            <w:pPr>
              <w:widowControl/>
              <w:spacing w:line="360" w:lineRule="exact"/>
              <w:jc w:val="center"/>
              <w:textAlignment w:val="center"/>
              <w:rPr>
                <w:rFonts w:hint="eastAsia" w:ascii="Calibri" w:hAnsi="Calibri"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A0CC">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E8DE">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2600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1A5">
            <w:pPr>
              <w:spacing w:line="360" w:lineRule="exact"/>
              <w:jc w:val="left"/>
              <w:rPr>
                <w:rFonts w:hint="default" w:ascii="Calibri" w:hAnsi="Calibri" w:eastAsia="宋体" w:cs="Calibri"/>
                <w:i w:val="0"/>
                <w:iCs w:val="0"/>
                <w:color w:val="auto"/>
                <w:sz w:val="21"/>
                <w:szCs w:val="21"/>
                <w:highlight w:val="none"/>
                <w:u w:val="none"/>
              </w:rPr>
            </w:pPr>
          </w:p>
        </w:tc>
      </w:tr>
      <w:tr w14:paraId="4D77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269E">
            <w:pPr>
              <w:widowControl/>
              <w:spacing w:line="360" w:lineRule="exact"/>
              <w:jc w:val="center"/>
              <w:textAlignment w:val="center"/>
              <w:rPr>
                <w:rFonts w:hint="eastAsia"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3</w:t>
            </w:r>
            <w:r>
              <w:rPr>
                <w:rFonts w:hint="eastAsia" w:ascii="Calibri" w:hAnsi="Calibri" w:cs="Calibri"/>
                <w:color w:val="auto"/>
                <w:kern w:val="0"/>
                <w:szCs w:val="21"/>
                <w:highlight w:val="none"/>
                <w:lang w:val="en-US" w:eastAsia="zh-CN" w:bidi="ar"/>
              </w:rPr>
              <w:t>8</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4F12">
            <w:pPr>
              <w:widowControl/>
              <w:spacing w:line="36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val="en-US" w:eastAsia="zh-CN" w:bidi="ar"/>
              </w:rPr>
              <w:t>情报板（信息屏）</w:t>
            </w:r>
            <w:r>
              <w:rPr>
                <w:rFonts w:hint="eastAsia" w:ascii="宋体" w:hAnsi="宋体" w:cs="宋体"/>
                <w:color w:val="auto"/>
                <w:kern w:val="0"/>
                <w:szCs w:val="21"/>
                <w:highlight w:val="none"/>
                <w:lang w:bidi="ar"/>
              </w:rPr>
              <w:t>电源器件</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4D2F">
            <w:pPr>
              <w:widowControl/>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656A">
            <w:pPr>
              <w:widowControl/>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A25D">
            <w:pPr>
              <w:widowControl/>
              <w:spacing w:line="360" w:lineRule="exact"/>
              <w:jc w:val="center"/>
              <w:textAlignment w:val="center"/>
              <w:rPr>
                <w:rFonts w:hint="eastAsia" w:ascii="Calibri" w:hAnsi="Calibri"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E216">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DCF5">
            <w:pPr>
              <w:widowControl/>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color w:val="auto"/>
                <w:kern w:val="0"/>
                <w:szCs w:val="21"/>
                <w:highlight w:val="none"/>
                <w:lang w:bidi="ar"/>
              </w:rPr>
              <w:t>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229D">
            <w:pPr>
              <w:spacing w:line="360" w:lineRule="exact"/>
              <w:jc w:val="left"/>
              <w:rPr>
                <w:rFonts w:hint="default" w:ascii="Calibri" w:hAnsi="Calibri" w:eastAsia="宋体" w:cs="Calibri"/>
                <w:i w:val="0"/>
                <w:iCs w:val="0"/>
                <w:color w:val="auto"/>
                <w:sz w:val="21"/>
                <w:szCs w:val="21"/>
                <w:highlight w:val="none"/>
                <w:u w:val="none"/>
              </w:rPr>
            </w:pPr>
          </w:p>
        </w:tc>
      </w:tr>
      <w:tr w14:paraId="73BB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27F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838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E99507">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辅助维修材料</w:t>
            </w:r>
          </w:p>
        </w:tc>
      </w:tr>
      <w:tr w14:paraId="3DDB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37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F62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空开</w:t>
            </w:r>
            <w:r>
              <w:rPr>
                <w:rFonts w:hint="default" w:ascii="Calibri" w:hAnsi="Calibri" w:eastAsia="宋体" w:cs="Calibri"/>
                <w:i w:val="0"/>
                <w:iCs w:val="0"/>
                <w:color w:val="auto"/>
                <w:kern w:val="0"/>
                <w:sz w:val="21"/>
                <w:szCs w:val="21"/>
                <w:highlight w:val="none"/>
                <w:u w:val="none"/>
                <w:lang w:val="en-US" w:eastAsia="zh-CN" w:bidi="ar"/>
              </w:rPr>
              <w:t>C16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CD91">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0F0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D8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4AE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0C9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9E40">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39FF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B8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071A">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空开</w:t>
            </w:r>
            <w:r>
              <w:rPr>
                <w:rFonts w:hint="default" w:ascii="Calibri" w:hAnsi="Calibri" w:eastAsia="宋体" w:cs="Calibri"/>
                <w:i w:val="0"/>
                <w:iCs w:val="0"/>
                <w:color w:val="auto"/>
                <w:kern w:val="0"/>
                <w:sz w:val="21"/>
                <w:szCs w:val="21"/>
                <w:highlight w:val="none"/>
                <w:u w:val="none"/>
                <w:lang w:val="en-US" w:eastAsia="zh-CN" w:bidi="ar"/>
              </w:rPr>
              <w:t>C25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6EA">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19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58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96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138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1E57">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4721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D1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7AA3">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空开</w:t>
            </w:r>
            <w:r>
              <w:rPr>
                <w:rFonts w:hint="default" w:ascii="Calibri" w:hAnsi="Calibri" w:eastAsia="宋体" w:cs="Calibri"/>
                <w:i w:val="0"/>
                <w:iCs w:val="0"/>
                <w:color w:val="auto"/>
                <w:kern w:val="0"/>
                <w:sz w:val="21"/>
                <w:szCs w:val="21"/>
                <w:highlight w:val="none"/>
                <w:u w:val="none"/>
                <w:lang w:val="en-US" w:eastAsia="zh-CN" w:bidi="ar"/>
              </w:rPr>
              <w:t>C32</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DCD2">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E8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085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5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2A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A2C9">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3E79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74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75DD">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空开</w:t>
            </w:r>
            <w:r>
              <w:rPr>
                <w:rFonts w:hint="default" w:ascii="Calibri" w:hAnsi="Calibri" w:eastAsia="宋体" w:cs="Calibri"/>
                <w:i w:val="0"/>
                <w:iCs w:val="0"/>
                <w:color w:val="auto"/>
                <w:kern w:val="0"/>
                <w:sz w:val="21"/>
                <w:szCs w:val="21"/>
                <w:highlight w:val="none"/>
                <w:u w:val="none"/>
                <w:lang w:val="en-US" w:eastAsia="zh-CN" w:bidi="ar"/>
              </w:rPr>
              <w:t>C40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BD4B">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44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C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92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24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07E">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60B3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C95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BB28">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光缆（</w:t>
            </w:r>
            <w:r>
              <w:rPr>
                <w:rFonts w:hint="default" w:ascii="Calibri" w:hAnsi="Calibri" w:eastAsia="宋体" w:cs="Calibri"/>
                <w:i w:val="0"/>
                <w:iCs w:val="0"/>
                <w:color w:val="auto"/>
                <w:kern w:val="0"/>
                <w:sz w:val="21"/>
                <w:szCs w:val="21"/>
                <w:highlight w:val="none"/>
                <w:u w:val="none"/>
                <w:lang w:val="en-US" w:eastAsia="zh-CN" w:bidi="ar"/>
              </w:rPr>
              <w:t>8</w:t>
            </w:r>
            <w:r>
              <w:rPr>
                <w:rStyle w:val="137"/>
                <w:color w:val="auto"/>
                <w:highlight w:val="none"/>
                <w:lang w:val="en-US" w:eastAsia="zh-CN" w:bidi="ar"/>
              </w:rPr>
              <w:t>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6E5C">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8E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KM</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7DB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EE6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4680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CC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4680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5B2D">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670C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A54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8A3">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光缆（</w:t>
            </w:r>
            <w:r>
              <w:rPr>
                <w:rFonts w:hint="default" w:ascii="Calibri" w:hAnsi="Calibri" w:eastAsia="宋体" w:cs="Calibri"/>
                <w:i w:val="0"/>
                <w:iCs w:val="0"/>
                <w:color w:val="auto"/>
                <w:kern w:val="0"/>
                <w:sz w:val="21"/>
                <w:szCs w:val="21"/>
                <w:highlight w:val="none"/>
                <w:u w:val="none"/>
                <w:lang w:val="en-US" w:eastAsia="zh-CN" w:bidi="ar"/>
              </w:rPr>
              <w:t>24</w:t>
            </w:r>
            <w:r>
              <w:rPr>
                <w:rStyle w:val="137"/>
                <w:color w:val="auto"/>
                <w:highlight w:val="none"/>
                <w:lang w:val="en-US" w:eastAsia="zh-CN" w:bidi="ar"/>
              </w:rPr>
              <w:t>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DD6D">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78A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KM</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8A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9A4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4628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57A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4628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3F7E">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1B13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B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52B0">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光缆（</w:t>
            </w:r>
            <w:r>
              <w:rPr>
                <w:rFonts w:hint="default" w:ascii="Calibri" w:hAnsi="Calibri" w:eastAsia="宋体" w:cs="Calibri"/>
                <w:i w:val="0"/>
                <w:iCs w:val="0"/>
                <w:color w:val="auto"/>
                <w:kern w:val="0"/>
                <w:sz w:val="21"/>
                <w:szCs w:val="21"/>
                <w:highlight w:val="none"/>
                <w:u w:val="none"/>
                <w:lang w:val="en-US" w:eastAsia="zh-CN" w:bidi="ar"/>
              </w:rPr>
              <w:t>72</w:t>
            </w:r>
            <w:r>
              <w:rPr>
                <w:rStyle w:val="137"/>
                <w:color w:val="auto"/>
                <w:highlight w:val="none"/>
                <w:lang w:val="en-US" w:eastAsia="zh-CN" w:bidi="ar"/>
              </w:rPr>
              <w:t>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F69E">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3C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KM</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EA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F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8055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6AC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8055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5519">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02AE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3F5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8</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E0A">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光缆（</w:t>
            </w:r>
            <w:r>
              <w:rPr>
                <w:rFonts w:hint="default" w:ascii="Calibri" w:hAnsi="Calibri" w:eastAsia="宋体" w:cs="Calibri"/>
                <w:i w:val="0"/>
                <w:iCs w:val="0"/>
                <w:color w:val="auto"/>
                <w:kern w:val="0"/>
                <w:sz w:val="21"/>
                <w:szCs w:val="21"/>
                <w:highlight w:val="none"/>
                <w:u w:val="none"/>
                <w:lang w:val="en-US" w:eastAsia="zh-CN" w:bidi="ar"/>
              </w:rPr>
              <w:t>96</w:t>
            </w:r>
            <w:r>
              <w:rPr>
                <w:rStyle w:val="137"/>
                <w:color w:val="auto"/>
                <w:highlight w:val="none"/>
                <w:lang w:val="en-US" w:eastAsia="zh-CN" w:bidi="ar"/>
              </w:rPr>
              <w:t>芯）</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BFA8">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F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KM</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26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44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9200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0A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9200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ADC9">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3C3C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45C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9</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FD46">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光缆接续</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E6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高于</w:t>
            </w:r>
            <w:r>
              <w:rPr>
                <w:rFonts w:hint="default" w:ascii="Calibri" w:hAnsi="Calibri" w:eastAsia="宋体" w:cs="Calibri"/>
                <w:i w:val="0"/>
                <w:iCs w:val="0"/>
                <w:color w:val="auto"/>
                <w:kern w:val="0"/>
                <w:sz w:val="21"/>
                <w:szCs w:val="21"/>
                <w:highlight w:val="none"/>
                <w:u w:val="none"/>
                <w:lang w:val="en-US" w:eastAsia="zh-CN" w:bidi="ar"/>
              </w:rPr>
              <w:t>24</w:t>
            </w:r>
            <w:r>
              <w:rPr>
                <w:rStyle w:val="137"/>
                <w:color w:val="auto"/>
                <w:highlight w:val="none"/>
                <w:lang w:val="en-US" w:eastAsia="zh-CN" w:bidi="ar"/>
              </w:rPr>
              <w:t>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302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芯</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F9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5B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41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4952">
            <w:pPr>
              <w:keepNext w:val="0"/>
              <w:keepLines w:val="0"/>
              <w:pageBreakBefore w:val="0"/>
              <w:widowControl/>
              <w:suppressLineNumbers w:val="0"/>
              <w:kinsoku/>
              <w:wordWrap w:val="0"/>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低于</w:t>
            </w:r>
            <w:r>
              <w:rPr>
                <w:rFonts w:hint="default" w:ascii="Calibri" w:hAnsi="Calibri" w:eastAsia="宋体" w:cs="Calibri"/>
                <w:i w:val="0"/>
                <w:iCs w:val="0"/>
                <w:color w:val="auto"/>
                <w:kern w:val="0"/>
                <w:sz w:val="21"/>
                <w:szCs w:val="21"/>
                <w:highlight w:val="none"/>
                <w:u w:val="none"/>
                <w:lang w:val="en-US" w:eastAsia="zh-CN" w:bidi="ar"/>
              </w:rPr>
              <w:t>24</w:t>
            </w:r>
            <w:r>
              <w:rPr>
                <w:rStyle w:val="137"/>
                <w:color w:val="auto"/>
                <w:highlight w:val="none"/>
                <w:lang w:val="en-US" w:eastAsia="zh-CN" w:bidi="ar"/>
              </w:rPr>
              <w:t>芯，按次计算</w:t>
            </w:r>
          </w:p>
        </w:tc>
      </w:tr>
      <w:tr w14:paraId="7CD4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C7D3">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2A2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光缆接续</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B2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24</w:t>
            </w:r>
            <w:r>
              <w:rPr>
                <w:rStyle w:val="137"/>
                <w:color w:val="auto"/>
                <w:highlight w:val="none"/>
                <w:lang w:val="en-US" w:eastAsia="zh-CN" w:bidi="ar"/>
              </w:rPr>
              <w:t>芯及以下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B6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6AD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D94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i w:val="0"/>
                <w:iCs w:val="0"/>
                <w:color w:val="auto"/>
                <w:kern w:val="0"/>
                <w:sz w:val="21"/>
                <w:szCs w:val="21"/>
                <w:highlight w:val="none"/>
                <w:u w:val="none"/>
                <w:lang w:val="en-US" w:eastAsia="zh-CN" w:bidi="ar"/>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2F3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lang w:val="en-US"/>
              </w:rPr>
            </w:pPr>
            <w:r>
              <w:rPr>
                <w:rFonts w:hint="eastAsia" w:ascii="Calibri" w:hAnsi="Calibri" w:cs="Calibri"/>
                <w:i w:val="0"/>
                <w:iCs w:val="0"/>
                <w:color w:val="auto"/>
                <w:kern w:val="0"/>
                <w:sz w:val="21"/>
                <w:szCs w:val="21"/>
                <w:highlight w:val="none"/>
                <w:u w:val="none"/>
                <w:lang w:val="en-US" w:eastAsia="zh-CN" w:bidi="ar"/>
              </w:rPr>
              <w:t>480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AACA">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0AEF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B7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6109">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光终端盒</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F8E">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045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21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77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E1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42FB">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4DC9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D2B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A1D9">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电缆</w:t>
            </w:r>
            <w:r>
              <w:rPr>
                <w:rFonts w:hint="default" w:ascii="Calibri" w:hAnsi="Calibri" w:eastAsia="宋体" w:cs="Calibri"/>
                <w:i w:val="0"/>
                <w:iCs w:val="0"/>
                <w:color w:val="auto"/>
                <w:kern w:val="0"/>
                <w:sz w:val="21"/>
                <w:szCs w:val="21"/>
                <w:highlight w:val="none"/>
                <w:u w:val="none"/>
                <w:lang w:val="en-US" w:eastAsia="zh-CN" w:bidi="ar"/>
              </w:rPr>
              <w:t>RVV3*1.5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8408">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A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EF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C7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A3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DCFF">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5F96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B0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034">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电缆</w:t>
            </w:r>
            <w:r>
              <w:rPr>
                <w:rFonts w:hint="default" w:ascii="Calibri" w:hAnsi="Calibri" w:eastAsia="宋体" w:cs="Calibri"/>
                <w:i w:val="0"/>
                <w:iCs w:val="0"/>
                <w:color w:val="auto"/>
                <w:kern w:val="0"/>
                <w:sz w:val="21"/>
                <w:szCs w:val="21"/>
                <w:highlight w:val="none"/>
                <w:u w:val="none"/>
                <w:lang w:val="en-US" w:eastAsia="zh-CN" w:bidi="ar"/>
              </w:rPr>
              <w:t>RVV3*2.5</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DEC">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CD1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B88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D7D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034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E816">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5C67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9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2C9F">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电缆</w:t>
            </w:r>
            <w:r>
              <w:rPr>
                <w:rFonts w:hint="default" w:ascii="Calibri" w:hAnsi="Calibri" w:eastAsia="宋体" w:cs="Calibri"/>
                <w:i w:val="0"/>
                <w:iCs w:val="0"/>
                <w:color w:val="auto"/>
                <w:kern w:val="0"/>
                <w:sz w:val="21"/>
                <w:szCs w:val="21"/>
                <w:highlight w:val="none"/>
                <w:u w:val="none"/>
                <w:lang w:val="en-US" w:eastAsia="zh-CN" w:bidi="ar"/>
              </w:rPr>
              <w:t>YJV3*4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C133">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4D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68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B89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A7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64DC">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0A06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53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4177">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电缆</w:t>
            </w:r>
            <w:r>
              <w:rPr>
                <w:rFonts w:hint="default" w:ascii="Calibri" w:hAnsi="Calibri" w:eastAsia="宋体" w:cs="Calibri"/>
                <w:i w:val="0"/>
                <w:iCs w:val="0"/>
                <w:color w:val="auto"/>
                <w:kern w:val="0"/>
                <w:sz w:val="21"/>
                <w:szCs w:val="21"/>
                <w:highlight w:val="none"/>
                <w:u w:val="none"/>
                <w:lang w:val="en-US" w:eastAsia="zh-CN" w:bidi="ar"/>
              </w:rPr>
              <w:t>YJV2*10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E793">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49B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1E8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374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F9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BE2F">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3FB2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628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5B6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网线</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71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超五类</w:t>
            </w:r>
            <w:r>
              <w:rPr>
                <w:rFonts w:hint="default" w:ascii="Calibri" w:hAnsi="Calibri" w:eastAsia="宋体" w:cs="Calibri"/>
                <w:i w:val="0"/>
                <w:iCs w:val="0"/>
                <w:color w:val="auto"/>
                <w:kern w:val="0"/>
                <w:sz w:val="21"/>
                <w:szCs w:val="21"/>
                <w:highlight w:val="none"/>
                <w:u w:val="none"/>
                <w:lang w:val="en-US" w:eastAsia="zh-CN" w:bidi="ar"/>
              </w:rPr>
              <w:t>/</w:t>
            </w:r>
            <w:r>
              <w:rPr>
                <w:rStyle w:val="137"/>
                <w:color w:val="auto"/>
                <w:highlight w:val="none"/>
                <w:lang w:val="en-US" w:eastAsia="zh-CN" w:bidi="ar"/>
              </w:rPr>
              <w:t>六类</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66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7D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DE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B54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C622">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6EB7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CC2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16</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B74F">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硅芯管</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763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φ</w:t>
            </w:r>
            <w:r>
              <w:rPr>
                <w:rFonts w:hint="default" w:ascii="Calibri" w:hAnsi="Calibri" w:eastAsia="宋体" w:cs="Calibri"/>
                <w:i w:val="0"/>
                <w:iCs w:val="0"/>
                <w:color w:val="auto"/>
                <w:kern w:val="0"/>
                <w:sz w:val="21"/>
                <w:szCs w:val="21"/>
                <w:highlight w:val="none"/>
                <w:u w:val="none"/>
                <w:lang w:val="en-US" w:eastAsia="zh-CN" w:bidi="ar"/>
              </w:rPr>
              <w:t>40/33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50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D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01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4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3D2A">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1196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9E5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17</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50C9">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钢管（</w:t>
            </w:r>
            <w:r>
              <w:rPr>
                <w:rFonts w:hint="default" w:ascii="Calibri" w:hAnsi="Calibri" w:eastAsia="宋体" w:cs="Calibri"/>
                <w:i w:val="0"/>
                <w:iCs w:val="0"/>
                <w:color w:val="auto"/>
                <w:kern w:val="0"/>
                <w:sz w:val="21"/>
                <w:szCs w:val="21"/>
                <w:highlight w:val="none"/>
                <w:u w:val="none"/>
                <w:lang w:val="en-US" w:eastAsia="zh-CN" w:bidi="ar"/>
              </w:rPr>
              <w:t>DN60</w:t>
            </w:r>
            <w:r>
              <w:rPr>
                <w:rStyle w:val="137"/>
                <w:color w:val="auto"/>
                <w:highlight w:val="none"/>
                <w:lang w:val="en-US" w:eastAsia="zh-CN" w:bidi="ar"/>
              </w:rPr>
              <w:t>）</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38E">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96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92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9B4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9DA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B182">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0FB1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D0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18</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818">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钢管（</w:t>
            </w:r>
            <w:r>
              <w:rPr>
                <w:rFonts w:hint="default" w:ascii="Calibri" w:hAnsi="Calibri" w:eastAsia="宋体" w:cs="Calibri"/>
                <w:i w:val="0"/>
                <w:iCs w:val="0"/>
                <w:color w:val="auto"/>
                <w:kern w:val="0"/>
                <w:sz w:val="21"/>
                <w:szCs w:val="21"/>
                <w:highlight w:val="none"/>
                <w:u w:val="none"/>
                <w:lang w:val="en-US" w:eastAsia="zh-CN" w:bidi="ar"/>
              </w:rPr>
              <w:t>DN114</w:t>
            </w:r>
            <w:r>
              <w:rPr>
                <w:rStyle w:val="137"/>
                <w:color w:val="auto"/>
                <w:highlight w:val="none"/>
                <w:lang w:val="en-US" w:eastAsia="zh-CN" w:bidi="ar"/>
              </w:rPr>
              <w:t>）</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691">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14C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49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73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5DC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5F6D">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51B3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E4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19</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7FC2">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聚氨酯管箱</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BB00">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EA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03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F0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75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44F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9959">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250*150</w:t>
            </w:r>
          </w:p>
        </w:tc>
      </w:tr>
      <w:tr w14:paraId="34DA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0D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21</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1AF1">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手井盖</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A0FE">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89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E7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2A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389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06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BCD0">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700*700</w:t>
            </w:r>
          </w:p>
        </w:tc>
      </w:tr>
      <w:tr w14:paraId="371E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722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22</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214D">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人井盖</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3C46">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4F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87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736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389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F3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389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DAA5">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500*900</w:t>
            </w:r>
          </w:p>
        </w:tc>
      </w:tr>
      <w:tr w14:paraId="6D5D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5E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23</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C7CC">
            <w:pPr>
              <w:keepNext w:val="0"/>
              <w:keepLines w:val="0"/>
              <w:pageBreakBefore w:val="0"/>
              <w:widowControl/>
              <w:suppressLineNumbers w:val="0"/>
              <w:kinsoku/>
              <w:wordWrap/>
              <w:overflowPunct/>
              <w:topLinePunct w:val="0"/>
              <w:autoSpaceDE/>
              <w:autoSpaceDN/>
              <w:bidi w:val="0"/>
              <w:spacing w:line="36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栏杆臂（铝塑）</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BEEF">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CF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C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D7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900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6A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900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9971">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7106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F5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94E2">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栏杆臂（碳纤维）</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1F8E">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233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9E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DA1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03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1300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3048">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7D7B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D0D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25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A93E">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iCs w:val="0"/>
                <w:color w:val="auto"/>
                <w:sz w:val="21"/>
                <w:szCs w:val="21"/>
                <w:highlight w:val="none"/>
                <w:u w:val="none"/>
              </w:rPr>
            </w:pPr>
            <w:r>
              <w:rPr>
                <w:rStyle w:val="137"/>
                <w:color w:val="auto"/>
                <w:highlight w:val="none"/>
                <w:lang w:val="en-US" w:eastAsia="zh-CN" w:bidi="ar"/>
              </w:rPr>
              <w:t>电工</w:t>
            </w:r>
            <w:r>
              <w:rPr>
                <w:rFonts w:hint="default" w:ascii="Calibri" w:hAnsi="Calibri" w:eastAsia="宋体" w:cs="Calibri"/>
                <w:i w:val="0"/>
                <w:iCs w:val="0"/>
                <w:color w:val="auto"/>
                <w:kern w:val="0"/>
                <w:sz w:val="21"/>
                <w:szCs w:val="21"/>
                <w:highlight w:val="none"/>
                <w:u w:val="none"/>
                <w:lang w:val="en-US" w:eastAsia="zh-CN" w:bidi="ar"/>
              </w:rPr>
              <w:t>/</w:t>
            </w:r>
            <w:r>
              <w:rPr>
                <w:rStyle w:val="137"/>
                <w:color w:val="auto"/>
                <w:highlight w:val="none"/>
                <w:lang w:val="en-US" w:eastAsia="zh-CN" w:bidi="ar"/>
              </w:rPr>
              <w:t>防水胶布</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3A41">
            <w:pPr>
              <w:pageBreakBefore w:val="0"/>
              <w:kinsoku/>
              <w:wordWrap/>
              <w:overflowPunct/>
              <w:topLinePunct w:val="0"/>
              <w:autoSpaceDE/>
              <w:autoSpaceDN/>
              <w:bidi w:val="0"/>
              <w:spacing w:line="360" w:lineRule="exact"/>
              <w:jc w:val="center"/>
              <w:rPr>
                <w:rFonts w:hint="default" w:ascii="Calibri" w:hAnsi="Calibri" w:eastAsia="宋体" w:cs="Calibri"/>
                <w:i w:val="0"/>
                <w:iCs w:val="0"/>
                <w:color w:val="auto"/>
                <w:sz w:val="21"/>
                <w:szCs w:val="21"/>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683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9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69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CC2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sz w:val="21"/>
                <w:szCs w:val="21"/>
                <w:highlight w:val="none"/>
                <w:u w:val="none"/>
              </w:rPr>
            </w:pPr>
            <w:r>
              <w:rPr>
                <w:rFonts w:hint="default" w:ascii="Calibri" w:hAnsi="Calibri" w:eastAsia="宋体" w:cs="Calibri"/>
                <w:i w:val="0"/>
                <w:iCs w:val="0"/>
                <w:color w:val="auto"/>
                <w:kern w:val="0"/>
                <w:sz w:val="21"/>
                <w:szCs w:val="21"/>
                <w:highlight w:val="none"/>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397E">
            <w:pPr>
              <w:pageBreakBefore w:val="0"/>
              <w:kinsoku/>
              <w:wordWrap/>
              <w:overflowPunct/>
              <w:topLinePunct w:val="0"/>
              <w:autoSpaceDE/>
              <w:autoSpaceDN/>
              <w:bidi w:val="0"/>
              <w:spacing w:line="360" w:lineRule="exact"/>
              <w:jc w:val="left"/>
              <w:rPr>
                <w:rFonts w:hint="default" w:ascii="Calibri" w:hAnsi="Calibri" w:eastAsia="宋体" w:cs="Calibri"/>
                <w:i w:val="0"/>
                <w:iCs w:val="0"/>
                <w:color w:val="auto"/>
                <w:sz w:val="21"/>
                <w:szCs w:val="21"/>
                <w:highlight w:val="none"/>
                <w:u w:val="none"/>
              </w:rPr>
            </w:pPr>
          </w:p>
        </w:tc>
      </w:tr>
      <w:tr w14:paraId="3957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7D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26</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A57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小计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EC8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57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22E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5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337996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622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p>
        </w:tc>
      </w:tr>
      <w:tr w14:paraId="35C1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426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27</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317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1BA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3A6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8A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50A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Calibri" w:hAnsi="Calibri" w:eastAsia="宋体" w:cs="Calibri"/>
                <w:i w:val="0"/>
                <w:iCs w:val="0"/>
                <w:color w:val="auto"/>
                <w:kern w:val="0"/>
                <w:sz w:val="21"/>
                <w:szCs w:val="21"/>
                <w:highlight w:val="none"/>
                <w:u w:val="none"/>
                <w:lang w:val="en-US" w:eastAsia="zh-CN" w:bidi="ar"/>
              </w:rPr>
            </w:pPr>
            <w:r>
              <w:rPr>
                <w:rFonts w:hint="eastAsia" w:ascii="Calibri" w:hAnsi="Calibri" w:cs="Calibri"/>
                <w:i w:val="0"/>
                <w:iCs w:val="0"/>
                <w:color w:val="auto"/>
                <w:kern w:val="0"/>
                <w:sz w:val="21"/>
                <w:szCs w:val="21"/>
                <w:highlight w:val="none"/>
                <w:u w:val="none"/>
                <w:lang w:val="en-US" w:eastAsia="zh-CN" w:bidi="ar"/>
              </w:rPr>
              <w:t>932316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12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p>
        </w:tc>
      </w:tr>
    </w:tbl>
    <w:p w14:paraId="47510431">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00" w:lineRule="exact"/>
        <w:ind w:left="425"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（二）维护(修)</w:t>
      </w:r>
      <w:r>
        <w:rPr>
          <w:rFonts w:hint="eastAsia" w:ascii="宋体" w:hAnsi="宋体" w:cs="宋体"/>
          <w:b/>
          <w:bCs/>
          <w:color w:val="auto"/>
          <w:kern w:val="2"/>
          <w:sz w:val="21"/>
          <w:szCs w:val="21"/>
          <w:highlight w:val="none"/>
          <w:lang w:val="en-US" w:eastAsia="zh-CN" w:bidi="ar-SA"/>
        </w:rPr>
        <w:t>工作内容</w:t>
      </w:r>
    </w:p>
    <w:p w14:paraId="6C5554BD">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巡检：</w:t>
      </w:r>
      <w:r>
        <w:rPr>
          <w:rFonts w:hint="eastAsia" w:ascii="宋体" w:hAnsi="宋体" w:cs="宋体"/>
          <w:b/>
          <w:bCs/>
          <w:color w:val="auto"/>
          <w:kern w:val="2"/>
          <w:sz w:val="21"/>
          <w:szCs w:val="21"/>
          <w:highlight w:val="none"/>
          <w:lang w:val="en-US" w:eastAsia="zh-CN" w:bidi="ar-SA"/>
        </w:rPr>
        <w:t>中标人</w:t>
      </w:r>
      <w:r>
        <w:rPr>
          <w:rFonts w:hint="eastAsia" w:ascii="宋体" w:hAnsi="宋体" w:eastAsia="宋体" w:cs="宋体"/>
          <w:b/>
          <w:bCs/>
          <w:color w:val="auto"/>
          <w:kern w:val="2"/>
          <w:sz w:val="21"/>
          <w:szCs w:val="21"/>
          <w:highlight w:val="none"/>
          <w:lang w:val="en-US" w:eastAsia="zh-CN" w:bidi="ar-SA"/>
        </w:rPr>
        <w:t>按照本项目招标文件所附的工作内容开展维护（修）工作，相应的维护计划需事先报</w:t>
      </w:r>
      <w:r>
        <w:rPr>
          <w:rFonts w:hint="eastAsia" w:ascii="宋体" w:hAnsi="宋体" w:cs="宋体"/>
          <w:b/>
          <w:bCs/>
          <w:color w:val="auto"/>
          <w:kern w:val="2"/>
          <w:sz w:val="21"/>
          <w:szCs w:val="21"/>
          <w:highlight w:val="none"/>
          <w:lang w:val="en-US" w:eastAsia="zh-CN" w:bidi="ar-SA"/>
        </w:rPr>
        <w:t>招标人</w:t>
      </w:r>
      <w:r>
        <w:rPr>
          <w:rFonts w:hint="eastAsia" w:ascii="宋体" w:hAnsi="宋体" w:eastAsia="宋体" w:cs="宋体"/>
          <w:b/>
          <w:bCs/>
          <w:color w:val="auto"/>
          <w:kern w:val="2"/>
          <w:sz w:val="21"/>
          <w:szCs w:val="21"/>
          <w:highlight w:val="none"/>
          <w:lang w:val="en-US" w:eastAsia="zh-CN" w:bidi="ar-SA"/>
        </w:rPr>
        <w:t>审核批准。</w:t>
      </w:r>
      <w:r>
        <w:rPr>
          <w:rFonts w:hint="eastAsia" w:ascii="宋体" w:hAnsi="宋体" w:cs="宋体"/>
          <w:b/>
          <w:bCs/>
          <w:color w:val="auto"/>
          <w:kern w:val="2"/>
          <w:sz w:val="21"/>
          <w:szCs w:val="21"/>
          <w:highlight w:val="none"/>
          <w:lang w:val="en-US" w:eastAsia="zh-CN" w:bidi="ar-SA"/>
        </w:rPr>
        <w:t>具体内容见《附件1：机电系统维护维修项目项目工作内容》。</w:t>
      </w:r>
    </w:p>
    <w:p w14:paraId="06BF86A8">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对于目前属于缺陷责任期的设备，包括收费系统、监控系统、通信系统</w:t>
      </w:r>
      <w:r>
        <w:rPr>
          <w:rFonts w:hint="eastAsia" w:ascii="宋体" w:hAnsi="宋体" w:cs="宋体"/>
          <w:b/>
          <w:bCs/>
          <w:color w:val="auto"/>
          <w:kern w:val="2"/>
          <w:sz w:val="21"/>
          <w:szCs w:val="21"/>
          <w:highlight w:val="none"/>
          <w:lang w:val="en-US" w:eastAsia="zh-CN" w:bidi="ar-SA"/>
        </w:rPr>
        <w:t>、供配电系统</w:t>
      </w:r>
      <w:r>
        <w:rPr>
          <w:rFonts w:hint="eastAsia" w:ascii="宋体" w:hAnsi="宋体" w:eastAsia="宋体" w:cs="宋体"/>
          <w:b/>
          <w:bCs/>
          <w:color w:val="auto"/>
          <w:kern w:val="2"/>
          <w:sz w:val="21"/>
          <w:szCs w:val="21"/>
          <w:highlight w:val="none"/>
          <w:lang w:val="en-US" w:eastAsia="zh-CN" w:bidi="ar-SA"/>
        </w:rPr>
        <w:t>，纳入日常巡检内容，发现异常必须完成维修工作或报告</w:t>
      </w:r>
      <w:r>
        <w:rPr>
          <w:rFonts w:hint="eastAsia" w:ascii="宋体" w:hAnsi="宋体" w:cs="宋体"/>
          <w:b/>
          <w:bCs/>
          <w:color w:val="auto"/>
          <w:kern w:val="2"/>
          <w:sz w:val="21"/>
          <w:szCs w:val="21"/>
          <w:highlight w:val="none"/>
          <w:lang w:val="en-US" w:eastAsia="zh-CN" w:bidi="ar-SA"/>
        </w:rPr>
        <w:t>招标人</w:t>
      </w:r>
      <w:r>
        <w:rPr>
          <w:rFonts w:hint="eastAsia" w:ascii="宋体" w:hAnsi="宋体" w:eastAsia="宋体" w:cs="宋体"/>
          <w:b/>
          <w:bCs/>
          <w:color w:val="auto"/>
          <w:kern w:val="2"/>
          <w:sz w:val="21"/>
          <w:szCs w:val="21"/>
          <w:highlight w:val="none"/>
          <w:lang w:val="en-US" w:eastAsia="zh-CN" w:bidi="ar-SA"/>
        </w:rPr>
        <w:t>并协助</w:t>
      </w:r>
      <w:r>
        <w:rPr>
          <w:rFonts w:hint="eastAsia" w:ascii="宋体" w:hAnsi="宋体" w:cs="宋体"/>
          <w:b/>
          <w:bCs/>
          <w:color w:val="auto"/>
          <w:kern w:val="2"/>
          <w:sz w:val="21"/>
          <w:szCs w:val="21"/>
          <w:highlight w:val="none"/>
          <w:lang w:val="en-US" w:eastAsia="zh-CN" w:bidi="ar-SA"/>
        </w:rPr>
        <w:t>招标人</w:t>
      </w:r>
      <w:r>
        <w:rPr>
          <w:rFonts w:hint="eastAsia" w:ascii="宋体" w:hAnsi="宋体" w:eastAsia="宋体" w:cs="宋体"/>
          <w:b/>
          <w:bCs/>
          <w:color w:val="auto"/>
          <w:kern w:val="2"/>
          <w:sz w:val="21"/>
          <w:szCs w:val="21"/>
          <w:highlight w:val="none"/>
          <w:lang w:val="en-US" w:eastAsia="zh-CN" w:bidi="ar-SA"/>
        </w:rPr>
        <w:t>联系缺陷责任期承包人完成设备故障的排除。</w:t>
      </w:r>
    </w:p>
    <w:p w14:paraId="3D86FE44">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00" w:lineRule="exact"/>
        <w:ind w:left="425"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（三）维护时效性要求</w:t>
      </w:r>
    </w:p>
    <w:p w14:paraId="5FADD4B0">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在规定的时间内完成故障的修复，维护的时效性按照</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附件2：维修维护时间响应表</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要求执行。</w:t>
      </w:r>
    </w:p>
    <w:p w14:paraId="4B360AF3">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left="425"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color w:val="auto"/>
          <w:highlight w:val="none"/>
          <w:lang w:val="en-US" w:eastAsia="zh-CN"/>
        </w:rPr>
        <w:t>2、</w:t>
      </w:r>
      <w:r>
        <w:rPr>
          <w:rFonts w:hint="eastAsia" w:ascii="宋体" w:hAnsi="宋体" w:eastAsia="宋体" w:cs="宋体"/>
          <w:b w:val="0"/>
          <w:bCs w:val="0"/>
          <w:color w:val="auto"/>
          <w:kern w:val="2"/>
          <w:sz w:val="21"/>
          <w:szCs w:val="21"/>
          <w:highlight w:val="none"/>
          <w:lang w:val="en-US" w:eastAsia="zh-CN" w:bidi="ar-SA"/>
        </w:rPr>
        <w:t>特殊故障处理：</w:t>
      </w:r>
    </w:p>
    <w:p w14:paraId="424BD67F">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left="425"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高难度</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专业性强的故障：需向</w:t>
      </w:r>
      <w:r>
        <w:rPr>
          <w:rFonts w:hint="eastAsia" w:ascii="宋体" w:hAnsi="宋体"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申请延迟维修，协调专业工程师或厂家外维；</w:t>
      </w:r>
    </w:p>
    <w:p w14:paraId="6A3535C0">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left="425"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设备需返厂维修：及时提供备件顶替，保障系统正常运行；</w:t>
      </w:r>
    </w:p>
    <w:p w14:paraId="79353371">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left="425"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设备报废</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无法修理：立即告知</w:t>
      </w:r>
      <w:r>
        <w:rPr>
          <w:rFonts w:hint="eastAsia" w:ascii="宋体" w:hAnsi="宋体"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或</w:t>
      </w:r>
      <w:r>
        <w:rPr>
          <w:rFonts w:hint="eastAsia" w:ascii="宋体" w:hAnsi="宋体"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指定单位。</w:t>
      </w:r>
    </w:p>
    <w:p w14:paraId="2A08F85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中标人因外维、返厂维修等原因需延迟维修的，须提前向招标人提交书面申请，说明延迟理由及预计修复时间，经招标人同意后方可延期，否则按超时处理。</w:t>
      </w:r>
    </w:p>
    <w:p w14:paraId="7C8411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w:t>
      </w:r>
      <w:r>
        <w:rPr>
          <w:rFonts w:hint="eastAsia"/>
          <w:color w:val="auto"/>
          <w:highlight w:val="none"/>
        </w:rPr>
        <w:t>超时处罚：未按时限到达现场或未按时解决故障的，每超时</w:t>
      </w:r>
      <w:r>
        <w:rPr>
          <w:rFonts w:hint="eastAsia"/>
          <w:color w:val="auto"/>
          <w:highlight w:val="none"/>
          <w:lang w:val="en-US" w:eastAsia="zh-CN"/>
        </w:rPr>
        <w:t>1</w:t>
      </w:r>
      <w:r>
        <w:rPr>
          <w:rFonts w:hint="eastAsia"/>
          <w:color w:val="auto"/>
          <w:highlight w:val="none"/>
        </w:rPr>
        <w:t>小时扣除当月服务费500元；造成严重损失的，招标人有权解除合同并追究违约责任。</w:t>
      </w:r>
    </w:p>
    <w:p w14:paraId="6D54D9F2">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firstLine="420" w:firstLineChars="200"/>
        <w:textAlignment w:val="auto"/>
        <w:rPr>
          <w:rFonts w:hint="eastAsia"/>
          <w:color w:val="auto"/>
          <w:highlight w:val="none"/>
        </w:rPr>
      </w:pPr>
      <w:r>
        <w:rPr>
          <w:rFonts w:hint="eastAsia" w:ascii="宋体" w:hAnsi="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节假日要求：节假日接到故障报修不得拒绝或拖延维修。</w:t>
      </w:r>
    </w:p>
    <w:p w14:paraId="2048D8AB">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left="425" w:leftChars="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5、故障上报及认定流程</w:t>
      </w:r>
    </w:p>
    <w:p w14:paraId="6848EE3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lang w:val="en-US" w:eastAsia="zh-CN"/>
        </w:rPr>
        <w:t>5.1、</w:t>
      </w:r>
      <w:r>
        <w:rPr>
          <w:rFonts w:hint="eastAsia"/>
          <w:color w:val="auto"/>
          <w:highlight w:val="none"/>
        </w:rPr>
        <w:t>故障上报：招标人或相关方通过电话、系统平台等方式报修，中标人需在15分钟内确认报修信息并记录备案。</w:t>
      </w:r>
    </w:p>
    <w:p w14:paraId="1F944EF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lang w:val="en-US" w:eastAsia="zh-CN"/>
        </w:rPr>
        <w:t>5.2、</w:t>
      </w:r>
      <w:r>
        <w:rPr>
          <w:rFonts w:hint="eastAsia"/>
          <w:color w:val="auto"/>
          <w:highlight w:val="none"/>
        </w:rPr>
        <w:t>故障认定：中标人到达现场后，需与招标人共同确认故障等级及原因，填写《故障认定表》，双方签字确认。</w:t>
      </w:r>
    </w:p>
    <w:p w14:paraId="382B1FF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lang w:val="en-US" w:eastAsia="zh-CN"/>
        </w:rPr>
        <w:t>5.3、</w:t>
      </w:r>
      <w:r>
        <w:rPr>
          <w:rFonts w:hint="eastAsia"/>
          <w:color w:val="auto"/>
          <w:highlight w:val="none"/>
        </w:rPr>
        <w:t>维修反馈：故障解决后，中标人需在</w:t>
      </w:r>
      <w:r>
        <w:rPr>
          <w:rFonts w:hint="eastAsia"/>
          <w:color w:val="auto"/>
          <w:highlight w:val="none"/>
          <w:lang w:val="en-US" w:eastAsia="zh-CN"/>
        </w:rPr>
        <w:t>2</w:t>
      </w:r>
      <w:r>
        <w:rPr>
          <w:rFonts w:hint="eastAsia"/>
          <w:color w:val="auto"/>
          <w:highlight w:val="none"/>
        </w:rPr>
        <w:t>小时内将维修结果反馈招标人，并提交《维修验收单》，经招标人验收合格后签字确认。</w:t>
      </w:r>
    </w:p>
    <w:p w14:paraId="497B5196">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00" w:lineRule="exact"/>
        <w:ind w:left="425"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（四）功能性要求</w:t>
      </w:r>
    </w:p>
    <w:p w14:paraId="1357175D">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保障收费系统、监控系统、信息系统的系统性完好以及正常功能的实现：工作量清单范围内设备：完好率达到100%。</w:t>
      </w:r>
    </w:p>
    <w:p w14:paraId="055F14D2">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00" w:lineRule="exact"/>
        <w:ind w:left="425"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（五）人员驻点要求</w:t>
      </w:r>
    </w:p>
    <w:p w14:paraId="5AE3418C">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中标人在合同履行期间需二十四小时在招标人要求的项目地点驻点作业，总驻点人员数量不得少于五人，配备专用维护车辆总数量不得少于三辆，并配备全套维修检测工具，驻点工程师需服从招标人工作安排，参与值班</w:t>
      </w:r>
      <w:r>
        <w:rPr>
          <w:rFonts w:hint="eastAsia" w:ascii="宋体" w:hAnsi="宋体" w:eastAsia="宋体" w:cs="宋体"/>
          <w:b w:val="0"/>
          <w:bCs w:val="0"/>
          <w:color w:val="auto"/>
          <w:kern w:val="2"/>
          <w:sz w:val="21"/>
          <w:szCs w:val="21"/>
          <w:highlight w:val="none"/>
          <w:lang w:val="en-US" w:eastAsia="zh-CN" w:bidi="ar-SA"/>
        </w:rPr>
        <w:t>。</w:t>
      </w:r>
    </w:p>
    <w:p w14:paraId="3C226FEB">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00" w:lineRule="exact"/>
        <w:ind w:left="425"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（六）备品备件要求</w:t>
      </w:r>
    </w:p>
    <w:p w14:paraId="0B0F562C">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在维护路段现场必须常备一定的备件，具体设备型号、数量</w:t>
      </w:r>
      <w:r>
        <w:rPr>
          <w:rFonts w:hint="eastAsia" w:ascii="宋体" w:hAnsi="宋体" w:cs="宋体"/>
          <w:b w:val="0"/>
          <w:bCs w:val="0"/>
          <w:color w:val="auto"/>
          <w:kern w:val="2"/>
          <w:sz w:val="21"/>
          <w:szCs w:val="21"/>
          <w:highlight w:val="none"/>
          <w:lang w:val="en-US" w:eastAsia="zh-CN" w:bidi="ar-SA"/>
        </w:rPr>
        <w:t>须满足实际服务需求</w:t>
      </w:r>
      <w:r>
        <w:rPr>
          <w:rFonts w:hint="eastAsia" w:ascii="宋体" w:hAnsi="宋体" w:eastAsia="宋体" w:cs="宋体"/>
          <w:b w:val="0"/>
          <w:bCs w:val="0"/>
          <w:color w:val="auto"/>
          <w:kern w:val="2"/>
          <w:sz w:val="21"/>
          <w:szCs w:val="21"/>
          <w:highlight w:val="none"/>
          <w:lang w:val="en-US" w:eastAsia="zh-CN" w:bidi="ar-SA"/>
        </w:rPr>
        <w:t>，当设备需更换时，清单内的备件及突发状况下由中标人提供，按中标综合单价结算，清单外的由招标人采购后中标人负责更换。</w:t>
      </w:r>
    </w:p>
    <w:p w14:paraId="7B88866D">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2"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（七）</w:t>
      </w:r>
      <w:r>
        <w:rPr>
          <w:rFonts w:hint="eastAsia" w:ascii="宋体" w:hAnsi="宋体" w:eastAsia="宋体" w:cs="宋体"/>
          <w:b w:val="0"/>
          <w:bCs w:val="0"/>
          <w:color w:val="auto"/>
          <w:kern w:val="2"/>
          <w:sz w:val="21"/>
          <w:szCs w:val="21"/>
          <w:highlight w:val="none"/>
          <w:lang w:val="en-US" w:eastAsia="zh-CN" w:bidi="ar-SA"/>
        </w:rPr>
        <w:t>对于非正常使用或不可预见事项，如交通事故、火灾、恶劣天气等突发状况所导致的故障，</w:t>
      </w:r>
      <w:r>
        <w:rPr>
          <w:rFonts w:hint="eastAsia" w:ascii="宋体" w:hAnsi="宋体" w:cs="宋体"/>
          <w:b w:val="0"/>
          <w:bCs w:val="0"/>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亦应按规定及时完成故障修复，确保系统营运安全，维护内容包含在维护项目中。</w:t>
      </w:r>
    </w:p>
    <w:p w14:paraId="3D498E3A">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00" w:lineRule="exact"/>
        <w:ind w:left="425"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（八）作业规范</w:t>
      </w:r>
    </w:p>
    <w:p w14:paraId="5D0AD8CC">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维护人员需着统一制服，外场维护必须穿反光衣；作业车辆、机械须装有黄色示警灯或设置反光标志，停靠路边必须放置反光锥；作业时需采取措施保障交通畅通。</w:t>
      </w:r>
      <w:r>
        <w:rPr>
          <w:rFonts w:hint="eastAsia" w:ascii="宋体" w:hAnsi="宋体" w:cs="宋体"/>
          <w:b w:val="0"/>
          <w:bCs w:val="0"/>
          <w:color w:val="auto"/>
          <w:kern w:val="2"/>
          <w:sz w:val="21"/>
          <w:szCs w:val="21"/>
          <w:highlight w:val="none"/>
          <w:lang w:val="en-US" w:eastAsia="zh-CN" w:bidi="ar-SA"/>
        </w:rPr>
        <w:t>作业须满足《中华人民共和国道路交通安全法实施条例》《城市道路施工作业交通组织规范》（GA/T 900-2025）、《道路作业人员安全标志服》（GB/T 25281-2021）及安徽省道路交通管理相关规定。</w:t>
      </w:r>
    </w:p>
    <w:p w14:paraId="26EE943D">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维护完成后，须将设备复位、关闭机柜门、清理维护垃圾；故障解决后，需在维修单和机电养护系统中详细记录解决方式。</w:t>
      </w:r>
    </w:p>
    <w:p w14:paraId="717B5885">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00" w:lineRule="exact"/>
        <w:ind w:left="425"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（九）</w:t>
      </w:r>
      <w:r>
        <w:rPr>
          <w:rFonts w:hint="eastAsia" w:ascii="宋体" w:hAnsi="宋体" w:eastAsia="宋体" w:cs="宋体"/>
          <w:b/>
          <w:bCs/>
          <w:color w:val="auto"/>
          <w:kern w:val="2"/>
          <w:sz w:val="21"/>
          <w:szCs w:val="21"/>
          <w:highlight w:val="none"/>
          <w:lang w:val="en-US" w:eastAsia="zh-CN" w:bidi="ar-SA"/>
        </w:rPr>
        <w:t>资料提交</w:t>
      </w:r>
    </w:p>
    <w:p w14:paraId="09852BA6">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中标人</w:t>
      </w:r>
      <w:r>
        <w:rPr>
          <w:rFonts w:hint="eastAsia" w:ascii="宋体" w:hAnsi="宋体" w:eastAsia="宋体" w:cs="宋体"/>
          <w:b w:val="0"/>
          <w:bCs w:val="0"/>
          <w:color w:val="auto"/>
          <w:kern w:val="2"/>
          <w:sz w:val="21"/>
          <w:szCs w:val="21"/>
          <w:highlight w:val="none"/>
          <w:lang w:val="en-US" w:eastAsia="zh-CN" w:bidi="ar-SA"/>
        </w:rPr>
        <w:t>应与维护承包进程同步形成、积累、整理及保管图纸、文字、图片、影音等所涉及的维护记录材料</w:t>
      </w:r>
      <w:r>
        <w:rPr>
          <w:rFonts w:hint="eastAsia" w:ascii="宋体" w:hAnsi="宋体" w:cs="宋体"/>
          <w:b w:val="0"/>
          <w:bCs w:val="0"/>
          <w:color w:val="auto"/>
          <w:kern w:val="2"/>
          <w:sz w:val="21"/>
          <w:szCs w:val="21"/>
          <w:highlight w:val="none"/>
          <w:lang w:val="en-US" w:eastAsia="zh-CN" w:bidi="ar-SA"/>
        </w:rPr>
        <w:t>。</w:t>
      </w:r>
    </w:p>
    <w:p w14:paraId="11BB4854">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每月需完成以下资料，打印装订一式两份（一份提交</w:t>
      </w:r>
      <w:r>
        <w:rPr>
          <w:rFonts w:hint="eastAsia" w:ascii="宋体" w:hAnsi="宋体"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，一份公司留存）：</w:t>
      </w:r>
    </w:p>
    <w:p w14:paraId="50CB45B0">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《机电维护施工单》（纸质 + 电子版本，需</w:t>
      </w:r>
      <w:r>
        <w:rPr>
          <w:rFonts w:hint="eastAsia" w:ascii="宋体" w:hAnsi="宋体"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相关人员签字确认）；</w:t>
      </w:r>
    </w:p>
    <w:p w14:paraId="7726AD05">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《机电设备维护情况汇总表》（Excel 格式，按要求汇总施工单）；</w:t>
      </w:r>
    </w:p>
    <w:p w14:paraId="2A8E37CF">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《机电设备月度维护及运行报告》（上月总结 + 下月计划）；</w:t>
      </w:r>
    </w:p>
    <w:p w14:paraId="6D221161">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《机电设备巡检记录表》（与</w:t>
      </w:r>
      <w:r>
        <w:rPr>
          <w:rFonts w:hint="eastAsia" w:ascii="宋体" w:hAnsi="宋体"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共同巡检，双方确认内容）。</w:t>
      </w:r>
    </w:p>
    <w:p w14:paraId="2EA7FF15">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00" w:lineRule="exact"/>
        <w:textAlignment w:val="auto"/>
        <w:rPr>
          <w:rFonts w:hint="eastAsia" w:ascii="Times New Roman" w:hAnsi="宋体" w:eastAsia="宋体" w:cs="Times New Roman"/>
          <w:b/>
          <w:bCs/>
          <w:color w:val="auto"/>
          <w:kern w:val="2"/>
          <w:sz w:val="24"/>
          <w:szCs w:val="24"/>
          <w:highlight w:val="none"/>
          <w:lang w:val="en-US" w:eastAsia="zh-CN" w:bidi="ar-SA"/>
        </w:rPr>
      </w:pPr>
      <w:r>
        <w:rPr>
          <w:rFonts w:hint="eastAsia" w:ascii="Times New Roman" w:hAnsi="宋体" w:eastAsia="宋体" w:cs="Times New Roman"/>
          <w:b/>
          <w:bCs/>
          <w:color w:val="auto"/>
          <w:kern w:val="2"/>
          <w:sz w:val="24"/>
          <w:szCs w:val="24"/>
          <w:highlight w:val="none"/>
          <w:lang w:val="en-US" w:eastAsia="zh-CN" w:bidi="ar-SA"/>
        </w:rPr>
        <w:t>三、技术规范</w:t>
      </w:r>
      <w:r>
        <w:rPr>
          <w:rFonts w:hint="eastAsia" w:hAnsi="宋体" w:cs="Times New Roman"/>
          <w:b/>
          <w:bCs/>
          <w:color w:val="auto"/>
          <w:kern w:val="2"/>
          <w:sz w:val="24"/>
          <w:szCs w:val="24"/>
          <w:highlight w:val="none"/>
          <w:lang w:val="en-US" w:eastAsia="zh-CN" w:bidi="ar-SA"/>
        </w:rPr>
        <w:t>（应急修复或设备更换时，按此规范执行）</w:t>
      </w:r>
    </w:p>
    <w:p w14:paraId="5C02557F">
      <w:pPr>
        <w:pStyle w:val="3"/>
        <w:pageBreakBefore w:val="0"/>
        <w:widowControl w:val="0"/>
        <w:numPr>
          <w:ilvl w:val="1"/>
          <w:numId w:val="0"/>
        </w:numPr>
        <w:kinsoku/>
        <w:wordWrap/>
        <w:overflowPunct/>
        <w:topLinePunct w:val="0"/>
        <w:autoSpaceDE/>
        <w:autoSpaceDN/>
        <w:bidi w:val="0"/>
        <w:spacing w:line="360" w:lineRule="exact"/>
        <w:rPr>
          <w:rFonts w:hint="eastAsia" w:ascii="宋体" w:hAnsi="宋体" w:eastAsia="宋体" w:cs="宋体"/>
          <w:b/>
          <w:bCs/>
          <w:color w:val="auto"/>
          <w:sz w:val="21"/>
          <w:szCs w:val="21"/>
          <w:highlight w:val="none"/>
        </w:rPr>
      </w:pPr>
      <w:bookmarkStart w:id="93" w:name="_Toc487529298"/>
      <w:bookmarkStart w:id="94" w:name="_Toc400804562"/>
      <w:bookmarkStart w:id="95" w:name="_Toc487343217"/>
      <w:bookmarkStart w:id="96" w:name="_Toc485975220"/>
      <w:bookmarkStart w:id="97" w:name="_Toc490906082"/>
      <w:bookmarkStart w:id="98" w:name="_Toc489177980"/>
      <w:bookmarkStart w:id="99" w:name="_Toc487614668"/>
      <w:bookmarkStart w:id="100" w:name="_Toc5188772"/>
      <w:bookmarkStart w:id="101" w:name="_Toc9547"/>
      <w:bookmarkStart w:id="102" w:name="_Toc340840424"/>
      <w:bookmarkStart w:id="103" w:name="_Toc485609671"/>
      <w:bookmarkStart w:id="104" w:name="_Toc82857103"/>
      <w:bookmarkStart w:id="105" w:name="_Toc344132853"/>
      <w:bookmarkStart w:id="106" w:name="_Toc485612834"/>
      <w:bookmarkStart w:id="107" w:name="_Toc491251639"/>
      <w:bookmarkStart w:id="108" w:name="_Toc339459049"/>
      <w:bookmarkStart w:id="109" w:name="_Toc490905784"/>
      <w:bookmarkStart w:id="110" w:name="_Toc340841607"/>
      <w:bookmarkStart w:id="111" w:name="_Toc5188541"/>
      <w:bookmarkStart w:id="112" w:name="_Toc339451645"/>
      <w:bookmarkStart w:id="113" w:name="_Toc5188618"/>
      <w:bookmarkStart w:id="114" w:name="_Toc341344961"/>
      <w:bookmarkStart w:id="115" w:name="_Toc491251298"/>
      <w:bookmarkStart w:id="116" w:name="_Toc339457303"/>
      <w:bookmarkStart w:id="117" w:name="_Toc487343047"/>
      <w:bookmarkStart w:id="118" w:name="_Toc339451628"/>
      <w:bookmarkStart w:id="119" w:name="_Toc485609663"/>
      <w:bookmarkStart w:id="120" w:name="_Toc340840390"/>
      <w:bookmarkStart w:id="121" w:name="_Toc491251631"/>
      <w:bookmarkStart w:id="122" w:name="_Toc472611971"/>
      <w:bookmarkStart w:id="123" w:name="_Toc490906074"/>
      <w:bookmarkStart w:id="124" w:name="_Toc485975213"/>
      <w:bookmarkStart w:id="125" w:name="_Toc456690566"/>
      <w:bookmarkStart w:id="126" w:name="_Toc339459032"/>
      <w:bookmarkStart w:id="127" w:name="_Toc487343209"/>
      <w:bookmarkStart w:id="128" w:name="_Toc452711526"/>
      <w:bookmarkStart w:id="129" w:name="_Toc485612827"/>
      <w:bookmarkStart w:id="130" w:name="_Toc489177972"/>
      <w:bookmarkStart w:id="131" w:name="_Toc339457286"/>
      <w:bookmarkStart w:id="132" w:name="_Toc5188533"/>
      <w:bookmarkStart w:id="133" w:name="_Toc417820729"/>
      <w:bookmarkStart w:id="134" w:name="_Toc341344942"/>
      <w:bookmarkStart w:id="135" w:name="_Toc487614660"/>
      <w:bookmarkStart w:id="136" w:name="_Toc417182131"/>
      <w:bookmarkStart w:id="137" w:name="_Toc487343039"/>
      <w:bookmarkStart w:id="138" w:name="_Toc82857091"/>
      <w:bookmarkStart w:id="139" w:name="_Toc344132833"/>
      <w:bookmarkStart w:id="140" w:name="_Toc490905776"/>
      <w:bookmarkStart w:id="141" w:name="_Toc462042097"/>
      <w:bookmarkStart w:id="142" w:name="_Toc5188764"/>
      <w:bookmarkStart w:id="143" w:name="_Toc462042569"/>
      <w:bookmarkStart w:id="144" w:name="_Toc491251290"/>
      <w:bookmarkStart w:id="145" w:name="_Toc430073135"/>
      <w:bookmarkStart w:id="146" w:name="_Toc487529290"/>
      <w:bookmarkStart w:id="147" w:name="_Toc5188610"/>
      <w:bookmarkStart w:id="148" w:name="_Toc340841589"/>
      <w:r>
        <w:rPr>
          <w:rFonts w:hint="eastAsia" w:ascii="宋体" w:hAnsi="宋体" w:eastAsia="宋体" w:cs="宋体"/>
          <w:b/>
          <w:bCs/>
          <w:color w:val="auto"/>
          <w:sz w:val="21"/>
          <w:szCs w:val="21"/>
          <w:highlight w:val="none"/>
        </w:rPr>
        <w:t>TS</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主要</w:t>
      </w:r>
      <w:r>
        <w:rPr>
          <w:rFonts w:hint="eastAsia" w:ascii="宋体" w:hAnsi="宋体" w:eastAsia="宋体" w:cs="宋体"/>
          <w:b/>
          <w:bCs/>
          <w:color w:val="auto"/>
          <w:sz w:val="21"/>
          <w:szCs w:val="21"/>
          <w:highlight w:val="none"/>
        </w:rPr>
        <w:t>系统备件材料技术要求</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4FB9B331">
      <w:pPr>
        <w:pageBreakBefore w:val="0"/>
        <w:widowControl w:val="0"/>
        <w:numPr>
          <w:ilvl w:val="0"/>
          <w:numId w:val="0"/>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49" w:name="_Toc23616"/>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球型监控摄像机（外场）</w:t>
      </w:r>
      <w:bookmarkEnd w:id="149"/>
    </w:p>
    <w:p w14:paraId="65FE8ED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图像传感器：不低于1/1.8" 400万CMOS；</w:t>
      </w:r>
    </w:p>
    <w:p w14:paraId="377EB80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最低照度：彩色不大于0.0002Lux，黑白不大于0.0001Lux；</w:t>
      </w:r>
    </w:p>
    <w:p w14:paraId="7E2B023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支持三码流，具有雨刷功能；</w:t>
      </w:r>
    </w:p>
    <w:p w14:paraId="1CB6E11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内置不小于35倍光学变倍镜头，镜头最大焦距不小于206mm； </w:t>
      </w:r>
    </w:p>
    <w:p w14:paraId="28486CD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红外阵列照射距离不小于200米，红外灯与镜头倍率匹配算法，可根据倍率和距离智能调节红外灯亮度和角度；</w:t>
      </w:r>
    </w:p>
    <w:p w14:paraId="070942D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视频图像分辨率应不低于2560×1440；</w:t>
      </w:r>
    </w:p>
    <w:p w14:paraId="4F5C05C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支持分辨率设置为1920*1080、帧率设置为50fps、码率1M时，网络延时≤77 ms；</w:t>
      </w:r>
    </w:p>
    <w:p w14:paraId="7A0AB13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编码支持：H.265/H.264/MJPEG；</w:t>
      </w:r>
    </w:p>
    <w:p w14:paraId="2F7871C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三码流技术，支持多码流扩展；</w:t>
      </w:r>
    </w:p>
    <w:p w14:paraId="6F54B0B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支持宽动态不低于52dB，信噪比支持不小于60dB； </w:t>
      </w:r>
    </w:p>
    <w:p w14:paraId="1091D0E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支持水平手控速度最大为120°/S，云台定位精度为±0. 01°;</w:t>
      </w:r>
    </w:p>
    <w:p w14:paraId="1F6B614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最少支持64条巡航路径，每条巡航可以添加最少64个预置点；</w:t>
      </w:r>
    </w:p>
    <w:p w14:paraId="45520F7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设备垂直旋转范围应：-45°～90°；</w:t>
      </w:r>
    </w:p>
    <w:p w14:paraId="4AE432B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支持SD卡最大为256GB；</w:t>
      </w:r>
    </w:p>
    <w:p w14:paraId="56EEDCB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支持场景参数设置、背光补偿、强光抑制、自动增益、数字降噪、电子防抖、透雾、断网续传、配置保存、配置管理等功能；</w:t>
      </w:r>
    </w:p>
    <w:p w14:paraId="40B0537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支持报警输入、报警输出，音频输入，音频输出，10M/100M以太网；</w:t>
      </w:r>
    </w:p>
    <w:p w14:paraId="0E85645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电压在AC24V±55%范围内变化时，设备可正常工作；</w:t>
      </w:r>
    </w:p>
    <w:p w14:paraId="62BA53D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不小于IP66防护能力；</w:t>
      </w:r>
    </w:p>
    <w:p w14:paraId="652753FD">
      <w:pPr>
        <w:pageBreakBefore w:val="0"/>
        <w:widowControl w:val="0"/>
        <w:numPr>
          <w:ilvl w:val="0"/>
          <w:numId w:val="0"/>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0" w:name="_Toc15504"/>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ETC门架枪式监控摄像机</w:t>
      </w:r>
      <w:bookmarkEnd w:id="150"/>
    </w:p>
    <w:p w14:paraId="2CA1AB1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采用1英寸全局曝光CMOS图像传感器；</w:t>
      </w:r>
    </w:p>
    <w:p w14:paraId="0DEAFEC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相机支持存储卡容量不小于64G；</w:t>
      </w:r>
    </w:p>
    <w:p w14:paraId="4D599DC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像素：≥900万；</w:t>
      </w:r>
    </w:p>
    <w:p w14:paraId="54FFF5D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图像颜色：彩色；</w:t>
      </w:r>
    </w:p>
    <w:p w14:paraId="64AFFD1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帧率：≥25印；</w:t>
      </w:r>
    </w:p>
    <w:p w14:paraId="0EFBF25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视频压缩标准：H.264/H.265/MJPEG；</w:t>
      </w:r>
    </w:p>
    <w:p w14:paraId="2BF8D9B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图片压缩方式：JPEG；</w:t>
      </w:r>
    </w:p>
    <w:p w14:paraId="25A6D4B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传输接口：RJ45 100M/1000M自适应以太网口；</w:t>
      </w:r>
    </w:p>
    <w:p w14:paraId="60ABA99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内嵌实时时钟，具备远程校时功能；</w:t>
      </w:r>
    </w:p>
    <w:p w14:paraId="47B8002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含有电源、网络等接口防雷器；</w:t>
      </w:r>
    </w:p>
    <w:p w14:paraId="41267A6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平均无故障时间：MTBF≥30000小时；</w:t>
      </w:r>
    </w:p>
    <w:p w14:paraId="7D11743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防护等级：IP65；</w:t>
      </w:r>
    </w:p>
    <w:p w14:paraId="4E6C0AF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安装角度可调，含必要的支架、万向节等安装附属材料；</w:t>
      </w:r>
    </w:p>
    <w:p w14:paraId="6436680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供电电压及适应范围：AC220V±20%；</w:t>
      </w:r>
    </w:p>
    <w:p w14:paraId="33F37A2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功耗：&lt;30W；</w:t>
      </w:r>
    </w:p>
    <w:p w14:paraId="0030E51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工作环境温度：-40℃～+55℃；</w:t>
      </w:r>
    </w:p>
    <w:p w14:paraId="7C2004D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工作环境相对湿度：&lt;95%；</w:t>
      </w:r>
    </w:p>
    <w:p w14:paraId="56B9140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具备良好的维护特性，支持雨刷功能或视窗表面采用镀膜处理，以保持视窗</w:t>
      </w:r>
    </w:p>
    <w:p w14:paraId="2AC0C56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 晰；</w:t>
      </w:r>
    </w:p>
    <w:p w14:paraId="5FA6251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支持不小于三码流输出。</w:t>
      </w:r>
    </w:p>
    <w:p w14:paraId="2C75CA01">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1" w:name="_Toc26218"/>
      <w:r>
        <w:rPr>
          <w:rFonts w:hint="eastAsia" w:ascii="宋体" w:hAnsi="宋体" w:eastAsia="宋体" w:cs="宋体"/>
          <w:b/>
          <w:bCs/>
          <w:color w:val="auto"/>
          <w:szCs w:val="21"/>
          <w:highlight w:val="none"/>
        </w:rPr>
        <w:t>工业以太网交换机（接入）</w:t>
      </w:r>
      <w:bookmarkEnd w:id="151"/>
    </w:p>
    <w:p w14:paraId="6D4E21E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端口数量：至少2个1000M单模SC光口，6个10/100M RJ45电口；</w:t>
      </w:r>
    </w:p>
    <w:p w14:paraId="086A39D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实时性：工业以太网交换机应具有高度的实时性，最大收发延迟不超过10μs；</w:t>
      </w:r>
    </w:p>
    <w:p w14:paraId="1037CE9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网络拓扑结构：支持总线／星形拓朴、环形结构;</w:t>
      </w:r>
    </w:p>
    <w:p w14:paraId="21F0E71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冗余24V电源；</w:t>
      </w:r>
    </w:p>
    <w:p w14:paraId="306A284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安全要求：支持基于MAC和基于IP端口安全、SNMP V3、认证(802.1x)、ACL (访问控制表)；</w:t>
      </w:r>
    </w:p>
    <w:p w14:paraId="756455B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光口传输距离：根据实际需求配置；</w:t>
      </w:r>
    </w:p>
    <w:p w14:paraId="08E52B21">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2" w:name="_Toc5081"/>
      <w:r>
        <w:rPr>
          <w:rFonts w:hint="eastAsia" w:ascii="宋体" w:hAnsi="宋体" w:eastAsia="宋体" w:cs="宋体"/>
          <w:b/>
          <w:bCs/>
          <w:color w:val="auto"/>
          <w:szCs w:val="21"/>
          <w:highlight w:val="none"/>
        </w:rPr>
        <w:t>工业以太网交换机（汇聚）</w:t>
      </w:r>
      <w:bookmarkEnd w:id="152"/>
    </w:p>
    <w:p w14:paraId="306270A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端口数量：至少4个1000M单模SC光口，6个10/100M RJ45电口；</w:t>
      </w:r>
    </w:p>
    <w:p w14:paraId="48D3141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实时性：工业以太网交换机应具有高度的实时性，最大收发延迟不超过10μs；</w:t>
      </w:r>
    </w:p>
    <w:p w14:paraId="6C6FBD7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网络拓扑结构：支持总线／星形拓朴、环形结构;</w:t>
      </w:r>
    </w:p>
    <w:p w14:paraId="42EC760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冗余24V电源；</w:t>
      </w:r>
    </w:p>
    <w:p w14:paraId="6EDAF6B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安全要求：支持基于MAC和基于IP端口安全、SNMP V3、认证(802.1x)、ACL (访问控制表)；</w:t>
      </w:r>
    </w:p>
    <w:p w14:paraId="014C434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woUserID w:val="1"/>
        </w:rPr>
        <w:t></w:t>
      </w:r>
      <w:r>
        <w:rPr>
          <w:rFonts w:hint="eastAsia" w:ascii="宋体" w:hAnsi="宋体" w:eastAsia="宋体" w:cs="宋体"/>
          <w:color w:val="auto"/>
          <w:szCs w:val="21"/>
          <w:highlight w:val="none"/>
        </w:rPr>
        <w:t>光口传输距离：根据实际需求配置；</w:t>
      </w:r>
    </w:p>
    <w:p w14:paraId="62299E88">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3" w:name="_Toc20729"/>
      <w:r>
        <w:rPr>
          <w:rFonts w:hint="eastAsia" w:ascii="宋体" w:hAnsi="宋体" w:eastAsia="宋体" w:cs="宋体"/>
          <w:b/>
          <w:bCs/>
          <w:color w:val="auto"/>
          <w:szCs w:val="21"/>
          <w:highlight w:val="none"/>
        </w:rPr>
        <w:t>球型监控摄像机（场区）</w:t>
      </w:r>
      <w:bookmarkEnd w:id="153"/>
    </w:p>
    <w:p w14:paraId="322067D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成像类型：不小于1/1.8inch 逐行扫描400万像素CMOS；</w:t>
      </w:r>
    </w:p>
    <w:p w14:paraId="1CE42E8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最低照度：0.005lux，0lux(开启红外)；</w:t>
      </w:r>
    </w:p>
    <w:p w14:paraId="0E44ADD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白平衡 ：自动（默认）；</w:t>
      </w:r>
    </w:p>
    <w:p w14:paraId="5082A79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日夜模式：自动；</w:t>
      </w:r>
    </w:p>
    <w:p w14:paraId="710FC4D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光圈：自动；</w:t>
      </w:r>
    </w:p>
    <w:p w14:paraId="234BD62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变倍：20倍光学变倍，4.7～94mm；</w:t>
      </w:r>
    </w:p>
    <w:p w14:paraId="3235AB4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支持预置位巡航、轨迹巡航；</w:t>
      </w:r>
    </w:p>
    <w:p w14:paraId="06DDC8A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编码协议：H.265、H.264、MJPEG；</w:t>
      </w:r>
    </w:p>
    <w:p w14:paraId="2EA5681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电子快门：自动/手动；</w:t>
      </w:r>
    </w:p>
    <w:p w14:paraId="1509E07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信噪比：≥52dB；</w:t>
      </w:r>
    </w:p>
    <w:p w14:paraId="113D2C8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网络接口：10/100Base-TX，RJ45；</w:t>
      </w:r>
    </w:p>
    <w:p w14:paraId="2BAA519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网络协议：L2TP、IPv4、IGMP、ICMP、ARP、TCP、UDP、DHCP、PPPoE、RTP、RTSP、DNS、DDNS、NTP、FTP、UPnP、HTTP、SNMP、SIP等；</w:t>
      </w:r>
    </w:p>
    <w:p w14:paraId="0A032DD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摄像机须同时支持三码流，支持组播功能，支持ONVIF2.0协议；</w:t>
      </w:r>
    </w:p>
    <w:p w14:paraId="1DEC568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支持中文字符叠加功能；</w:t>
      </w:r>
    </w:p>
    <w:p w14:paraId="2C1ABFD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水平方向：360°连续旋转，水平键控速度不小于160°/s；</w:t>
      </w:r>
    </w:p>
    <w:p w14:paraId="11A5111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垂直方向：-15°～90° (自动翻转)，垂直键控速度不小于120°/s；</w:t>
      </w:r>
    </w:p>
    <w:p w14:paraId="73D1B2C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红外距离不低于150米；</w:t>
      </w:r>
    </w:p>
    <w:p w14:paraId="6B04CAE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摄像机必须符合国际相关标准，并完全采用国际标准开放协议，并提供开放的API接口；</w:t>
      </w:r>
    </w:p>
    <w:p w14:paraId="0E2815D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摄像机具备雨刷功能。</w:t>
      </w:r>
    </w:p>
    <w:p w14:paraId="0023828A">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4" w:name="_Toc10368"/>
      <w:r>
        <w:rPr>
          <w:rFonts w:hint="eastAsia" w:ascii="宋体" w:hAnsi="宋体" w:eastAsia="宋体" w:cs="宋体"/>
          <w:b/>
          <w:bCs/>
          <w:color w:val="auto"/>
          <w:szCs w:val="21"/>
          <w:highlight w:val="none"/>
        </w:rPr>
        <w:t>网络半球摄像机</w:t>
      </w:r>
      <w:bookmarkEnd w:id="154"/>
    </w:p>
    <w:p w14:paraId="1737EC5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成像类型：不小于1/1.8inch 逐行扫描400万像素CMOS；</w:t>
      </w:r>
    </w:p>
    <w:p w14:paraId="6B00648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最低照度要求彩色小于等于彩色0.03lux，0lux (开启红外)；</w:t>
      </w:r>
    </w:p>
    <w:p w14:paraId="34A78EF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镜头类型及参数：2.8～12mm；</w:t>
      </w:r>
    </w:p>
    <w:p w14:paraId="52A558D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摄像机需支持走廊模式，图像可旋转90°，180°，270°；</w:t>
      </w:r>
    </w:p>
    <w:p w14:paraId="5092625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摄像机须同时支持三码流,支持组播功能，支持ONVIF2.0协议；</w:t>
      </w:r>
    </w:p>
    <w:p w14:paraId="6FE7E21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支持中文字符叠加功能；</w:t>
      </w:r>
    </w:p>
    <w:p w14:paraId="3A5E0BF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电子快门：自动/手动（区间可调，1/6～1/8000s）；</w:t>
      </w:r>
    </w:p>
    <w:p w14:paraId="5CC8680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性噪比：≥52dB；</w:t>
      </w:r>
    </w:p>
    <w:p w14:paraId="63368D4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智能报警：移动侦测、视频遮挡；</w:t>
      </w:r>
    </w:p>
    <w:p w14:paraId="3811035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摄像机必须符合国际相关标准，并完全采用国际标准开放协议，并提供开放的API接口。</w:t>
      </w:r>
    </w:p>
    <w:p w14:paraId="50C4ED3F">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5" w:name="_Toc4925"/>
      <w:r>
        <w:rPr>
          <w:rFonts w:hint="eastAsia" w:ascii="宋体" w:hAnsi="宋体" w:eastAsia="宋体" w:cs="宋体"/>
          <w:b/>
          <w:bCs/>
          <w:color w:val="auto"/>
          <w:szCs w:val="21"/>
          <w:highlight w:val="none"/>
        </w:rPr>
        <w:t>全景监控摄像机</w:t>
      </w:r>
      <w:bookmarkEnd w:id="155"/>
    </w:p>
    <w:p w14:paraId="03FCDD8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不少于2个全景摄像机和1个细节摄像机组成，2个全景摄像机CMOS图像传感器靶面尺寸不低于1/1.8英寸，细节摄像机CMOS图像传感器靶面尺寸不低于1/1.8英寸；</w:t>
      </w:r>
    </w:p>
    <w:p w14:paraId="23F6BE2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全景有效像素不小于600万像素，细节有效像素不小于400万像素;</w:t>
      </w:r>
    </w:p>
    <w:p w14:paraId="3505F84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最低照度：彩色不大于0.0002lx，黑白不大于0.0001lx；</w:t>
      </w:r>
    </w:p>
    <w:p w14:paraId="52C5751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细节摄像机光学变倍≥40倍，最大焦距不小于220mm；</w:t>
      </w:r>
    </w:p>
    <w:p w14:paraId="64E46BC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补光灯距离：细节≥250米，全景≥30米；</w:t>
      </w:r>
    </w:p>
    <w:p w14:paraId="3B6484A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垂直旋转范围：全景：5°~17°,细节：-30°~90°;水平旋转范围：细节：0°~360°连续旋转；</w:t>
      </w:r>
    </w:p>
    <w:p w14:paraId="33C5ABC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支持对镜头前盖玻璃加热,去除玻璃上的冰状和水状附着物；</w:t>
      </w:r>
    </w:p>
    <w:p w14:paraId="5B034B6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支持自动或手动启动雨刷,对屏幕进行清洁。</w:t>
      </w:r>
    </w:p>
    <w:p w14:paraId="1D2061B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水平0°~360°,垂直-30°~90°旋转；</w:t>
      </w:r>
    </w:p>
    <w:p w14:paraId="4269714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内置补光灯，RJ45100M/1000M自适应以太网口。</w:t>
      </w:r>
    </w:p>
    <w:p w14:paraId="788E9438">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6" w:name="_Toc19955"/>
      <w:r>
        <w:rPr>
          <w:rFonts w:hint="eastAsia" w:ascii="宋体" w:hAnsi="宋体" w:eastAsia="宋体" w:cs="宋体"/>
          <w:b/>
          <w:bCs/>
          <w:color w:val="auto"/>
          <w:szCs w:val="21"/>
          <w:highlight w:val="none"/>
        </w:rPr>
        <w:t>视频交换机</w:t>
      </w:r>
      <w:bookmarkEnd w:id="156"/>
    </w:p>
    <w:p w14:paraId="30CEAFA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交换容量：192Gbps；</w:t>
      </w:r>
    </w:p>
    <w:p w14:paraId="6D105C8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24个100/1000Base-TX以太网端口,4个复用de1000Base-X SFP千兆以太网端口；</w:t>
      </w:r>
    </w:p>
    <w:p w14:paraId="654B1D8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支持端口汇聚，组播，VLAN；</w:t>
      </w:r>
    </w:p>
    <w:p w14:paraId="76ABA01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woUserID w:val="1"/>
        </w:rPr>
        <w:t></w:t>
      </w:r>
      <w:r>
        <w:rPr>
          <w:rFonts w:hint="eastAsia" w:ascii="宋体" w:hAnsi="宋体" w:eastAsia="宋体" w:cs="宋体"/>
          <w:color w:val="auto"/>
          <w:szCs w:val="21"/>
          <w:highlight w:val="none"/>
        </w:rPr>
        <w:t>支持IPv4和IPv6的三层路由功能。</w:t>
      </w:r>
    </w:p>
    <w:p w14:paraId="74393080">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7" w:name="_Toc6545"/>
      <w:r>
        <w:rPr>
          <w:rFonts w:hint="eastAsia" w:ascii="宋体" w:hAnsi="宋体" w:eastAsia="宋体" w:cs="宋体"/>
          <w:b/>
          <w:bCs/>
          <w:color w:val="auto"/>
          <w:szCs w:val="21"/>
          <w:highlight w:val="none"/>
        </w:rPr>
        <w:t>电光诱导终端</w:t>
      </w:r>
      <w:bookmarkEnd w:id="157"/>
    </w:p>
    <w:p w14:paraId="26825FF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可显示红灯、黄灯，可显示雨、雪、雾、冰、风文字；</w:t>
      </w:r>
    </w:p>
    <w:p w14:paraId="3154D53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模块亮度：≥500cd／m2～7000cd/m2；</w:t>
      </w:r>
    </w:p>
    <w:p w14:paraId="42BCFF6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发光显示组件为方形，LED阵列布置均匀；</w:t>
      </w:r>
    </w:p>
    <w:p w14:paraId="72335B9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车辆通过检测光束有效距离：不小于28m；</w:t>
      </w:r>
    </w:p>
    <w:p w14:paraId="0E40BC0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检测光束发射方法：调制发射；</w:t>
      </w:r>
    </w:p>
    <w:p w14:paraId="3400222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检测光束冗余：双冗余；</w:t>
      </w:r>
    </w:p>
    <w:p w14:paraId="445DD74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单元与网关之间采用无线通信方式；</w:t>
      </w:r>
    </w:p>
    <w:p w14:paraId="01D066A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任意范围内的单元出现车辆碰撞损毁、偷盗缺失、自身故障等情形时，诱导系统中其他诱导装置仍能够正常工作；</w:t>
      </w:r>
    </w:p>
    <w:p w14:paraId="5E78DB1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控制优先顺序：上位机、能见度仪本地控制、星历控制；</w:t>
      </w:r>
    </w:p>
    <w:p w14:paraId="30844FC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采用工程塑料材质，具有整体绝缘性；</w:t>
      </w:r>
    </w:p>
    <w:p w14:paraId="30D5374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太阳能电池板与电光诱导边缘标采用一体化内嵌结构；</w:t>
      </w:r>
    </w:p>
    <w:p w14:paraId="161A8FA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设备续航指标：雾霾天气环境下，不低于72小时连续开启；</w:t>
      </w:r>
    </w:p>
    <w:p w14:paraId="0E4D29C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具备护栏碰撞自动报警功能，自动提醒碰撞位置桩号；</w:t>
      </w:r>
    </w:p>
    <w:p w14:paraId="3CDDED4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边缘物联网关：无线链接前端设备，实现智能化驱动系统及数据处理备案，可与外场设备联动自动发布控制指令；</w:t>
      </w:r>
    </w:p>
    <w:p w14:paraId="0595B7B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woUserID w:val="1"/>
        </w:rPr>
        <w:t></w:t>
      </w:r>
      <w:r>
        <w:rPr>
          <w:rFonts w:hint="eastAsia" w:ascii="宋体" w:hAnsi="宋体" w:eastAsia="宋体" w:cs="宋体"/>
          <w:color w:val="auto"/>
          <w:szCs w:val="21"/>
          <w:highlight w:val="none"/>
        </w:rPr>
        <w:t>其它要求应满足JT/T 1032/2016《雾天公路行车安全诱导装置》。</w:t>
      </w:r>
    </w:p>
    <w:p w14:paraId="55D300FA">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8" w:name="_Toc11059"/>
      <w:r>
        <w:rPr>
          <w:rFonts w:hint="eastAsia" w:ascii="宋体" w:hAnsi="宋体" w:eastAsia="宋体" w:cs="宋体"/>
          <w:b/>
          <w:bCs/>
          <w:color w:val="auto"/>
          <w:szCs w:val="21"/>
          <w:highlight w:val="none"/>
        </w:rPr>
        <w:t>CPC卡读写器</w:t>
      </w:r>
      <w:bookmarkEnd w:id="158"/>
    </w:p>
    <w:p w14:paraId="0758143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非接触，卡片读写距离0～100mm；</w:t>
      </w:r>
    </w:p>
    <w:p w14:paraId="324D01C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读写时间≤100ms；</w:t>
      </w:r>
    </w:p>
    <w:p w14:paraId="4FAE1C1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兼容Mifare pro IC卡和MifareⅠIC卡；</w:t>
      </w:r>
    </w:p>
    <w:p w14:paraId="6ED955C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基于SAM卡的安全机制。</w:t>
      </w:r>
    </w:p>
    <w:p w14:paraId="79AF869C">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59" w:name="_Toc11583"/>
      <w:r>
        <w:rPr>
          <w:rFonts w:hint="eastAsia" w:ascii="宋体" w:hAnsi="宋体" w:eastAsia="宋体" w:cs="宋体"/>
          <w:b/>
          <w:bCs/>
          <w:color w:val="auto"/>
          <w:szCs w:val="21"/>
          <w:highlight w:val="none"/>
        </w:rPr>
        <w:t>绿通手持终端</w:t>
      </w:r>
      <w:bookmarkEnd w:id="159"/>
    </w:p>
    <w:p w14:paraId="3117B54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运行内存：应不少于4GB。</w:t>
      </w:r>
    </w:p>
    <w:p w14:paraId="7C54D38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存储容量：应不少于64GB。</w:t>
      </w:r>
    </w:p>
    <w:p w14:paraId="569FF74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网络支持：应支持4G、5G 网络，应具备WiFi 模块。</w:t>
      </w:r>
    </w:p>
    <w:p w14:paraId="5C3D4AE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摄像头：像素不低于1200 万，应配置补光灯。</w:t>
      </w:r>
    </w:p>
    <w:p w14:paraId="0545B73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屏幕：尺寸应不小于5 英寸，分辨率不低于1280×720 像素。</w:t>
      </w:r>
    </w:p>
    <w:p w14:paraId="4A744692">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0" w:name="_Toc19038"/>
      <w:r>
        <w:rPr>
          <w:rFonts w:hint="eastAsia" w:ascii="宋体" w:hAnsi="宋体" w:eastAsia="宋体" w:cs="宋体"/>
          <w:b/>
          <w:bCs/>
          <w:color w:val="auto"/>
          <w:szCs w:val="21"/>
          <w:highlight w:val="none"/>
        </w:rPr>
        <w:t>ETC应急收费机</w:t>
      </w:r>
      <w:bookmarkEnd w:id="160"/>
    </w:p>
    <w:p w14:paraId="20FBE58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存储容量：128GB（可扩展）；内存：不小于4G；</w:t>
      </w:r>
    </w:p>
    <w:p w14:paraId="4A844A3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液晶屏：8英寸，分辨率1920×1200；摄像头：标配，前置800W像素，后置1300W/带闪光灯，主要用于拍照扫描（车牌识别、二维码扫描）；</w:t>
      </w:r>
    </w:p>
    <w:p w14:paraId="4E0D8BD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载波频率：上下行链路5.8GHz；</w:t>
      </w:r>
    </w:p>
    <w:p w14:paraId="26D862B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2个PSAM卡槽；</w:t>
      </w:r>
    </w:p>
    <w:p w14:paraId="7CF6F23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复合通行卡接口频率：13.56MHz；</w:t>
      </w:r>
    </w:p>
    <w:p w14:paraId="4D2656D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复合通行卡读写距离：0~5cm；</w:t>
      </w:r>
    </w:p>
    <w:p w14:paraId="56AF7A5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通信接口：USB，WiFi、蓝牙、联通4G、移动4G、电信4G、GPS/GLONASS/北斗。</w:t>
      </w:r>
    </w:p>
    <w:p w14:paraId="6ACF060B">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1" w:name="_Toc1917"/>
      <w:r>
        <w:rPr>
          <w:rFonts w:hint="eastAsia" w:ascii="宋体" w:hAnsi="宋体" w:eastAsia="宋体" w:cs="宋体"/>
          <w:b/>
          <w:bCs/>
          <w:color w:val="auto"/>
          <w:szCs w:val="21"/>
          <w:highlight w:val="none"/>
        </w:rPr>
        <w:t>门架车道控制器</w:t>
      </w:r>
      <w:bookmarkEnd w:id="161"/>
    </w:p>
    <w:p w14:paraId="1B13CF0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采用低功耗处理器，CPU不低于双核，主频不低于2.5GHZ；</w:t>
      </w:r>
    </w:p>
    <w:p w14:paraId="7A0268D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内存：≥8GB；</w:t>
      </w:r>
    </w:p>
    <w:p w14:paraId="74F29A1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硬盘存储：系统盘采用固态硬盘，不低于120GB；数据盘不低于1TB；</w:t>
      </w:r>
    </w:p>
    <w:p w14:paraId="48FEBC0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10/100/1000MBps自适应网络接口≥2个；</w:t>
      </w:r>
    </w:p>
    <w:p w14:paraId="4BBE109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USB接口数量：≥2个（USB2.0或以上）；</w:t>
      </w:r>
    </w:p>
    <w:p w14:paraId="57EACD1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串口（支持RS232）数量：≥4个；</w:t>
      </w:r>
    </w:p>
    <w:p w14:paraId="24DB108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宜支持不少于16路开关量I/O；</w:t>
      </w:r>
    </w:p>
    <w:p w14:paraId="0E73543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支持上电自动开机和远程硬重启；</w:t>
      </w:r>
    </w:p>
    <w:p w14:paraId="098236D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具备实时监测、故障诊断及报警提示功能。支持实时监测电源参数。支持与机柜门禁联动，实现入侵监控报警；</w:t>
      </w:r>
    </w:p>
    <w:p w14:paraId="0230F30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工作环境温度： -35℃～+55℃；</w:t>
      </w:r>
    </w:p>
    <w:p w14:paraId="2AC166A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MTBF: ≥30000小时；</w:t>
      </w:r>
    </w:p>
    <w:p w14:paraId="588A6DA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MTTR: ≤0.5小时；</w:t>
      </w:r>
    </w:p>
    <w:p w14:paraId="639A533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至少保存180天的流水记录和7天的图像信息；</w:t>
      </w:r>
    </w:p>
    <w:p w14:paraId="27E9950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供电电压及适应范围：AC220V±20%；</w:t>
      </w:r>
    </w:p>
    <w:p w14:paraId="411E4BD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功耗：≤200W；</w:t>
      </w:r>
    </w:p>
    <w:p w14:paraId="1F9AA6D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含电源、网络等接口防雷功能。</w:t>
      </w:r>
    </w:p>
    <w:p w14:paraId="12E26830">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2" w:name="_Toc1369"/>
      <w:r>
        <w:rPr>
          <w:rFonts w:hint="eastAsia" w:ascii="宋体" w:hAnsi="宋体" w:eastAsia="宋体" w:cs="宋体"/>
          <w:b/>
          <w:bCs/>
          <w:color w:val="auto"/>
          <w:szCs w:val="21"/>
          <w:highlight w:val="none"/>
        </w:rPr>
        <w:t>车道工控机</w:t>
      </w:r>
      <w:bookmarkEnd w:id="162"/>
    </w:p>
    <w:p w14:paraId="0D274C3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CPU：主板Intel i5-7500；</w:t>
      </w:r>
    </w:p>
    <w:p w14:paraId="22F67B0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内存：标准配置16GB双通道DDR4内存；</w:t>
      </w:r>
    </w:p>
    <w:p w14:paraId="2CC0F1D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硬盘：双硬盘；标准配置为250G以上固态硬盘，外加扩展一块机械硬盘，容量为1T；</w:t>
      </w:r>
    </w:p>
    <w:p w14:paraId="002FDB4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音频接口：主板封装1路音频输入，1路立体音频输出；</w:t>
      </w:r>
    </w:p>
    <w:p w14:paraId="5D90C58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显示:HDMI及VGA；</w:t>
      </w:r>
    </w:p>
    <w:p w14:paraId="46E184F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总线扩展：2路PCI总线插槽；</w:t>
      </w:r>
    </w:p>
    <w:p w14:paraId="165E9BF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USB接口：主板封装不低于6路USB；</w:t>
      </w:r>
    </w:p>
    <w:p w14:paraId="1AADF40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网络接口：主板封装不低于4路10/100/1000Mbps自适应网络接口，可分配独立IP地址，具备浪涌保护功能；</w:t>
      </w:r>
    </w:p>
    <w:p w14:paraId="040FD2A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串行数据接口：主板封装8路RS-232数据接口。</w:t>
      </w:r>
    </w:p>
    <w:p w14:paraId="1ADCE1A5">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3" w:name="_Toc26288"/>
      <w:r>
        <w:rPr>
          <w:rFonts w:hint="eastAsia" w:ascii="宋体" w:hAnsi="宋体" w:eastAsia="宋体" w:cs="宋体"/>
          <w:b/>
          <w:bCs/>
          <w:color w:val="auto"/>
          <w:szCs w:val="21"/>
          <w:highlight w:val="none"/>
        </w:rPr>
        <w:t>雨棚信号灯</w:t>
      </w:r>
      <w:bookmarkEnd w:id="163"/>
    </w:p>
    <w:p w14:paraId="1B5B30D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尺寸：600×600mm，带遮阳罩，黑色机箱，防水、防尘、防锈设计，密封性IP55；</w:t>
      </w:r>
    </w:p>
    <w:p w14:paraId="38001D7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像素：每只像素封装2只以上LED管，图案每排2只像素以上；</w:t>
      </w:r>
    </w:p>
    <w:p w14:paraId="4D96CBC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“红色×”的方式工作；</w:t>
      </w:r>
    </w:p>
    <w:p w14:paraId="3AECC60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电源：AC220V±15%，50Hz±3Hz；</w:t>
      </w:r>
    </w:p>
    <w:p w14:paraId="46BB83E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MTBF：50,000小时；</w:t>
      </w:r>
    </w:p>
    <w:p w14:paraId="7D4B9E9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MTTR：0.5小时；</w:t>
      </w:r>
    </w:p>
    <w:p w14:paraId="236E6D2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温度范围：-20℃～+60℃；</w:t>
      </w:r>
    </w:p>
    <w:p w14:paraId="7320EB09">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4" w:name="_Toc1887"/>
      <w:r>
        <w:rPr>
          <w:rFonts w:hint="eastAsia" w:ascii="宋体" w:hAnsi="宋体" w:eastAsia="宋体" w:cs="宋体"/>
          <w:b/>
          <w:bCs/>
          <w:color w:val="auto"/>
          <w:szCs w:val="21"/>
          <w:highlight w:val="none"/>
        </w:rPr>
        <w:t>移动支付终端</w:t>
      </w:r>
      <w:bookmarkEnd w:id="164"/>
    </w:p>
    <w:p w14:paraId="61EBEC9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设备防非法软件或木马植入；</w:t>
      </w:r>
    </w:p>
    <w:p w14:paraId="34A7AEE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双摄像头，支持防眩光、光学防抖；</w:t>
      </w:r>
    </w:p>
    <w:p w14:paraId="5B9816C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摄像头分辨率了不低于30万像素；</w:t>
      </w:r>
    </w:p>
    <w:p w14:paraId="4BA7852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显示屏：LED户外高清屏；</w:t>
      </w:r>
    </w:p>
    <w:p w14:paraId="0926DAA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不低于64×64分辨率；</w:t>
      </w:r>
    </w:p>
    <w:p w14:paraId="0071D89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扫码范围：不低于40cm-150cm；</w:t>
      </w:r>
    </w:p>
    <w:p w14:paraId="3B422BF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音量：不低于80DB/80cm；</w:t>
      </w:r>
    </w:p>
    <w:p w14:paraId="6C4035D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支持以太网通讯及远程管理、固件升级功能；</w:t>
      </w:r>
    </w:p>
    <w:p w14:paraId="786D933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支持RS232接口通讯；</w:t>
      </w:r>
    </w:p>
    <w:p w14:paraId="695D42C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IP65+防护等级、雨淋环境下扫码；</w:t>
      </w:r>
    </w:p>
    <w:p w14:paraId="13C1F10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终端工作环境：-20°C，+70℃，相对湿度&lt;95%；</w:t>
      </w:r>
    </w:p>
    <w:p w14:paraId="0CF9CB3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终端存储环境：-40°C，+80℃，相对湿度&lt;98%；</w:t>
      </w:r>
    </w:p>
    <w:p w14:paraId="30C0E296">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5" w:name="_Toc18845"/>
      <w:r>
        <w:rPr>
          <w:rFonts w:hint="eastAsia" w:ascii="宋体" w:hAnsi="宋体" w:eastAsia="宋体" w:cs="宋体"/>
          <w:b/>
          <w:bCs/>
          <w:color w:val="auto"/>
          <w:szCs w:val="21"/>
          <w:highlight w:val="none"/>
        </w:rPr>
        <w:t>光栅</w:t>
      </w:r>
      <w:bookmarkEnd w:id="165"/>
    </w:p>
    <w:p w14:paraId="5EB2ECB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车辆单车分离精度：晴天≥99.9％，雨雾天气≥99.5%；</w:t>
      </w:r>
    </w:p>
    <w:p w14:paraId="062C379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采用高能量、高穿透率光电管；</w:t>
      </w:r>
    </w:p>
    <w:p w14:paraId="53576A1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光栅红外发射管的最高高度：1500mm～2000mm；</w:t>
      </w:r>
    </w:p>
    <w:p w14:paraId="69C2A92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光栅红外发射管的最低高度：≤400mm；</w:t>
      </w:r>
    </w:p>
    <w:p w14:paraId="1779AA5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最小分辨物尺寸：≤30mm；</w:t>
      </w:r>
    </w:p>
    <w:p w14:paraId="02208EA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两车可分离的最小间距：≤100mm；</w:t>
      </w:r>
    </w:p>
    <w:p w14:paraId="2D98AF4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红外光发射端与接收端最大距离：14m；</w:t>
      </w:r>
    </w:p>
    <w:p w14:paraId="5D6F390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光幕安装高度可调范围：400mm~1600mm；</w:t>
      </w:r>
    </w:p>
    <w:p w14:paraId="021C56D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工作环境温度：-40℃～+80℃；</w:t>
      </w:r>
    </w:p>
    <w:p w14:paraId="0C81CFF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相对湿度：0～95％；</w:t>
      </w:r>
    </w:p>
    <w:p w14:paraId="26E37C3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MTBF≥20000h；</w:t>
      </w:r>
    </w:p>
    <w:p w14:paraId="492C745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防护等级：IP67。</w:t>
      </w:r>
    </w:p>
    <w:p w14:paraId="33DE2B66">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6" w:name="_Toc7607"/>
      <w:r>
        <w:rPr>
          <w:rFonts w:hint="eastAsia" w:ascii="宋体" w:hAnsi="宋体" w:eastAsia="宋体" w:cs="宋体"/>
          <w:b/>
          <w:bCs/>
          <w:color w:val="auto"/>
          <w:szCs w:val="21"/>
          <w:highlight w:val="none"/>
        </w:rPr>
        <w:t>车型自动识别设备</w:t>
      </w:r>
      <w:bookmarkEnd w:id="166"/>
    </w:p>
    <w:p w14:paraId="26356E0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功能要求：车型识别（自动识别轴数和轮数，输出车型信息，符合《JT/T 489-2019 收费公路车辆通行费车型分类》标准要求），车牌识别，车辆分离，全景多角度监控，视频识别，智能补光，字符叠加，宽温，宽压；</w:t>
      </w:r>
    </w:p>
    <w:p w14:paraId="2C97891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输出信息：H.264视频，车头大图（≥500万像素），车尾大图（≥500万像素），车辆侧面图（≥500万像素），车牌彩色小图，车牌结果文本，附加信息文本等；</w:t>
      </w:r>
    </w:p>
    <w:p w14:paraId="464F43E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可识别的车牌类型：可识别符合“GA36-2014”、“GA36.1-2001”、“GA36-2007”标准的民用车牌照和“2012式”军车牌照、“2012式”武警车牌照、新能源车牌照的汉字、字母、数字、颜色等信息；</w:t>
      </w:r>
    </w:p>
    <w:p w14:paraId="44650C6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车辆抓拍识别率：车辆捕获率≥98%；车辆号牌识别率≥99%；</w:t>
      </w:r>
    </w:p>
    <w:p w14:paraId="23CECB3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车型识别率：车辆分离准确率≥98%；车型识别准确率≥98%；</w:t>
      </w:r>
    </w:p>
    <w:p w14:paraId="07D219A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轴数轮胎识别率：轴数识别准确率≥98%；轮胎识别准确率≥98%；</w:t>
      </w:r>
    </w:p>
    <w:p w14:paraId="7BDFC20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接口要求：2个 100/1000M自适应RJ45，1个 I/O输入I/O输出，1个RS-485，支持多种网络协议，包括TCP/IP、UDP、HTTP、NTP、RTSP协议等；</w:t>
      </w:r>
    </w:p>
    <w:p w14:paraId="02F35FF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调试要求:图像采集单元的三个摄像头一体化，镜头角度可调，支持远程维护，设备的升级、维护、参数调整，可以在网络中的任何一个计算机终端上在线完成；</w:t>
      </w:r>
    </w:p>
    <w:p w14:paraId="2785753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电源：AC 100～240V，50～60Hz；</w:t>
      </w:r>
    </w:p>
    <w:p w14:paraId="085B126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防护等级：IP55；</w:t>
      </w:r>
    </w:p>
    <w:p w14:paraId="36FBDA7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平均无故障时间：MTBF ≥ 30000小时；</w:t>
      </w:r>
    </w:p>
    <w:p w14:paraId="53669BD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平均修复时间：MTTR ≤ 90秒。</w:t>
      </w:r>
    </w:p>
    <w:p w14:paraId="20661945">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7" w:name="_Toc3965"/>
      <w:r>
        <w:rPr>
          <w:rFonts w:hint="eastAsia" w:ascii="宋体" w:hAnsi="宋体" w:eastAsia="宋体" w:cs="宋体"/>
          <w:b/>
          <w:bCs/>
          <w:color w:val="auto"/>
          <w:szCs w:val="21"/>
          <w:highlight w:val="none"/>
        </w:rPr>
        <w:t>车牌识别摄像机</w:t>
      </w:r>
      <w:bookmarkEnd w:id="167"/>
    </w:p>
    <w:p w14:paraId="1917A79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具备车牌图像识别功能；</w:t>
      </w:r>
    </w:p>
    <w:p w14:paraId="2260FDA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输出图片类型:全景图、车牌图、二值图；</w:t>
      </w:r>
    </w:p>
    <w:p w14:paraId="4BA2DBE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触发方式:视频触发、RS-485触发、外部I/O触发、网络触发；</w:t>
      </w:r>
    </w:p>
    <w:p w14:paraId="4050330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支持对工作状态检测的应答；</w:t>
      </w:r>
    </w:p>
    <w:p w14:paraId="25D5170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支持补光灯同步补光；</w:t>
      </w:r>
    </w:p>
    <w:p w14:paraId="39B3DEC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支持补光灯状态检测；</w:t>
      </w:r>
    </w:p>
    <w:p w14:paraId="05CE532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支持断网时本地存储；</w:t>
      </w:r>
    </w:p>
    <w:p w14:paraId="0899D73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内嵌实时时钟，具备远程校时功能；</w:t>
      </w:r>
    </w:p>
    <w:p w14:paraId="6267AF3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含有电源、网络等接口防雷模块；</w:t>
      </w:r>
    </w:p>
    <w:p w14:paraId="272F6AB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宜支持车辆特征检测，如车身颜色、车辆品牌标志等。</w:t>
      </w:r>
    </w:p>
    <w:p w14:paraId="6292919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车牌图像识别设备应满足以下性能要求：</w:t>
      </w:r>
    </w:p>
    <w:p w14:paraId="0EE4D77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图像颜色：彩色；</w:t>
      </w:r>
    </w:p>
    <w:p w14:paraId="54D62F3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像素：≥900万；</w:t>
      </w:r>
    </w:p>
    <w:p w14:paraId="6B98C23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抓拍图像及车牌识别时间：≤0.1s；</w:t>
      </w:r>
    </w:p>
    <w:p w14:paraId="2C2B9CE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车辆捕获率：在车速为0～220km/h的条件下，≥99.5%（分子为抓拍图像车辆数量，分母为实际通行车辆总数）；</w:t>
      </w:r>
    </w:p>
    <w:p w14:paraId="3D69C1F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车牌图像识别准确率：在车速为0～220km/h的条件下，≥95%（为正确识别车牌的数量，分母为实际通行车辆总数，车牌缺失、污损、遮挡等人眼不能准确识别除外）；</w:t>
      </w:r>
    </w:p>
    <w:p w14:paraId="0F6B929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若支持车身颜色识别功能，则车身颜色日间识别准确率：≥70%；</w:t>
      </w:r>
    </w:p>
    <w:p w14:paraId="0ADE71A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若支持车辆品牌标志识别功能，则车辆品牌标志日间识别准确率：≥75%；</w:t>
      </w:r>
    </w:p>
    <w:p w14:paraId="06006C0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传输接口：RJ45，100M/1000M自适应，以太网；</w:t>
      </w:r>
    </w:p>
    <w:p w14:paraId="66BD2C0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平均无故障时间：MTBF≥30000h；</w:t>
      </w:r>
    </w:p>
    <w:p w14:paraId="6FC6AE4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防护等级：IP65；</w:t>
      </w:r>
    </w:p>
    <w:p w14:paraId="4B21D8F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功耗：≤30W(含温控模块)；</w:t>
      </w:r>
    </w:p>
    <w:p w14:paraId="6E7C409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工作环境温度：-40℃～+55℃；</w:t>
      </w:r>
    </w:p>
    <w:p w14:paraId="43800B5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工作环境相对湿度：&lt;95%。</w:t>
      </w:r>
    </w:p>
    <w:p w14:paraId="4E9EC80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同时应具备以下高清视频监控功能：</w:t>
      </w:r>
    </w:p>
    <w:p w14:paraId="4B93403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断面车流视频监控；</w:t>
      </w:r>
    </w:p>
    <w:p w14:paraId="7137C66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在视频图像中可有效辨识车牌；</w:t>
      </w:r>
    </w:p>
    <w:p w14:paraId="5F0F4D2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具备字符叠加功能，包括时间、摄像机编号、ETC门架编号等；</w:t>
      </w:r>
    </w:p>
    <w:p w14:paraId="1D078EE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支持对工作状态检测的应答；</w:t>
      </w:r>
    </w:p>
    <w:p w14:paraId="732713D9">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8" w:name="_Toc8394"/>
      <w:r>
        <w:rPr>
          <w:rFonts w:hint="eastAsia" w:ascii="宋体" w:hAnsi="宋体" w:eastAsia="宋体" w:cs="宋体"/>
          <w:b/>
          <w:bCs/>
          <w:color w:val="auto"/>
          <w:szCs w:val="21"/>
          <w:highlight w:val="none"/>
        </w:rPr>
        <w:t>补光灯</w:t>
      </w:r>
      <w:bookmarkEnd w:id="168"/>
    </w:p>
    <w:p w14:paraId="698FDD5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采用LED补光灯，补光灯光辐射安全性通应符合《视频监控系统主动照明部件光辐射安全要求》（GB/T 37958-2019)规定的0类或1类危险要求。</w:t>
      </w:r>
    </w:p>
    <w:p w14:paraId="4B85BC2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布设要求：</w:t>
      </w:r>
    </w:p>
    <w:p w14:paraId="479A45E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1）补光灯设置时，在路面上形成的补光区域应覆盖车牌图像识别区域，光照度均匀，无明显暗区，且不应对周边环境产生影响。</w:t>
      </w:r>
    </w:p>
    <w:p w14:paraId="15DC680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具体设置要求如下：</w:t>
      </w:r>
    </w:p>
    <w:p w14:paraId="743F4F0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①补光灯与地面的垂直距离应大于等于6m；</w:t>
      </w:r>
    </w:p>
    <w:p w14:paraId="733EFA5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②补光灯宜安装在补光车道的侧上方，保证错车道补光；</w:t>
      </w:r>
    </w:p>
    <w:p w14:paraId="551E49E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 补光灯设置时不应过量安装，根据车牌图像识别设备冗余情况，每条车道同一方向配置的补光灯数量不宜超过两个，并且不得同时补光。</w:t>
      </w:r>
    </w:p>
    <w:p w14:paraId="6C95E92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2）LED频闪式补光区域宜为距离ETC门架10m ～40m。</w:t>
      </w:r>
    </w:p>
    <w:p w14:paraId="467CD18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3）距离补光灯50m外的光照度应不大于0.7lx。</w:t>
      </w:r>
    </w:p>
    <w:p w14:paraId="05CCC07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光学性能：</w:t>
      </w:r>
    </w:p>
    <w:p w14:paraId="692A9D8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1）用低色温LED光源，支持频闪、LED爆闪功能，不采用气体爆闪；</w:t>
      </w:r>
    </w:p>
    <w:p w14:paraId="3231079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2）光源数量：24颗；</w:t>
      </w:r>
    </w:p>
    <w:p w14:paraId="36C29B9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3）发光角度10°；</w:t>
      </w:r>
    </w:p>
    <w:p w14:paraId="19B06455">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4）色温：2800～ 5500K；</w:t>
      </w:r>
    </w:p>
    <w:p w14:paraId="40707D4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其它要求：</w:t>
      </w:r>
    </w:p>
    <w:p w14:paraId="126BEFD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1）具有频率及占空比保护功能；</w:t>
      </w:r>
    </w:p>
    <w:p w14:paraId="4E1937B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2）具备过温保护和误触发保护功能；</w:t>
      </w:r>
    </w:p>
    <w:p w14:paraId="5B4828B0">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3）触发方式：电平量；</w:t>
      </w:r>
    </w:p>
    <w:p w14:paraId="263128F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4）控制接口：1路爆闪信号输入、1路频闪信号输入；</w:t>
      </w:r>
    </w:p>
    <w:p w14:paraId="7F8A9BCE">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5）供电电压及适应范围：AC220V±20%；</w:t>
      </w:r>
    </w:p>
    <w:p w14:paraId="48690CA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6）功耗：≤30W；</w:t>
      </w:r>
    </w:p>
    <w:p w14:paraId="4E54522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7）防护等级：IP65；</w:t>
      </w:r>
    </w:p>
    <w:p w14:paraId="59E0759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8）工作环境温度：-40℃～+70℃；</w:t>
      </w:r>
    </w:p>
    <w:p w14:paraId="4FE4379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9）工作环境湿度：＜90%（无凝结）；</w:t>
      </w:r>
    </w:p>
    <w:p w14:paraId="7D83F0B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10）支持车牌识别摄像机信号控制。</w:t>
      </w:r>
    </w:p>
    <w:p w14:paraId="1795A525">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69" w:name="_Toc22618"/>
      <w:r>
        <w:rPr>
          <w:rFonts w:hint="eastAsia" w:ascii="宋体" w:hAnsi="宋体" w:eastAsia="宋体" w:cs="宋体"/>
          <w:b/>
          <w:bCs/>
          <w:color w:val="auto"/>
          <w:szCs w:val="21"/>
          <w:highlight w:val="none"/>
        </w:rPr>
        <w:t>自动栏杆（单开）</w:t>
      </w:r>
      <w:bookmarkEnd w:id="169"/>
    </w:p>
    <w:p w14:paraId="154D607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ETC 自动栏杆机需满足 GB/T24973-2010的要求；</w:t>
      </w:r>
    </w:p>
    <w:p w14:paraId="663B116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快速启动和停止，由水平到竖直和由竖直到水平的运动时间均小于 0.6s；</w:t>
      </w:r>
    </w:p>
    <w:p w14:paraId="05CFB40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可设置断电时的栏杆状态（抬杆状态或保持落杆状态），以满足断电时的通行或收费控制的需要；</w:t>
      </w:r>
    </w:p>
    <w:p w14:paraId="746E74C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内含车辆检测器，满足车道使用功能；</w:t>
      </w:r>
    </w:p>
    <w:p w14:paraId="45016A6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采用免维护低功率高扭矩电机，适应长期全天候、高强度工作环境，具有极低故障率；</w:t>
      </w:r>
    </w:p>
    <w:p w14:paraId="3759BD0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使用寿命：≥3,000,000 往复次或≥10年；</w:t>
      </w:r>
    </w:p>
    <w:p w14:paraId="0ED3169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工作环境温度：-20℃～55℃；</w:t>
      </w:r>
    </w:p>
    <w:p w14:paraId="6233275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电源：AC220V±15%，50Hz±2Hz；</w:t>
      </w:r>
    </w:p>
    <w:p w14:paraId="38F59E8B">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防护等级：IP55。</w:t>
      </w:r>
    </w:p>
    <w:p w14:paraId="0C609C1C">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70" w:name="_Toc21266"/>
      <w:r>
        <w:rPr>
          <w:rFonts w:hint="eastAsia" w:ascii="宋体" w:hAnsi="宋体" w:eastAsia="宋体" w:cs="宋体"/>
          <w:b/>
          <w:bCs/>
          <w:color w:val="auto"/>
          <w:szCs w:val="21"/>
          <w:highlight w:val="none"/>
        </w:rPr>
        <w:t>自动栏杆（双开）</w:t>
      </w:r>
      <w:bookmarkEnd w:id="170"/>
    </w:p>
    <w:p w14:paraId="6047B78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ETC 自动栏杆机需满足 GB/T24973-2010的要求；</w:t>
      </w:r>
    </w:p>
    <w:p w14:paraId="1F59E2F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双开自动栏杆快速启动和停止，由水平到竖直和由竖直到水平的运动时间均小于等于 0.4s。</w:t>
      </w:r>
    </w:p>
    <w:p w14:paraId="05ECB756">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可设置断电时的栏杆状态（抬杆状态或保持落杆状态），以满足断电时的通行或收费控制的需要；</w:t>
      </w:r>
    </w:p>
    <w:p w14:paraId="7D1E052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内含车辆检测器，满足车道使用功能；</w:t>
      </w:r>
    </w:p>
    <w:p w14:paraId="36ADC04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采用免维护低功率高扭矩电机，适应长期全天候、高强度工作环境，具有极低故障率；</w:t>
      </w:r>
    </w:p>
    <w:p w14:paraId="0090CD6C">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使用寿命：≥3,000,000 往复次或≥10年；</w:t>
      </w:r>
    </w:p>
    <w:p w14:paraId="3AE05C23">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工作环境温度：-20℃～55℃；</w:t>
      </w:r>
    </w:p>
    <w:p w14:paraId="13030E5A">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电源：AC220V±15%，50Hz±2Hz；</w:t>
      </w:r>
    </w:p>
    <w:p w14:paraId="0C0A2A0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防护等级：IP55。</w:t>
      </w:r>
    </w:p>
    <w:p w14:paraId="6F32BE93">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71" w:name="_Toc6358"/>
      <w:r>
        <w:rPr>
          <w:rFonts w:hint="eastAsia" w:ascii="宋体" w:hAnsi="宋体" w:eastAsia="宋体" w:cs="宋体"/>
          <w:b/>
          <w:bCs/>
          <w:color w:val="auto"/>
          <w:szCs w:val="21"/>
          <w:highlight w:val="none"/>
        </w:rPr>
        <w:t>费额显示器</w:t>
      </w:r>
      <w:bookmarkEnd w:id="171"/>
    </w:p>
    <w:p w14:paraId="6C7A19B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应符合GB/T 27879 的要求；</w:t>
      </w:r>
    </w:p>
    <w:p w14:paraId="09C3289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显示亮度：≥1500cd/m2；</w:t>
      </w:r>
    </w:p>
    <w:p w14:paraId="3992B71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可显示不少于4 行8 列汉字，内置24×24 点阵GB2312 一级汉字字库。显示方式多种可调，可以实现上下、左右滚屏显示，滚屏速度可调；</w:t>
      </w:r>
    </w:p>
    <w:p w14:paraId="236F2FF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接口方式：标准RS232/422；</w:t>
      </w:r>
    </w:p>
    <w:p w14:paraId="00FA573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电源：AC220V±20％ 50Hz±4％；</w:t>
      </w:r>
    </w:p>
    <w:p w14:paraId="501E406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可视距离：＞30m；</w:t>
      </w:r>
    </w:p>
    <w:p w14:paraId="0F194D0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防护等级：IP65；</w:t>
      </w:r>
    </w:p>
    <w:p w14:paraId="29BAA22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MTBF：≥ 15000小时，MTTR：≥ 0.5小时；</w:t>
      </w:r>
    </w:p>
    <w:p w14:paraId="0200F09D">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语音报价播放方式：音频输入控制或串口命令输入；</w:t>
      </w:r>
    </w:p>
    <w:p w14:paraId="50F4C074">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车道通行灯：采用绿色“↓”和红色“×”的显示方式；</w:t>
      </w:r>
    </w:p>
    <w:p w14:paraId="0BE49E8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黄闪报警器：AC220V信号控制或串口命令控制。</w:t>
      </w:r>
    </w:p>
    <w:p w14:paraId="16DF9B1C">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72" w:name="_Toc29303"/>
      <w:r>
        <w:rPr>
          <w:rFonts w:hint="eastAsia" w:ascii="宋体" w:hAnsi="宋体" w:eastAsia="宋体" w:cs="宋体"/>
          <w:b/>
          <w:bCs/>
          <w:color w:val="auto"/>
          <w:szCs w:val="21"/>
          <w:highlight w:val="none"/>
        </w:rPr>
        <w:t>手动栏杆</w:t>
      </w:r>
      <w:bookmarkEnd w:id="172"/>
    </w:p>
    <w:p w14:paraId="1B9DC14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横杆、立柱等主要金属构件应采用不锈钢制成，其它以腐蚀的金属构件按相关国家标准作防腐处理；</w:t>
      </w:r>
    </w:p>
    <w:p w14:paraId="4ED18469">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横杆与旋转轴连接应灵活、无卡滞现象；</w:t>
      </w:r>
    </w:p>
    <w:p w14:paraId="52925AC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采用无支架型结构，横杆处于关闭位置时应保持水平，横杆处于打开位置应能保持锁定状态；</w:t>
      </w:r>
    </w:p>
    <w:p w14:paraId="02A469F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横杆长度：横杆长度宜在3000mm～5000mm之间，横杆下边缘距水平地面的高度在650mm～950mm之间；</w:t>
      </w:r>
    </w:p>
    <w:p w14:paraId="21100DB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横杆中部应悬挂禁止驶入标志；</w:t>
      </w:r>
    </w:p>
    <w:p w14:paraId="22289CB2">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各部件表面光滑平整，无明显凹凸变形；</w:t>
      </w:r>
    </w:p>
    <w:p w14:paraId="6C890A5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手动栏杆应符合中华人民共和国交通行业标准GBT 24974-2010《收费用手动栏杆》。</w:t>
      </w:r>
    </w:p>
    <w:p w14:paraId="3BA3E6C4">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73" w:name="_Toc16057"/>
      <w:r>
        <w:rPr>
          <w:rFonts w:hint="eastAsia" w:ascii="宋体" w:hAnsi="宋体" w:eastAsia="宋体" w:cs="宋体"/>
          <w:b/>
          <w:bCs/>
          <w:color w:val="auto"/>
          <w:szCs w:val="21"/>
          <w:highlight w:val="none"/>
        </w:rPr>
        <w:t>限高架</w:t>
      </w:r>
      <w:bookmarkEnd w:id="173"/>
    </w:p>
    <w:p w14:paraId="4293BADF">
      <w:pPr>
        <w:keepNext w:val="0"/>
        <w:keepLines w:val="0"/>
        <w:pageBreakBefore w:val="0"/>
        <w:widowControl w:val="0"/>
        <w:suppressLineNumbers w:val="0"/>
        <w:kinsoku/>
        <w:wordWrap/>
        <w:overflowPunct/>
        <w:topLinePunct w:val="0"/>
        <w:autoSpaceDE/>
        <w:autoSpaceDN/>
        <w:bidi w:val="0"/>
        <w:spacing w:beforeAutospacing="0" w:afterAutospacing="0" w:line="360" w:lineRule="exact"/>
        <w:ind w:left="0" w:right="0" w:firstLine="420" w:firstLineChars="200"/>
        <w:jc w:val="both"/>
        <w:rPr>
          <w:rFonts w:hint="eastAsia" w:ascii="宋体" w:hAnsi="宋体" w:eastAsia="宋体" w:cs="宋体"/>
          <w:color w:val="auto"/>
          <w:kern w:val="2"/>
          <w:sz w:val="21"/>
          <w:szCs w:val="21"/>
          <w:highlight w:val="none"/>
          <w:woUserID w:val="1"/>
        </w:rPr>
      </w:pPr>
      <w:r>
        <w:rPr>
          <w:rFonts w:hint="eastAsia" w:ascii="宋体" w:hAnsi="宋体" w:eastAsia="宋体" w:cs="宋体"/>
          <w:color w:val="auto"/>
          <w:kern w:val="2"/>
          <w:sz w:val="21"/>
          <w:szCs w:val="21"/>
          <w:highlight w:val="none"/>
          <w:lang w:val="en-US" w:eastAsia="zh-CN" w:bidi="ar"/>
          <w:woUserID w:val="1"/>
        </w:rPr>
        <w:t>主要技术指标</w:t>
      </w:r>
    </w:p>
    <w:p w14:paraId="2281F98D">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电源电压：AC220V/50HZ</w:t>
      </w:r>
    </w:p>
    <w:p w14:paraId="698F223C">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升降区间：限高状态距岛面2100mm，封道状态距岛面950mm；</w:t>
      </w:r>
    </w:p>
    <w:p w14:paraId="25FDBD57">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岛面高度设置：支持</w:t>
      </w:r>
    </w:p>
    <w:p w14:paraId="7CF7BF0A">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 xml:space="preserve">禁行高度设置：支持  </w:t>
      </w:r>
    </w:p>
    <w:p w14:paraId="0C5DE17E">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限高高度设置：支持</w:t>
      </w:r>
    </w:p>
    <w:p w14:paraId="6D4CE8B1">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下降防护功能：支持</w:t>
      </w:r>
    </w:p>
    <w:p w14:paraId="4C8B804C">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防撞功能：支持</w:t>
      </w:r>
    </w:p>
    <w:p w14:paraId="5A4106C2">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行程时间：上下行程＜30s，抬落杆＜30s</w:t>
      </w:r>
    </w:p>
    <w:p w14:paraId="36B40CD4">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杆臂长度：3500mm</w:t>
      </w:r>
    </w:p>
    <w:p w14:paraId="48531C0E">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通信接口：RS232/485、开关量、RJ45</w:t>
      </w:r>
    </w:p>
    <w:p w14:paraId="7BC384BB">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防护等级：IP65；</w:t>
      </w:r>
    </w:p>
    <w:p w14:paraId="18A13E30">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功耗：＜500W</w:t>
      </w:r>
    </w:p>
    <w:p w14:paraId="71E9BAD3">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工作温度：-40℃~50℃</w:t>
      </w:r>
    </w:p>
    <w:p w14:paraId="2ACA6BD6">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工作湿度：10%-95%RH</w:t>
      </w:r>
    </w:p>
    <w:p w14:paraId="1A0ADDCF">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MTBF: ≥15000h</w:t>
      </w:r>
    </w:p>
    <w:p w14:paraId="26950DEB">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kern w:val="2"/>
          <w:sz w:val="21"/>
          <w:szCs w:val="21"/>
          <w:highlight w:val="none"/>
          <w:vertAlign w:val="baseline"/>
          <w:woUserID w:val="1"/>
        </w:rPr>
      </w:pPr>
      <w:r>
        <w:rPr>
          <w:rFonts w:hint="eastAsia" w:ascii="宋体" w:hAnsi="宋体" w:eastAsia="宋体" w:cs="宋体"/>
          <w:color w:val="auto"/>
          <w:kern w:val="2"/>
          <w:sz w:val="21"/>
          <w:szCs w:val="21"/>
          <w:highlight w:val="none"/>
          <w:vertAlign w:val="baseline"/>
          <w:lang w:val="en-US" w:eastAsia="zh-CN" w:bidi="ar"/>
          <w:woUserID w:val="1"/>
        </w:rPr>
        <w:t>MTTR: &lt;0.5h</w:t>
      </w:r>
    </w:p>
    <w:p w14:paraId="795D4F50">
      <w:pPr>
        <w:keepNext w:val="0"/>
        <w:keepLines w:val="0"/>
        <w:pageBreakBefore w:val="0"/>
        <w:widowControl w:val="0"/>
        <w:numPr>
          <w:ilvl w:val="0"/>
          <w:numId w:val="12"/>
        </w:numPr>
        <w:suppressLineNumbers w:val="0"/>
        <w:tabs>
          <w:tab w:val="left" w:pos="1080"/>
          <w:tab w:val="left" w:pos="1272"/>
        </w:tabs>
        <w:kinsoku/>
        <w:wordWrap/>
        <w:overflowPunct/>
        <w:topLinePunct w:val="0"/>
        <w:autoSpaceDE/>
        <w:autoSpaceDN/>
        <w:bidi w:val="0"/>
        <w:adjustRightInd w:val="0"/>
        <w:snapToGrid w:val="0"/>
        <w:spacing w:beforeAutospacing="0" w:afterAutospacing="0" w:line="360" w:lineRule="exact"/>
        <w:ind w:left="1080" w:right="0" w:hanging="432"/>
        <w:jc w:val="both"/>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vertAlign w:val="baseline"/>
          <w:lang w:val="en-US" w:eastAsia="zh-CN" w:bidi="ar"/>
          <w:woUserID w:val="1"/>
        </w:rPr>
        <w:t>安装方式：落地式</w:t>
      </w:r>
      <w:r>
        <w:rPr>
          <w:rFonts w:hint="eastAsia" w:ascii="宋体" w:hAnsi="宋体" w:eastAsia="宋体" w:cs="宋体"/>
          <w:color w:val="auto"/>
          <w:szCs w:val="21"/>
          <w:highlight w:val="none"/>
          <w:lang w:eastAsia="zh-CN"/>
        </w:rPr>
        <w:t>。</w:t>
      </w:r>
    </w:p>
    <w:p w14:paraId="62570DFC">
      <w:pPr>
        <w:pageBreakBefore w:val="0"/>
        <w:widowControl w:val="0"/>
        <w:numPr>
          <w:ilvl w:val="0"/>
          <w:numId w:val="11"/>
        </w:numPr>
        <w:kinsoku/>
        <w:wordWrap/>
        <w:overflowPunct/>
        <w:topLinePunct w:val="0"/>
        <w:autoSpaceDE/>
        <w:autoSpaceDN/>
        <w:bidi w:val="0"/>
        <w:adjustRightInd w:val="0"/>
        <w:snapToGrid w:val="0"/>
        <w:spacing w:line="360" w:lineRule="exact"/>
        <w:jc w:val="left"/>
        <w:outlineLvl w:val="3"/>
        <w:rPr>
          <w:rFonts w:hint="eastAsia" w:ascii="宋体" w:hAnsi="宋体" w:eastAsia="宋体" w:cs="宋体"/>
          <w:b/>
          <w:bCs/>
          <w:color w:val="auto"/>
          <w:szCs w:val="21"/>
          <w:highlight w:val="none"/>
        </w:rPr>
      </w:pPr>
      <w:bookmarkStart w:id="174" w:name="_Toc28682"/>
      <w:r>
        <w:rPr>
          <w:rFonts w:hint="eastAsia" w:ascii="宋体" w:hAnsi="宋体" w:eastAsia="宋体" w:cs="宋体"/>
          <w:b/>
          <w:bCs/>
          <w:color w:val="auto"/>
          <w:szCs w:val="21"/>
          <w:highlight w:val="none"/>
        </w:rPr>
        <w:t>雾灯（含同步器）</w:t>
      </w:r>
      <w:bookmarkEnd w:id="174"/>
    </w:p>
    <w:p w14:paraId="0BD68A37">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视距：＞200米；</w:t>
      </w:r>
    </w:p>
    <w:p w14:paraId="5A9FDA7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光源：φ5mm 纯黄超高亮发光二极管LED；</w:t>
      </w:r>
    </w:p>
    <w:p w14:paraId="5620682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使用寿命：大于10万小时；</w:t>
      </w:r>
    </w:p>
    <w:p w14:paraId="402D5B88">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电源：220V±10％（50Hz）；</w:t>
      </w:r>
    </w:p>
    <w:p w14:paraId="27F92E3F">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功率：&lt; 25W；</w:t>
      </w:r>
    </w:p>
    <w:p w14:paraId="424AF33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密封性：≥IP65；</w:t>
      </w:r>
    </w:p>
    <w:p w14:paraId="28927471">
      <w:pPr>
        <w:pageBreakBefore w:val="0"/>
        <w:widowControl w:val="0"/>
        <w:numPr>
          <w:ilvl w:val="0"/>
          <w:numId w:val="10"/>
        </w:numPr>
        <w:kinsoku/>
        <w:wordWrap/>
        <w:overflowPunct/>
        <w:topLinePunct w:val="0"/>
        <w:autoSpaceDE/>
        <w:autoSpaceDN/>
        <w:bidi w:val="0"/>
        <w:adjustRightInd w:val="0"/>
        <w:snapToGrid w:val="0"/>
        <w:spacing w:line="360" w:lineRule="exact"/>
        <w:ind w:left="777" w:hanging="210"/>
        <w:jc w:val="left"/>
        <w:rPr>
          <w:rFonts w:hint="eastAsia" w:hAnsi="宋体" w:cs="Times New Roman"/>
          <w:b/>
          <w:bCs/>
          <w:color w:val="auto"/>
          <w:kern w:val="2"/>
          <w:sz w:val="32"/>
          <w:szCs w:val="32"/>
          <w:highlight w:val="none"/>
          <w:lang w:val="en-US" w:eastAsia="zh-CN" w:bidi="ar-SA"/>
        </w:rPr>
      </w:pPr>
      <w:r>
        <w:rPr>
          <w:rFonts w:hint="eastAsia" w:ascii="宋体" w:hAnsi="宋体" w:eastAsia="宋体" w:cs="宋体"/>
          <w:color w:val="auto"/>
          <w:szCs w:val="21"/>
          <w:highlight w:val="none"/>
        </w:rPr>
        <w:t>环境温度：-20℃～+70℃。</w:t>
      </w:r>
    </w:p>
    <w:p w14:paraId="0F2F8C14">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exact"/>
        <w:textAlignment w:val="auto"/>
        <w:rPr>
          <w:rFonts w:hint="eastAsia" w:ascii="Times New Roman" w:hAnsi="宋体" w:eastAsia="宋体" w:cs="Times New Roman"/>
          <w:b/>
          <w:bCs/>
          <w:color w:val="auto"/>
          <w:kern w:val="2"/>
          <w:sz w:val="24"/>
          <w:szCs w:val="24"/>
          <w:highlight w:val="none"/>
          <w:lang w:val="en-US" w:eastAsia="zh-CN" w:bidi="ar-SA"/>
        </w:rPr>
      </w:pPr>
      <w:r>
        <w:rPr>
          <w:rFonts w:hint="eastAsia" w:ascii="Times New Roman" w:hAnsi="宋体" w:eastAsia="宋体" w:cs="Times New Roman"/>
          <w:b/>
          <w:bCs/>
          <w:color w:val="auto"/>
          <w:kern w:val="2"/>
          <w:sz w:val="24"/>
          <w:szCs w:val="24"/>
          <w:highlight w:val="none"/>
          <w:lang w:val="en-US" w:eastAsia="zh-CN" w:bidi="ar-SA"/>
        </w:rPr>
        <w:t>四、人员最低配备标准</w:t>
      </w:r>
    </w:p>
    <w:p w14:paraId="169975DE">
      <w:pPr>
        <w:keepNext w:val="0"/>
        <w:keepLines w:val="0"/>
        <w:pageBreakBefore w:val="0"/>
        <w:widowControl w:val="0"/>
        <w:shd w:val="clear"/>
        <w:kinsoku/>
        <w:wordWrap/>
        <w:overflowPunct/>
        <w:topLinePunct w:val="0"/>
        <w:autoSpaceDE/>
        <w:autoSpaceDN/>
        <w:bidi w:val="0"/>
        <w:adjustRightInd/>
        <w:snapToGrid w:val="0"/>
        <w:spacing w:line="480" w:lineRule="exact"/>
        <w:ind w:right="-212" w:rightChars="-101" w:firstLine="422"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1、人员最低配备标准：以下人员为最低配备标准，中标人应根据实际服务需求适当增加人员，费用包含在投标报价中。</w:t>
      </w:r>
    </w:p>
    <w:tbl>
      <w:tblPr>
        <w:tblStyle w:val="35"/>
        <w:tblW w:w="9244"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644"/>
        <w:gridCol w:w="638"/>
        <w:gridCol w:w="2636"/>
        <w:gridCol w:w="3661"/>
      </w:tblGrid>
      <w:tr w14:paraId="4BD7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F693">
            <w:pPr>
              <w:pageBreakBefore w:val="0"/>
              <w:kinsoku/>
              <w:wordWrap/>
              <w:overflowPunct/>
              <w:topLinePunct w:val="0"/>
              <w:autoSpaceDE/>
              <w:autoSpaceDN/>
              <w:bidi w:val="0"/>
              <w:spacing w:line="360" w:lineRule="exact"/>
              <w:jc w:val="center"/>
              <w:rPr>
                <w:rFonts w:hint="eastAsia"/>
                <w:color w:val="auto"/>
                <w:highlight w:val="none"/>
                <w:lang w:val="en-US" w:eastAsia="zh-CN"/>
              </w:rPr>
            </w:pPr>
            <w:r>
              <w:rPr>
                <w:rFonts w:hint="default"/>
                <w:color w:val="auto"/>
                <w:highlight w:val="none"/>
                <w:lang w:val="en-US" w:eastAsia="zh-CN"/>
              </w:rPr>
              <w:t>序号</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2D23">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岗位类别</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4868">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人数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760A">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岗位职责</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258A">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任职要求</w:t>
            </w:r>
          </w:p>
        </w:tc>
      </w:tr>
      <w:tr w14:paraId="7E63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36B9">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7D43">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项目负责人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B244">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D471">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统筹整体养护管理，协调应急抢修、人员调度</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ED2">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eastAsia"/>
                <w:color w:val="auto"/>
                <w:highlight w:val="none"/>
                <w:lang w:val="en-US" w:eastAsia="zh-CN"/>
              </w:rPr>
              <w:t>机电工程专业</w:t>
            </w:r>
            <w:r>
              <w:rPr>
                <w:rFonts w:hint="default"/>
                <w:color w:val="auto"/>
                <w:highlight w:val="none"/>
                <w:lang w:val="en-US" w:eastAsia="zh-CN"/>
              </w:rPr>
              <w:t>二级及以上注册建造师+安全生产考核B证</w:t>
            </w:r>
            <w:r>
              <w:rPr>
                <w:rFonts w:hint="eastAsia"/>
                <w:color w:val="auto"/>
                <w:highlight w:val="none"/>
                <w:lang w:val="en-US" w:eastAsia="zh-CN"/>
              </w:rPr>
              <w:t>。目前未在其他项目上任职，或虽在其他项目上任职但本项目中标后能够从该项目撤离。</w:t>
            </w:r>
          </w:p>
        </w:tc>
      </w:tr>
      <w:tr w14:paraId="33B7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4E8A">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7C23">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安全员</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3737">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8CC1">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监督项目履约期间所有作业安全，组织安全培训、制定安全规范、排查安全隐患</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B08B">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年龄≤40周岁，持安全管理资格C证，熟悉高速公路作业安全规范</w:t>
            </w:r>
          </w:p>
        </w:tc>
      </w:tr>
      <w:tr w14:paraId="4DA6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6EDA">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3</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0ED0">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eastAsia"/>
                <w:color w:val="auto"/>
                <w:highlight w:val="none"/>
                <w:lang w:val="en-US" w:eastAsia="zh-CN"/>
              </w:rPr>
              <w:t>特种作业人员（高处作业）</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6DE1">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F699">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负责高处作业相关的设备维护、安装、检修工作</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2FFC">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年龄≤</w:t>
            </w:r>
            <w:r>
              <w:rPr>
                <w:rFonts w:hint="eastAsia"/>
                <w:color w:val="auto"/>
                <w:highlight w:val="none"/>
                <w:lang w:val="en-US" w:eastAsia="zh-CN"/>
              </w:rPr>
              <w:t>50</w:t>
            </w:r>
            <w:r>
              <w:rPr>
                <w:rFonts w:hint="default"/>
                <w:color w:val="auto"/>
                <w:highlight w:val="none"/>
                <w:lang w:val="en-US" w:eastAsia="zh-CN"/>
              </w:rPr>
              <w:t>周岁，</w:t>
            </w:r>
            <w:r>
              <w:rPr>
                <w:rFonts w:hint="eastAsia"/>
                <w:color w:val="auto"/>
                <w:highlight w:val="none"/>
                <w:lang w:val="en-US" w:eastAsia="zh-CN"/>
              </w:rPr>
              <w:t>维修人员须持证上岗</w:t>
            </w:r>
          </w:p>
        </w:tc>
      </w:tr>
      <w:tr w14:paraId="47D1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B115">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C3C2">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eastAsia"/>
                <w:color w:val="auto"/>
                <w:highlight w:val="none"/>
                <w:lang w:val="en-US" w:eastAsia="zh-CN"/>
              </w:rPr>
              <w:t>特种作业人员（电工）</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3E3D">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eastAsia"/>
                <w:color w:val="auto"/>
                <w:highlight w:val="none"/>
                <w:lang w:val="en-US" w:eastAsia="zh-CN"/>
              </w:rPr>
              <w:t>2</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0C00">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ascii="Segoe UI" w:hAnsi="Segoe UI" w:eastAsia="Segoe UI" w:cs="Segoe UI"/>
                <w:i w:val="0"/>
                <w:iCs w:val="0"/>
                <w:caps w:val="0"/>
                <w:color w:val="auto"/>
                <w:spacing w:val="0"/>
                <w:sz w:val="21"/>
                <w:szCs w:val="21"/>
                <w:highlight w:val="none"/>
                <w:shd w:val="clear" w:fill="FFFFFF"/>
              </w:rPr>
              <w:t>负责电气设备维护、电路检修、供电系统调试等工作</w:t>
            </w:r>
          </w:p>
        </w:tc>
        <w:tc>
          <w:tcPr>
            <w:tcW w:w="3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60C7">
            <w:pPr>
              <w:pageBreakBefore w:val="0"/>
              <w:kinsoku/>
              <w:wordWrap/>
              <w:overflowPunct/>
              <w:topLinePunct w:val="0"/>
              <w:autoSpaceDE/>
              <w:autoSpaceDN/>
              <w:bidi w:val="0"/>
              <w:spacing w:line="360" w:lineRule="exact"/>
              <w:jc w:val="center"/>
              <w:rPr>
                <w:rFonts w:hint="default"/>
                <w:color w:val="auto"/>
                <w:highlight w:val="none"/>
                <w:lang w:val="en-US" w:eastAsia="zh-CN"/>
              </w:rPr>
            </w:pPr>
            <w:r>
              <w:rPr>
                <w:rFonts w:hint="default"/>
                <w:color w:val="auto"/>
                <w:highlight w:val="none"/>
                <w:lang w:val="en-US" w:eastAsia="zh-CN"/>
              </w:rPr>
              <w:t>年龄≤50周岁，</w:t>
            </w:r>
            <w:r>
              <w:rPr>
                <w:rFonts w:hint="eastAsia"/>
                <w:color w:val="auto"/>
                <w:highlight w:val="none"/>
                <w:lang w:val="en-US" w:eastAsia="zh-CN"/>
              </w:rPr>
              <w:t>维修人员须持证上岗</w:t>
            </w:r>
          </w:p>
        </w:tc>
      </w:tr>
    </w:tbl>
    <w:p w14:paraId="3F30B9F0">
      <w:pPr>
        <w:keepNext w:val="0"/>
        <w:keepLines w:val="0"/>
        <w:pageBreakBefore w:val="0"/>
        <w:widowControl w:val="0"/>
        <w:shd w:val="clear"/>
        <w:kinsoku/>
        <w:wordWrap/>
        <w:overflowPunct/>
        <w:topLinePunct w:val="0"/>
        <w:autoSpaceDE/>
        <w:autoSpaceDN/>
        <w:bidi w:val="0"/>
        <w:adjustRightInd/>
        <w:snapToGrid w:val="0"/>
        <w:spacing w:line="480" w:lineRule="exact"/>
        <w:ind w:right="-212" w:rightChars="-101" w:firstLine="422" w:firstLineChars="20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注：（1）中标人在合同签订前须给本项目配备的所有人员购买安全责任险。</w:t>
      </w:r>
    </w:p>
    <w:p w14:paraId="15F3ECBD">
      <w:pPr>
        <w:keepNext w:val="0"/>
        <w:keepLines w:val="0"/>
        <w:pageBreakBefore w:val="0"/>
        <w:widowControl w:val="0"/>
        <w:shd w:val="clear"/>
        <w:kinsoku/>
        <w:wordWrap/>
        <w:overflowPunct/>
        <w:topLinePunct w:val="0"/>
        <w:autoSpaceDE/>
        <w:autoSpaceDN/>
        <w:bidi w:val="0"/>
        <w:adjustRightInd/>
        <w:snapToGrid w:val="0"/>
        <w:spacing w:line="480" w:lineRule="exact"/>
        <w:ind w:right="-212" w:rightChars="-101" w:firstLine="422" w:firstLineChars="20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（2）上述人员为基础配备人员，如应急或抢险期间，上述人员不能满足实际工作需要的，要求增加人员的，中标人须无条件服从。</w:t>
      </w:r>
    </w:p>
    <w:p w14:paraId="593F59E6">
      <w:pPr>
        <w:keepNext w:val="0"/>
        <w:keepLines w:val="0"/>
        <w:pageBreakBefore w:val="0"/>
        <w:widowControl w:val="0"/>
        <w:shd w:val="clear"/>
        <w:kinsoku/>
        <w:wordWrap/>
        <w:overflowPunct/>
        <w:topLinePunct w:val="0"/>
        <w:autoSpaceDE/>
        <w:autoSpaceDN/>
        <w:bidi w:val="0"/>
        <w:adjustRightInd/>
        <w:snapToGrid w:val="0"/>
        <w:spacing w:line="480" w:lineRule="exact"/>
        <w:ind w:right="-212" w:rightChars="-101" w:firstLine="422" w:firstLineChars="20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（3）投标人配备所有人员须无条件服从招标人的统一工作安排、调度和接受招标人的考核。</w:t>
      </w:r>
    </w:p>
    <w:p w14:paraId="68E8AE5B">
      <w:pPr>
        <w:keepNext w:val="0"/>
        <w:keepLines w:val="0"/>
        <w:pageBreakBefore w:val="0"/>
        <w:widowControl w:val="0"/>
        <w:shd w:val="clear"/>
        <w:kinsoku/>
        <w:wordWrap/>
        <w:overflowPunct/>
        <w:topLinePunct w:val="0"/>
        <w:autoSpaceDE/>
        <w:autoSpaceDN/>
        <w:bidi w:val="0"/>
        <w:adjustRightInd/>
        <w:snapToGrid w:val="0"/>
        <w:spacing w:line="480" w:lineRule="exact"/>
        <w:ind w:right="-212" w:rightChars="-101"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、人员培训要求</w:t>
      </w:r>
    </w:p>
    <w:p w14:paraId="235B344E">
      <w:pPr>
        <w:keepNext w:val="0"/>
        <w:keepLines w:val="0"/>
        <w:pageBreakBefore w:val="0"/>
        <w:widowControl w:val="0"/>
        <w:shd w:val="clear"/>
        <w:kinsoku/>
        <w:wordWrap/>
        <w:overflowPunct/>
        <w:topLinePunct w:val="0"/>
        <w:autoSpaceDE/>
        <w:autoSpaceDN/>
        <w:bidi w:val="0"/>
        <w:adjustRightInd/>
        <w:snapToGrid w:val="0"/>
        <w:spacing w:line="480" w:lineRule="exact"/>
        <w:ind w:right="-212" w:rightChars="-101"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中标人</w:t>
      </w:r>
      <w:r>
        <w:rPr>
          <w:rFonts w:hint="eastAsia" w:ascii="宋体" w:hAnsi="宋体" w:eastAsia="宋体" w:cs="宋体"/>
          <w:color w:val="auto"/>
          <w:szCs w:val="21"/>
          <w:highlight w:val="none"/>
          <w:lang w:val="en-US" w:eastAsia="zh-CN"/>
        </w:rPr>
        <w:t>应加强维护人员岗位和工序教育，加强质量、安全知识的岗位培训，做到人人重视质量、人人重视安全，做到科学管理、文明维护。</w:t>
      </w:r>
    </w:p>
    <w:p w14:paraId="48D3EA9A">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exact"/>
        <w:textAlignment w:val="auto"/>
        <w:rPr>
          <w:rFonts w:hint="eastAsia" w:ascii="Times New Roman" w:hAnsi="宋体" w:eastAsia="宋体" w:cs="Times New Roman"/>
          <w:b/>
          <w:bCs/>
          <w:color w:val="auto"/>
          <w:kern w:val="2"/>
          <w:sz w:val="24"/>
          <w:szCs w:val="24"/>
          <w:highlight w:val="none"/>
          <w:lang w:val="en-US" w:eastAsia="zh-CN" w:bidi="ar-SA"/>
        </w:rPr>
      </w:pPr>
      <w:r>
        <w:rPr>
          <w:rFonts w:hint="eastAsia" w:ascii="Times New Roman" w:hAnsi="宋体" w:eastAsia="宋体" w:cs="Times New Roman"/>
          <w:b/>
          <w:bCs/>
          <w:color w:val="auto"/>
          <w:kern w:val="2"/>
          <w:sz w:val="24"/>
          <w:szCs w:val="24"/>
          <w:highlight w:val="none"/>
          <w:lang w:val="en-US" w:eastAsia="zh-CN" w:bidi="ar-SA"/>
        </w:rPr>
        <w:t>五、特别说明</w:t>
      </w:r>
    </w:p>
    <w:p w14:paraId="4C4C7939">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（一）一般要求</w:t>
      </w:r>
    </w:p>
    <w:p w14:paraId="4D30C460">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1、除了发生不可抗力事件外，在任何情况，中标人应确保机电设施完好的技术状态。</w:t>
      </w:r>
    </w:p>
    <w:p w14:paraId="4C6BF2F0">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2、在维护承包实施过程中，中标人应根据招标人的指示与要求，及时提交相关资料。</w:t>
      </w:r>
    </w:p>
    <w:p w14:paraId="1E2A1AE9">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3、在维护承包实施过程中，中标人应做好预防措施，系统发生故障后应及时通知招标人，同时在规定的时间内修复。</w:t>
      </w:r>
    </w:p>
    <w:p w14:paraId="04D2EF1D">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4、由于重大自然灾害或其他突发事件对系统造成损失，中标人必须按照招标人批准的抢修方案组织抢修，在抢修过程中，中标人必须服从招标人的统一指挥和安排。</w:t>
      </w:r>
    </w:p>
    <w:p w14:paraId="7876B03D">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5、对于非正常使用或不可预见事项，如交通事故、火灾、恶劣天气等突发状况所导致的故障，中标人亦应按规定及时完成故障修复，确保系统营运安全，维护内容包含在本项目中。</w:t>
      </w:r>
    </w:p>
    <w:p w14:paraId="309A7F38">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color w:val="auto"/>
          <w:highlight w:val="none"/>
        </w:rPr>
      </w:pPr>
      <w:r>
        <w:rPr>
          <w:rFonts w:hint="eastAsia" w:ascii="宋体" w:hAnsi="宋体" w:cs="宋体"/>
          <w:b/>
          <w:bCs/>
          <w:color w:val="auto"/>
          <w:kern w:val="2"/>
          <w:sz w:val="21"/>
          <w:szCs w:val="21"/>
          <w:highlight w:val="none"/>
          <w:lang w:val="en-US" w:eastAsia="zh-CN" w:bidi="ar-SA"/>
        </w:rPr>
        <w:t>6、在维护承包实施过程中，如发现中标人驻地维护员不能满足本项目维护要求，中标人应及时更换驻地维护人员</w:t>
      </w:r>
      <w:r>
        <w:rPr>
          <w:rFonts w:hint="eastAsia"/>
          <w:color w:val="auto"/>
          <w:highlight w:val="none"/>
        </w:rPr>
        <w:t>。</w:t>
      </w:r>
    </w:p>
    <w:p w14:paraId="2006B537">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480" w:lineRule="exact"/>
        <w:ind w:left="425" w:leftChars="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（二）合同期限及质保</w:t>
      </w:r>
    </w:p>
    <w:p w14:paraId="3B8886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lang w:val="en-US" w:eastAsia="zh-CN"/>
        </w:rPr>
        <w:t>1、服务期3±N（N=0、1、2）年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合同一年一签</w:t>
      </w:r>
      <w:r>
        <w:rPr>
          <w:rFonts w:hint="eastAsia"/>
          <w:color w:val="auto"/>
          <w:highlight w:val="none"/>
        </w:rPr>
        <w:t>。</w:t>
      </w:r>
    </w:p>
    <w:p w14:paraId="2D8D6F4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中标人提供的维修服务及更换的备件材料，质保期不少于</w:t>
      </w:r>
      <w:r>
        <w:rPr>
          <w:rFonts w:hint="eastAsia"/>
          <w:color w:val="auto"/>
          <w:highlight w:val="none"/>
          <w:lang w:val="en-US" w:eastAsia="zh-CN"/>
        </w:rPr>
        <w:t>2年</w:t>
      </w:r>
      <w:r>
        <w:rPr>
          <w:rFonts w:hint="eastAsia"/>
          <w:color w:val="auto"/>
          <w:highlight w:val="none"/>
        </w:rPr>
        <w:t>（自维修验收合格之日起计算），质保期内出现相同故障的，中标人需免费维修或更换。</w:t>
      </w:r>
    </w:p>
    <w:p w14:paraId="1B6983AE">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exact"/>
        <w:ind w:left="425" w:leftChars="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（三）考核机制</w:t>
      </w:r>
    </w:p>
    <w:p w14:paraId="61125E4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招标人</w:t>
      </w:r>
      <w:r>
        <w:rPr>
          <w:rFonts w:hint="eastAsia"/>
          <w:color w:val="auto"/>
          <w:highlight w:val="none"/>
          <w:lang w:val="en-US" w:eastAsia="zh-CN"/>
        </w:rPr>
        <w:t>按季度对中标人进行考核，考核办法见《附件2：季度考核表》</w:t>
      </w:r>
      <w:r>
        <w:rPr>
          <w:rFonts w:hint="eastAsia"/>
          <w:color w:val="auto"/>
          <w:highlight w:val="none"/>
        </w:rPr>
        <w:t>。</w:t>
      </w:r>
    </w:p>
    <w:p w14:paraId="3A328122">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exact"/>
        <w:ind w:left="425" w:leftChars="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（四）其他要求</w:t>
      </w:r>
    </w:p>
    <w:p w14:paraId="13BA61B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中标人需遵守国家及地方相关法律法规，遵守高速公路管理相关规定，文明作业、安全施工。</w:t>
      </w:r>
    </w:p>
    <w:p w14:paraId="1ACE2BD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本文件所有技术要求、参数标准均为最低要求，中标人提供的产品及服务需满足或优于本文件规定。</w:t>
      </w:r>
    </w:p>
    <w:p w14:paraId="0CACD6E4">
      <w:pPr>
        <w:shd w:val="clear"/>
        <w:spacing w:line="440" w:lineRule="exact"/>
        <w:ind w:firstLine="542" w:firstLineChars="150"/>
        <w:jc w:val="center"/>
        <w:rPr>
          <w:rFonts w:hint="eastAsia" w:ascii="宋体"/>
          <w:b/>
          <w:bCs/>
          <w:color w:val="auto"/>
          <w:sz w:val="36"/>
          <w:szCs w:val="52"/>
          <w:highlight w:val="none"/>
        </w:rPr>
      </w:pPr>
    </w:p>
    <w:p w14:paraId="332C2205">
      <w:pPr>
        <w:shd w:val="clear"/>
        <w:spacing w:line="440" w:lineRule="exact"/>
        <w:ind w:firstLine="542" w:firstLineChars="150"/>
        <w:jc w:val="center"/>
        <w:rPr>
          <w:rFonts w:hint="eastAsia" w:ascii="宋体"/>
          <w:b/>
          <w:bCs/>
          <w:color w:val="auto"/>
          <w:sz w:val="36"/>
          <w:szCs w:val="52"/>
          <w:highlight w:val="none"/>
        </w:rPr>
      </w:pPr>
    </w:p>
    <w:p w14:paraId="297019DC">
      <w:pPr>
        <w:shd w:val="clear"/>
        <w:spacing w:line="440" w:lineRule="exact"/>
        <w:ind w:firstLine="542" w:firstLineChars="150"/>
        <w:jc w:val="center"/>
        <w:rPr>
          <w:rFonts w:hint="eastAsia" w:ascii="宋体"/>
          <w:b/>
          <w:bCs/>
          <w:color w:val="auto"/>
          <w:sz w:val="36"/>
          <w:szCs w:val="52"/>
          <w:highlight w:val="none"/>
        </w:rPr>
      </w:pPr>
    </w:p>
    <w:p w14:paraId="4C5D89DC">
      <w:pPr>
        <w:shd w:val="clear"/>
        <w:spacing w:line="440" w:lineRule="exact"/>
        <w:ind w:firstLine="542" w:firstLineChars="150"/>
        <w:jc w:val="center"/>
        <w:rPr>
          <w:rFonts w:hint="eastAsia" w:ascii="宋体"/>
          <w:b/>
          <w:bCs/>
          <w:color w:val="auto"/>
          <w:sz w:val="36"/>
          <w:szCs w:val="52"/>
          <w:highlight w:val="none"/>
        </w:rPr>
      </w:pPr>
    </w:p>
    <w:p w14:paraId="01B2A4A3">
      <w:pPr>
        <w:shd w:val="clear"/>
        <w:spacing w:line="440" w:lineRule="exact"/>
        <w:ind w:firstLine="542" w:firstLineChars="150"/>
        <w:jc w:val="center"/>
        <w:rPr>
          <w:rFonts w:hint="eastAsia" w:ascii="宋体"/>
          <w:b/>
          <w:bCs/>
          <w:color w:val="auto"/>
          <w:sz w:val="36"/>
          <w:szCs w:val="52"/>
          <w:highlight w:val="none"/>
        </w:rPr>
      </w:pPr>
    </w:p>
    <w:p w14:paraId="54152D78">
      <w:pPr>
        <w:shd w:val="clear"/>
        <w:spacing w:line="440" w:lineRule="exact"/>
        <w:ind w:firstLine="542" w:firstLineChars="150"/>
        <w:jc w:val="center"/>
        <w:rPr>
          <w:rFonts w:hint="eastAsia" w:ascii="宋体"/>
          <w:b/>
          <w:bCs/>
          <w:color w:val="auto"/>
          <w:sz w:val="36"/>
          <w:szCs w:val="52"/>
          <w:highlight w:val="none"/>
        </w:rPr>
      </w:pPr>
    </w:p>
    <w:p w14:paraId="1643E9FC">
      <w:pPr>
        <w:shd w:val="clear"/>
        <w:spacing w:line="440" w:lineRule="exact"/>
        <w:ind w:firstLine="542" w:firstLineChars="150"/>
        <w:jc w:val="center"/>
        <w:rPr>
          <w:rFonts w:hint="eastAsia" w:ascii="宋体"/>
          <w:b/>
          <w:bCs/>
          <w:color w:val="auto"/>
          <w:sz w:val="36"/>
          <w:szCs w:val="52"/>
          <w:highlight w:val="none"/>
        </w:rPr>
      </w:pPr>
    </w:p>
    <w:p w14:paraId="7CAEB0F1">
      <w:pPr>
        <w:shd w:val="clear"/>
        <w:spacing w:line="440" w:lineRule="exact"/>
        <w:ind w:firstLine="542" w:firstLineChars="150"/>
        <w:jc w:val="center"/>
        <w:rPr>
          <w:rFonts w:hint="eastAsia" w:ascii="宋体"/>
          <w:b/>
          <w:bCs/>
          <w:color w:val="auto"/>
          <w:sz w:val="36"/>
          <w:szCs w:val="52"/>
          <w:highlight w:val="none"/>
        </w:rPr>
      </w:pPr>
    </w:p>
    <w:p w14:paraId="4962B7CE">
      <w:pPr>
        <w:shd w:val="clear"/>
        <w:spacing w:line="440" w:lineRule="exact"/>
        <w:ind w:firstLine="542" w:firstLineChars="150"/>
        <w:jc w:val="center"/>
        <w:rPr>
          <w:rFonts w:hint="eastAsia" w:ascii="宋体"/>
          <w:b/>
          <w:bCs/>
          <w:color w:val="auto"/>
          <w:sz w:val="36"/>
          <w:szCs w:val="52"/>
          <w:highlight w:val="none"/>
        </w:rPr>
      </w:pPr>
    </w:p>
    <w:p w14:paraId="5B633D14">
      <w:pPr>
        <w:shd w:val="clear"/>
        <w:spacing w:line="440" w:lineRule="exact"/>
        <w:ind w:firstLine="542" w:firstLineChars="150"/>
        <w:jc w:val="center"/>
        <w:rPr>
          <w:rFonts w:hint="eastAsia" w:ascii="宋体"/>
          <w:b/>
          <w:bCs/>
          <w:color w:val="auto"/>
          <w:sz w:val="36"/>
          <w:szCs w:val="52"/>
          <w:highlight w:val="none"/>
        </w:rPr>
      </w:pPr>
    </w:p>
    <w:p w14:paraId="5D59E674">
      <w:pPr>
        <w:shd w:val="clear"/>
        <w:spacing w:line="440" w:lineRule="exact"/>
        <w:ind w:firstLine="542" w:firstLineChars="150"/>
        <w:jc w:val="center"/>
        <w:rPr>
          <w:rFonts w:hint="eastAsia" w:ascii="宋体"/>
          <w:b/>
          <w:bCs/>
          <w:color w:val="auto"/>
          <w:sz w:val="36"/>
          <w:szCs w:val="52"/>
          <w:highlight w:val="none"/>
        </w:rPr>
      </w:pPr>
    </w:p>
    <w:p w14:paraId="017D8416">
      <w:pPr>
        <w:shd w:val="clear"/>
        <w:spacing w:line="440" w:lineRule="exact"/>
        <w:ind w:firstLine="542" w:firstLineChars="150"/>
        <w:jc w:val="center"/>
        <w:rPr>
          <w:rFonts w:hint="eastAsia" w:ascii="宋体"/>
          <w:b/>
          <w:bCs/>
          <w:color w:val="auto"/>
          <w:sz w:val="36"/>
          <w:szCs w:val="52"/>
          <w:highlight w:val="none"/>
        </w:rPr>
      </w:pPr>
    </w:p>
    <w:p w14:paraId="5D9C34FA">
      <w:pPr>
        <w:shd w:val="clear"/>
        <w:spacing w:line="440" w:lineRule="exact"/>
        <w:ind w:firstLine="542" w:firstLineChars="150"/>
        <w:jc w:val="center"/>
        <w:rPr>
          <w:rFonts w:hint="eastAsia" w:ascii="宋体"/>
          <w:b/>
          <w:bCs/>
          <w:color w:val="auto"/>
          <w:sz w:val="36"/>
          <w:szCs w:val="52"/>
          <w:highlight w:val="none"/>
        </w:rPr>
      </w:pPr>
    </w:p>
    <w:p w14:paraId="072003A6">
      <w:pPr>
        <w:shd w:val="clear"/>
        <w:spacing w:line="440" w:lineRule="exact"/>
        <w:ind w:firstLine="542" w:firstLineChars="150"/>
        <w:jc w:val="center"/>
        <w:rPr>
          <w:rFonts w:hint="eastAsia" w:ascii="宋体"/>
          <w:b/>
          <w:bCs/>
          <w:color w:val="auto"/>
          <w:sz w:val="36"/>
          <w:szCs w:val="52"/>
          <w:highlight w:val="none"/>
        </w:rPr>
      </w:pPr>
    </w:p>
    <w:p w14:paraId="583CE3C0">
      <w:pPr>
        <w:shd w:val="clear"/>
        <w:spacing w:line="440" w:lineRule="exact"/>
        <w:ind w:firstLine="542" w:firstLineChars="150"/>
        <w:jc w:val="center"/>
        <w:rPr>
          <w:rFonts w:hint="eastAsia" w:ascii="宋体"/>
          <w:b/>
          <w:bCs/>
          <w:color w:val="auto"/>
          <w:sz w:val="36"/>
          <w:szCs w:val="52"/>
          <w:highlight w:val="none"/>
        </w:rPr>
      </w:pPr>
    </w:p>
    <w:p w14:paraId="148DDA19">
      <w:pPr>
        <w:shd w:val="clear"/>
        <w:spacing w:line="440" w:lineRule="exact"/>
        <w:ind w:firstLine="542" w:firstLineChars="150"/>
        <w:jc w:val="center"/>
        <w:rPr>
          <w:rFonts w:hint="eastAsia" w:ascii="宋体"/>
          <w:b/>
          <w:bCs/>
          <w:color w:val="auto"/>
          <w:sz w:val="36"/>
          <w:szCs w:val="52"/>
          <w:highlight w:val="none"/>
        </w:rPr>
      </w:pPr>
    </w:p>
    <w:p w14:paraId="59A6C902">
      <w:pPr>
        <w:shd w:val="clear"/>
        <w:spacing w:line="440" w:lineRule="exact"/>
        <w:ind w:firstLine="542" w:firstLineChars="150"/>
        <w:jc w:val="center"/>
        <w:rPr>
          <w:rFonts w:hint="eastAsia" w:ascii="宋体"/>
          <w:b/>
          <w:bCs/>
          <w:color w:val="auto"/>
          <w:sz w:val="36"/>
          <w:szCs w:val="52"/>
          <w:highlight w:val="none"/>
        </w:rPr>
      </w:pPr>
    </w:p>
    <w:p w14:paraId="33C3A42E">
      <w:pPr>
        <w:shd w:val="clear"/>
        <w:spacing w:line="440" w:lineRule="exact"/>
        <w:ind w:firstLine="542" w:firstLineChars="150"/>
        <w:jc w:val="center"/>
        <w:rPr>
          <w:rFonts w:hint="eastAsia" w:ascii="宋体"/>
          <w:b/>
          <w:bCs/>
          <w:color w:val="auto"/>
          <w:sz w:val="36"/>
          <w:szCs w:val="52"/>
          <w:highlight w:val="none"/>
        </w:rPr>
      </w:pPr>
    </w:p>
    <w:p w14:paraId="08D777AF">
      <w:pPr>
        <w:shd w:val="clear"/>
        <w:spacing w:line="440" w:lineRule="exact"/>
        <w:ind w:firstLine="542" w:firstLineChars="150"/>
        <w:jc w:val="center"/>
        <w:rPr>
          <w:rFonts w:hint="eastAsia" w:ascii="宋体"/>
          <w:b/>
          <w:bCs/>
          <w:color w:val="auto"/>
          <w:sz w:val="36"/>
          <w:szCs w:val="52"/>
          <w:highlight w:val="none"/>
        </w:rPr>
      </w:pPr>
    </w:p>
    <w:p w14:paraId="57F7EFF4">
      <w:pPr>
        <w:shd w:val="clear"/>
        <w:spacing w:line="440" w:lineRule="exact"/>
        <w:ind w:firstLine="542" w:firstLineChars="150"/>
        <w:jc w:val="center"/>
        <w:rPr>
          <w:rFonts w:hint="eastAsia" w:ascii="宋体"/>
          <w:b/>
          <w:bCs/>
          <w:color w:val="auto"/>
          <w:sz w:val="36"/>
          <w:szCs w:val="52"/>
          <w:highlight w:val="none"/>
        </w:rPr>
      </w:pPr>
    </w:p>
    <w:p w14:paraId="299EE616">
      <w:pPr>
        <w:shd w:val="clear"/>
        <w:spacing w:line="440" w:lineRule="exact"/>
        <w:ind w:firstLine="542" w:firstLineChars="150"/>
        <w:jc w:val="center"/>
        <w:rPr>
          <w:rFonts w:hint="eastAsia" w:ascii="宋体"/>
          <w:b/>
          <w:bCs/>
          <w:color w:val="auto"/>
          <w:sz w:val="36"/>
          <w:szCs w:val="52"/>
          <w:highlight w:val="none"/>
        </w:rPr>
      </w:pPr>
    </w:p>
    <w:p w14:paraId="0BBCEDE9">
      <w:pPr>
        <w:shd w:val="clear"/>
        <w:spacing w:line="440" w:lineRule="exact"/>
        <w:ind w:firstLine="542" w:firstLineChars="150"/>
        <w:jc w:val="center"/>
        <w:rPr>
          <w:rFonts w:hint="eastAsia" w:ascii="宋体"/>
          <w:b/>
          <w:bCs/>
          <w:color w:val="auto"/>
          <w:sz w:val="36"/>
          <w:szCs w:val="52"/>
          <w:highlight w:val="none"/>
        </w:rPr>
      </w:pPr>
    </w:p>
    <w:p w14:paraId="19FDCCDF">
      <w:pPr>
        <w:shd w:val="clear"/>
        <w:spacing w:line="440" w:lineRule="exact"/>
        <w:ind w:firstLine="542" w:firstLineChars="150"/>
        <w:jc w:val="center"/>
        <w:rPr>
          <w:rFonts w:hint="eastAsia" w:ascii="宋体"/>
          <w:b/>
          <w:bCs/>
          <w:color w:val="auto"/>
          <w:sz w:val="36"/>
          <w:szCs w:val="52"/>
          <w:highlight w:val="none"/>
        </w:rPr>
      </w:pPr>
    </w:p>
    <w:p w14:paraId="50606468">
      <w:pPr>
        <w:shd w:val="clear"/>
        <w:spacing w:line="440" w:lineRule="exact"/>
        <w:ind w:firstLine="542" w:firstLineChars="150"/>
        <w:jc w:val="center"/>
        <w:rPr>
          <w:rFonts w:hint="eastAsia" w:ascii="宋体"/>
          <w:b/>
          <w:bCs/>
          <w:color w:val="auto"/>
          <w:sz w:val="36"/>
          <w:szCs w:val="52"/>
          <w:highlight w:val="none"/>
        </w:rPr>
      </w:pPr>
    </w:p>
    <w:p w14:paraId="24E552B1">
      <w:pPr>
        <w:shd w:val="clear"/>
        <w:spacing w:line="440" w:lineRule="exact"/>
        <w:ind w:firstLine="542" w:firstLineChars="150"/>
        <w:jc w:val="center"/>
        <w:rPr>
          <w:rFonts w:hint="eastAsia" w:ascii="宋体"/>
          <w:b/>
          <w:bCs/>
          <w:color w:val="auto"/>
          <w:sz w:val="36"/>
          <w:szCs w:val="52"/>
          <w:highlight w:val="none"/>
        </w:rPr>
      </w:pPr>
    </w:p>
    <w:p w14:paraId="7ACC21F1">
      <w:pPr>
        <w:rPr>
          <w:rFonts w:hint="eastAsia"/>
          <w:color w:val="auto"/>
          <w:highlight w:val="none"/>
        </w:rPr>
      </w:pPr>
    </w:p>
    <w:p w14:paraId="4B4BD797">
      <w:pPr>
        <w:shd w:val="clear"/>
        <w:spacing w:line="440" w:lineRule="exact"/>
        <w:jc w:val="both"/>
        <w:rPr>
          <w:rFonts w:hint="eastAsia" w:ascii="宋体"/>
          <w:b/>
          <w:bCs/>
          <w:color w:val="auto"/>
          <w:sz w:val="36"/>
          <w:szCs w:val="52"/>
          <w:highlight w:val="none"/>
          <w:lang w:val="en-US" w:eastAsia="zh-CN"/>
        </w:rPr>
      </w:pPr>
      <w:r>
        <w:rPr>
          <w:rFonts w:hint="eastAsia" w:ascii="宋体"/>
          <w:b/>
          <w:bCs/>
          <w:color w:val="auto"/>
          <w:sz w:val="36"/>
          <w:szCs w:val="52"/>
          <w:highlight w:val="none"/>
          <w:lang w:val="en-US" w:eastAsia="zh-CN"/>
        </w:rPr>
        <w:t>附件1：机电系统维护维修项目项目工作内容</w:t>
      </w:r>
    </w:p>
    <w:p w14:paraId="55A51D0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一、维护原则</w:t>
      </w:r>
    </w:p>
    <w:p w14:paraId="5BAE5D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高速公路机电维护作业坚持预防为主、定期维护的原则，真正使设备的完好率达到最高、使用寿命达到最长。中标人应加强对机电设备的定期预防，通过以设备为分类依据，坚持日巡查、周保养、月维护的机电运维监管机制，对那些发生故障概率较高的部位，应当具体分析故障发生的原因并采取相应的改善维修措施，从而防止相同故障的重复性发生，应当实行对设备状态的监控，提高机电设备的维护效率，降低维修的费用，真正使设备的使用寿命达到最大化。</w:t>
      </w:r>
    </w:p>
    <w:p w14:paraId="1C3E546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二、维护内容及范围</w:t>
      </w:r>
    </w:p>
    <w:p w14:paraId="3420A9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维护作业内容：按照日巡查、周保养、月维护的机电运维监管机制要求，对ETC门架、收费车道、入口治超设备、出口计重设备、收费站及管理中心机房设备、监控室及票管室设备、干线摄像机、干线情报板等主要机电设备及主干光缆、配电柜等附属设施进行系统的维护管理，检查系统及设备主要功能是否正常运行，做好现场巡检、保养，整理系统数据库文件，并备份相关的数据，确保机电系统设备设施的完好。</w:t>
      </w:r>
    </w:p>
    <w:p w14:paraId="02668D4D">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三、设备的操作和维护</w:t>
      </w:r>
    </w:p>
    <w:p w14:paraId="2DD9D2D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（一）收费系统操作和维护</w:t>
      </w:r>
    </w:p>
    <w:p w14:paraId="626BFB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1、ETC 门架系统</w:t>
      </w:r>
    </w:p>
    <w:p w14:paraId="39D067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（1）每日检查一次ETC门架系统通信状态，确保每套门架数据传输正常：</w:t>
      </w:r>
    </w:p>
    <w:p w14:paraId="03E7AB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（2）每周一次检查门架系统控制机柜工作是否正常，检查机柜空调制冷功能是否正常，机柜有无报警信息，对机柜内部进行除尘，检查机柜内线缆插头是否紧固：</w:t>
      </w:r>
    </w:p>
    <w:p w14:paraId="7C3472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（3）每月一次检查工控机运行状态，检查工控机是否过热、散热风扇是否正常运行，并进行除尘；</w:t>
      </w:r>
    </w:p>
    <w:p w14:paraId="76DF0C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(4）每月一次检查RSU天线、RSU控制器、网络安全设备、UPS设备、交换机、户外机柜系统是否运行正常；</w:t>
      </w:r>
    </w:p>
    <w:p w14:paraId="458921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（5）每月一次检查车牌识别器运行状态、角度、闪光灯、抓拍位置是否正常。</w:t>
      </w:r>
    </w:p>
    <w:p w14:paraId="2BF21B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auto"/>
          <w:highlight w:val="none"/>
          <w:lang w:val="en-US" w:eastAsia="zh-CN"/>
        </w:rPr>
      </w:pPr>
      <w:r>
        <w:rPr>
          <w:rFonts w:hint="default"/>
          <w:color w:val="auto"/>
          <w:highlight w:val="none"/>
          <w:lang w:val="en-US" w:eastAsia="zh-CN"/>
        </w:rPr>
        <w:t>2、收费车道系统</w:t>
      </w:r>
    </w:p>
    <w:p w14:paraId="173E47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auto"/>
          <w:highlight w:val="none"/>
          <w:lang w:val="en-US" w:eastAsia="zh-CN"/>
        </w:rPr>
      </w:pPr>
      <w:r>
        <w:rPr>
          <w:rFonts w:hint="default"/>
          <w:color w:val="auto"/>
          <w:highlight w:val="none"/>
          <w:lang w:val="en-US" w:eastAsia="zh-CN"/>
        </w:rPr>
        <w:t>（1）每日检查一次收费车道系统通信状态，确保各车道数据传输正常：</w:t>
      </w:r>
    </w:p>
    <w:p w14:paraId="3B42896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auto"/>
          <w:highlight w:val="none"/>
          <w:lang w:val="en-US" w:eastAsia="zh-CN"/>
        </w:rPr>
      </w:pPr>
      <w:r>
        <w:rPr>
          <w:rFonts w:hint="default"/>
          <w:color w:val="auto"/>
          <w:highlight w:val="none"/>
          <w:lang w:val="en-US" w:eastAsia="zh-CN"/>
        </w:rPr>
        <w:t>（2）每周一次检查工控机工作状态，检查工控机温度是否过热、散热风扇是否正常运行，对工控机内部进行除尘（被动散热款工控机不需要），检查工控机各线缆插头是否紧固：</w:t>
      </w:r>
    </w:p>
    <w:p w14:paraId="78BB84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auto"/>
          <w:highlight w:val="none"/>
          <w:lang w:val="en-US" w:eastAsia="zh-CN"/>
        </w:rPr>
      </w:pPr>
      <w:r>
        <w:rPr>
          <w:rFonts w:hint="default"/>
          <w:color w:val="auto"/>
          <w:highlight w:val="none"/>
          <w:lang w:val="en-US" w:eastAsia="zh-CN"/>
        </w:rPr>
        <w:t>（3）每月一次检查线缆工作状态，保持线缆整齐、标签完整；</w:t>
      </w:r>
    </w:p>
    <w:p w14:paraId="7869C4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auto"/>
          <w:highlight w:val="none"/>
          <w:lang w:val="en-US" w:eastAsia="zh-CN"/>
        </w:rPr>
      </w:pPr>
      <w:r>
        <w:rPr>
          <w:rFonts w:hint="default"/>
          <w:color w:val="auto"/>
          <w:highlight w:val="none"/>
          <w:lang w:val="en-US" w:eastAsia="zh-CN"/>
        </w:rPr>
        <w:t>（4）每月一次检查自动栏杆水平度、抬落是否平稳、弹簧拉力是否合适、基座是否松动，检查栏杆电机、车辆检测模块，测量线圈电感量是否稳定，并对栏杆机内部进行除尘；</w:t>
      </w:r>
    </w:p>
    <w:p w14:paraId="0D77E7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auto"/>
          <w:highlight w:val="none"/>
          <w:lang w:val="en-US" w:eastAsia="zh-CN"/>
        </w:rPr>
      </w:pPr>
      <w:r>
        <w:rPr>
          <w:rFonts w:hint="default"/>
          <w:color w:val="auto"/>
          <w:highlight w:val="none"/>
          <w:lang w:val="en-US" w:eastAsia="zh-CN"/>
        </w:rPr>
        <w:t>（5）每月一次对雾灯、雨棚信号灯、费额显示器等设备进行检查维护：</w:t>
      </w:r>
    </w:p>
    <w:p w14:paraId="38139D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auto"/>
          <w:highlight w:val="none"/>
          <w:lang w:val="en-US" w:eastAsia="zh-CN"/>
        </w:rPr>
      </w:pPr>
      <w:r>
        <w:rPr>
          <w:rFonts w:hint="default"/>
          <w:color w:val="auto"/>
          <w:highlight w:val="none"/>
          <w:lang w:val="en-US" w:eastAsia="zh-CN"/>
        </w:rPr>
        <w:t>（6）每月一次对RSU天线、RSU控制器进行功能检测，出现故障及时修复，确保ETC一次通过率不低营运考核标准。</w:t>
      </w:r>
    </w:p>
    <w:p w14:paraId="376142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auto"/>
          <w:highlight w:val="none"/>
          <w:lang w:val="en-US" w:eastAsia="zh-CN"/>
        </w:rPr>
      </w:pPr>
      <w:r>
        <w:rPr>
          <w:rFonts w:hint="default"/>
          <w:color w:val="auto"/>
          <w:highlight w:val="none"/>
          <w:lang w:val="en-US" w:eastAsia="zh-CN"/>
        </w:rPr>
        <w:t>(7）每月一次对北斗校时服务器、PSAM授权终端等设备进行检查维护，发现故障及时修复：</w:t>
      </w:r>
    </w:p>
    <w:p w14:paraId="3332F9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color w:val="auto"/>
          <w:highlight w:val="none"/>
          <w:lang w:val="en-US" w:eastAsia="zh-CN"/>
        </w:rPr>
      </w:pPr>
      <w:r>
        <w:rPr>
          <w:rFonts w:hint="default"/>
          <w:color w:val="auto"/>
          <w:highlight w:val="none"/>
          <w:lang w:val="en-US" w:eastAsia="zh-CN"/>
        </w:rPr>
        <w:t>（8）每月对车控器的进风口、出风口的风扇进行检查，并注意清洗风扇内的防尘网。</w:t>
      </w:r>
    </w:p>
    <w:p w14:paraId="0999B8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（9）每月对键盘、IC卡读写器、显示器、打印机等设备进行表面清洁：</w:t>
      </w:r>
    </w:p>
    <w:p w14:paraId="20D9D1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（10）每月检查车控器内部接线端子是否紧固：</w:t>
      </w:r>
    </w:p>
    <w:p w14:paraId="0E7CA3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（11）每月检查各车道车控器的工作是否正常，并进行过车测试。</w:t>
      </w:r>
    </w:p>
    <w:p w14:paraId="6FEB66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（12）每月检查各车道移动支付设备的工作是否正常，并进行维护调试。</w:t>
      </w:r>
    </w:p>
    <w:p w14:paraId="5F3E06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3、自动栏杆机的操作和维护</w:t>
      </w:r>
    </w:p>
    <w:p w14:paraId="55E117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（1）每月一次检查自动栏杆机的工作是否正常，并进行维护界面测试；</w:t>
      </w:r>
    </w:p>
    <w:p w14:paraId="2B3ED2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（2）每月一次检查自动栏杆机的控制模块显示及工作状态是否正常：</w:t>
      </w:r>
    </w:p>
    <w:p w14:paraId="7711B2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（3）每月一次检查自动栏杆机的检查线圈、抓拍线圈的电感量是否满足设备工作需求：</w:t>
      </w:r>
    </w:p>
    <w:p w14:paraId="12DC33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（4）每月一次检查自动栏杆机内的接线端子是否连接紧固。</w:t>
      </w:r>
    </w:p>
    <w:p w14:paraId="794E6D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4、门架、车道车牌识别设备</w:t>
      </w:r>
    </w:p>
    <w:p w14:paraId="410955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（1）每月一次检查车牌识别器运行状态、角度、闪光灯、抓拍位置是否正常，并清理除尘：</w:t>
      </w:r>
    </w:p>
    <w:p w14:paraId="001E63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（2）出现故障及时维修，确保各车道识别率不低于营运考核标准。</w:t>
      </w:r>
    </w:p>
    <w:p w14:paraId="1D9699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（3）门架、收费站车牌识别捕获率、匹配率、车牌一致率不低于相关营运考核标准。</w:t>
      </w:r>
    </w:p>
    <w:p w14:paraId="37A15C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5、机房设备的日常操作和维护</w:t>
      </w:r>
    </w:p>
    <w:p w14:paraId="5278CFC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（1）每月一次检查路段中心、收费站服务器、工作站、交换机、光纤收发器、联网收费系统4G路由器、电话交换系统的工作是否正常，各应用程序是否正常运行：</w:t>
      </w:r>
    </w:p>
    <w:p w14:paraId="1E042D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（2）每月一次检查路段中心、收费站服务器、工作站、交换机、光纤收发器、联网收费系统4G路由器、电话交换系统相关设备网络是否通畅；</w:t>
      </w:r>
    </w:p>
    <w:p w14:paraId="10431E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（3）每月一次备份上述机房设备数据库：</w:t>
      </w:r>
    </w:p>
    <w:p w14:paraId="76E0BC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（4）每月一次对上述机房设备进行除尘。</w:t>
      </w:r>
    </w:p>
    <w:p w14:paraId="72A20B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（5）每季度一次检查硬件工作状况并纪录，并对服务器内部除尘；</w:t>
      </w:r>
    </w:p>
    <w:p w14:paraId="3667F0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（6）及时确保收费数据及时上传至联网中心：</w:t>
      </w:r>
    </w:p>
    <w:p w14:paraId="4BF743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（7）及时维修服务器故障；</w:t>
      </w:r>
    </w:p>
    <w:p w14:paraId="041424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（8）及时解决数据库、应用软件、服务等故障，及时处理日常交班故障、数据上报故障。</w:t>
      </w:r>
    </w:p>
    <w:p w14:paraId="46EFC3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6、雨棚通行灯操作和维护</w:t>
      </w:r>
    </w:p>
    <w:p w14:paraId="7D85F5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（1）每月一次检查雨棚通行灯的工作是否正常：</w:t>
      </w:r>
    </w:p>
    <w:p w14:paraId="18A4E0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（2）每季一次通行灯内外部清洁工作；</w:t>
      </w:r>
    </w:p>
    <w:p w14:paraId="1747A4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（3）每季一次检查雨棚通行灯有无像素管损坏，如果有损坏需更换。</w:t>
      </w:r>
    </w:p>
    <w:p w14:paraId="61A660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7、收费系统线路的日常操作和维护</w:t>
      </w:r>
    </w:p>
    <w:p w14:paraId="0B1636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（1）每月一次检查收费系统数据线缆接头是否紧固：</w:t>
      </w:r>
    </w:p>
    <w:p w14:paraId="5065798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（2）每月一次检查收费系统裸露线缆有无绝缘损坏现象；</w:t>
      </w:r>
    </w:p>
    <w:p w14:paraId="467516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（3）每季一次检查线缆标签是否清晰，如果模糊，进行更换；</w:t>
      </w:r>
    </w:p>
    <w:p w14:paraId="5E0B9C4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8、网络安全设备</w:t>
      </w:r>
    </w:p>
    <w:p w14:paraId="7BB796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（1）每日检查一次网络安全设备运行状态，确保设备运行正常：</w:t>
      </w:r>
    </w:p>
    <w:p w14:paraId="561F18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（2）每月一次检查管理处、各收费站、ETC门架处的网络安全设备（含日志审计、终端管控、防火墙）及防病毒软件的运行状态是否正常，并做好除尘等维护工作：</w:t>
      </w:r>
    </w:p>
    <w:p w14:paraId="6A1ABC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（3）完成每月一次机网络安全相关设备的数据备份工作。</w:t>
      </w:r>
    </w:p>
    <w:p w14:paraId="5B15E2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9、入口治超系统设备</w:t>
      </w:r>
    </w:p>
    <w:p w14:paraId="2C0E6E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（1）每月一次检查秤台平整度、清理秤台缝隙和检修孔杂物，检查称重传感器、仪表、光栅、线圈是否正常；</w:t>
      </w:r>
    </w:p>
    <w:p w14:paraId="76B8F30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（2）配合计量检测局做好半年一次的称重设备检测工作：</w:t>
      </w:r>
    </w:p>
    <w:p w14:paraId="2AE0A3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（3）及时做好故障维修；</w:t>
      </w:r>
    </w:p>
    <w:p w14:paraId="180DC2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（4）每半年进行一次淤泥清理。</w:t>
      </w:r>
    </w:p>
    <w:p w14:paraId="212E8B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10、出口计重系统设备</w:t>
      </w:r>
    </w:p>
    <w:p w14:paraId="753B3C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（1）每月一次检查秤台平整度、清理秤台缝隙和检修孔杂物，检查称重传感器、仪表、光栅、线圈是否正常：</w:t>
      </w:r>
    </w:p>
    <w:p w14:paraId="325D34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（2）配合计量检测局做好半年一次的称重设备检测工作；</w:t>
      </w:r>
    </w:p>
    <w:p w14:paraId="7B3901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（3）及时做好故障维修；</w:t>
      </w:r>
    </w:p>
    <w:p w14:paraId="3C095E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（4）每半年进行一次淤泥清理。</w:t>
      </w:r>
    </w:p>
    <w:p w14:paraId="31D51F9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（二）监控系统日常操作和维护</w:t>
      </w:r>
    </w:p>
    <w:p w14:paraId="427B5E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1、摄像机的操作和维护</w:t>
      </w:r>
    </w:p>
    <w:p w14:paraId="6B77F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（1）每日一次检查监控平台干线、收费广场、服务区、全程监控图像实时预览是否正常，如遇故障及时修复，确保监控日在线率达到100%</w:t>
      </w:r>
    </w:p>
    <w:p w14:paraId="3C9619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（2）每月一次维护公司、收费站园区、干线、收费广场、服务区、全程监控摄像机设备及网络传输设备，确保设备正常运行：</w:t>
      </w:r>
    </w:p>
    <w:p w14:paraId="5E88E3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（3）每季度一次检查公司、收费站园区、干线、收费广场、服务区、全程监控摄像机缆标签是否清晰，如果模糊，进行更换：</w:t>
      </w:r>
    </w:p>
    <w:p w14:paraId="4FA041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（4）每季度一次检查公司、收费站园区、干线、收费广场、服务区、全程监控摄像机机箱内部是否有潮气或水珠，如果有重新封堵上线孔：</w:t>
      </w:r>
    </w:p>
    <w:p w14:paraId="65744E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（5）每季度一次检查公司、收费站园区、干线、收费广场、服务区、全程监控摄像机电源防雷器、视频防雷器和信号防雷器是否失效，如果失效需及时更换；</w:t>
      </w:r>
    </w:p>
    <w:p w14:paraId="2F626A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（6）每季度一次检查广场摄像机线缆标签是否清晰，如果模糊，进行更换：</w:t>
      </w:r>
    </w:p>
    <w:p w14:paraId="494DA3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（7）每季度一次检查机箱内部是否有潮气或水珠，如果有重新封堵上线孔：</w:t>
      </w:r>
    </w:p>
    <w:p w14:paraId="114D3D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（8）每季度一次车道摄像机的表面、内部除尘：</w:t>
      </w:r>
    </w:p>
    <w:p w14:paraId="5D92D7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（9）每季度一次检查车道摄像机的拍摄角度是否正常，出现偏差及时调整：</w:t>
      </w:r>
    </w:p>
    <w:p w14:paraId="2F630A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（10）每季度一次检查车道摄像机的电源线、视频线是否连接紧固；</w:t>
      </w:r>
    </w:p>
    <w:p w14:paraId="1DA92E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（11）每季度一次使用专用镜头纸清洁车道摄像机镜头。</w:t>
      </w:r>
    </w:p>
    <w:p w14:paraId="3A9D8B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（12）每季度一次检查亭内摄像机的电源线、视频线是否连接紧固：</w:t>
      </w:r>
    </w:p>
    <w:p w14:paraId="3C3AF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（13）每季度一次检查亭内摄像机的拍摄角度是否正常，出现偏差及时调整；</w:t>
      </w:r>
    </w:p>
    <w:p w14:paraId="54F8A7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（14）每季度一次清洁亭内摄像机外壳防护罩上的灰尘。</w:t>
      </w:r>
    </w:p>
    <w:p w14:paraId="688ECA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（15）每季度一次检查广场摄像机控制箱里的电源线、视频线是否连接紧固：</w:t>
      </w:r>
    </w:p>
    <w:p w14:paraId="2E930C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（16）每季度一次检查杆体、杆体机箱，发现有锈蚀的地方及时进行防腐处理，有进水的地方及时防水处理；</w:t>
      </w:r>
    </w:p>
    <w:p w14:paraId="51F351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（17）每季一次清洁干线、收费广场、服务区、全程监控摄像机球罩上的灰尘、蜘蛛网等杂物：</w:t>
      </w:r>
    </w:p>
    <w:p w14:paraId="5A1400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（18）每季一次检查摄像机的接地电阻值是否满足运行要求，阻值不大于1欧姆。</w:t>
      </w:r>
    </w:p>
    <w:p w14:paraId="310FAD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2、硬盘录像机或磁盘阵列的日常操作和维护</w:t>
      </w:r>
    </w:p>
    <w:p w14:paraId="51EA21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（1）每日一次检查所有图像是否接入硬盘录像机或磁盘阵列，录像功能运行是否正常；</w:t>
      </w:r>
    </w:p>
    <w:p w14:paraId="6211B9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（2）每周一次检查图像是否有干扰现象；</w:t>
      </w:r>
    </w:p>
    <w:p w14:paraId="3D3678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（3）每季一饮检查线缆接头是否紧固，标签是否清晰，如果模糊，进行更换：</w:t>
      </w:r>
    </w:p>
    <w:p w14:paraId="4DF2E0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3、计算机系统的操作和维护</w:t>
      </w:r>
    </w:p>
    <w:p w14:paraId="37FCD6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（1）每月一次检查站内各计算机的工作是否正常，是否能够正常操作：</w:t>
      </w:r>
    </w:p>
    <w:p w14:paraId="50282B7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（2）每月一次检查站内网络数据交换机的各端口指示灯是否正常，相应的各端口插接的网线、尾纤头是否紧固；</w:t>
      </w:r>
    </w:p>
    <w:p w14:paraId="71F794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（3）每月一次检查站内各计算机之间的网络是否通畅：</w:t>
      </w:r>
    </w:p>
    <w:p w14:paraId="2566A9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（4）每月一次检查站内路由器、协议转换器工作状态是否正常；</w:t>
      </w:r>
    </w:p>
    <w:p w14:paraId="7FD604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（5）每月一次使用无水酒精清洁网络数据交换机光头上的尾纤头。</w:t>
      </w:r>
    </w:p>
    <w:p w14:paraId="4A4FD4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4、情报板</w:t>
      </w:r>
    </w:p>
    <w:p w14:paraId="6B7EA8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（1）每日一次检查情报板屏体显示是否正常：</w:t>
      </w:r>
    </w:p>
    <w:p w14:paraId="4B67A6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（2）每日一次检查情报板信息发布功能是否正常；</w:t>
      </w:r>
    </w:p>
    <w:p w14:paraId="2F3A04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（3）每周一次检查并更换故障的散热风扇：</w:t>
      </w:r>
    </w:p>
    <w:p w14:paraId="4AB1B3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（4）每月一次对设备柜进行除尘。</w:t>
      </w:r>
    </w:p>
    <w:p w14:paraId="0B9B32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（5）每年一次检查爬梯及操作平台是否牢固，检查防雷接地是否正常。</w:t>
      </w:r>
    </w:p>
    <w:p w14:paraId="6D8092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5、监控信息系统</w:t>
      </w:r>
    </w:p>
    <w:p w14:paraId="34443C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（1）每周一次检查数据服务器、应用服务器设备运行状态，有无异常告警：</w:t>
      </w:r>
    </w:p>
    <w:p w14:paraId="4858F0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（2）每季度一次数据服务器、应用服务器开机除尘；</w:t>
      </w:r>
    </w:p>
    <w:p w14:paraId="07D52F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（3）每天一次检查情报板信息发布平台、监控数字化平台、信息服务综合平台是否正常：</w:t>
      </w:r>
    </w:p>
    <w:p w14:paraId="7E9C1F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（4）每天一次检查对讲广播视频电话是否正常：</w:t>
      </w:r>
    </w:p>
    <w:p w14:paraId="58B683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（5）每月一次检查各应用程序备份：及时处置各类异常情况。</w:t>
      </w:r>
    </w:p>
    <w:p w14:paraId="38D4E3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6、录像存储系统</w:t>
      </w:r>
    </w:p>
    <w:p w14:paraId="66A90F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(1）每周一次检查IPSAN、硬盘录像机设备工作状态、磁盘阵列状态、录像回放是否正常。</w:t>
      </w:r>
    </w:p>
    <w:p w14:paraId="4643D8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7、公司LED大屏系统</w:t>
      </w:r>
    </w:p>
    <w:p w14:paraId="0E2F55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（1）每月一次检查分中心拼接屏、监视器图像切换功能是否正常，并做好除尘、数据备份等操作，遇到故障及时修复。</w:t>
      </w:r>
    </w:p>
    <w:p w14:paraId="0881E08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（三）通信系统操作和维护</w:t>
      </w:r>
    </w:p>
    <w:p w14:paraId="3C49AE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1、通信机柜的操作和维护</w:t>
      </w:r>
    </w:p>
    <w:p w14:paraId="498150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（1）每月一次检查通信设备指示灯及设备运行是否正常；</w:t>
      </w:r>
    </w:p>
    <w:p w14:paraId="74DD28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（2）每月一次通信机柜内部除尘：</w:t>
      </w:r>
    </w:p>
    <w:p w14:paraId="3DC5DF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（3）每月一次检查蓄电池端口及供电线路有无绝缘老化现象发生；</w:t>
      </w:r>
    </w:p>
    <w:p w14:paraId="75B372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2、网络传输设备的日常操作和维护</w:t>
      </w:r>
    </w:p>
    <w:p w14:paraId="5688A4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（1）每月一次检查站内各计算机、车道工控机的工作是否正常，是否能够正常操作；</w:t>
      </w:r>
    </w:p>
    <w:p w14:paraId="24317D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（2）每月一次检查车道工控机、计算机、服务器间的通信状态是否正常：</w:t>
      </w:r>
    </w:p>
    <w:p w14:paraId="14FC3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（3）每月一次检查车道及站内网络数据交换机的各端口指示灯是否正常，相应的各端口插接的网线、尾纤头是否紧固：</w:t>
      </w:r>
    </w:p>
    <w:p w14:paraId="35CC32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（4）每月一次检查站内路由器、协议转换器工作状态是否正常；</w:t>
      </w:r>
    </w:p>
    <w:p w14:paraId="115E24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（5）每月一次使用无水酒精清洁网络数据交换机光头上的尾纤头。</w:t>
      </w:r>
    </w:p>
    <w:p w14:paraId="12C5D6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3、电话交换系统的日常操作和维护</w:t>
      </w:r>
    </w:p>
    <w:p w14:paraId="085735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（1）每月一次检查电话交换系统的工作是否正常；</w:t>
      </w:r>
    </w:p>
    <w:p w14:paraId="2A711D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（2）每月一次检查电话交换系统终端设备的工作是否正常：</w:t>
      </w:r>
    </w:p>
    <w:p w14:paraId="7BDA5B6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（3）每月一次检查数据线缆的标签是否清晰，如果模糊，进行更换；</w:t>
      </w:r>
    </w:p>
    <w:p w14:paraId="7A5DF8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4、通信终端设备的日常操作和维护</w:t>
      </w:r>
    </w:p>
    <w:p w14:paraId="62E695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（1）每月一次检查通信终端设备的工作是否正常：</w:t>
      </w:r>
    </w:p>
    <w:p w14:paraId="3D85B4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（2）每月一次检查主线光缆通信状态；</w:t>
      </w:r>
    </w:p>
    <w:p w14:paraId="50F818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（3）每月一次检查通信终端</w:t>
      </w:r>
    </w:p>
    <w:p w14:paraId="57022B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5、光纤数字传输系统</w:t>
      </w:r>
    </w:p>
    <w:p w14:paraId="529530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（1）每季度一次对PTN、SDH设备告警检查、不能存在影响业务的告警：</w:t>
      </w:r>
    </w:p>
    <w:p w14:paraId="39848C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（2）每季度一次对PTN、SDH设备保护倒换检查，确保倒换功能正常；</w:t>
      </w:r>
    </w:p>
    <w:p w14:paraId="13D4D4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（3）每季度一次对PTN、SDH设备检查各单板的指示灯是否正常；</w:t>
      </w:r>
    </w:p>
    <w:p w14:paraId="096F02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（4）每季度一次对PTN、SDH设备检查线缆有无松动，标签是否完好：</w:t>
      </w:r>
    </w:p>
    <w:p w14:paraId="15E912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（5）每季度一次对PTN、SDH设备检查风扇工作状态；对滤网、风扇进行除尘。</w:t>
      </w:r>
    </w:p>
    <w:p w14:paraId="69C3F5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6、通信电源系统</w:t>
      </w:r>
    </w:p>
    <w:p w14:paraId="680B18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（1）每季度一次检查电源模块指示灯是否正常；</w:t>
      </w:r>
    </w:p>
    <w:p w14:paraId="0FC8B4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（2）每季度一次检查风扇及声音告警是否正常：</w:t>
      </w:r>
    </w:p>
    <w:p w14:paraId="17BF23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（3）每季度一次检查设备电压是否正常；</w:t>
      </w:r>
    </w:p>
    <w:p w14:paraId="74B82E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（4）每季度一次检查蓄电池外观、浮充电压是否正常：</w:t>
      </w:r>
    </w:p>
    <w:p w14:paraId="10B58D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（5）定期除尘。</w:t>
      </w:r>
    </w:p>
    <w:p w14:paraId="264E26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7、通信光缆</w:t>
      </w:r>
    </w:p>
    <w:p w14:paraId="44D1EC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（1）每年一次检查干线电缆井盖和桥架盖板是否缺失；</w:t>
      </w:r>
    </w:p>
    <w:p w14:paraId="0CDE86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（2）及时对光缆中断进行维修。</w:t>
      </w:r>
    </w:p>
    <w:p w14:paraId="7BBB2D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8、网络设备</w:t>
      </w:r>
    </w:p>
    <w:p w14:paraId="08252E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（1）每季度一次对防火墙、网络交换机安全性进行检查，查看防火墙日志，及时消除异常。</w:t>
      </w:r>
    </w:p>
    <w:p w14:paraId="18443D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9、机电系统专项防鼠</w:t>
      </w:r>
    </w:p>
    <w:p w14:paraId="3E78CF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每季度一次对机房、收费道口、配电房等区域开展专项防鼠工作，确保机电系统运营安全。</w:t>
      </w:r>
    </w:p>
    <w:p w14:paraId="22F54AE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（四）其它设施的操作和维护</w:t>
      </w:r>
    </w:p>
    <w:p w14:paraId="1CA6BB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1、其他设施包括消防系统（灭火器、消防手动报警、消防箱体含玻璃）、环保设施、房屋设施等，应经常保持完好、齐全。有特殊要求的其他设施应按相关规定进行养护。</w:t>
      </w:r>
    </w:p>
    <w:p w14:paraId="73A8F3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2、防雷接地装置如有损坏、锈蚀应及时养护维修，并符合以下要求：</w:t>
      </w:r>
    </w:p>
    <w:p w14:paraId="1A437B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（1）修换防雷接地装置前，应对接地体进行接地电阻测试，接地线和接地体焊接开焊、断裂的应修换，完好的应除锈刷防锈漆。</w:t>
      </w:r>
    </w:p>
    <w:p w14:paraId="2300DE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（2）接地体锈蚀严重无法修复时，按查勘设计换装新接地体。</w:t>
      </w:r>
    </w:p>
    <w:p w14:paraId="121847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（3）修换防雷装置前，对避雷网（带）、引下线等发生开焊、变形的应修复，对防锈漆脱落的应除锈刷漆。</w:t>
      </w:r>
    </w:p>
    <w:p w14:paraId="5861C2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（4）修换接地装置及固件均宜采用镀锌制品，各部连接点应牢固可靠。</w:t>
      </w:r>
    </w:p>
    <w:p w14:paraId="10E5AE2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四、其他</w:t>
      </w:r>
    </w:p>
    <w:p w14:paraId="467231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若因设备自身原因需要更换的，在合同清单内的设备由中标人提供备件并负责更换，清单外的设备由招标人采购后中标人负责更换，备件和故障件的维修费用由招标人承担，维修时需更换的损坏设备、材料报招标人审核批准；</w:t>
      </w:r>
    </w:p>
    <w:p w14:paraId="07EAC0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2、每半年度对机电关键设备及接地系统进行一次接地电阻测量。</w:t>
      </w:r>
    </w:p>
    <w:p w14:paraId="214D8F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3、灯具维修的附属材料由中标人承担（包含电缆、空开、绝缘胶布等低值易耗品）。</w:t>
      </w:r>
    </w:p>
    <w:p w14:paraId="43AAB9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4、光、电缆故障非第三方原因，不单独计算费用。</w:t>
      </w:r>
    </w:p>
    <w:p w14:paraId="4E64179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5、软件升级、维护及调试由中标人实施，不产生费用，包含在总价内。</w:t>
      </w:r>
    </w:p>
    <w:p w14:paraId="743678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6、缺陷责任期内的设备，中标人负责检查、维护、维修。</w:t>
      </w:r>
    </w:p>
    <w:p w14:paraId="1CCCFB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7、承包方对</w:t>
      </w:r>
      <w:r>
        <w:rPr>
          <w:rFonts w:hint="eastAsia" w:ascii="宋体" w:hAnsi="宋体" w:cs="宋体"/>
          <w:b w:val="0"/>
          <w:bCs w:val="0"/>
          <w:color w:val="auto"/>
          <w:kern w:val="2"/>
          <w:sz w:val="21"/>
          <w:szCs w:val="21"/>
          <w:highlight w:val="none"/>
          <w:lang w:val="en-US" w:eastAsia="zh-CN" w:bidi="ar-SA"/>
        </w:rPr>
        <w:t>甲方</w:t>
      </w:r>
      <w:r>
        <w:rPr>
          <w:rFonts w:hint="eastAsia"/>
          <w:color w:val="auto"/>
          <w:highlight w:val="none"/>
          <w:lang w:val="en-US" w:eastAsia="zh-CN"/>
        </w:rPr>
        <w:t>开展的履约检查积极做好配合。</w:t>
      </w:r>
    </w:p>
    <w:p w14:paraId="34C26D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8、未经甲方许可，承包方严禁将各系统设备、平台用户名密码提供给第三方单位。</w:t>
      </w:r>
    </w:p>
    <w:p w14:paraId="5AAF1F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9、其他维护内容按交通运输部路网监测与应急处置中心印发的《收费公路联网收费系统运维工作指南（暂行）》（交路网函（2021）288号），维护内容有冲突的以此文件为准，如文件有更新，以更新文件为准。</w:t>
      </w:r>
    </w:p>
    <w:p w14:paraId="614015CD">
      <w:pPr>
        <w:shd w:val="clear"/>
        <w:spacing w:line="440" w:lineRule="exact"/>
        <w:jc w:val="both"/>
        <w:rPr>
          <w:rFonts w:hint="eastAsia" w:ascii="宋体"/>
          <w:b/>
          <w:bCs/>
          <w:color w:val="auto"/>
          <w:sz w:val="36"/>
          <w:szCs w:val="52"/>
          <w:highlight w:val="none"/>
          <w:lang w:val="en-US" w:eastAsia="zh-CN"/>
        </w:rPr>
      </w:pPr>
    </w:p>
    <w:p w14:paraId="31946D84">
      <w:pPr>
        <w:shd w:val="clear"/>
        <w:spacing w:line="440" w:lineRule="exact"/>
        <w:jc w:val="both"/>
        <w:rPr>
          <w:rFonts w:hint="eastAsia" w:ascii="宋体"/>
          <w:b/>
          <w:bCs/>
          <w:color w:val="auto"/>
          <w:sz w:val="36"/>
          <w:szCs w:val="52"/>
          <w:highlight w:val="none"/>
          <w:lang w:val="en-US" w:eastAsia="zh-CN"/>
        </w:rPr>
      </w:pPr>
    </w:p>
    <w:p w14:paraId="461D7750">
      <w:pPr>
        <w:shd w:val="clear"/>
        <w:spacing w:line="440" w:lineRule="exact"/>
        <w:jc w:val="both"/>
        <w:rPr>
          <w:rFonts w:hint="eastAsia" w:ascii="宋体"/>
          <w:b/>
          <w:bCs/>
          <w:color w:val="auto"/>
          <w:sz w:val="36"/>
          <w:szCs w:val="52"/>
          <w:highlight w:val="none"/>
          <w:lang w:val="en-US" w:eastAsia="zh-CN"/>
        </w:rPr>
      </w:pPr>
    </w:p>
    <w:p w14:paraId="4DFEB588">
      <w:pPr>
        <w:shd w:val="clear"/>
        <w:spacing w:line="440" w:lineRule="exact"/>
        <w:jc w:val="both"/>
        <w:rPr>
          <w:rFonts w:hint="eastAsia" w:ascii="宋体"/>
          <w:b/>
          <w:bCs/>
          <w:color w:val="auto"/>
          <w:sz w:val="36"/>
          <w:szCs w:val="52"/>
          <w:highlight w:val="none"/>
          <w:lang w:val="en-US" w:eastAsia="zh-CN"/>
        </w:rPr>
      </w:pPr>
    </w:p>
    <w:p w14:paraId="3A490DAB">
      <w:pPr>
        <w:shd w:val="clear"/>
        <w:spacing w:line="440" w:lineRule="exact"/>
        <w:jc w:val="both"/>
        <w:rPr>
          <w:rFonts w:hint="eastAsia" w:ascii="宋体"/>
          <w:b/>
          <w:bCs/>
          <w:color w:val="auto"/>
          <w:sz w:val="36"/>
          <w:szCs w:val="52"/>
          <w:highlight w:val="none"/>
          <w:lang w:val="en-US" w:eastAsia="zh-CN"/>
        </w:rPr>
      </w:pPr>
    </w:p>
    <w:p w14:paraId="0C0DF408">
      <w:pPr>
        <w:shd w:val="clear"/>
        <w:spacing w:line="440" w:lineRule="exact"/>
        <w:jc w:val="both"/>
        <w:rPr>
          <w:rFonts w:hint="eastAsia" w:ascii="宋体"/>
          <w:b/>
          <w:bCs/>
          <w:color w:val="auto"/>
          <w:sz w:val="36"/>
          <w:szCs w:val="52"/>
          <w:highlight w:val="none"/>
          <w:lang w:val="en-US" w:eastAsia="zh-CN"/>
        </w:rPr>
      </w:pPr>
    </w:p>
    <w:p w14:paraId="7F65712B">
      <w:pPr>
        <w:shd w:val="clear"/>
        <w:spacing w:line="440" w:lineRule="exact"/>
        <w:jc w:val="both"/>
        <w:rPr>
          <w:rFonts w:hint="eastAsia" w:ascii="宋体"/>
          <w:b/>
          <w:bCs/>
          <w:color w:val="auto"/>
          <w:sz w:val="36"/>
          <w:szCs w:val="52"/>
          <w:highlight w:val="none"/>
          <w:lang w:val="en-US" w:eastAsia="zh-CN"/>
        </w:rPr>
      </w:pPr>
    </w:p>
    <w:p w14:paraId="5B63C4C8">
      <w:pPr>
        <w:shd w:val="clear"/>
        <w:spacing w:line="440" w:lineRule="exact"/>
        <w:jc w:val="both"/>
        <w:rPr>
          <w:rFonts w:hint="eastAsia" w:ascii="宋体"/>
          <w:b/>
          <w:bCs/>
          <w:color w:val="auto"/>
          <w:sz w:val="36"/>
          <w:szCs w:val="52"/>
          <w:highlight w:val="none"/>
          <w:lang w:val="en-US" w:eastAsia="zh-CN"/>
        </w:rPr>
      </w:pPr>
    </w:p>
    <w:p w14:paraId="55F59303">
      <w:pPr>
        <w:shd w:val="clear"/>
        <w:spacing w:line="440" w:lineRule="exact"/>
        <w:jc w:val="both"/>
        <w:rPr>
          <w:rFonts w:hint="eastAsia" w:ascii="宋体"/>
          <w:b/>
          <w:bCs/>
          <w:color w:val="auto"/>
          <w:sz w:val="36"/>
          <w:szCs w:val="52"/>
          <w:highlight w:val="none"/>
          <w:lang w:val="en-US" w:eastAsia="zh-CN"/>
        </w:rPr>
      </w:pPr>
    </w:p>
    <w:p w14:paraId="6D131C31">
      <w:pPr>
        <w:shd w:val="clear"/>
        <w:spacing w:line="440" w:lineRule="exact"/>
        <w:jc w:val="both"/>
        <w:rPr>
          <w:rFonts w:hint="eastAsia" w:ascii="宋体"/>
          <w:b/>
          <w:bCs/>
          <w:color w:val="auto"/>
          <w:sz w:val="36"/>
          <w:szCs w:val="52"/>
          <w:highlight w:val="none"/>
          <w:lang w:val="en-US" w:eastAsia="zh-CN"/>
        </w:rPr>
      </w:pPr>
    </w:p>
    <w:p w14:paraId="1A8ABD26">
      <w:pPr>
        <w:shd w:val="clear"/>
        <w:spacing w:line="440" w:lineRule="exact"/>
        <w:jc w:val="both"/>
        <w:rPr>
          <w:rFonts w:hint="eastAsia" w:ascii="宋体"/>
          <w:b/>
          <w:bCs/>
          <w:color w:val="auto"/>
          <w:sz w:val="36"/>
          <w:szCs w:val="52"/>
          <w:highlight w:val="none"/>
          <w:lang w:val="en-US" w:eastAsia="zh-CN"/>
        </w:rPr>
      </w:pPr>
    </w:p>
    <w:p w14:paraId="0E90AB83">
      <w:pPr>
        <w:shd w:val="clear"/>
        <w:spacing w:line="440" w:lineRule="exact"/>
        <w:jc w:val="both"/>
        <w:rPr>
          <w:rFonts w:hint="eastAsia" w:ascii="宋体"/>
          <w:b/>
          <w:bCs/>
          <w:color w:val="auto"/>
          <w:sz w:val="36"/>
          <w:szCs w:val="52"/>
          <w:highlight w:val="none"/>
          <w:lang w:val="en-US" w:eastAsia="zh-CN"/>
        </w:rPr>
      </w:pPr>
    </w:p>
    <w:p w14:paraId="06B6E4E7">
      <w:pPr>
        <w:shd w:val="clear"/>
        <w:spacing w:line="440" w:lineRule="exact"/>
        <w:jc w:val="both"/>
        <w:rPr>
          <w:rFonts w:hint="eastAsia" w:ascii="宋体"/>
          <w:b/>
          <w:bCs/>
          <w:color w:val="auto"/>
          <w:sz w:val="36"/>
          <w:szCs w:val="52"/>
          <w:highlight w:val="none"/>
          <w:lang w:val="en-US" w:eastAsia="zh-CN"/>
        </w:rPr>
      </w:pPr>
    </w:p>
    <w:p w14:paraId="2FC0BE58">
      <w:pPr>
        <w:shd w:val="clear"/>
        <w:spacing w:line="440" w:lineRule="exact"/>
        <w:jc w:val="both"/>
        <w:rPr>
          <w:rFonts w:hint="eastAsia" w:ascii="宋体"/>
          <w:b/>
          <w:bCs/>
          <w:color w:val="auto"/>
          <w:sz w:val="36"/>
          <w:szCs w:val="52"/>
          <w:highlight w:val="none"/>
          <w:lang w:val="en-US" w:eastAsia="zh-CN"/>
        </w:rPr>
      </w:pPr>
    </w:p>
    <w:p w14:paraId="669771A9">
      <w:pPr>
        <w:shd w:val="clear"/>
        <w:spacing w:line="440" w:lineRule="exact"/>
        <w:jc w:val="both"/>
        <w:rPr>
          <w:rFonts w:hint="eastAsia" w:ascii="宋体"/>
          <w:b/>
          <w:bCs/>
          <w:color w:val="auto"/>
          <w:sz w:val="36"/>
          <w:szCs w:val="52"/>
          <w:highlight w:val="none"/>
          <w:lang w:val="en-US" w:eastAsia="zh-CN"/>
        </w:rPr>
      </w:pPr>
    </w:p>
    <w:p w14:paraId="4E79FCF1">
      <w:pPr>
        <w:shd w:val="clear"/>
        <w:spacing w:line="440" w:lineRule="exact"/>
        <w:jc w:val="both"/>
        <w:rPr>
          <w:rFonts w:hint="default" w:ascii="宋体" w:eastAsia="宋体"/>
          <w:b/>
          <w:bCs/>
          <w:color w:val="auto"/>
          <w:sz w:val="36"/>
          <w:szCs w:val="52"/>
          <w:highlight w:val="none"/>
          <w:lang w:val="en-US" w:eastAsia="zh-CN"/>
        </w:rPr>
      </w:pPr>
      <w:r>
        <w:rPr>
          <w:rFonts w:hint="eastAsia" w:ascii="宋体"/>
          <w:b/>
          <w:bCs/>
          <w:color w:val="auto"/>
          <w:sz w:val="36"/>
          <w:szCs w:val="52"/>
          <w:highlight w:val="none"/>
          <w:lang w:val="en-US" w:eastAsia="zh-CN"/>
        </w:rPr>
        <w:t>附件2：维修维护时间响应表</w:t>
      </w:r>
    </w:p>
    <w:p w14:paraId="0920D4A7">
      <w:pPr>
        <w:shd w:val="clear"/>
        <w:spacing w:line="440" w:lineRule="exact"/>
        <w:ind w:firstLine="542" w:firstLineChars="150"/>
        <w:jc w:val="center"/>
        <w:rPr>
          <w:rFonts w:hint="eastAsia" w:ascii="宋体"/>
          <w:b/>
          <w:bCs/>
          <w:color w:val="auto"/>
          <w:sz w:val="36"/>
          <w:szCs w:val="52"/>
          <w:highlight w:val="none"/>
        </w:rPr>
      </w:pPr>
    </w:p>
    <w:tbl>
      <w:tblPr>
        <w:tblStyle w:val="131"/>
        <w:tblW w:w="9591"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072"/>
        <w:gridCol w:w="5678"/>
        <w:gridCol w:w="598"/>
        <w:gridCol w:w="747"/>
        <w:gridCol w:w="761"/>
      </w:tblGrid>
      <w:tr w14:paraId="40DF0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35" w:type="dxa"/>
            <w:vAlign w:val="center"/>
          </w:tcPr>
          <w:p w14:paraId="14D2BD56">
            <w:pPr>
              <w:pStyle w:val="132"/>
              <w:spacing w:before="162" w:line="195" w:lineRule="auto"/>
              <w:jc w:val="center"/>
              <w:rPr>
                <w:rFonts w:hint="default" w:eastAsia="宋体"/>
                <w:color w:val="auto"/>
                <w:highlight w:val="none"/>
                <w:lang w:val="en-US" w:eastAsia="zh-CN"/>
              </w:rPr>
            </w:pPr>
            <w:r>
              <w:rPr>
                <w:rFonts w:hint="eastAsia"/>
                <w:color w:val="auto"/>
                <w:highlight w:val="none"/>
                <w:lang w:val="en-US" w:eastAsia="zh-CN"/>
              </w:rPr>
              <w:t>级别</w:t>
            </w:r>
          </w:p>
        </w:tc>
        <w:tc>
          <w:tcPr>
            <w:tcW w:w="6750" w:type="dxa"/>
            <w:gridSpan w:val="2"/>
            <w:vAlign w:val="center"/>
          </w:tcPr>
          <w:p w14:paraId="2C991B42">
            <w:pPr>
              <w:pStyle w:val="132"/>
              <w:spacing w:before="72" w:line="219" w:lineRule="auto"/>
              <w:jc w:val="center"/>
              <w:rPr>
                <w:color w:val="auto"/>
                <w:highlight w:val="none"/>
              </w:rPr>
            </w:pPr>
            <w:r>
              <w:rPr>
                <w:color w:val="auto"/>
                <w:spacing w:val="2"/>
                <w:highlight w:val="none"/>
              </w:rPr>
              <w:t>故障内容</w:t>
            </w:r>
          </w:p>
        </w:tc>
        <w:tc>
          <w:tcPr>
            <w:tcW w:w="598" w:type="dxa"/>
            <w:vAlign w:val="center"/>
          </w:tcPr>
          <w:p w14:paraId="05A64FAE">
            <w:pPr>
              <w:pStyle w:val="132"/>
              <w:spacing w:before="54" w:line="220" w:lineRule="auto"/>
              <w:jc w:val="center"/>
              <w:rPr>
                <w:color w:val="auto"/>
                <w:spacing w:val="4"/>
                <w:highlight w:val="none"/>
              </w:rPr>
            </w:pPr>
            <w:r>
              <w:rPr>
                <w:color w:val="auto"/>
                <w:spacing w:val="4"/>
                <w:highlight w:val="none"/>
              </w:rPr>
              <w:t>响应时间</w:t>
            </w:r>
          </w:p>
        </w:tc>
        <w:tc>
          <w:tcPr>
            <w:tcW w:w="747" w:type="dxa"/>
            <w:vAlign w:val="center"/>
          </w:tcPr>
          <w:p w14:paraId="344AC263">
            <w:pPr>
              <w:pStyle w:val="132"/>
              <w:spacing w:before="54" w:line="220" w:lineRule="auto"/>
              <w:jc w:val="center"/>
              <w:rPr>
                <w:color w:val="auto"/>
                <w:spacing w:val="4"/>
                <w:highlight w:val="none"/>
              </w:rPr>
            </w:pPr>
            <w:r>
              <w:rPr>
                <w:color w:val="auto"/>
                <w:spacing w:val="4"/>
                <w:highlight w:val="none"/>
              </w:rPr>
              <w:t>到达现场时间</w:t>
            </w:r>
          </w:p>
        </w:tc>
        <w:tc>
          <w:tcPr>
            <w:tcW w:w="761" w:type="dxa"/>
            <w:vAlign w:val="center"/>
          </w:tcPr>
          <w:p w14:paraId="25DDCA38">
            <w:pPr>
              <w:pStyle w:val="132"/>
              <w:spacing w:before="54" w:line="288" w:lineRule="auto"/>
              <w:ind w:right="112"/>
              <w:jc w:val="center"/>
              <w:rPr>
                <w:color w:val="auto"/>
                <w:highlight w:val="none"/>
              </w:rPr>
            </w:pPr>
            <w:r>
              <w:rPr>
                <w:color w:val="auto"/>
                <w:spacing w:val="4"/>
                <w:highlight w:val="none"/>
              </w:rPr>
              <w:t>故障</w:t>
            </w:r>
            <w:r>
              <w:rPr>
                <w:color w:val="auto"/>
                <w:spacing w:val="-4"/>
                <w:highlight w:val="none"/>
              </w:rPr>
              <w:t>解决</w:t>
            </w:r>
            <w:r>
              <w:rPr>
                <w:color w:val="auto"/>
                <w:spacing w:val="10"/>
                <w:highlight w:val="none"/>
              </w:rPr>
              <w:t>时间</w:t>
            </w:r>
          </w:p>
        </w:tc>
      </w:tr>
      <w:tr w14:paraId="7ACB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735" w:type="dxa"/>
            <w:vMerge w:val="restart"/>
            <w:tcBorders>
              <w:bottom w:val="nil"/>
            </w:tcBorders>
            <w:textDirection w:val="tbRlV"/>
            <w:vAlign w:val="top"/>
          </w:tcPr>
          <w:p w14:paraId="2A40EE6B">
            <w:pPr>
              <w:pStyle w:val="132"/>
              <w:spacing w:before="161" w:line="197" w:lineRule="auto"/>
              <w:ind w:left="1164"/>
              <w:rPr>
                <w:color w:val="auto"/>
                <w:highlight w:val="none"/>
              </w:rPr>
            </w:pPr>
            <w:r>
              <w:rPr>
                <w:color w:val="auto"/>
                <w:highlight w:val="none"/>
              </w:rPr>
              <w:t>一</w:t>
            </w:r>
            <w:r>
              <w:rPr>
                <w:color w:val="auto"/>
                <w:spacing w:val="-17"/>
                <w:highlight w:val="none"/>
              </w:rPr>
              <w:t xml:space="preserve"> </w:t>
            </w:r>
            <w:r>
              <w:rPr>
                <w:color w:val="auto"/>
                <w:highlight w:val="none"/>
              </w:rPr>
              <w:t>级</w:t>
            </w:r>
          </w:p>
        </w:tc>
        <w:tc>
          <w:tcPr>
            <w:tcW w:w="1072" w:type="dxa"/>
            <w:vAlign w:val="top"/>
          </w:tcPr>
          <w:p w14:paraId="7A55A322">
            <w:pPr>
              <w:spacing w:line="366" w:lineRule="auto"/>
              <w:rPr>
                <w:rFonts w:ascii="Arial"/>
                <w:color w:val="auto"/>
                <w:sz w:val="21"/>
                <w:highlight w:val="none"/>
              </w:rPr>
            </w:pPr>
          </w:p>
          <w:p w14:paraId="161D5A3F">
            <w:pPr>
              <w:pStyle w:val="132"/>
              <w:spacing w:before="72" w:line="219" w:lineRule="auto"/>
              <w:rPr>
                <w:color w:val="auto"/>
                <w:highlight w:val="none"/>
              </w:rPr>
            </w:pPr>
            <w:r>
              <w:rPr>
                <w:color w:val="auto"/>
                <w:spacing w:val="2"/>
                <w:highlight w:val="none"/>
              </w:rPr>
              <w:t>收费系统</w:t>
            </w:r>
          </w:p>
        </w:tc>
        <w:tc>
          <w:tcPr>
            <w:tcW w:w="5678" w:type="dxa"/>
            <w:vAlign w:val="top"/>
          </w:tcPr>
          <w:p w14:paraId="00EBB3F3">
            <w:pPr>
              <w:pStyle w:val="132"/>
              <w:spacing w:before="70" w:line="285" w:lineRule="auto"/>
              <w:ind w:left="11"/>
              <w:jc w:val="both"/>
              <w:rPr>
                <w:color w:val="auto"/>
                <w:highlight w:val="none"/>
              </w:rPr>
            </w:pPr>
            <w:r>
              <w:rPr>
                <w:color w:val="auto"/>
                <w:spacing w:val="-1"/>
                <w:highlight w:val="none"/>
              </w:rPr>
              <w:t>收费系统大面积崩溃、大部分车道收费不能正常进行。只剩1-2</w:t>
            </w:r>
            <w:r>
              <w:rPr>
                <w:color w:val="auto"/>
                <w:spacing w:val="-5"/>
                <w:highlight w:val="none"/>
              </w:rPr>
              <w:t>台收费工控机、车道控制机、计重设备能工作；站级后台数据库</w:t>
            </w:r>
            <w:r>
              <w:rPr>
                <w:color w:val="auto"/>
                <w:spacing w:val="3"/>
                <w:highlight w:val="none"/>
              </w:rPr>
              <w:t>崩溃或数据无法上传，报表无法统计。</w:t>
            </w:r>
          </w:p>
        </w:tc>
        <w:tc>
          <w:tcPr>
            <w:tcW w:w="598" w:type="dxa"/>
            <w:vMerge w:val="restart"/>
            <w:tcBorders>
              <w:bottom w:val="nil"/>
            </w:tcBorders>
            <w:vAlign w:val="center"/>
          </w:tcPr>
          <w:p w14:paraId="1047EE90">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highlight w:val="none"/>
              </w:rPr>
            </w:pPr>
            <w:r>
              <w:rPr>
                <w:color w:val="auto"/>
                <w:spacing w:val="3"/>
                <w:highlight w:val="none"/>
              </w:rPr>
              <w:t>10分</w:t>
            </w:r>
            <w:r>
              <w:rPr>
                <w:color w:val="auto"/>
                <w:highlight w:val="none"/>
              </w:rPr>
              <w:t>钟</w:t>
            </w:r>
          </w:p>
        </w:tc>
        <w:tc>
          <w:tcPr>
            <w:tcW w:w="747" w:type="dxa"/>
            <w:vMerge w:val="restart"/>
            <w:tcBorders>
              <w:bottom w:val="nil"/>
            </w:tcBorders>
            <w:vAlign w:val="center"/>
          </w:tcPr>
          <w:p w14:paraId="29C2412B">
            <w:pPr>
              <w:pStyle w:val="132"/>
              <w:keepNext w:val="0"/>
              <w:keepLines w:val="0"/>
              <w:pageBreakBefore w:val="0"/>
              <w:widowControl w:val="0"/>
              <w:kinsoku/>
              <w:wordWrap w:val="0"/>
              <w:overflowPunct/>
              <w:topLinePunct w:val="0"/>
              <w:autoSpaceDE/>
              <w:autoSpaceDN/>
              <w:bidi w:val="0"/>
              <w:adjustRightInd/>
              <w:snapToGrid/>
              <w:spacing w:before="72" w:line="314" w:lineRule="auto"/>
              <w:ind w:right="139"/>
              <w:jc w:val="center"/>
              <w:textAlignment w:val="auto"/>
              <w:rPr>
                <w:color w:val="auto"/>
                <w:highlight w:val="none"/>
              </w:rPr>
            </w:pPr>
            <w:r>
              <w:rPr>
                <w:rFonts w:hint="eastAsia"/>
                <w:color w:val="auto"/>
                <w:spacing w:val="-4"/>
                <w:highlight w:val="none"/>
                <w:lang w:val="en-US" w:eastAsia="zh-CN"/>
              </w:rPr>
              <w:t>90</w:t>
            </w:r>
            <w:r>
              <w:rPr>
                <w:color w:val="auto"/>
                <w:spacing w:val="-4"/>
                <w:highlight w:val="none"/>
              </w:rPr>
              <w:t>分</w:t>
            </w:r>
            <w:r>
              <w:rPr>
                <w:color w:val="auto"/>
                <w:highlight w:val="none"/>
              </w:rPr>
              <w:t>钟</w:t>
            </w:r>
          </w:p>
        </w:tc>
        <w:tc>
          <w:tcPr>
            <w:tcW w:w="761" w:type="dxa"/>
            <w:vMerge w:val="restart"/>
            <w:tcBorders>
              <w:bottom w:val="nil"/>
            </w:tcBorders>
            <w:vAlign w:val="center"/>
          </w:tcPr>
          <w:p w14:paraId="75338054">
            <w:pPr>
              <w:pStyle w:val="132"/>
              <w:keepNext w:val="0"/>
              <w:keepLines w:val="0"/>
              <w:pageBreakBefore w:val="0"/>
              <w:widowControl w:val="0"/>
              <w:kinsoku/>
              <w:wordWrap w:val="0"/>
              <w:overflowPunct/>
              <w:topLinePunct w:val="0"/>
              <w:autoSpaceDE/>
              <w:autoSpaceDN/>
              <w:bidi w:val="0"/>
              <w:adjustRightInd/>
              <w:snapToGrid/>
              <w:spacing w:before="72" w:line="305" w:lineRule="auto"/>
              <w:ind w:right="176"/>
              <w:jc w:val="center"/>
              <w:textAlignment w:val="auto"/>
              <w:rPr>
                <w:color w:val="auto"/>
                <w:highlight w:val="none"/>
              </w:rPr>
            </w:pPr>
            <w:r>
              <w:rPr>
                <w:color w:val="auto"/>
                <w:spacing w:val="9"/>
                <w:highlight w:val="none"/>
              </w:rPr>
              <w:t>3小</w:t>
            </w:r>
            <w:r>
              <w:rPr>
                <w:color w:val="auto"/>
                <w:highlight w:val="none"/>
              </w:rPr>
              <w:t>时</w:t>
            </w:r>
          </w:p>
        </w:tc>
      </w:tr>
      <w:tr w14:paraId="6F59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735" w:type="dxa"/>
            <w:vMerge w:val="continue"/>
            <w:tcBorders>
              <w:top w:val="nil"/>
              <w:bottom w:val="nil"/>
            </w:tcBorders>
            <w:textDirection w:val="tbRlV"/>
            <w:vAlign w:val="top"/>
          </w:tcPr>
          <w:p w14:paraId="47E570D8">
            <w:pPr>
              <w:rPr>
                <w:rFonts w:ascii="Arial"/>
                <w:color w:val="auto"/>
                <w:sz w:val="21"/>
                <w:highlight w:val="none"/>
              </w:rPr>
            </w:pPr>
          </w:p>
        </w:tc>
        <w:tc>
          <w:tcPr>
            <w:tcW w:w="1072" w:type="dxa"/>
            <w:vAlign w:val="top"/>
          </w:tcPr>
          <w:p w14:paraId="4DB3628E">
            <w:pPr>
              <w:pStyle w:val="132"/>
              <w:spacing w:before="261" w:line="220" w:lineRule="auto"/>
              <w:rPr>
                <w:color w:val="auto"/>
                <w:highlight w:val="none"/>
              </w:rPr>
            </w:pPr>
            <w:r>
              <w:rPr>
                <w:color w:val="auto"/>
                <w:spacing w:val="-2"/>
                <w:highlight w:val="none"/>
              </w:rPr>
              <w:t>监控系统</w:t>
            </w:r>
          </w:p>
        </w:tc>
        <w:tc>
          <w:tcPr>
            <w:tcW w:w="5678" w:type="dxa"/>
            <w:vAlign w:val="top"/>
          </w:tcPr>
          <w:p w14:paraId="5DA255F6">
            <w:pPr>
              <w:pStyle w:val="132"/>
              <w:spacing w:before="99" w:line="264" w:lineRule="auto"/>
              <w:ind w:left="99" w:hanging="88"/>
              <w:rPr>
                <w:color w:val="auto"/>
                <w:highlight w:val="none"/>
              </w:rPr>
            </w:pPr>
            <w:r>
              <w:rPr>
                <w:color w:val="auto"/>
                <w:spacing w:val="-5"/>
                <w:highlight w:val="none"/>
              </w:rPr>
              <w:t>监控系统大范围故障，所有监控录像不能进行。光纤传输系统、</w:t>
            </w:r>
            <w:r>
              <w:rPr>
                <w:color w:val="auto"/>
                <w:spacing w:val="-4"/>
                <w:highlight w:val="none"/>
              </w:rPr>
              <w:t>大部分硬盘录像机、磁盘阵列故障、整个链路视频无法存储。</w:t>
            </w:r>
          </w:p>
        </w:tc>
        <w:tc>
          <w:tcPr>
            <w:tcW w:w="598" w:type="dxa"/>
            <w:vMerge w:val="continue"/>
            <w:tcBorders>
              <w:top w:val="nil"/>
              <w:bottom w:val="nil"/>
            </w:tcBorders>
            <w:vAlign w:val="center"/>
          </w:tcPr>
          <w:p w14:paraId="7B7B0A07">
            <w:pPr>
              <w:jc w:val="center"/>
              <w:rPr>
                <w:rFonts w:ascii="Arial"/>
                <w:color w:val="auto"/>
                <w:sz w:val="21"/>
                <w:highlight w:val="none"/>
              </w:rPr>
            </w:pPr>
          </w:p>
        </w:tc>
        <w:tc>
          <w:tcPr>
            <w:tcW w:w="747" w:type="dxa"/>
            <w:vMerge w:val="continue"/>
            <w:tcBorders>
              <w:top w:val="nil"/>
              <w:bottom w:val="nil"/>
            </w:tcBorders>
            <w:vAlign w:val="center"/>
          </w:tcPr>
          <w:p w14:paraId="7F615208">
            <w:pPr>
              <w:jc w:val="center"/>
              <w:rPr>
                <w:rFonts w:ascii="Arial"/>
                <w:color w:val="auto"/>
                <w:sz w:val="21"/>
                <w:highlight w:val="none"/>
              </w:rPr>
            </w:pPr>
          </w:p>
        </w:tc>
        <w:tc>
          <w:tcPr>
            <w:tcW w:w="761" w:type="dxa"/>
            <w:vMerge w:val="continue"/>
            <w:tcBorders>
              <w:top w:val="nil"/>
              <w:bottom w:val="nil"/>
            </w:tcBorders>
            <w:vAlign w:val="center"/>
          </w:tcPr>
          <w:p w14:paraId="1D57900F">
            <w:pPr>
              <w:jc w:val="center"/>
              <w:rPr>
                <w:rFonts w:ascii="Arial"/>
                <w:color w:val="auto"/>
                <w:sz w:val="21"/>
                <w:highlight w:val="none"/>
              </w:rPr>
            </w:pPr>
          </w:p>
        </w:tc>
      </w:tr>
      <w:tr w14:paraId="3B6E6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35" w:type="dxa"/>
            <w:vMerge w:val="continue"/>
            <w:tcBorders>
              <w:top w:val="nil"/>
            </w:tcBorders>
            <w:textDirection w:val="tbRlV"/>
            <w:vAlign w:val="top"/>
          </w:tcPr>
          <w:p w14:paraId="575DCA92">
            <w:pPr>
              <w:rPr>
                <w:rFonts w:ascii="Arial"/>
                <w:color w:val="auto"/>
                <w:sz w:val="21"/>
                <w:highlight w:val="none"/>
              </w:rPr>
            </w:pPr>
          </w:p>
        </w:tc>
        <w:tc>
          <w:tcPr>
            <w:tcW w:w="1072" w:type="dxa"/>
            <w:vAlign w:val="center"/>
          </w:tcPr>
          <w:p w14:paraId="5CF25273">
            <w:pPr>
              <w:pStyle w:val="132"/>
              <w:spacing w:before="72" w:line="219" w:lineRule="auto"/>
              <w:jc w:val="both"/>
              <w:rPr>
                <w:color w:val="auto"/>
                <w:highlight w:val="none"/>
              </w:rPr>
            </w:pPr>
            <w:r>
              <w:rPr>
                <w:color w:val="auto"/>
                <w:spacing w:val="-2"/>
                <w:highlight w:val="none"/>
              </w:rPr>
              <w:t>通信系统</w:t>
            </w:r>
          </w:p>
        </w:tc>
        <w:tc>
          <w:tcPr>
            <w:tcW w:w="5678" w:type="dxa"/>
            <w:vAlign w:val="top"/>
          </w:tcPr>
          <w:p w14:paraId="1DE2E351">
            <w:pPr>
              <w:pStyle w:val="132"/>
              <w:spacing w:before="102" w:line="276" w:lineRule="auto"/>
              <w:ind w:left="11"/>
              <w:jc w:val="both"/>
              <w:rPr>
                <w:color w:val="auto"/>
                <w:highlight w:val="none"/>
              </w:rPr>
            </w:pPr>
            <w:r>
              <w:rPr>
                <w:color w:val="auto"/>
                <w:spacing w:val="-1"/>
                <w:highlight w:val="none"/>
              </w:rPr>
              <w:t>主通信干线设备损坏、大部分通信不能进行(入出口车道图片数据等都不能传输)。路段紧急电话通讯光纤断裂，与中心无法联</w:t>
            </w:r>
            <w:r>
              <w:rPr>
                <w:color w:val="auto"/>
                <w:spacing w:val="29"/>
                <w:highlight w:val="none"/>
              </w:rPr>
              <w:t>系。</w:t>
            </w:r>
          </w:p>
        </w:tc>
        <w:tc>
          <w:tcPr>
            <w:tcW w:w="598" w:type="dxa"/>
            <w:vMerge w:val="continue"/>
            <w:tcBorders>
              <w:top w:val="nil"/>
            </w:tcBorders>
            <w:vAlign w:val="center"/>
          </w:tcPr>
          <w:p w14:paraId="7E705625">
            <w:pPr>
              <w:jc w:val="center"/>
              <w:rPr>
                <w:rFonts w:ascii="Arial"/>
                <w:color w:val="auto"/>
                <w:sz w:val="21"/>
                <w:highlight w:val="none"/>
              </w:rPr>
            </w:pPr>
          </w:p>
        </w:tc>
        <w:tc>
          <w:tcPr>
            <w:tcW w:w="747" w:type="dxa"/>
            <w:vMerge w:val="continue"/>
            <w:tcBorders>
              <w:top w:val="nil"/>
            </w:tcBorders>
            <w:vAlign w:val="center"/>
          </w:tcPr>
          <w:p w14:paraId="3E8D98EA">
            <w:pPr>
              <w:jc w:val="center"/>
              <w:rPr>
                <w:rFonts w:ascii="Arial"/>
                <w:color w:val="auto"/>
                <w:sz w:val="21"/>
                <w:highlight w:val="none"/>
              </w:rPr>
            </w:pPr>
          </w:p>
        </w:tc>
        <w:tc>
          <w:tcPr>
            <w:tcW w:w="761" w:type="dxa"/>
            <w:vMerge w:val="continue"/>
            <w:tcBorders>
              <w:top w:val="nil"/>
            </w:tcBorders>
            <w:vAlign w:val="center"/>
          </w:tcPr>
          <w:p w14:paraId="3FC51525">
            <w:pPr>
              <w:jc w:val="center"/>
              <w:rPr>
                <w:rFonts w:ascii="Arial"/>
                <w:color w:val="auto"/>
                <w:sz w:val="21"/>
                <w:highlight w:val="none"/>
              </w:rPr>
            </w:pPr>
          </w:p>
        </w:tc>
      </w:tr>
      <w:tr w14:paraId="3DDD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735" w:type="dxa"/>
            <w:vMerge w:val="restart"/>
            <w:tcBorders>
              <w:bottom w:val="nil"/>
            </w:tcBorders>
            <w:textDirection w:val="tbRlV"/>
            <w:vAlign w:val="top"/>
          </w:tcPr>
          <w:p w14:paraId="335D6A8A">
            <w:pPr>
              <w:pStyle w:val="132"/>
              <w:spacing w:before="141" w:line="197" w:lineRule="auto"/>
              <w:ind w:left="1198"/>
              <w:rPr>
                <w:color w:val="auto"/>
                <w:highlight w:val="none"/>
              </w:rPr>
            </w:pPr>
            <w:r>
              <w:rPr>
                <w:color w:val="auto"/>
                <w:spacing w:val="26"/>
                <w:highlight w:val="none"/>
              </w:rPr>
              <w:t>二级</w:t>
            </w:r>
          </w:p>
        </w:tc>
        <w:tc>
          <w:tcPr>
            <w:tcW w:w="1072" w:type="dxa"/>
            <w:vAlign w:val="center"/>
          </w:tcPr>
          <w:p w14:paraId="6A6443D1">
            <w:pPr>
              <w:pStyle w:val="132"/>
              <w:spacing w:before="71" w:line="219" w:lineRule="auto"/>
              <w:jc w:val="both"/>
              <w:rPr>
                <w:color w:val="auto"/>
                <w:highlight w:val="none"/>
              </w:rPr>
            </w:pPr>
            <w:r>
              <w:rPr>
                <w:color w:val="auto"/>
                <w:spacing w:val="2"/>
                <w:highlight w:val="none"/>
              </w:rPr>
              <w:t>收费系统</w:t>
            </w:r>
          </w:p>
        </w:tc>
        <w:tc>
          <w:tcPr>
            <w:tcW w:w="5678" w:type="dxa"/>
            <w:vAlign w:val="top"/>
          </w:tcPr>
          <w:p w14:paraId="1E71F9F8">
            <w:pPr>
              <w:pStyle w:val="132"/>
              <w:spacing w:before="80" w:line="287" w:lineRule="auto"/>
              <w:ind w:left="11"/>
              <w:jc w:val="both"/>
              <w:rPr>
                <w:color w:val="auto"/>
                <w:highlight w:val="none"/>
              </w:rPr>
            </w:pPr>
            <w:r>
              <w:rPr>
                <w:color w:val="auto"/>
                <w:spacing w:val="-5"/>
                <w:highlight w:val="none"/>
              </w:rPr>
              <w:t>一半车道的收费工控机、车道控制机、称重台不能工作；自动栏杆机、车辆检测器故障不能工作，站级数据、图像传输、处理系统不能正常工作。分中心级数据库崩溃或数据无法上传，报表无</w:t>
            </w:r>
            <w:r>
              <w:rPr>
                <w:color w:val="auto"/>
                <w:spacing w:val="6"/>
                <w:highlight w:val="none"/>
              </w:rPr>
              <w:t>法打印。</w:t>
            </w:r>
          </w:p>
        </w:tc>
        <w:tc>
          <w:tcPr>
            <w:tcW w:w="598" w:type="dxa"/>
            <w:vMerge w:val="restart"/>
            <w:tcBorders>
              <w:bottom w:val="nil"/>
            </w:tcBorders>
            <w:vAlign w:val="center"/>
          </w:tcPr>
          <w:p w14:paraId="4CF8863D">
            <w:pPr>
              <w:pStyle w:val="132"/>
              <w:spacing w:before="72" w:line="297" w:lineRule="auto"/>
              <w:ind w:right="173"/>
              <w:jc w:val="center"/>
              <w:rPr>
                <w:color w:val="auto"/>
                <w:highlight w:val="none"/>
              </w:rPr>
            </w:pPr>
            <w:r>
              <w:rPr>
                <w:color w:val="auto"/>
                <w:spacing w:val="9"/>
                <w:highlight w:val="none"/>
              </w:rPr>
              <w:t>1小</w:t>
            </w:r>
            <w:r>
              <w:rPr>
                <w:color w:val="auto"/>
                <w:highlight w:val="none"/>
              </w:rPr>
              <w:t>时</w:t>
            </w:r>
          </w:p>
        </w:tc>
        <w:tc>
          <w:tcPr>
            <w:tcW w:w="747" w:type="dxa"/>
            <w:vMerge w:val="restart"/>
            <w:tcBorders>
              <w:bottom w:val="nil"/>
            </w:tcBorders>
            <w:vAlign w:val="center"/>
          </w:tcPr>
          <w:p w14:paraId="67096281">
            <w:pPr>
              <w:pStyle w:val="132"/>
              <w:spacing w:before="72" w:line="305" w:lineRule="auto"/>
              <w:ind w:right="171"/>
              <w:jc w:val="center"/>
              <w:rPr>
                <w:color w:val="auto"/>
                <w:highlight w:val="none"/>
              </w:rPr>
            </w:pPr>
            <w:r>
              <w:rPr>
                <w:color w:val="auto"/>
                <w:spacing w:val="9"/>
                <w:highlight w:val="none"/>
              </w:rPr>
              <w:t>2小</w:t>
            </w:r>
            <w:r>
              <w:rPr>
                <w:color w:val="auto"/>
                <w:highlight w:val="none"/>
              </w:rPr>
              <w:t>时</w:t>
            </w:r>
          </w:p>
        </w:tc>
        <w:tc>
          <w:tcPr>
            <w:tcW w:w="761" w:type="dxa"/>
            <w:vMerge w:val="restart"/>
            <w:tcBorders>
              <w:bottom w:val="nil"/>
            </w:tcBorders>
            <w:vAlign w:val="center"/>
          </w:tcPr>
          <w:p w14:paraId="6677BA85">
            <w:pPr>
              <w:pStyle w:val="132"/>
              <w:spacing w:before="72" w:line="297" w:lineRule="auto"/>
              <w:ind w:right="116"/>
              <w:jc w:val="center"/>
              <w:rPr>
                <w:color w:val="auto"/>
                <w:highlight w:val="none"/>
              </w:rPr>
            </w:pPr>
            <w:r>
              <w:rPr>
                <w:color w:val="auto"/>
                <w:spacing w:val="5"/>
                <w:highlight w:val="none"/>
              </w:rPr>
              <w:t>12小</w:t>
            </w:r>
            <w:r>
              <w:rPr>
                <w:color w:val="auto"/>
                <w:highlight w:val="none"/>
              </w:rPr>
              <w:t>时</w:t>
            </w:r>
          </w:p>
        </w:tc>
      </w:tr>
      <w:tr w14:paraId="740F3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735" w:type="dxa"/>
            <w:vMerge w:val="continue"/>
            <w:tcBorders>
              <w:top w:val="nil"/>
              <w:bottom w:val="nil"/>
            </w:tcBorders>
            <w:textDirection w:val="tbRlV"/>
            <w:vAlign w:val="top"/>
          </w:tcPr>
          <w:p w14:paraId="72C4E171">
            <w:pPr>
              <w:rPr>
                <w:rFonts w:ascii="Arial"/>
                <w:color w:val="auto"/>
                <w:sz w:val="21"/>
                <w:highlight w:val="none"/>
              </w:rPr>
            </w:pPr>
          </w:p>
        </w:tc>
        <w:tc>
          <w:tcPr>
            <w:tcW w:w="1072" w:type="dxa"/>
            <w:vAlign w:val="center"/>
          </w:tcPr>
          <w:p w14:paraId="0D051605">
            <w:pPr>
              <w:pStyle w:val="132"/>
              <w:spacing w:before="264" w:line="220" w:lineRule="auto"/>
              <w:jc w:val="both"/>
              <w:rPr>
                <w:color w:val="auto"/>
                <w:highlight w:val="none"/>
              </w:rPr>
            </w:pPr>
            <w:r>
              <w:rPr>
                <w:color w:val="auto"/>
                <w:spacing w:val="-2"/>
                <w:highlight w:val="none"/>
              </w:rPr>
              <w:t>监控系统</w:t>
            </w:r>
          </w:p>
        </w:tc>
        <w:tc>
          <w:tcPr>
            <w:tcW w:w="5678" w:type="dxa"/>
            <w:vAlign w:val="top"/>
          </w:tcPr>
          <w:p w14:paraId="3CE20F04">
            <w:pPr>
              <w:pStyle w:val="132"/>
              <w:spacing w:before="74" w:line="271" w:lineRule="auto"/>
              <w:ind w:left="90" w:hanging="79"/>
              <w:rPr>
                <w:color w:val="auto"/>
                <w:highlight w:val="none"/>
              </w:rPr>
            </w:pPr>
            <w:r>
              <w:rPr>
                <w:color w:val="auto"/>
                <w:spacing w:val="-5"/>
                <w:highlight w:val="none"/>
              </w:rPr>
              <w:t>部分监控设备损坏或主传输电缆损坏。部分外场摄像机故障。主</w:t>
            </w:r>
            <w:r>
              <w:rPr>
                <w:color w:val="auto"/>
                <w:spacing w:val="-1"/>
                <w:highlight w:val="none"/>
              </w:rPr>
              <w:t>要监控录像能继续，少量硬盘、磁盘阵列录像系统故障。</w:t>
            </w:r>
          </w:p>
        </w:tc>
        <w:tc>
          <w:tcPr>
            <w:tcW w:w="598" w:type="dxa"/>
            <w:vMerge w:val="continue"/>
            <w:tcBorders>
              <w:top w:val="nil"/>
              <w:bottom w:val="nil"/>
            </w:tcBorders>
            <w:vAlign w:val="center"/>
          </w:tcPr>
          <w:p w14:paraId="7D9AD47C">
            <w:pPr>
              <w:jc w:val="center"/>
              <w:rPr>
                <w:rFonts w:ascii="Arial"/>
                <w:color w:val="auto"/>
                <w:sz w:val="21"/>
                <w:highlight w:val="none"/>
              </w:rPr>
            </w:pPr>
          </w:p>
        </w:tc>
        <w:tc>
          <w:tcPr>
            <w:tcW w:w="747" w:type="dxa"/>
            <w:vMerge w:val="continue"/>
            <w:tcBorders>
              <w:top w:val="nil"/>
              <w:bottom w:val="nil"/>
            </w:tcBorders>
            <w:vAlign w:val="center"/>
          </w:tcPr>
          <w:p w14:paraId="4F86318A">
            <w:pPr>
              <w:jc w:val="center"/>
              <w:rPr>
                <w:rFonts w:ascii="Arial"/>
                <w:color w:val="auto"/>
                <w:sz w:val="21"/>
                <w:highlight w:val="none"/>
              </w:rPr>
            </w:pPr>
          </w:p>
        </w:tc>
        <w:tc>
          <w:tcPr>
            <w:tcW w:w="761" w:type="dxa"/>
            <w:vMerge w:val="continue"/>
            <w:tcBorders>
              <w:top w:val="nil"/>
              <w:bottom w:val="nil"/>
            </w:tcBorders>
            <w:vAlign w:val="center"/>
          </w:tcPr>
          <w:p w14:paraId="180C0674">
            <w:pPr>
              <w:jc w:val="center"/>
              <w:rPr>
                <w:rFonts w:ascii="Arial"/>
                <w:color w:val="auto"/>
                <w:sz w:val="21"/>
                <w:highlight w:val="none"/>
              </w:rPr>
            </w:pPr>
          </w:p>
        </w:tc>
      </w:tr>
      <w:tr w14:paraId="02CC5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735" w:type="dxa"/>
            <w:vMerge w:val="continue"/>
            <w:tcBorders>
              <w:top w:val="nil"/>
            </w:tcBorders>
            <w:textDirection w:val="tbRlV"/>
            <w:vAlign w:val="top"/>
          </w:tcPr>
          <w:p w14:paraId="672DBA0B">
            <w:pPr>
              <w:rPr>
                <w:rFonts w:ascii="Arial"/>
                <w:color w:val="auto"/>
                <w:sz w:val="21"/>
                <w:highlight w:val="none"/>
              </w:rPr>
            </w:pPr>
          </w:p>
        </w:tc>
        <w:tc>
          <w:tcPr>
            <w:tcW w:w="1072" w:type="dxa"/>
            <w:vAlign w:val="center"/>
          </w:tcPr>
          <w:p w14:paraId="6F226029">
            <w:pPr>
              <w:pStyle w:val="132"/>
              <w:spacing w:before="264" w:line="219" w:lineRule="auto"/>
              <w:jc w:val="both"/>
              <w:rPr>
                <w:color w:val="auto"/>
                <w:highlight w:val="none"/>
              </w:rPr>
            </w:pPr>
            <w:r>
              <w:rPr>
                <w:color w:val="auto"/>
                <w:spacing w:val="-2"/>
                <w:highlight w:val="none"/>
              </w:rPr>
              <w:t>通信系统</w:t>
            </w:r>
          </w:p>
        </w:tc>
        <w:tc>
          <w:tcPr>
            <w:tcW w:w="5678" w:type="dxa"/>
            <w:vAlign w:val="top"/>
          </w:tcPr>
          <w:p w14:paraId="489360F0">
            <w:pPr>
              <w:pStyle w:val="132"/>
              <w:spacing w:before="82" w:line="267" w:lineRule="auto"/>
              <w:ind w:left="101" w:right="34" w:hanging="50"/>
              <w:rPr>
                <w:color w:val="auto"/>
                <w:highlight w:val="none"/>
              </w:rPr>
            </w:pPr>
            <w:r>
              <w:rPr>
                <w:color w:val="auto"/>
                <w:highlight w:val="none"/>
              </w:rPr>
              <w:t>部分通信设备损坏或主传输光缆损坏。路段紧急电话大范围损</w:t>
            </w:r>
            <w:r>
              <w:rPr>
                <w:color w:val="auto"/>
                <w:spacing w:val="16"/>
                <w:highlight w:val="none"/>
              </w:rPr>
              <w:t xml:space="preserve"> </w:t>
            </w:r>
            <w:r>
              <w:rPr>
                <w:color w:val="auto"/>
                <w:highlight w:val="none"/>
              </w:rPr>
              <w:t>坏，与中心无法联系。</w:t>
            </w:r>
          </w:p>
        </w:tc>
        <w:tc>
          <w:tcPr>
            <w:tcW w:w="598" w:type="dxa"/>
            <w:vMerge w:val="continue"/>
            <w:tcBorders>
              <w:top w:val="nil"/>
            </w:tcBorders>
            <w:vAlign w:val="center"/>
          </w:tcPr>
          <w:p w14:paraId="2C6BA1AD">
            <w:pPr>
              <w:jc w:val="center"/>
              <w:rPr>
                <w:rFonts w:ascii="Arial"/>
                <w:color w:val="auto"/>
                <w:sz w:val="21"/>
                <w:highlight w:val="none"/>
              </w:rPr>
            </w:pPr>
          </w:p>
        </w:tc>
        <w:tc>
          <w:tcPr>
            <w:tcW w:w="747" w:type="dxa"/>
            <w:vMerge w:val="continue"/>
            <w:tcBorders>
              <w:top w:val="nil"/>
            </w:tcBorders>
            <w:vAlign w:val="center"/>
          </w:tcPr>
          <w:p w14:paraId="566CC9EF">
            <w:pPr>
              <w:jc w:val="center"/>
              <w:rPr>
                <w:rFonts w:ascii="Arial"/>
                <w:color w:val="auto"/>
                <w:sz w:val="21"/>
                <w:highlight w:val="none"/>
              </w:rPr>
            </w:pPr>
          </w:p>
        </w:tc>
        <w:tc>
          <w:tcPr>
            <w:tcW w:w="761" w:type="dxa"/>
            <w:vMerge w:val="continue"/>
            <w:tcBorders>
              <w:top w:val="nil"/>
            </w:tcBorders>
            <w:vAlign w:val="center"/>
          </w:tcPr>
          <w:p w14:paraId="02A6C2B8">
            <w:pPr>
              <w:jc w:val="center"/>
              <w:rPr>
                <w:rFonts w:ascii="Arial"/>
                <w:color w:val="auto"/>
                <w:sz w:val="21"/>
                <w:highlight w:val="none"/>
              </w:rPr>
            </w:pPr>
          </w:p>
        </w:tc>
      </w:tr>
      <w:tr w14:paraId="5CF75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35" w:type="dxa"/>
            <w:vMerge w:val="restart"/>
            <w:tcBorders>
              <w:bottom w:val="nil"/>
            </w:tcBorders>
            <w:textDirection w:val="tbRlV"/>
            <w:vAlign w:val="top"/>
          </w:tcPr>
          <w:p w14:paraId="641765C3">
            <w:pPr>
              <w:pStyle w:val="132"/>
              <w:spacing w:before="147" w:line="203" w:lineRule="auto"/>
              <w:ind w:left="885"/>
              <w:rPr>
                <w:color w:val="auto"/>
                <w:highlight w:val="none"/>
              </w:rPr>
            </w:pPr>
            <w:r>
              <w:rPr>
                <w:color w:val="auto"/>
                <w:highlight w:val="none"/>
              </w:rPr>
              <w:t>三</w:t>
            </w:r>
            <w:r>
              <w:rPr>
                <w:color w:val="auto"/>
                <w:spacing w:val="8"/>
                <w:highlight w:val="none"/>
              </w:rPr>
              <w:t xml:space="preserve">  </w:t>
            </w:r>
            <w:r>
              <w:rPr>
                <w:color w:val="auto"/>
                <w:highlight w:val="none"/>
              </w:rPr>
              <w:t>级</w:t>
            </w:r>
          </w:p>
        </w:tc>
        <w:tc>
          <w:tcPr>
            <w:tcW w:w="1072" w:type="dxa"/>
            <w:vAlign w:val="top"/>
          </w:tcPr>
          <w:p w14:paraId="79879C04">
            <w:pPr>
              <w:spacing w:line="371" w:lineRule="auto"/>
              <w:rPr>
                <w:rFonts w:ascii="Arial"/>
                <w:color w:val="auto"/>
                <w:sz w:val="21"/>
                <w:highlight w:val="none"/>
              </w:rPr>
            </w:pPr>
          </w:p>
          <w:p w14:paraId="4C523734">
            <w:pPr>
              <w:pStyle w:val="132"/>
              <w:spacing w:before="71" w:line="219" w:lineRule="auto"/>
              <w:rPr>
                <w:color w:val="auto"/>
                <w:highlight w:val="none"/>
              </w:rPr>
            </w:pPr>
            <w:r>
              <w:rPr>
                <w:color w:val="auto"/>
                <w:spacing w:val="2"/>
                <w:highlight w:val="none"/>
              </w:rPr>
              <w:t>收费系统</w:t>
            </w:r>
          </w:p>
        </w:tc>
        <w:tc>
          <w:tcPr>
            <w:tcW w:w="5678" w:type="dxa"/>
            <w:vAlign w:val="top"/>
          </w:tcPr>
          <w:p w14:paraId="6C6B831B">
            <w:pPr>
              <w:pStyle w:val="132"/>
              <w:spacing w:before="74" w:line="281" w:lineRule="auto"/>
              <w:ind w:left="11" w:firstLine="39"/>
              <w:jc w:val="both"/>
              <w:rPr>
                <w:color w:val="auto"/>
                <w:highlight w:val="none"/>
              </w:rPr>
            </w:pPr>
            <w:r>
              <w:rPr>
                <w:color w:val="auto"/>
                <w:spacing w:val="-1"/>
                <w:highlight w:val="none"/>
              </w:rPr>
              <w:t>部分车道由设备(收费工控机、车道控制机、计重设备)</w:t>
            </w:r>
            <w:r>
              <w:rPr>
                <w:color w:val="auto"/>
                <w:spacing w:val="-2"/>
                <w:highlight w:val="none"/>
              </w:rPr>
              <w:t>故障造</w:t>
            </w:r>
            <w:r>
              <w:rPr>
                <w:color w:val="auto"/>
                <w:spacing w:val="-5"/>
                <w:highlight w:val="none"/>
              </w:rPr>
              <w:t>成无法收费或部分数据因传输原因造成无法统计。信号指示灯系</w:t>
            </w:r>
            <w:r>
              <w:rPr>
                <w:color w:val="auto"/>
                <w:spacing w:val="16"/>
                <w:highlight w:val="none"/>
              </w:rPr>
              <w:t>统故障。</w:t>
            </w:r>
          </w:p>
        </w:tc>
        <w:tc>
          <w:tcPr>
            <w:tcW w:w="598" w:type="dxa"/>
            <w:vMerge w:val="restart"/>
            <w:tcBorders>
              <w:bottom w:val="nil"/>
            </w:tcBorders>
            <w:vAlign w:val="center"/>
          </w:tcPr>
          <w:p w14:paraId="26D1D3D6">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r>
              <w:rPr>
                <w:color w:val="auto"/>
                <w:spacing w:val="3"/>
                <w:highlight w:val="none"/>
              </w:rPr>
              <w:t>1小时</w:t>
            </w:r>
          </w:p>
        </w:tc>
        <w:tc>
          <w:tcPr>
            <w:tcW w:w="747" w:type="dxa"/>
            <w:vMerge w:val="restart"/>
            <w:tcBorders>
              <w:bottom w:val="nil"/>
            </w:tcBorders>
            <w:vAlign w:val="center"/>
          </w:tcPr>
          <w:p w14:paraId="3782034E">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r>
              <w:rPr>
                <w:color w:val="auto"/>
                <w:spacing w:val="3"/>
                <w:highlight w:val="none"/>
              </w:rPr>
              <w:t>2小时</w:t>
            </w:r>
          </w:p>
        </w:tc>
        <w:tc>
          <w:tcPr>
            <w:tcW w:w="761" w:type="dxa"/>
            <w:vMerge w:val="restart"/>
            <w:tcBorders>
              <w:bottom w:val="nil"/>
            </w:tcBorders>
            <w:vAlign w:val="center"/>
          </w:tcPr>
          <w:p w14:paraId="43834634">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r>
              <w:rPr>
                <w:color w:val="auto"/>
                <w:spacing w:val="3"/>
                <w:highlight w:val="none"/>
              </w:rPr>
              <w:t>24小时</w:t>
            </w:r>
          </w:p>
        </w:tc>
      </w:tr>
      <w:tr w14:paraId="173CF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Merge w:val="continue"/>
            <w:tcBorders>
              <w:top w:val="nil"/>
              <w:bottom w:val="nil"/>
            </w:tcBorders>
            <w:textDirection w:val="tbRlV"/>
            <w:vAlign w:val="top"/>
          </w:tcPr>
          <w:p w14:paraId="6F8111BE">
            <w:pPr>
              <w:rPr>
                <w:rFonts w:ascii="Arial"/>
                <w:color w:val="auto"/>
                <w:sz w:val="21"/>
                <w:highlight w:val="none"/>
              </w:rPr>
            </w:pPr>
          </w:p>
        </w:tc>
        <w:tc>
          <w:tcPr>
            <w:tcW w:w="1072" w:type="dxa"/>
            <w:vAlign w:val="top"/>
          </w:tcPr>
          <w:p w14:paraId="5AF296E9">
            <w:pPr>
              <w:pStyle w:val="132"/>
              <w:spacing w:before="206" w:line="220" w:lineRule="auto"/>
              <w:rPr>
                <w:color w:val="auto"/>
                <w:highlight w:val="none"/>
              </w:rPr>
            </w:pPr>
            <w:r>
              <w:rPr>
                <w:color w:val="auto"/>
                <w:spacing w:val="-2"/>
                <w:highlight w:val="none"/>
              </w:rPr>
              <w:t>监控系统</w:t>
            </w:r>
          </w:p>
        </w:tc>
        <w:tc>
          <w:tcPr>
            <w:tcW w:w="5678" w:type="dxa"/>
            <w:vAlign w:val="top"/>
          </w:tcPr>
          <w:p w14:paraId="75018782">
            <w:pPr>
              <w:pStyle w:val="132"/>
              <w:spacing w:before="204" w:line="219" w:lineRule="auto"/>
              <w:jc w:val="both"/>
              <w:rPr>
                <w:color w:val="auto"/>
                <w:highlight w:val="none"/>
              </w:rPr>
            </w:pPr>
            <w:r>
              <w:rPr>
                <w:color w:val="auto"/>
                <w:spacing w:val="-5"/>
                <w:highlight w:val="none"/>
              </w:rPr>
              <w:t>部分监控器因设备或线路原因造成无法录像。情报板系统故障。</w:t>
            </w:r>
          </w:p>
        </w:tc>
        <w:tc>
          <w:tcPr>
            <w:tcW w:w="598" w:type="dxa"/>
            <w:vMerge w:val="continue"/>
            <w:tcBorders>
              <w:top w:val="nil"/>
              <w:bottom w:val="nil"/>
            </w:tcBorders>
            <w:vAlign w:val="center"/>
          </w:tcPr>
          <w:p w14:paraId="757A8902">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p>
        </w:tc>
        <w:tc>
          <w:tcPr>
            <w:tcW w:w="747" w:type="dxa"/>
            <w:vMerge w:val="continue"/>
            <w:tcBorders>
              <w:top w:val="nil"/>
              <w:bottom w:val="nil"/>
            </w:tcBorders>
            <w:vAlign w:val="center"/>
          </w:tcPr>
          <w:p w14:paraId="4AC69BAA">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p>
        </w:tc>
        <w:tc>
          <w:tcPr>
            <w:tcW w:w="761" w:type="dxa"/>
            <w:vMerge w:val="continue"/>
            <w:tcBorders>
              <w:top w:val="nil"/>
              <w:bottom w:val="nil"/>
            </w:tcBorders>
            <w:vAlign w:val="center"/>
          </w:tcPr>
          <w:p w14:paraId="744F7115">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p>
        </w:tc>
      </w:tr>
      <w:tr w14:paraId="06F60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735" w:type="dxa"/>
            <w:vMerge w:val="continue"/>
            <w:tcBorders>
              <w:top w:val="nil"/>
            </w:tcBorders>
            <w:textDirection w:val="tbRlV"/>
            <w:vAlign w:val="top"/>
          </w:tcPr>
          <w:p w14:paraId="7A5CC565">
            <w:pPr>
              <w:rPr>
                <w:rFonts w:ascii="Arial"/>
                <w:color w:val="auto"/>
                <w:sz w:val="21"/>
                <w:highlight w:val="none"/>
              </w:rPr>
            </w:pPr>
          </w:p>
        </w:tc>
        <w:tc>
          <w:tcPr>
            <w:tcW w:w="1072" w:type="dxa"/>
            <w:vAlign w:val="top"/>
          </w:tcPr>
          <w:p w14:paraId="6780B44D">
            <w:pPr>
              <w:pStyle w:val="132"/>
              <w:spacing w:before="266" w:line="219" w:lineRule="auto"/>
              <w:rPr>
                <w:color w:val="auto"/>
                <w:highlight w:val="none"/>
              </w:rPr>
            </w:pPr>
            <w:r>
              <w:rPr>
                <w:color w:val="auto"/>
                <w:spacing w:val="-2"/>
                <w:highlight w:val="none"/>
              </w:rPr>
              <w:t>通信系统</w:t>
            </w:r>
          </w:p>
        </w:tc>
        <w:tc>
          <w:tcPr>
            <w:tcW w:w="5678" w:type="dxa"/>
            <w:vAlign w:val="top"/>
          </w:tcPr>
          <w:p w14:paraId="7AFCCFB4">
            <w:pPr>
              <w:pStyle w:val="132"/>
              <w:spacing w:before="104" w:line="262" w:lineRule="auto"/>
              <w:ind w:left="99" w:hanging="88"/>
              <w:rPr>
                <w:color w:val="auto"/>
                <w:highlight w:val="none"/>
              </w:rPr>
            </w:pPr>
            <w:r>
              <w:rPr>
                <w:color w:val="auto"/>
                <w:spacing w:val="-12"/>
                <w:highlight w:val="none"/>
              </w:rPr>
              <w:t>部分通信设备工作不正常，通信干缆故障、小范围内通信不正常。</w:t>
            </w:r>
            <w:r>
              <w:rPr>
                <w:color w:val="auto"/>
                <w:spacing w:val="-4"/>
                <w:highlight w:val="none"/>
              </w:rPr>
              <w:t>路段紧急电话小范围损坏，与中心无法联系。</w:t>
            </w:r>
          </w:p>
        </w:tc>
        <w:tc>
          <w:tcPr>
            <w:tcW w:w="598" w:type="dxa"/>
            <w:vMerge w:val="continue"/>
            <w:tcBorders>
              <w:top w:val="nil"/>
            </w:tcBorders>
            <w:vAlign w:val="center"/>
          </w:tcPr>
          <w:p w14:paraId="56FBD0A8">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p>
        </w:tc>
        <w:tc>
          <w:tcPr>
            <w:tcW w:w="747" w:type="dxa"/>
            <w:vMerge w:val="continue"/>
            <w:tcBorders>
              <w:top w:val="nil"/>
            </w:tcBorders>
            <w:vAlign w:val="center"/>
          </w:tcPr>
          <w:p w14:paraId="6584E8D8">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p>
        </w:tc>
        <w:tc>
          <w:tcPr>
            <w:tcW w:w="761" w:type="dxa"/>
            <w:vMerge w:val="continue"/>
            <w:tcBorders>
              <w:top w:val="nil"/>
            </w:tcBorders>
            <w:vAlign w:val="center"/>
          </w:tcPr>
          <w:p w14:paraId="265AE757">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p>
        </w:tc>
      </w:tr>
      <w:tr w14:paraId="22AB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35" w:type="dxa"/>
            <w:vMerge w:val="restart"/>
            <w:tcBorders>
              <w:bottom w:val="nil"/>
            </w:tcBorders>
            <w:textDirection w:val="tbRlV"/>
            <w:vAlign w:val="top"/>
          </w:tcPr>
          <w:p w14:paraId="0CD8D9CF">
            <w:pPr>
              <w:pStyle w:val="132"/>
              <w:spacing w:before="152" w:line="196" w:lineRule="auto"/>
              <w:ind w:left="711"/>
              <w:rPr>
                <w:color w:val="auto"/>
                <w:highlight w:val="none"/>
              </w:rPr>
            </w:pPr>
            <w:r>
              <w:rPr>
                <w:color w:val="auto"/>
                <w:highlight w:val="none"/>
              </w:rPr>
              <w:t>四  级</w:t>
            </w:r>
          </w:p>
        </w:tc>
        <w:tc>
          <w:tcPr>
            <w:tcW w:w="1072" w:type="dxa"/>
            <w:vAlign w:val="top"/>
          </w:tcPr>
          <w:p w14:paraId="3D2C296C">
            <w:pPr>
              <w:pStyle w:val="132"/>
              <w:spacing w:before="267" w:line="219" w:lineRule="auto"/>
              <w:rPr>
                <w:color w:val="auto"/>
                <w:highlight w:val="none"/>
              </w:rPr>
            </w:pPr>
            <w:r>
              <w:rPr>
                <w:color w:val="auto"/>
                <w:spacing w:val="2"/>
                <w:highlight w:val="none"/>
              </w:rPr>
              <w:t>收费系统</w:t>
            </w:r>
          </w:p>
        </w:tc>
        <w:tc>
          <w:tcPr>
            <w:tcW w:w="5678" w:type="dxa"/>
            <w:vAlign w:val="top"/>
          </w:tcPr>
          <w:p w14:paraId="175F73AA">
            <w:pPr>
              <w:pStyle w:val="132"/>
              <w:spacing w:before="96" w:line="261" w:lineRule="auto"/>
              <w:ind w:left="111" w:right="62" w:hanging="60"/>
              <w:rPr>
                <w:color w:val="auto"/>
                <w:highlight w:val="none"/>
              </w:rPr>
            </w:pPr>
            <w:r>
              <w:rPr>
                <w:color w:val="auto"/>
                <w:spacing w:val="-1"/>
                <w:highlight w:val="none"/>
              </w:rPr>
              <w:t>单个车道(收费工控机、车道控制机、称重台)故障造成不能收</w:t>
            </w:r>
            <w:r>
              <w:rPr>
                <w:color w:val="auto"/>
                <w:spacing w:val="16"/>
                <w:highlight w:val="none"/>
              </w:rPr>
              <w:t xml:space="preserve"> </w:t>
            </w:r>
            <w:r>
              <w:rPr>
                <w:color w:val="auto"/>
                <w:spacing w:val="-1"/>
                <w:highlight w:val="none"/>
              </w:rPr>
              <w:t>费或数据无法统计。</w:t>
            </w:r>
          </w:p>
        </w:tc>
        <w:tc>
          <w:tcPr>
            <w:tcW w:w="598" w:type="dxa"/>
            <w:vMerge w:val="restart"/>
            <w:tcBorders>
              <w:bottom w:val="nil"/>
            </w:tcBorders>
            <w:vAlign w:val="center"/>
          </w:tcPr>
          <w:p w14:paraId="5919BEEA">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r>
              <w:rPr>
                <w:color w:val="auto"/>
                <w:spacing w:val="3"/>
                <w:highlight w:val="none"/>
              </w:rPr>
              <w:t>2小时</w:t>
            </w:r>
          </w:p>
        </w:tc>
        <w:tc>
          <w:tcPr>
            <w:tcW w:w="747" w:type="dxa"/>
            <w:vMerge w:val="restart"/>
            <w:tcBorders>
              <w:bottom w:val="nil"/>
            </w:tcBorders>
            <w:vAlign w:val="center"/>
          </w:tcPr>
          <w:p w14:paraId="42E1242F">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r>
              <w:rPr>
                <w:color w:val="auto"/>
                <w:spacing w:val="3"/>
                <w:highlight w:val="none"/>
              </w:rPr>
              <w:t>3小时</w:t>
            </w:r>
          </w:p>
        </w:tc>
        <w:tc>
          <w:tcPr>
            <w:tcW w:w="761" w:type="dxa"/>
            <w:vMerge w:val="restart"/>
            <w:tcBorders>
              <w:bottom w:val="nil"/>
            </w:tcBorders>
            <w:vAlign w:val="center"/>
          </w:tcPr>
          <w:p w14:paraId="61A269CF">
            <w:pPr>
              <w:pStyle w:val="132"/>
              <w:keepNext w:val="0"/>
              <w:keepLines w:val="0"/>
              <w:pageBreakBefore w:val="0"/>
              <w:widowControl w:val="0"/>
              <w:kinsoku/>
              <w:wordWrap w:val="0"/>
              <w:overflowPunct/>
              <w:topLinePunct w:val="0"/>
              <w:autoSpaceDE/>
              <w:autoSpaceDN/>
              <w:bidi w:val="0"/>
              <w:adjustRightInd/>
              <w:snapToGrid/>
              <w:spacing w:before="72" w:line="306" w:lineRule="auto"/>
              <w:ind w:right="121"/>
              <w:jc w:val="center"/>
              <w:textAlignment w:val="auto"/>
              <w:rPr>
                <w:color w:val="auto"/>
                <w:spacing w:val="3"/>
                <w:highlight w:val="none"/>
              </w:rPr>
            </w:pPr>
            <w:r>
              <w:rPr>
                <w:color w:val="auto"/>
                <w:spacing w:val="3"/>
                <w:highlight w:val="none"/>
              </w:rPr>
              <w:t>48小时</w:t>
            </w:r>
          </w:p>
        </w:tc>
      </w:tr>
      <w:tr w14:paraId="29D9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Merge w:val="continue"/>
            <w:tcBorders>
              <w:top w:val="nil"/>
              <w:bottom w:val="nil"/>
            </w:tcBorders>
            <w:textDirection w:val="tbRlV"/>
            <w:vAlign w:val="top"/>
          </w:tcPr>
          <w:p w14:paraId="4563B64A">
            <w:pPr>
              <w:rPr>
                <w:rFonts w:ascii="Arial"/>
                <w:color w:val="auto"/>
                <w:sz w:val="21"/>
                <w:highlight w:val="none"/>
              </w:rPr>
            </w:pPr>
          </w:p>
        </w:tc>
        <w:tc>
          <w:tcPr>
            <w:tcW w:w="1072" w:type="dxa"/>
            <w:vAlign w:val="top"/>
          </w:tcPr>
          <w:p w14:paraId="4E61E7FC">
            <w:pPr>
              <w:pStyle w:val="132"/>
              <w:spacing w:before="208" w:line="220" w:lineRule="auto"/>
              <w:rPr>
                <w:color w:val="auto"/>
                <w:highlight w:val="none"/>
              </w:rPr>
            </w:pPr>
            <w:r>
              <w:rPr>
                <w:color w:val="auto"/>
                <w:spacing w:val="-2"/>
                <w:highlight w:val="none"/>
              </w:rPr>
              <w:t>监控系统</w:t>
            </w:r>
          </w:p>
        </w:tc>
        <w:tc>
          <w:tcPr>
            <w:tcW w:w="5678" w:type="dxa"/>
            <w:vAlign w:val="top"/>
          </w:tcPr>
          <w:p w14:paraId="1C0013E3">
            <w:pPr>
              <w:pStyle w:val="132"/>
              <w:spacing w:before="208" w:line="219" w:lineRule="auto"/>
              <w:ind w:right="2"/>
              <w:jc w:val="both"/>
              <w:rPr>
                <w:color w:val="auto"/>
                <w:highlight w:val="none"/>
              </w:rPr>
            </w:pPr>
            <w:r>
              <w:rPr>
                <w:color w:val="auto"/>
                <w:highlight w:val="none"/>
              </w:rPr>
              <w:t>单个监控器损坏或线路故障造成无法录像。监视器系统故</w:t>
            </w:r>
            <w:r>
              <w:rPr>
                <w:color w:val="auto"/>
                <w:spacing w:val="-1"/>
                <w:highlight w:val="none"/>
              </w:rPr>
              <w:t>障。</w:t>
            </w:r>
          </w:p>
        </w:tc>
        <w:tc>
          <w:tcPr>
            <w:tcW w:w="598" w:type="dxa"/>
            <w:vMerge w:val="continue"/>
            <w:tcBorders>
              <w:top w:val="nil"/>
              <w:bottom w:val="nil"/>
            </w:tcBorders>
            <w:vAlign w:val="top"/>
          </w:tcPr>
          <w:p w14:paraId="55A3660E">
            <w:pPr>
              <w:rPr>
                <w:rFonts w:ascii="Arial"/>
                <w:color w:val="auto"/>
                <w:sz w:val="21"/>
                <w:highlight w:val="none"/>
              </w:rPr>
            </w:pPr>
          </w:p>
        </w:tc>
        <w:tc>
          <w:tcPr>
            <w:tcW w:w="747" w:type="dxa"/>
            <w:vMerge w:val="continue"/>
            <w:tcBorders>
              <w:top w:val="nil"/>
              <w:bottom w:val="nil"/>
            </w:tcBorders>
            <w:vAlign w:val="top"/>
          </w:tcPr>
          <w:p w14:paraId="10B7C43C">
            <w:pPr>
              <w:rPr>
                <w:rFonts w:ascii="Arial"/>
                <w:color w:val="auto"/>
                <w:sz w:val="21"/>
                <w:highlight w:val="none"/>
              </w:rPr>
            </w:pPr>
          </w:p>
        </w:tc>
        <w:tc>
          <w:tcPr>
            <w:tcW w:w="761" w:type="dxa"/>
            <w:vMerge w:val="continue"/>
            <w:tcBorders>
              <w:top w:val="nil"/>
              <w:bottom w:val="nil"/>
            </w:tcBorders>
            <w:vAlign w:val="top"/>
          </w:tcPr>
          <w:p w14:paraId="7041EE9A">
            <w:pPr>
              <w:rPr>
                <w:rFonts w:ascii="Arial"/>
                <w:color w:val="auto"/>
                <w:sz w:val="21"/>
                <w:highlight w:val="none"/>
              </w:rPr>
            </w:pPr>
          </w:p>
        </w:tc>
      </w:tr>
      <w:tr w14:paraId="1F8F9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735" w:type="dxa"/>
            <w:vMerge w:val="continue"/>
            <w:tcBorders>
              <w:top w:val="nil"/>
            </w:tcBorders>
            <w:textDirection w:val="tbRlV"/>
            <w:vAlign w:val="top"/>
          </w:tcPr>
          <w:p w14:paraId="698CD431">
            <w:pPr>
              <w:rPr>
                <w:rFonts w:ascii="Arial"/>
                <w:color w:val="auto"/>
                <w:sz w:val="21"/>
                <w:highlight w:val="none"/>
              </w:rPr>
            </w:pPr>
          </w:p>
        </w:tc>
        <w:tc>
          <w:tcPr>
            <w:tcW w:w="1072" w:type="dxa"/>
            <w:vAlign w:val="top"/>
          </w:tcPr>
          <w:p w14:paraId="3B6AE528">
            <w:pPr>
              <w:pStyle w:val="132"/>
              <w:spacing w:before="268" w:line="219" w:lineRule="auto"/>
              <w:rPr>
                <w:color w:val="auto"/>
                <w:highlight w:val="none"/>
              </w:rPr>
            </w:pPr>
            <w:r>
              <w:rPr>
                <w:color w:val="auto"/>
                <w:spacing w:val="-2"/>
                <w:highlight w:val="none"/>
              </w:rPr>
              <w:t>通信系统</w:t>
            </w:r>
          </w:p>
        </w:tc>
        <w:tc>
          <w:tcPr>
            <w:tcW w:w="5678" w:type="dxa"/>
            <w:vAlign w:val="top"/>
          </w:tcPr>
          <w:p w14:paraId="4FBDD662">
            <w:pPr>
              <w:pStyle w:val="132"/>
              <w:spacing w:before="106" w:line="259" w:lineRule="auto"/>
              <w:ind w:left="99" w:hanging="88"/>
              <w:rPr>
                <w:color w:val="auto"/>
                <w:highlight w:val="none"/>
              </w:rPr>
            </w:pPr>
            <w:r>
              <w:rPr>
                <w:color w:val="auto"/>
                <w:spacing w:val="-12"/>
                <w:highlight w:val="none"/>
              </w:rPr>
              <w:t>小范围通信故障，部分通信终端故障，但不影响系统的正常使用。</w:t>
            </w:r>
            <w:r>
              <w:rPr>
                <w:color w:val="auto"/>
                <w:spacing w:val="-4"/>
                <w:highlight w:val="none"/>
              </w:rPr>
              <w:t>路段紧急电话部分损坏，与中心无法联系。</w:t>
            </w:r>
          </w:p>
        </w:tc>
        <w:tc>
          <w:tcPr>
            <w:tcW w:w="598" w:type="dxa"/>
            <w:vMerge w:val="continue"/>
            <w:tcBorders>
              <w:top w:val="nil"/>
            </w:tcBorders>
            <w:vAlign w:val="top"/>
          </w:tcPr>
          <w:p w14:paraId="644C7684">
            <w:pPr>
              <w:rPr>
                <w:rFonts w:ascii="Arial"/>
                <w:color w:val="auto"/>
                <w:sz w:val="21"/>
                <w:highlight w:val="none"/>
              </w:rPr>
            </w:pPr>
          </w:p>
        </w:tc>
        <w:tc>
          <w:tcPr>
            <w:tcW w:w="747" w:type="dxa"/>
            <w:vMerge w:val="continue"/>
            <w:tcBorders>
              <w:top w:val="nil"/>
            </w:tcBorders>
            <w:vAlign w:val="top"/>
          </w:tcPr>
          <w:p w14:paraId="77220982">
            <w:pPr>
              <w:rPr>
                <w:rFonts w:ascii="Arial"/>
                <w:color w:val="auto"/>
                <w:sz w:val="21"/>
                <w:highlight w:val="none"/>
              </w:rPr>
            </w:pPr>
          </w:p>
        </w:tc>
        <w:tc>
          <w:tcPr>
            <w:tcW w:w="761" w:type="dxa"/>
            <w:vMerge w:val="continue"/>
            <w:tcBorders>
              <w:top w:val="nil"/>
            </w:tcBorders>
            <w:vAlign w:val="top"/>
          </w:tcPr>
          <w:p w14:paraId="505598A1">
            <w:pPr>
              <w:rPr>
                <w:rFonts w:ascii="Arial"/>
                <w:color w:val="auto"/>
                <w:sz w:val="21"/>
                <w:highlight w:val="none"/>
              </w:rPr>
            </w:pPr>
          </w:p>
        </w:tc>
      </w:tr>
    </w:tbl>
    <w:p w14:paraId="647BCC98">
      <w:pPr>
        <w:shd w:val="clear"/>
        <w:spacing w:line="440" w:lineRule="exact"/>
        <w:ind w:firstLine="542" w:firstLineChars="150"/>
        <w:jc w:val="center"/>
        <w:rPr>
          <w:rFonts w:hint="eastAsia" w:ascii="宋体"/>
          <w:b/>
          <w:bCs/>
          <w:color w:val="auto"/>
          <w:sz w:val="36"/>
          <w:szCs w:val="52"/>
          <w:highlight w:val="none"/>
        </w:rPr>
      </w:pPr>
    </w:p>
    <w:p w14:paraId="13ADA1BB">
      <w:pPr>
        <w:shd w:val="clear"/>
        <w:spacing w:line="440" w:lineRule="exact"/>
        <w:ind w:firstLine="542" w:firstLineChars="150"/>
        <w:jc w:val="center"/>
        <w:rPr>
          <w:rFonts w:hint="eastAsia" w:ascii="宋体"/>
          <w:b/>
          <w:bCs/>
          <w:color w:val="auto"/>
          <w:sz w:val="36"/>
          <w:szCs w:val="52"/>
          <w:highlight w:val="none"/>
        </w:rPr>
      </w:pPr>
    </w:p>
    <w:p w14:paraId="5ADFBF49">
      <w:pPr>
        <w:shd w:val="clear"/>
        <w:spacing w:line="440" w:lineRule="exact"/>
        <w:ind w:firstLine="542" w:firstLineChars="150"/>
        <w:jc w:val="center"/>
        <w:rPr>
          <w:rFonts w:hint="eastAsia" w:ascii="宋体"/>
          <w:b/>
          <w:bCs/>
          <w:color w:val="auto"/>
          <w:sz w:val="36"/>
          <w:szCs w:val="52"/>
          <w:highlight w:val="none"/>
        </w:rPr>
      </w:pPr>
    </w:p>
    <w:p w14:paraId="7C2E0F7C">
      <w:pPr>
        <w:shd w:val="clear"/>
        <w:spacing w:line="440" w:lineRule="exact"/>
        <w:jc w:val="both"/>
        <w:rPr>
          <w:rFonts w:hint="default" w:ascii="宋体"/>
          <w:b/>
          <w:bCs/>
          <w:color w:val="auto"/>
          <w:sz w:val="36"/>
          <w:szCs w:val="52"/>
          <w:highlight w:val="none"/>
          <w:lang w:val="en-US" w:eastAsia="zh-CN"/>
        </w:rPr>
      </w:pPr>
      <w:r>
        <w:rPr>
          <w:rFonts w:hint="eastAsia" w:ascii="宋体"/>
          <w:b/>
          <w:bCs/>
          <w:color w:val="auto"/>
          <w:sz w:val="36"/>
          <w:szCs w:val="52"/>
          <w:highlight w:val="none"/>
          <w:lang w:val="en-US" w:eastAsia="zh-CN"/>
        </w:rPr>
        <w:t>附件3：季度考核表</w:t>
      </w:r>
    </w:p>
    <w:p w14:paraId="3AAF8C02">
      <w:pPr>
        <w:spacing w:before="52" w:line="222" w:lineRule="auto"/>
        <w:ind w:firstLine="6468" w:firstLineChars="2100"/>
        <w:rPr>
          <w:rFonts w:hint="eastAsia" w:ascii="宋体" w:hAnsi="宋体" w:eastAsia="宋体" w:cs="宋体"/>
          <w:color w:val="auto"/>
          <w:sz w:val="28"/>
          <w:szCs w:val="28"/>
          <w:highlight w:val="none"/>
        </w:rPr>
      </w:pPr>
      <w:r>
        <w:rPr>
          <w:rFonts w:hint="eastAsia" w:ascii="宋体" w:hAnsi="宋体" w:eastAsia="宋体" w:cs="宋体"/>
          <w:color w:val="auto"/>
          <w:spacing w:val="14"/>
          <w:sz w:val="28"/>
          <w:szCs w:val="28"/>
          <w:highlight w:val="none"/>
          <w:lang w:val="en-US" w:eastAsia="zh-CN"/>
        </w:rPr>
        <w:t>考核季度</w:t>
      </w:r>
      <w:r>
        <w:rPr>
          <w:rFonts w:hint="eastAsia" w:ascii="宋体" w:hAnsi="宋体" w:eastAsia="宋体" w:cs="宋体"/>
          <w:color w:val="auto"/>
          <w:spacing w:val="14"/>
          <w:sz w:val="28"/>
          <w:szCs w:val="28"/>
          <w:highlight w:val="none"/>
        </w:rPr>
        <w:t>：</w:t>
      </w:r>
    </w:p>
    <w:p w14:paraId="7B7CDE9F">
      <w:pPr>
        <w:spacing w:line="155" w:lineRule="exact"/>
        <w:rPr>
          <w:color w:val="auto"/>
          <w:highlight w:val="none"/>
        </w:rPr>
      </w:pPr>
    </w:p>
    <w:tbl>
      <w:tblPr>
        <w:tblStyle w:val="131"/>
        <w:tblW w:w="91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3416"/>
        <w:gridCol w:w="933"/>
        <w:gridCol w:w="1359"/>
        <w:gridCol w:w="706"/>
        <w:gridCol w:w="2065"/>
      </w:tblGrid>
      <w:tr w14:paraId="061C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74" w:type="dxa"/>
            <w:vAlign w:val="center"/>
          </w:tcPr>
          <w:p w14:paraId="68A5F8D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序号</w:t>
            </w:r>
          </w:p>
        </w:tc>
        <w:tc>
          <w:tcPr>
            <w:tcW w:w="3416" w:type="dxa"/>
            <w:vAlign w:val="center"/>
          </w:tcPr>
          <w:p w14:paraId="3212822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考核项目</w:t>
            </w:r>
          </w:p>
        </w:tc>
        <w:tc>
          <w:tcPr>
            <w:tcW w:w="933" w:type="dxa"/>
            <w:vAlign w:val="center"/>
          </w:tcPr>
          <w:p w14:paraId="105E823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扣分值</w:t>
            </w:r>
          </w:p>
        </w:tc>
        <w:tc>
          <w:tcPr>
            <w:tcW w:w="1359" w:type="dxa"/>
            <w:vAlign w:val="center"/>
          </w:tcPr>
          <w:p w14:paraId="09D7431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扣分标准</w:t>
            </w:r>
          </w:p>
        </w:tc>
        <w:tc>
          <w:tcPr>
            <w:tcW w:w="706" w:type="dxa"/>
            <w:vAlign w:val="center"/>
          </w:tcPr>
          <w:p w14:paraId="3498FD3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扣分</w:t>
            </w:r>
          </w:p>
        </w:tc>
        <w:tc>
          <w:tcPr>
            <w:tcW w:w="2065" w:type="dxa"/>
            <w:vAlign w:val="center"/>
          </w:tcPr>
          <w:p w14:paraId="5E82047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扣分情况说明</w:t>
            </w:r>
          </w:p>
        </w:tc>
      </w:tr>
      <w:tr w14:paraId="57B59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74" w:type="dxa"/>
            <w:vAlign w:val="center"/>
          </w:tcPr>
          <w:p w14:paraId="4707B22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w:t>
            </w:r>
          </w:p>
        </w:tc>
        <w:tc>
          <w:tcPr>
            <w:tcW w:w="3416" w:type="dxa"/>
            <w:vAlign w:val="center"/>
          </w:tcPr>
          <w:p w14:paraId="1ACF6A6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未按照维护内容进行维护</w:t>
            </w:r>
          </w:p>
        </w:tc>
        <w:tc>
          <w:tcPr>
            <w:tcW w:w="933" w:type="dxa"/>
            <w:vAlign w:val="center"/>
          </w:tcPr>
          <w:p w14:paraId="1AC58E7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Align w:val="center"/>
          </w:tcPr>
          <w:p w14:paraId="185B919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339ED4E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03A2DDF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21B7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74" w:type="dxa"/>
            <w:vAlign w:val="center"/>
          </w:tcPr>
          <w:p w14:paraId="31E2C37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2</w:t>
            </w:r>
          </w:p>
        </w:tc>
        <w:tc>
          <w:tcPr>
            <w:tcW w:w="3416" w:type="dxa"/>
            <w:vAlign w:val="center"/>
          </w:tcPr>
          <w:p w14:paraId="2108BB5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巡检中，未能够完成巡检内容要求的</w:t>
            </w:r>
          </w:p>
        </w:tc>
        <w:tc>
          <w:tcPr>
            <w:tcW w:w="933" w:type="dxa"/>
            <w:vAlign w:val="center"/>
          </w:tcPr>
          <w:p w14:paraId="6D37942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Align w:val="center"/>
          </w:tcPr>
          <w:p w14:paraId="65A9B8E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25F55C6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38BB88A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58A6D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74" w:type="dxa"/>
            <w:vAlign w:val="center"/>
          </w:tcPr>
          <w:p w14:paraId="67AC30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3</w:t>
            </w:r>
          </w:p>
        </w:tc>
        <w:tc>
          <w:tcPr>
            <w:tcW w:w="3416" w:type="dxa"/>
            <w:vAlign w:val="center"/>
          </w:tcPr>
          <w:p w14:paraId="5F2FAB3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巡检中，存在问题但未发现</w:t>
            </w:r>
          </w:p>
        </w:tc>
        <w:tc>
          <w:tcPr>
            <w:tcW w:w="933" w:type="dxa"/>
            <w:vAlign w:val="center"/>
          </w:tcPr>
          <w:p w14:paraId="028CF59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Align w:val="center"/>
          </w:tcPr>
          <w:p w14:paraId="01DF4EF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6B32A86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00938D5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31D07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74" w:type="dxa"/>
            <w:vAlign w:val="center"/>
          </w:tcPr>
          <w:p w14:paraId="2100CF3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4</w:t>
            </w:r>
          </w:p>
        </w:tc>
        <w:tc>
          <w:tcPr>
            <w:tcW w:w="3416" w:type="dxa"/>
            <w:vAlign w:val="center"/>
          </w:tcPr>
          <w:p w14:paraId="3429EBC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巡检中，发现问题，隐匿不报的</w:t>
            </w:r>
          </w:p>
        </w:tc>
        <w:tc>
          <w:tcPr>
            <w:tcW w:w="933" w:type="dxa"/>
            <w:vAlign w:val="center"/>
          </w:tcPr>
          <w:p w14:paraId="247F428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Align w:val="center"/>
          </w:tcPr>
          <w:p w14:paraId="3B2182D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099445E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17F1918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74FE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74" w:type="dxa"/>
            <w:vAlign w:val="center"/>
          </w:tcPr>
          <w:p w14:paraId="3DA237B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w:t>
            </w:r>
          </w:p>
        </w:tc>
        <w:tc>
          <w:tcPr>
            <w:tcW w:w="3416" w:type="dxa"/>
            <w:vAlign w:val="center"/>
          </w:tcPr>
          <w:p w14:paraId="5B11CE8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巡检中，发现问题，未提供有效方案</w:t>
            </w:r>
          </w:p>
        </w:tc>
        <w:tc>
          <w:tcPr>
            <w:tcW w:w="933" w:type="dxa"/>
            <w:vAlign w:val="center"/>
          </w:tcPr>
          <w:p w14:paraId="064F175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Align w:val="center"/>
          </w:tcPr>
          <w:p w14:paraId="041D153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436AAC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4728829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3765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74" w:type="dxa"/>
            <w:vAlign w:val="center"/>
          </w:tcPr>
          <w:p w14:paraId="2AA9EE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6</w:t>
            </w:r>
          </w:p>
        </w:tc>
        <w:tc>
          <w:tcPr>
            <w:tcW w:w="3416" w:type="dxa"/>
            <w:vAlign w:val="center"/>
          </w:tcPr>
          <w:p w14:paraId="0C78DB2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巡检中，发现问题，未能配合解决故障，影响机电系统运行</w:t>
            </w:r>
          </w:p>
        </w:tc>
        <w:tc>
          <w:tcPr>
            <w:tcW w:w="933" w:type="dxa"/>
            <w:vAlign w:val="center"/>
          </w:tcPr>
          <w:p w14:paraId="5E25B3B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 分</w:t>
            </w:r>
          </w:p>
        </w:tc>
        <w:tc>
          <w:tcPr>
            <w:tcW w:w="1359" w:type="dxa"/>
            <w:vAlign w:val="center"/>
          </w:tcPr>
          <w:p w14:paraId="2AF76E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4450813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0808F43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56590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74" w:type="dxa"/>
            <w:vAlign w:val="center"/>
          </w:tcPr>
          <w:p w14:paraId="2918A23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7</w:t>
            </w:r>
          </w:p>
        </w:tc>
        <w:tc>
          <w:tcPr>
            <w:tcW w:w="3416" w:type="dxa"/>
            <w:vAlign w:val="center"/>
          </w:tcPr>
          <w:p w14:paraId="68CE5C6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除不可抗力，拒绝接收</w:t>
            </w:r>
            <w:r>
              <w:rPr>
                <w:rFonts w:hint="eastAsia"/>
                <w:color w:val="auto"/>
                <w:highlight w:val="none"/>
                <w:lang w:val="en-US" w:eastAsia="zh-CN"/>
              </w:rPr>
              <w:t>甲方</w:t>
            </w:r>
            <w:r>
              <w:rPr>
                <w:color w:val="auto"/>
                <w:highlight w:val="none"/>
              </w:rPr>
              <w:t>派发维修工单</w:t>
            </w:r>
          </w:p>
        </w:tc>
        <w:tc>
          <w:tcPr>
            <w:tcW w:w="933" w:type="dxa"/>
            <w:vAlign w:val="center"/>
          </w:tcPr>
          <w:p w14:paraId="5FE7CAF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 分</w:t>
            </w:r>
          </w:p>
        </w:tc>
        <w:tc>
          <w:tcPr>
            <w:tcW w:w="1359" w:type="dxa"/>
            <w:vAlign w:val="center"/>
          </w:tcPr>
          <w:p w14:paraId="45693C1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0915E07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6D8AD38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5EC4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74" w:type="dxa"/>
            <w:vAlign w:val="center"/>
          </w:tcPr>
          <w:p w14:paraId="730FEFE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8</w:t>
            </w:r>
          </w:p>
        </w:tc>
        <w:tc>
          <w:tcPr>
            <w:tcW w:w="3416" w:type="dxa"/>
            <w:vAlign w:val="center"/>
          </w:tcPr>
          <w:p w14:paraId="5D1456D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接单后，维修响应时间不满足要求(紧急故障1小时内、一般故障4小时内)</w:t>
            </w:r>
          </w:p>
        </w:tc>
        <w:tc>
          <w:tcPr>
            <w:tcW w:w="933" w:type="dxa"/>
            <w:vAlign w:val="center"/>
          </w:tcPr>
          <w:p w14:paraId="126513D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Align w:val="center"/>
          </w:tcPr>
          <w:p w14:paraId="149217A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5510C1F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43F6C94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4628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674" w:type="dxa"/>
            <w:vAlign w:val="center"/>
          </w:tcPr>
          <w:p w14:paraId="0870BB0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9</w:t>
            </w:r>
          </w:p>
        </w:tc>
        <w:tc>
          <w:tcPr>
            <w:tcW w:w="3416" w:type="dxa"/>
            <w:vAlign w:val="center"/>
          </w:tcPr>
          <w:p w14:paraId="7104814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 xml:space="preserve">接单后，维修故障解决时间不满足要求 </w:t>
            </w:r>
            <w:r>
              <w:rPr>
                <w:color w:val="auto"/>
                <w:highlight w:val="none"/>
              </w:rPr>
              <w:tab/>
            </w:r>
            <w:r>
              <w:rPr>
                <w:color w:val="auto"/>
                <w:highlight w:val="none"/>
              </w:rPr>
              <w:t>(一般故障维修时间48小时内、重要设 备故障维修时间24小时内、紧急故障维 修时间2小时内；如遇需要返厂维修及</w:t>
            </w:r>
            <w:r>
              <w:rPr>
                <w:rFonts w:hint="eastAsia"/>
                <w:color w:val="auto"/>
                <w:highlight w:val="none"/>
                <w:lang w:val="en-US" w:eastAsia="zh-CN"/>
              </w:rPr>
              <w:t>甲方</w:t>
            </w:r>
            <w:r>
              <w:rPr>
                <w:color w:val="auto"/>
                <w:highlight w:val="none"/>
              </w:rPr>
              <w:t>备品备件提供不及时造成的设备故障无法及时修复的，根据特殊情况而定)</w:t>
            </w:r>
          </w:p>
        </w:tc>
        <w:tc>
          <w:tcPr>
            <w:tcW w:w="933" w:type="dxa"/>
            <w:vAlign w:val="center"/>
          </w:tcPr>
          <w:p w14:paraId="065AD71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Align w:val="center"/>
          </w:tcPr>
          <w:p w14:paraId="36CCA2E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每次扣2分</w:t>
            </w:r>
          </w:p>
        </w:tc>
        <w:tc>
          <w:tcPr>
            <w:tcW w:w="706" w:type="dxa"/>
            <w:vAlign w:val="center"/>
          </w:tcPr>
          <w:p w14:paraId="23F96BC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2D8D7C2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40D23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74" w:type="dxa"/>
            <w:vAlign w:val="center"/>
          </w:tcPr>
          <w:p w14:paraId="5E45E3C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10</w:t>
            </w:r>
          </w:p>
        </w:tc>
        <w:tc>
          <w:tcPr>
            <w:tcW w:w="3416" w:type="dxa"/>
            <w:vAlign w:val="center"/>
          </w:tcPr>
          <w:p w14:paraId="2BAABC1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不服</w:t>
            </w:r>
            <w:r>
              <w:rPr>
                <w:rFonts w:hint="eastAsia"/>
                <w:color w:val="auto"/>
                <w:highlight w:val="none"/>
                <w:lang w:val="en-US" w:eastAsia="zh-CN"/>
              </w:rPr>
              <w:t>甲方</w:t>
            </w:r>
            <w:r>
              <w:rPr>
                <w:color w:val="auto"/>
                <w:highlight w:val="none"/>
              </w:rPr>
              <w:t>管理</w:t>
            </w:r>
          </w:p>
        </w:tc>
        <w:tc>
          <w:tcPr>
            <w:tcW w:w="933" w:type="dxa"/>
            <w:vAlign w:val="center"/>
          </w:tcPr>
          <w:p w14:paraId="316E144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 分</w:t>
            </w:r>
          </w:p>
        </w:tc>
        <w:tc>
          <w:tcPr>
            <w:tcW w:w="1359" w:type="dxa"/>
            <w:vAlign w:val="center"/>
          </w:tcPr>
          <w:p w14:paraId="6ED2FD4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5AF6300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25E8328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64848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74" w:type="dxa"/>
            <w:vAlign w:val="center"/>
          </w:tcPr>
          <w:p w14:paraId="55A697B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11</w:t>
            </w:r>
          </w:p>
        </w:tc>
        <w:tc>
          <w:tcPr>
            <w:tcW w:w="3416" w:type="dxa"/>
            <w:vAlign w:val="center"/>
          </w:tcPr>
          <w:p w14:paraId="1C195D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ETC门架系统连通合格率</w:t>
            </w:r>
          </w:p>
        </w:tc>
        <w:tc>
          <w:tcPr>
            <w:tcW w:w="933" w:type="dxa"/>
            <w:vAlign w:val="center"/>
          </w:tcPr>
          <w:p w14:paraId="2FF42EB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Merge w:val="restart"/>
            <w:tcBorders>
              <w:bottom w:val="nil"/>
            </w:tcBorders>
            <w:vAlign w:val="center"/>
          </w:tcPr>
          <w:p w14:paraId="238D247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根据上级单</w:t>
            </w:r>
          </w:p>
          <w:p w14:paraId="247BAEF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位通报，所有</w:t>
            </w:r>
          </w:p>
          <w:p w14:paraId="43972C0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考核项在</w:t>
            </w:r>
            <w:r>
              <w:rPr>
                <w:rFonts w:hint="eastAsia"/>
                <w:color w:val="auto"/>
                <w:highlight w:val="none"/>
                <w:lang w:val="en-US" w:eastAsia="zh-CN"/>
              </w:rPr>
              <w:t>季度</w:t>
            </w:r>
            <w:r>
              <w:rPr>
                <w:color w:val="auto"/>
                <w:highlight w:val="none"/>
              </w:rPr>
              <w:t>考核中均</w:t>
            </w:r>
          </w:p>
          <w:p w14:paraId="450B29C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达标的，不扣</w:t>
            </w:r>
          </w:p>
          <w:p w14:paraId="2562098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分；任一项未</w:t>
            </w:r>
          </w:p>
          <w:p w14:paraId="61F5AE7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达标者，在扣</w:t>
            </w:r>
          </w:p>
          <w:p w14:paraId="133FBDA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10分的基础</w:t>
            </w:r>
          </w:p>
          <w:p w14:paraId="7D80D63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上，每低于</w:t>
            </w:r>
          </w:p>
          <w:p w14:paraId="5209CBD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0%-1%,扣1</w:t>
            </w:r>
          </w:p>
          <w:p w14:paraId="02D6136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分。(此项</w:t>
            </w:r>
          </w:p>
          <w:p w14:paraId="5A5F59A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指标内容根</w:t>
            </w:r>
          </w:p>
          <w:p w14:paraId="4158980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据上级管理 机构的要求 动态调整)</w:t>
            </w:r>
          </w:p>
        </w:tc>
        <w:tc>
          <w:tcPr>
            <w:tcW w:w="706" w:type="dxa"/>
            <w:vAlign w:val="center"/>
          </w:tcPr>
          <w:p w14:paraId="41E9BC1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276395A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693D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74" w:type="dxa"/>
            <w:vAlign w:val="center"/>
          </w:tcPr>
          <w:p w14:paraId="38354C2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12</w:t>
            </w:r>
          </w:p>
        </w:tc>
        <w:tc>
          <w:tcPr>
            <w:tcW w:w="3416" w:type="dxa"/>
            <w:vAlign w:val="center"/>
          </w:tcPr>
          <w:p w14:paraId="76D9D6E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ETC门架系统ETC、CPC交易成功率</w:t>
            </w:r>
          </w:p>
        </w:tc>
        <w:tc>
          <w:tcPr>
            <w:tcW w:w="933" w:type="dxa"/>
            <w:vAlign w:val="center"/>
          </w:tcPr>
          <w:p w14:paraId="664C0D8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Merge w:val="continue"/>
            <w:tcBorders>
              <w:top w:val="nil"/>
              <w:bottom w:val="nil"/>
            </w:tcBorders>
            <w:vAlign w:val="center"/>
          </w:tcPr>
          <w:p w14:paraId="5FAE20A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2F9A6D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7714098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6D12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74" w:type="dxa"/>
            <w:vAlign w:val="center"/>
          </w:tcPr>
          <w:p w14:paraId="30FD130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13</w:t>
            </w:r>
          </w:p>
        </w:tc>
        <w:tc>
          <w:tcPr>
            <w:tcW w:w="3416" w:type="dxa"/>
            <w:vAlign w:val="center"/>
          </w:tcPr>
          <w:p w14:paraId="2A8581F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ETC门架、收费车道系统交易上传及时率</w:t>
            </w:r>
          </w:p>
        </w:tc>
        <w:tc>
          <w:tcPr>
            <w:tcW w:w="933" w:type="dxa"/>
            <w:vAlign w:val="center"/>
          </w:tcPr>
          <w:p w14:paraId="45AC71D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Merge w:val="continue"/>
            <w:tcBorders>
              <w:top w:val="nil"/>
              <w:bottom w:val="nil"/>
            </w:tcBorders>
            <w:vAlign w:val="center"/>
          </w:tcPr>
          <w:p w14:paraId="441B2AF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0EEB33A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0CB1C96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40CE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74" w:type="dxa"/>
            <w:vAlign w:val="center"/>
          </w:tcPr>
          <w:p w14:paraId="65BD063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14</w:t>
            </w:r>
          </w:p>
        </w:tc>
        <w:tc>
          <w:tcPr>
            <w:tcW w:w="3416" w:type="dxa"/>
            <w:vAlign w:val="center"/>
          </w:tcPr>
          <w:p w14:paraId="5E26DA4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收费站车道连通合格率</w:t>
            </w:r>
          </w:p>
        </w:tc>
        <w:tc>
          <w:tcPr>
            <w:tcW w:w="933" w:type="dxa"/>
            <w:vAlign w:val="center"/>
          </w:tcPr>
          <w:p w14:paraId="21AD69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Merge w:val="continue"/>
            <w:tcBorders>
              <w:top w:val="nil"/>
              <w:bottom w:val="nil"/>
            </w:tcBorders>
            <w:vAlign w:val="center"/>
          </w:tcPr>
          <w:p w14:paraId="360B285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5A2A282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1D6FC7F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79B0F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74" w:type="dxa"/>
            <w:vAlign w:val="center"/>
          </w:tcPr>
          <w:p w14:paraId="725C3BB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15</w:t>
            </w:r>
          </w:p>
        </w:tc>
        <w:tc>
          <w:tcPr>
            <w:tcW w:w="3416" w:type="dxa"/>
            <w:vAlign w:val="center"/>
          </w:tcPr>
          <w:p w14:paraId="4D46AD3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收费站ETC、CPC交易成功率</w:t>
            </w:r>
          </w:p>
        </w:tc>
        <w:tc>
          <w:tcPr>
            <w:tcW w:w="933" w:type="dxa"/>
            <w:vAlign w:val="center"/>
          </w:tcPr>
          <w:p w14:paraId="72BF2D8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Merge w:val="continue"/>
            <w:tcBorders>
              <w:top w:val="nil"/>
              <w:bottom w:val="nil"/>
            </w:tcBorders>
            <w:vAlign w:val="center"/>
          </w:tcPr>
          <w:p w14:paraId="3A19963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083FB90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0AA87A1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56EEC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74" w:type="dxa"/>
            <w:vAlign w:val="center"/>
          </w:tcPr>
          <w:p w14:paraId="467BBF7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16</w:t>
            </w:r>
          </w:p>
        </w:tc>
        <w:tc>
          <w:tcPr>
            <w:tcW w:w="3416" w:type="dxa"/>
            <w:vAlign w:val="center"/>
          </w:tcPr>
          <w:p w14:paraId="2BB5DC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收费站ETC车辆一次通过率</w:t>
            </w:r>
          </w:p>
        </w:tc>
        <w:tc>
          <w:tcPr>
            <w:tcW w:w="933" w:type="dxa"/>
            <w:vAlign w:val="center"/>
          </w:tcPr>
          <w:p w14:paraId="5914EC8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Merge w:val="continue"/>
            <w:tcBorders>
              <w:top w:val="nil"/>
              <w:bottom w:val="nil"/>
            </w:tcBorders>
            <w:vAlign w:val="center"/>
          </w:tcPr>
          <w:p w14:paraId="7AEE700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7F05197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16BB99A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54445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74" w:type="dxa"/>
            <w:vAlign w:val="center"/>
          </w:tcPr>
          <w:p w14:paraId="7AA442B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17</w:t>
            </w:r>
          </w:p>
        </w:tc>
        <w:tc>
          <w:tcPr>
            <w:tcW w:w="3416" w:type="dxa"/>
            <w:vAlign w:val="center"/>
          </w:tcPr>
          <w:p w14:paraId="64A0434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监控视频在线率</w:t>
            </w:r>
          </w:p>
        </w:tc>
        <w:tc>
          <w:tcPr>
            <w:tcW w:w="933" w:type="dxa"/>
            <w:vAlign w:val="center"/>
          </w:tcPr>
          <w:p w14:paraId="5250630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Merge w:val="continue"/>
            <w:tcBorders>
              <w:top w:val="nil"/>
              <w:bottom w:val="nil"/>
            </w:tcBorders>
            <w:vAlign w:val="center"/>
          </w:tcPr>
          <w:p w14:paraId="29CD364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4BB7E05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73B3404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1F785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74" w:type="dxa"/>
            <w:vAlign w:val="center"/>
          </w:tcPr>
          <w:p w14:paraId="5B7514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18</w:t>
            </w:r>
          </w:p>
        </w:tc>
        <w:tc>
          <w:tcPr>
            <w:tcW w:w="3416" w:type="dxa"/>
            <w:vAlign w:val="center"/>
          </w:tcPr>
          <w:p w14:paraId="2BA86F3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车道车牌识别率、匹配率、车牌一致率</w:t>
            </w:r>
          </w:p>
        </w:tc>
        <w:tc>
          <w:tcPr>
            <w:tcW w:w="933" w:type="dxa"/>
            <w:vAlign w:val="center"/>
          </w:tcPr>
          <w:p w14:paraId="5F9F46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Merge w:val="continue"/>
            <w:tcBorders>
              <w:top w:val="nil"/>
              <w:bottom w:val="nil"/>
            </w:tcBorders>
            <w:vAlign w:val="center"/>
          </w:tcPr>
          <w:p w14:paraId="2F368D4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71FD2A9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0385A53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204B8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674" w:type="dxa"/>
            <w:vAlign w:val="center"/>
          </w:tcPr>
          <w:p w14:paraId="39AFB5E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19</w:t>
            </w:r>
          </w:p>
        </w:tc>
        <w:tc>
          <w:tcPr>
            <w:tcW w:w="3416" w:type="dxa"/>
            <w:vAlign w:val="center"/>
          </w:tcPr>
          <w:p w14:paraId="328CC7C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出入口称重数据上传及时率</w:t>
            </w:r>
          </w:p>
        </w:tc>
        <w:tc>
          <w:tcPr>
            <w:tcW w:w="933" w:type="dxa"/>
            <w:vAlign w:val="center"/>
          </w:tcPr>
          <w:p w14:paraId="1FC6D4B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5分</w:t>
            </w:r>
          </w:p>
        </w:tc>
        <w:tc>
          <w:tcPr>
            <w:tcW w:w="1359" w:type="dxa"/>
            <w:vMerge w:val="continue"/>
            <w:tcBorders>
              <w:top w:val="nil"/>
            </w:tcBorders>
            <w:vAlign w:val="center"/>
          </w:tcPr>
          <w:p w14:paraId="5BE4A66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0982EEA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4F26611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77CB3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74" w:type="dxa"/>
            <w:vAlign w:val="center"/>
          </w:tcPr>
          <w:p w14:paraId="2318FC5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20</w:t>
            </w:r>
          </w:p>
        </w:tc>
        <w:tc>
          <w:tcPr>
            <w:tcW w:w="3416" w:type="dxa"/>
            <w:vAlign w:val="center"/>
          </w:tcPr>
          <w:p w14:paraId="6D78EF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维护维修线上与线下档案资料准确、齐全</w:t>
            </w:r>
          </w:p>
        </w:tc>
        <w:tc>
          <w:tcPr>
            <w:tcW w:w="933" w:type="dxa"/>
            <w:vAlign w:val="center"/>
          </w:tcPr>
          <w:p w14:paraId="0DC079A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2分</w:t>
            </w:r>
          </w:p>
        </w:tc>
        <w:tc>
          <w:tcPr>
            <w:tcW w:w="1359" w:type="dxa"/>
            <w:vAlign w:val="center"/>
          </w:tcPr>
          <w:p w14:paraId="4FDA39D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7C1D853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5FC76FC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1587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74" w:type="dxa"/>
            <w:vAlign w:val="center"/>
          </w:tcPr>
          <w:p w14:paraId="5A2E8A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21</w:t>
            </w:r>
          </w:p>
        </w:tc>
        <w:tc>
          <w:tcPr>
            <w:tcW w:w="3416" w:type="dxa"/>
            <w:vAlign w:val="center"/>
          </w:tcPr>
          <w:p w14:paraId="19C9E84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安全防范措施</w:t>
            </w:r>
          </w:p>
        </w:tc>
        <w:tc>
          <w:tcPr>
            <w:tcW w:w="933" w:type="dxa"/>
            <w:vAlign w:val="center"/>
          </w:tcPr>
          <w:p w14:paraId="7B41516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3分</w:t>
            </w:r>
          </w:p>
        </w:tc>
        <w:tc>
          <w:tcPr>
            <w:tcW w:w="1359" w:type="dxa"/>
            <w:vAlign w:val="center"/>
          </w:tcPr>
          <w:p w14:paraId="246426E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每次扣1分</w:t>
            </w:r>
          </w:p>
        </w:tc>
        <w:tc>
          <w:tcPr>
            <w:tcW w:w="706" w:type="dxa"/>
            <w:vAlign w:val="center"/>
          </w:tcPr>
          <w:p w14:paraId="4A2EEEC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57DFA78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28D1E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74" w:type="dxa"/>
            <w:vAlign w:val="center"/>
          </w:tcPr>
          <w:p w14:paraId="5F6F1D1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22</w:t>
            </w:r>
          </w:p>
        </w:tc>
        <w:tc>
          <w:tcPr>
            <w:tcW w:w="3416" w:type="dxa"/>
            <w:vAlign w:val="center"/>
          </w:tcPr>
          <w:p w14:paraId="5B38E8F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其他事项扣、加分情况</w:t>
            </w:r>
          </w:p>
        </w:tc>
        <w:tc>
          <w:tcPr>
            <w:tcW w:w="933" w:type="dxa"/>
            <w:vAlign w:val="center"/>
          </w:tcPr>
          <w:p w14:paraId="4A9C3AB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1359" w:type="dxa"/>
            <w:vAlign w:val="center"/>
          </w:tcPr>
          <w:p w14:paraId="717918E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每次</w:t>
            </w:r>
          </w:p>
        </w:tc>
        <w:tc>
          <w:tcPr>
            <w:tcW w:w="706" w:type="dxa"/>
            <w:vAlign w:val="center"/>
          </w:tcPr>
          <w:p w14:paraId="310123A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4E35A93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22414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74" w:type="dxa"/>
            <w:vAlign w:val="center"/>
          </w:tcPr>
          <w:p w14:paraId="0AE6538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23</w:t>
            </w:r>
          </w:p>
        </w:tc>
        <w:tc>
          <w:tcPr>
            <w:tcW w:w="3416" w:type="dxa"/>
            <w:vAlign w:val="center"/>
          </w:tcPr>
          <w:p w14:paraId="1BAB7DF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r>
              <w:rPr>
                <w:color w:val="auto"/>
                <w:highlight w:val="none"/>
              </w:rPr>
              <w:t>当</w:t>
            </w:r>
            <w:r>
              <w:rPr>
                <w:rFonts w:hint="eastAsia"/>
                <w:color w:val="auto"/>
                <w:highlight w:val="none"/>
                <w:lang w:val="en-US" w:eastAsia="zh-CN"/>
              </w:rPr>
              <w:t>季度</w:t>
            </w:r>
            <w:r>
              <w:rPr>
                <w:color w:val="auto"/>
                <w:highlight w:val="none"/>
              </w:rPr>
              <w:t>考核得分</w:t>
            </w:r>
          </w:p>
        </w:tc>
        <w:tc>
          <w:tcPr>
            <w:tcW w:w="933" w:type="dxa"/>
            <w:vAlign w:val="center"/>
          </w:tcPr>
          <w:p w14:paraId="039D734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1359" w:type="dxa"/>
            <w:vAlign w:val="center"/>
          </w:tcPr>
          <w:p w14:paraId="1CA7198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706" w:type="dxa"/>
            <w:vAlign w:val="center"/>
          </w:tcPr>
          <w:p w14:paraId="4EAFE80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c>
          <w:tcPr>
            <w:tcW w:w="2065" w:type="dxa"/>
            <w:vAlign w:val="center"/>
          </w:tcPr>
          <w:p w14:paraId="24B4373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color w:val="auto"/>
                <w:highlight w:val="none"/>
              </w:rPr>
            </w:pPr>
          </w:p>
        </w:tc>
      </w:tr>
      <w:tr w14:paraId="453AC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9153" w:type="dxa"/>
            <w:gridSpan w:val="6"/>
            <w:vAlign w:val="center"/>
          </w:tcPr>
          <w:p w14:paraId="4A4BCCCD">
            <w:pPr>
              <w:keepNext w:val="0"/>
              <w:keepLines w:val="0"/>
              <w:pageBreakBefore w:val="0"/>
              <w:widowControl w:val="0"/>
              <w:numPr>
                <w:ilvl w:val="0"/>
                <w:numId w:val="13"/>
              </w:numPr>
              <w:kinsoku/>
              <w:wordWrap w:val="0"/>
              <w:overflowPunct/>
              <w:topLinePunct w:val="0"/>
              <w:autoSpaceDE/>
              <w:autoSpaceDN/>
              <w:bidi w:val="0"/>
              <w:adjustRightInd/>
              <w:snapToGrid/>
              <w:spacing w:line="440" w:lineRule="exact"/>
              <w:jc w:val="left"/>
              <w:textAlignment w:val="auto"/>
              <w:rPr>
                <w:rFonts w:hint="eastAsia"/>
                <w:color w:val="auto"/>
                <w:highlight w:val="none"/>
                <w:lang w:val="en-US" w:eastAsia="zh-CN"/>
              </w:rPr>
            </w:pPr>
            <w:r>
              <w:rPr>
                <w:color w:val="auto"/>
                <w:highlight w:val="none"/>
              </w:rPr>
              <w:t>考核评分</w:t>
            </w:r>
            <w:r>
              <w:rPr>
                <w:rFonts w:hint="eastAsia"/>
                <w:color w:val="auto"/>
                <w:highlight w:val="none"/>
                <w:lang w:val="en-US" w:eastAsia="zh-CN"/>
              </w:rPr>
              <w:t>结果与服务费支付挂钩：</w:t>
            </w:r>
          </w:p>
          <w:p w14:paraId="155408FE">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color w:val="auto"/>
                <w:highlight w:val="none"/>
              </w:rPr>
            </w:pPr>
            <w:r>
              <w:rPr>
                <w:rFonts w:hint="eastAsia"/>
                <w:color w:val="auto"/>
                <w:highlight w:val="none"/>
                <w:lang w:val="en-US" w:eastAsia="zh-CN"/>
              </w:rPr>
              <w:t xml:space="preserve">服务费按季度据实结算,招标人按季度进行考核,服务费以考核结果为依据进行支付，下一季度首月支付上一季度服务费: </w:t>
            </w:r>
          </w:p>
          <w:p w14:paraId="35F29F7A">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color w:val="auto"/>
                <w:highlight w:val="none"/>
              </w:rPr>
            </w:pPr>
            <w:r>
              <w:rPr>
                <w:rFonts w:hint="eastAsia"/>
                <w:color w:val="auto"/>
                <w:highlight w:val="none"/>
                <w:lang w:val="en-US" w:eastAsia="zh-CN"/>
              </w:rPr>
              <w:t>①当季考核得分≥90分,全额支付支付当季服务费；</w:t>
            </w:r>
          </w:p>
          <w:p w14:paraId="17C26F35">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color w:val="auto"/>
                <w:highlight w:val="none"/>
              </w:rPr>
            </w:pPr>
            <w:r>
              <w:rPr>
                <w:rFonts w:hint="eastAsia"/>
                <w:color w:val="auto"/>
                <w:highlight w:val="none"/>
                <w:lang w:val="en-US" w:eastAsia="zh-CN"/>
              </w:rPr>
              <w:t xml:space="preserve">②60分≤当季考核得分＜90分,从当季服务费中进行相应扣款，扣款标准为（90-当季考核得分）* 当季服务费金额 * 1%； </w:t>
            </w:r>
          </w:p>
          <w:p w14:paraId="34EF3CA9">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color w:val="auto"/>
                <w:highlight w:val="none"/>
              </w:rPr>
            </w:pPr>
            <w:r>
              <w:rPr>
                <w:rFonts w:hint="eastAsia"/>
                <w:color w:val="auto"/>
                <w:highlight w:val="none"/>
                <w:lang w:val="en-US" w:eastAsia="zh-CN"/>
              </w:rPr>
              <w:t>③当季考核得分在60分以下为不合格,当季度服务费全额扣除</w:t>
            </w:r>
            <w:r>
              <w:rPr>
                <w:rFonts w:hint="eastAsia"/>
                <w:color w:val="auto"/>
                <w:highlight w:val="none"/>
              </w:rPr>
              <w:t>。</w:t>
            </w:r>
          </w:p>
          <w:p w14:paraId="74326F38">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color w:val="auto"/>
                <w:highlight w:val="none"/>
              </w:rPr>
            </w:pPr>
            <w:r>
              <w:rPr>
                <w:color w:val="auto"/>
                <w:highlight w:val="none"/>
              </w:rPr>
              <w:t>2.凡因工作不力，被省、市公路主管部门通报批评或省、市级别以上新闻煤体曝光并经查实的，将对季度总分酌情扣分。其中省级(含)以上每次扣20分，上级单位、市级(含)以上每次扣10分，累计累加。</w:t>
            </w:r>
          </w:p>
          <w:p w14:paraId="608DE425">
            <w:pPr>
              <w:pStyle w:val="52"/>
              <w:ind w:left="0" w:leftChars="0" w:firstLine="0" w:firstLineChars="0"/>
              <w:rPr>
                <w:rFonts w:hint="default" w:eastAsia="宋体"/>
                <w:color w:val="auto"/>
                <w:highlight w:val="none"/>
                <w:lang w:val="en-US" w:eastAsia="zh-CN"/>
              </w:rPr>
            </w:pPr>
            <w:r>
              <w:rPr>
                <w:rFonts w:hint="eastAsia"/>
                <w:b/>
                <w:bCs/>
                <w:color w:val="auto"/>
                <w:highlight w:val="none"/>
                <w:lang w:val="en-US" w:eastAsia="zh-CN"/>
              </w:rPr>
              <w:t>3.年度服务中两个季度考核不合格，招标人有权终止下一年度合同。</w:t>
            </w:r>
          </w:p>
        </w:tc>
      </w:tr>
    </w:tbl>
    <w:p w14:paraId="451E1534">
      <w:pPr>
        <w:spacing w:before="55" w:line="219" w:lineRule="auto"/>
        <w:ind w:left="95"/>
        <w:rPr>
          <w:rFonts w:ascii="宋体" w:hAnsi="宋体" w:eastAsia="宋体" w:cs="宋体"/>
          <w:color w:val="auto"/>
          <w:sz w:val="24"/>
          <w:szCs w:val="24"/>
          <w:highlight w:val="none"/>
        </w:rPr>
      </w:pPr>
      <w:r>
        <w:rPr>
          <w:rFonts w:hint="eastAsia" w:ascii="宋体" w:hAnsi="宋体" w:cs="宋体"/>
          <w:color w:val="auto"/>
          <w:spacing w:val="1"/>
          <w:sz w:val="24"/>
          <w:szCs w:val="24"/>
          <w:highlight w:val="none"/>
          <w:lang w:val="en-US" w:eastAsia="zh-CN"/>
        </w:rPr>
        <w:t>乙方</w:t>
      </w:r>
      <w:r>
        <w:rPr>
          <w:rFonts w:ascii="宋体" w:hAnsi="宋体" w:eastAsia="宋体" w:cs="宋体"/>
          <w:color w:val="auto"/>
          <w:spacing w:val="1"/>
          <w:sz w:val="24"/>
          <w:szCs w:val="24"/>
          <w:highlight w:val="none"/>
        </w:rPr>
        <w:t xml:space="preserve">代表：                              </w:t>
      </w:r>
      <w:r>
        <w:rPr>
          <w:rFonts w:hint="eastAsia" w:ascii="宋体" w:hAnsi="宋体" w:cs="宋体"/>
          <w:color w:val="auto"/>
          <w:spacing w:val="1"/>
          <w:sz w:val="24"/>
          <w:szCs w:val="24"/>
          <w:highlight w:val="none"/>
          <w:lang w:val="en-US" w:eastAsia="zh-CN"/>
        </w:rPr>
        <w:t>甲方</w:t>
      </w:r>
      <w:r>
        <w:rPr>
          <w:rFonts w:ascii="宋体" w:hAnsi="宋体" w:eastAsia="宋体" w:cs="宋体"/>
          <w:color w:val="auto"/>
          <w:sz w:val="24"/>
          <w:szCs w:val="24"/>
          <w:highlight w:val="none"/>
        </w:rPr>
        <w:t>代表：</w:t>
      </w:r>
    </w:p>
    <w:p w14:paraId="63C5B045">
      <w:pPr>
        <w:shd w:val="clear"/>
        <w:spacing w:line="440" w:lineRule="exact"/>
        <w:ind w:firstLine="542" w:firstLineChars="150"/>
        <w:jc w:val="center"/>
        <w:rPr>
          <w:rFonts w:hint="eastAsia" w:ascii="宋体"/>
          <w:b/>
          <w:bCs/>
          <w:color w:val="auto"/>
          <w:sz w:val="36"/>
          <w:szCs w:val="52"/>
          <w:highlight w:val="none"/>
        </w:rPr>
      </w:pPr>
    </w:p>
    <w:p w14:paraId="5CF4DD99">
      <w:pPr>
        <w:shd w:val="clear"/>
        <w:spacing w:line="440" w:lineRule="exact"/>
        <w:ind w:firstLine="542" w:firstLineChars="150"/>
        <w:jc w:val="center"/>
        <w:rPr>
          <w:rFonts w:hint="eastAsia" w:ascii="宋体"/>
          <w:b/>
          <w:bCs/>
          <w:color w:val="auto"/>
          <w:sz w:val="36"/>
          <w:szCs w:val="52"/>
          <w:highlight w:val="none"/>
        </w:rPr>
      </w:pPr>
    </w:p>
    <w:p w14:paraId="0C9F01B9">
      <w:pPr>
        <w:shd w:val="clear"/>
        <w:spacing w:line="440" w:lineRule="exact"/>
        <w:ind w:firstLine="542" w:firstLineChars="150"/>
        <w:jc w:val="center"/>
        <w:rPr>
          <w:rFonts w:hint="eastAsia" w:ascii="宋体"/>
          <w:b/>
          <w:bCs/>
          <w:color w:val="auto"/>
          <w:sz w:val="36"/>
          <w:szCs w:val="52"/>
          <w:highlight w:val="none"/>
        </w:rPr>
      </w:pPr>
    </w:p>
    <w:p w14:paraId="40D280AC">
      <w:pPr>
        <w:shd w:val="clear"/>
        <w:spacing w:line="440" w:lineRule="exact"/>
        <w:ind w:firstLine="542" w:firstLineChars="150"/>
        <w:jc w:val="center"/>
        <w:rPr>
          <w:rFonts w:hint="eastAsia" w:ascii="宋体"/>
          <w:b/>
          <w:bCs/>
          <w:color w:val="auto"/>
          <w:sz w:val="36"/>
          <w:szCs w:val="52"/>
          <w:highlight w:val="none"/>
        </w:rPr>
      </w:pPr>
    </w:p>
    <w:p w14:paraId="08979A40">
      <w:pPr>
        <w:shd w:val="clear"/>
        <w:spacing w:line="440" w:lineRule="exact"/>
        <w:ind w:firstLine="542" w:firstLineChars="150"/>
        <w:jc w:val="center"/>
        <w:rPr>
          <w:rFonts w:hint="eastAsia" w:ascii="宋体"/>
          <w:b/>
          <w:bCs/>
          <w:color w:val="auto"/>
          <w:sz w:val="36"/>
          <w:szCs w:val="52"/>
          <w:highlight w:val="none"/>
        </w:rPr>
      </w:pPr>
    </w:p>
    <w:p w14:paraId="3D9A9E3D">
      <w:pPr>
        <w:shd w:val="clear"/>
        <w:spacing w:line="440" w:lineRule="exact"/>
        <w:ind w:firstLine="542" w:firstLineChars="150"/>
        <w:jc w:val="center"/>
        <w:rPr>
          <w:rFonts w:hint="eastAsia" w:ascii="宋体"/>
          <w:b/>
          <w:bCs/>
          <w:color w:val="auto"/>
          <w:sz w:val="36"/>
          <w:szCs w:val="52"/>
          <w:highlight w:val="none"/>
        </w:rPr>
      </w:pPr>
    </w:p>
    <w:p w14:paraId="7BD15B77">
      <w:pPr>
        <w:shd w:val="clear"/>
        <w:spacing w:line="440" w:lineRule="exact"/>
        <w:ind w:firstLine="542" w:firstLineChars="150"/>
        <w:jc w:val="center"/>
        <w:rPr>
          <w:rFonts w:hint="eastAsia" w:ascii="宋体"/>
          <w:b/>
          <w:bCs/>
          <w:color w:val="auto"/>
          <w:sz w:val="36"/>
          <w:szCs w:val="52"/>
          <w:highlight w:val="none"/>
        </w:rPr>
      </w:pPr>
    </w:p>
    <w:p w14:paraId="240A25BB">
      <w:pPr>
        <w:shd w:val="clear"/>
        <w:spacing w:line="440" w:lineRule="exact"/>
        <w:ind w:firstLine="542" w:firstLineChars="150"/>
        <w:jc w:val="center"/>
        <w:rPr>
          <w:rFonts w:hint="eastAsia" w:ascii="宋体"/>
          <w:b/>
          <w:bCs/>
          <w:color w:val="auto"/>
          <w:sz w:val="36"/>
          <w:szCs w:val="52"/>
          <w:highlight w:val="none"/>
        </w:rPr>
      </w:pPr>
    </w:p>
    <w:p w14:paraId="2000E91A">
      <w:pPr>
        <w:shd w:val="clear"/>
        <w:spacing w:line="440" w:lineRule="exact"/>
        <w:ind w:firstLine="542" w:firstLineChars="150"/>
        <w:jc w:val="center"/>
        <w:rPr>
          <w:rFonts w:hint="eastAsia" w:ascii="宋体"/>
          <w:b/>
          <w:bCs/>
          <w:color w:val="auto"/>
          <w:sz w:val="36"/>
          <w:szCs w:val="52"/>
          <w:highlight w:val="none"/>
        </w:rPr>
      </w:pPr>
    </w:p>
    <w:p w14:paraId="6B6FDC2A">
      <w:pPr>
        <w:shd w:val="clear"/>
        <w:spacing w:line="440" w:lineRule="exact"/>
        <w:ind w:firstLine="542" w:firstLineChars="150"/>
        <w:jc w:val="center"/>
        <w:rPr>
          <w:rFonts w:hint="eastAsia" w:ascii="宋体"/>
          <w:b/>
          <w:bCs/>
          <w:color w:val="auto"/>
          <w:sz w:val="36"/>
          <w:szCs w:val="52"/>
          <w:highlight w:val="none"/>
        </w:rPr>
      </w:pPr>
    </w:p>
    <w:p w14:paraId="4F4E82C4">
      <w:pPr>
        <w:shd w:val="clear"/>
        <w:spacing w:line="440" w:lineRule="exact"/>
        <w:ind w:firstLine="542" w:firstLineChars="150"/>
        <w:jc w:val="center"/>
        <w:rPr>
          <w:rFonts w:hint="eastAsia" w:ascii="宋体"/>
          <w:b/>
          <w:bCs/>
          <w:color w:val="auto"/>
          <w:sz w:val="36"/>
          <w:szCs w:val="52"/>
          <w:highlight w:val="none"/>
        </w:rPr>
      </w:pPr>
    </w:p>
    <w:p w14:paraId="074C9BAD">
      <w:pPr>
        <w:shd w:val="clear"/>
        <w:spacing w:line="440" w:lineRule="exact"/>
        <w:ind w:firstLine="542" w:firstLineChars="150"/>
        <w:jc w:val="center"/>
        <w:rPr>
          <w:rFonts w:hint="eastAsia" w:ascii="宋体"/>
          <w:b/>
          <w:bCs/>
          <w:color w:val="auto"/>
          <w:sz w:val="36"/>
          <w:szCs w:val="52"/>
          <w:highlight w:val="none"/>
        </w:rPr>
      </w:pPr>
    </w:p>
    <w:p w14:paraId="7994FA03">
      <w:pPr>
        <w:shd w:val="clear"/>
        <w:spacing w:line="440" w:lineRule="exact"/>
        <w:jc w:val="center"/>
        <w:rPr>
          <w:rFonts w:ascii="宋体"/>
          <w:color w:val="auto"/>
          <w:szCs w:val="32"/>
          <w:highlight w:val="none"/>
        </w:rPr>
      </w:pPr>
      <w:r>
        <w:rPr>
          <w:rFonts w:hint="eastAsia" w:ascii="宋体"/>
          <w:b/>
          <w:bCs/>
          <w:color w:val="auto"/>
          <w:sz w:val="36"/>
          <w:szCs w:val="52"/>
          <w:highlight w:val="none"/>
        </w:rPr>
        <w:t>第五章  合同条款及格式</w:t>
      </w:r>
      <w:bookmarkEnd w:id="91"/>
      <w:bookmarkEnd w:id="92"/>
    </w:p>
    <w:p w14:paraId="7BC52B25">
      <w:pPr>
        <w:pStyle w:val="34"/>
        <w:shd w:val="clear"/>
        <w:ind w:firstLine="883"/>
        <w:rPr>
          <w:rFonts w:ascii="黑体" w:hAnsi="黑体" w:eastAsia="黑体" w:cs="黑体"/>
          <w:b/>
          <w:color w:val="auto"/>
          <w:sz w:val="44"/>
          <w:szCs w:val="44"/>
          <w:highlight w:val="none"/>
          <w:lang w:eastAsia="zh-CN" w:bidi="ar"/>
        </w:rPr>
      </w:pPr>
      <w:bookmarkStart w:id="175" w:name="_Toc449028948"/>
    </w:p>
    <w:p w14:paraId="5BC061F8">
      <w:pPr>
        <w:pStyle w:val="27"/>
        <w:shd w:val="clear"/>
        <w:rPr>
          <w:color w:val="auto"/>
          <w:highlight w:val="none"/>
          <w:lang w:eastAsia="zh-CN"/>
        </w:rPr>
      </w:pPr>
    </w:p>
    <w:p w14:paraId="0F9DAE2E">
      <w:pPr>
        <w:pStyle w:val="27"/>
        <w:shd w:val="clear"/>
        <w:ind w:left="0" w:firstLine="0"/>
        <w:rPr>
          <w:rFonts w:ascii="黑体" w:hAnsi="黑体" w:eastAsia="黑体" w:cs="黑体"/>
          <w:b/>
          <w:color w:val="auto"/>
          <w:sz w:val="44"/>
          <w:szCs w:val="44"/>
          <w:highlight w:val="none"/>
          <w:lang w:bidi="ar"/>
        </w:rPr>
      </w:pPr>
    </w:p>
    <w:p w14:paraId="6EE460D6">
      <w:pPr>
        <w:pStyle w:val="27"/>
        <w:shd w:val="clear"/>
        <w:ind w:left="0" w:firstLine="0"/>
        <w:rPr>
          <w:rFonts w:ascii="黑体" w:hAnsi="黑体" w:eastAsia="黑体" w:cs="黑体"/>
          <w:b/>
          <w:color w:val="auto"/>
          <w:sz w:val="44"/>
          <w:szCs w:val="44"/>
          <w:highlight w:val="none"/>
          <w:lang w:bidi="ar"/>
        </w:rPr>
      </w:pPr>
    </w:p>
    <w:p w14:paraId="3BE55552">
      <w:pPr>
        <w:pStyle w:val="27"/>
        <w:shd w:val="clear"/>
        <w:ind w:left="883" w:hanging="883"/>
        <w:rPr>
          <w:rFonts w:ascii="黑体" w:hAnsi="黑体" w:eastAsia="黑体" w:cs="黑体"/>
          <w:b/>
          <w:color w:val="auto"/>
          <w:sz w:val="44"/>
          <w:szCs w:val="44"/>
          <w:highlight w:val="none"/>
          <w:lang w:bidi="ar"/>
        </w:rPr>
      </w:pPr>
    </w:p>
    <w:p w14:paraId="3C3C6362">
      <w:pPr>
        <w:pStyle w:val="27"/>
        <w:shd w:val="clear"/>
        <w:ind w:left="883" w:hanging="883"/>
        <w:rPr>
          <w:rFonts w:ascii="黑体" w:hAnsi="黑体" w:eastAsia="黑体" w:cs="黑体"/>
          <w:b/>
          <w:color w:val="auto"/>
          <w:sz w:val="44"/>
          <w:szCs w:val="44"/>
          <w:highlight w:val="none"/>
          <w:lang w:bidi="ar"/>
        </w:rPr>
      </w:pPr>
    </w:p>
    <w:p w14:paraId="1DCBB85C">
      <w:pPr>
        <w:pStyle w:val="27"/>
        <w:shd w:val="clear"/>
        <w:ind w:left="883" w:hanging="883"/>
        <w:rPr>
          <w:rFonts w:ascii="黑体" w:hAnsi="黑体" w:eastAsia="黑体" w:cs="黑体"/>
          <w:b/>
          <w:color w:val="auto"/>
          <w:sz w:val="44"/>
          <w:szCs w:val="44"/>
          <w:highlight w:val="none"/>
          <w:lang w:bidi="ar"/>
        </w:rPr>
      </w:pPr>
    </w:p>
    <w:p w14:paraId="39962344">
      <w:pPr>
        <w:pStyle w:val="27"/>
        <w:shd w:val="clear"/>
        <w:ind w:left="883" w:hanging="883"/>
        <w:rPr>
          <w:rFonts w:ascii="黑体" w:hAnsi="黑体" w:eastAsia="黑体" w:cs="黑体"/>
          <w:b/>
          <w:color w:val="auto"/>
          <w:sz w:val="44"/>
          <w:szCs w:val="44"/>
          <w:highlight w:val="none"/>
          <w:lang w:bidi="ar"/>
        </w:rPr>
      </w:pPr>
    </w:p>
    <w:p w14:paraId="6A9DC3F2">
      <w:pPr>
        <w:pStyle w:val="27"/>
        <w:shd w:val="clear"/>
        <w:ind w:left="883" w:hanging="883"/>
        <w:rPr>
          <w:rFonts w:ascii="黑体" w:hAnsi="黑体" w:eastAsia="黑体" w:cs="黑体"/>
          <w:b/>
          <w:color w:val="auto"/>
          <w:sz w:val="44"/>
          <w:szCs w:val="44"/>
          <w:highlight w:val="none"/>
          <w:lang w:bidi="ar"/>
        </w:rPr>
      </w:pPr>
    </w:p>
    <w:p w14:paraId="6F2C194D">
      <w:pPr>
        <w:pStyle w:val="27"/>
        <w:shd w:val="clear"/>
        <w:ind w:left="883" w:hanging="883"/>
        <w:rPr>
          <w:rFonts w:ascii="黑体" w:hAnsi="黑体" w:eastAsia="黑体" w:cs="黑体"/>
          <w:b/>
          <w:color w:val="auto"/>
          <w:sz w:val="44"/>
          <w:szCs w:val="44"/>
          <w:highlight w:val="none"/>
          <w:lang w:bidi="ar"/>
        </w:rPr>
      </w:pPr>
    </w:p>
    <w:p w14:paraId="6C505F42">
      <w:pPr>
        <w:shd w:val="clear"/>
        <w:spacing w:line="500" w:lineRule="exact"/>
        <w:rPr>
          <w:rFonts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lang w:bidi="ar"/>
        </w:rPr>
        <w:t>发包人（甲方）：【</w:t>
      </w:r>
      <w:r>
        <w:rPr>
          <w:rFonts w:hint="eastAsia" w:ascii="黑体" w:hAnsi="黑体" w:eastAsia="黑体" w:cs="黑体"/>
          <w:b/>
          <w:color w:val="auto"/>
          <w:sz w:val="32"/>
          <w:szCs w:val="32"/>
          <w:highlight w:val="none"/>
          <w:u w:val="single"/>
          <w:lang w:val="en-US" w:eastAsia="zh-CN" w:bidi="ar"/>
        </w:rPr>
        <w:t xml:space="preserve">                            </w:t>
      </w:r>
      <w:r>
        <w:rPr>
          <w:rFonts w:hint="eastAsia" w:ascii="黑体" w:hAnsi="黑体" w:eastAsia="黑体" w:cs="黑体"/>
          <w:b/>
          <w:color w:val="auto"/>
          <w:sz w:val="32"/>
          <w:szCs w:val="32"/>
          <w:highlight w:val="none"/>
          <w:lang w:bidi="ar"/>
        </w:rPr>
        <w:t>】</w:t>
      </w:r>
    </w:p>
    <w:p w14:paraId="2AE076A6">
      <w:pPr>
        <w:shd w:val="clear"/>
        <w:spacing w:line="500" w:lineRule="exact"/>
        <w:ind w:firstLine="643" w:firstLineChars="200"/>
        <w:rPr>
          <w:rFonts w:ascii="黑体" w:hAnsi="黑体" w:eastAsia="黑体" w:cs="黑体"/>
          <w:b/>
          <w:color w:val="auto"/>
          <w:sz w:val="32"/>
          <w:szCs w:val="32"/>
          <w:highlight w:val="none"/>
          <w:lang w:bidi="ar"/>
        </w:rPr>
      </w:pPr>
    </w:p>
    <w:p w14:paraId="75F8AB3C">
      <w:pPr>
        <w:shd w:val="clear"/>
        <w:spacing w:line="500" w:lineRule="exact"/>
        <w:rPr>
          <w:rFonts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lang w:bidi="ar"/>
        </w:rPr>
        <w:t>承包人（乙方）：【</w:t>
      </w:r>
      <w:r>
        <w:rPr>
          <w:rFonts w:hint="eastAsia" w:ascii="黑体" w:hAnsi="黑体" w:eastAsia="黑体" w:cs="黑体"/>
          <w:b/>
          <w:color w:val="auto"/>
          <w:sz w:val="32"/>
          <w:szCs w:val="32"/>
          <w:highlight w:val="none"/>
          <w:u w:val="single"/>
          <w:lang w:val="en-US" w:eastAsia="zh-CN" w:bidi="ar"/>
        </w:rPr>
        <w:t xml:space="preserve">                            </w:t>
      </w:r>
      <w:r>
        <w:rPr>
          <w:rFonts w:hint="eastAsia" w:ascii="黑体" w:hAnsi="黑体" w:eastAsia="黑体" w:cs="黑体"/>
          <w:b/>
          <w:color w:val="auto"/>
          <w:sz w:val="32"/>
          <w:szCs w:val="32"/>
          <w:highlight w:val="none"/>
          <w:lang w:bidi="ar"/>
        </w:rPr>
        <w:t>】</w:t>
      </w:r>
    </w:p>
    <w:p w14:paraId="690A62BA">
      <w:pPr>
        <w:shd w:val="clear"/>
        <w:spacing w:line="500" w:lineRule="exact"/>
        <w:rPr>
          <w:rFonts w:ascii="黑体" w:hAnsi="黑体" w:eastAsia="黑体" w:cs="黑体"/>
          <w:b/>
          <w:color w:val="auto"/>
          <w:sz w:val="32"/>
          <w:szCs w:val="32"/>
          <w:highlight w:val="none"/>
          <w:lang w:bidi="ar"/>
        </w:rPr>
      </w:pPr>
    </w:p>
    <w:p w14:paraId="310659FC">
      <w:pPr>
        <w:shd w:val="clear"/>
        <w:spacing w:line="500" w:lineRule="exact"/>
        <w:rPr>
          <w:rFonts w:ascii="黑体" w:hAnsi="黑体" w:eastAsia="黑体" w:cs="黑体"/>
          <w:b/>
          <w:color w:val="auto"/>
          <w:sz w:val="44"/>
          <w:szCs w:val="44"/>
          <w:highlight w:val="none"/>
        </w:rPr>
      </w:pPr>
      <w:r>
        <w:rPr>
          <w:rFonts w:hint="eastAsia" w:ascii="黑体" w:hAnsi="黑体" w:eastAsia="黑体" w:cs="黑体"/>
          <w:b/>
          <w:color w:val="auto"/>
          <w:sz w:val="32"/>
          <w:szCs w:val="32"/>
          <w:highlight w:val="none"/>
          <w:lang w:bidi="ar"/>
        </w:rPr>
        <w:t>签订地点：【</w:t>
      </w:r>
      <w:r>
        <w:rPr>
          <w:rFonts w:hint="eastAsia" w:ascii="黑体" w:hAnsi="黑体" w:eastAsia="黑体" w:cs="黑体"/>
          <w:b/>
          <w:color w:val="auto"/>
          <w:sz w:val="32"/>
          <w:szCs w:val="32"/>
          <w:highlight w:val="none"/>
          <w:u w:val="single"/>
          <w:lang w:bidi="ar"/>
        </w:rPr>
        <w:t>滁州市</w:t>
      </w:r>
      <w:r>
        <w:rPr>
          <w:rFonts w:hint="eastAsia" w:ascii="黑体" w:hAnsi="黑体" w:eastAsia="黑体" w:cs="黑体"/>
          <w:b/>
          <w:color w:val="auto"/>
          <w:sz w:val="32"/>
          <w:szCs w:val="32"/>
          <w:highlight w:val="none"/>
          <w:lang w:bidi="ar"/>
        </w:rPr>
        <w:t>】</w:t>
      </w:r>
    </w:p>
    <w:p w14:paraId="14210C79">
      <w:pPr>
        <w:pStyle w:val="27"/>
        <w:shd w:val="clear"/>
        <w:ind w:left="0" w:firstLine="0"/>
        <w:rPr>
          <w:rFonts w:hint="eastAsia" w:ascii="仿宋_GB2312" w:hAnsi="仿宋_GB2312" w:eastAsia="仿宋_GB2312" w:cs="仿宋_GB2312"/>
          <w:b/>
          <w:bCs/>
          <w:color w:val="auto"/>
          <w:szCs w:val="28"/>
          <w:highlight w:val="none"/>
        </w:rPr>
      </w:pPr>
    </w:p>
    <w:p w14:paraId="3DFBEFE8">
      <w:pPr>
        <w:shd w:val="clear"/>
        <w:spacing w:line="560" w:lineRule="exact"/>
        <w:jc w:val="center"/>
        <w:rPr>
          <w:rFonts w:hint="eastAsia" w:ascii="黑体" w:hAnsi="黑体" w:eastAsia="黑体"/>
          <w:b/>
          <w:bCs/>
          <w:color w:val="auto"/>
          <w:sz w:val="28"/>
          <w:szCs w:val="28"/>
          <w:highlight w:val="none"/>
          <w:u w:val="single"/>
          <w:lang w:val="en-US" w:eastAsia="zh-CN"/>
        </w:rPr>
      </w:pPr>
    </w:p>
    <w:p w14:paraId="6C24950F">
      <w:pPr>
        <w:shd w:val="clear"/>
        <w:spacing w:line="560" w:lineRule="exact"/>
        <w:jc w:val="center"/>
        <w:rPr>
          <w:rFonts w:hint="eastAsia" w:ascii="黑体" w:hAnsi="黑体" w:eastAsia="黑体"/>
          <w:b/>
          <w:bCs/>
          <w:color w:val="auto"/>
          <w:sz w:val="28"/>
          <w:szCs w:val="28"/>
          <w:highlight w:val="none"/>
          <w:u w:val="single"/>
          <w:lang w:val="en-US" w:eastAsia="zh-CN"/>
        </w:rPr>
      </w:pPr>
    </w:p>
    <w:p w14:paraId="0D1042E7">
      <w:pPr>
        <w:shd w:val="clear"/>
        <w:spacing w:line="560" w:lineRule="exact"/>
        <w:jc w:val="center"/>
        <w:rPr>
          <w:rFonts w:hint="eastAsia" w:ascii="黑体" w:hAnsi="黑体" w:eastAsia="黑体"/>
          <w:b/>
          <w:bCs/>
          <w:color w:val="auto"/>
          <w:sz w:val="28"/>
          <w:szCs w:val="28"/>
          <w:highlight w:val="none"/>
          <w:u w:val="single"/>
          <w:lang w:val="en-US" w:eastAsia="zh-CN"/>
        </w:rPr>
      </w:pPr>
    </w:p>
    <w:p w14:paraId="2621EFD7">
      <w:pPr>
        <w:shd w:val="clear"/>
        <w:spacing w:line="560" w:lineRule="exact"/>
        <w:jc w:val="center"/>
        <w:rPr>
          <w:rFonts w:hint="eastAsia" w:ascii="黑体" w:hAnsi="黑体" w:eastAsia="黑体"/>
          <w:b/>
          <w:bCs/>
          <w:color w:val="auto"/>
          <w:sz w:val="28"/>
          <w:szCs w:val="28"/>
          <w:highlight w:val="none"/>
          <w:u w:val="single"/>
          <w:lang w:val="en-US" w:eastAsia="zh-CN"/>
        </w:rPr>
      </w:pPr>
    </w:p>
    <w:p w14:paraId="58390766">
      <w:pPr>
        <w:shd w:val="clear"/>
        <w:spacing w:line="560" w:lineRule="exact"/>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u w:val="single"/>
          <w:lang w:val="en-US" w:eastAsia="zh-CN"/>
        </w:rPr>
        <w:t>来六、明巢高速机电设施维护项目</w:t>
      </w:r>
      <w:r>
        <w:rPr>
          <w:rFonts w:hint="eastAsia" w:ascii="黑体" w:hAnsi="黑体" w:eastAsia="黑体"/>
          <w:b/>
          <w:bCs/>
          <w:color w:val="auto"/>
          <w:sz w:val="28"/>
          <w:szCs w:val="28"/>
          <w:highlight w:val="none"/>
        </w:rPr>
        <w:t>合同</w:t>
      </w:r>
    </w:p>
    <w:p w14:paraId="73EC052B">
      <w:pPr>
        <w:pStyle w:val="31"/>
        <w:shd w:val="clea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委托方（以下简称甲方）：</w:t>
      </w:r>
      <w:r>
        <w:rPr>
          <w:rFonts w:hint="eastAsia" w:ascii="宋体" w:hAnsi="宋体" w:eastAsia="宋体" w:cs="宋体"/>
          <w:color w:val="auto"/>
          <w:sz w:val="24"/>
          <w:szCs w:val="24"/>
          <w:highlight w:val="none"/>
          <w:lang w:val="en-US" w:eastAsia="zh-CN"/>
        </w:rPr>
        <w:t xml:space="preserve">滁州市城投交通控股有限公司 </w:t>
      </w:r>
      <w:r>
        <w:rPr>
          <w:rFonts w:hint="eastAsia" w:ascii="宋体" w:hAnsi="宋体" w:eastAsia="宋体" w:cs="宋体"/>
          <w:color w:val="auto"/>
          <w:sz w:val="24"/>
          <w:szCs w:val="24"/>
          <w:highlight w:val="none"/>
        </w:rPr>
        <w:t xml:space="preserve"> </w:t>
      </w:r>
    </w:p>
    <w:p w14:paraId="67737552">
      <w:pPr>
        <w:shd w:val="clear"/>
        <w:spacing w:line="5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受托方（以下简称乙方）：</w:t>
      </w:r>
      <w:r>
        <w:rPr>
          <w:rFonts w:hint="eastAsia" w:ascii="宋体" w:hAnsi="宋体" w:eastAsia="宋体" w:cs="宋体"/>
          <w:color w:val="auto"/>
          <w:sz w:val="24"/>
          <w:szCs w:val="24"/>
          <w:highlight w:val="none"/>
          <w:lang w:val="en-US" w:eastAsia="zh-CN"/>
        </w:rPr>
        <w:t xml:space="preserve"> </w:t>
      </w:r>
    </w:p>
    <w:p w14:paraId="29D6A02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依照《中华人民共和国民法典》及其他有关法律、行政法规，遵循平等、自愿、公平和诚实信用的原则，</w:t>
      </w:r>
      <w:r>
        <w:rPr>
          <w:rFonts w:hint="eastAsia" w:ascii="宋体" w:hAnsi="宋体" w:eastAsia="宋体" w:cs="宋体"/>
          <w:color w:val="auto"/>
          <w:sz w:val="24"/>
          <w:szCs w:val="24"/>
          <w:highlight w:val="none"/>
          <w:u w:val="single"/>
          <w:lang w:val="en-US" w:eastAsia="zh-CN"/>
        </w:rPr>
        <w:t>滁州市城投交通控股有限公司</w:t>
      </w:r>
      <w:r>
        <w:rPr>
          <w:rFonts w:hint="eastAsia" w:ascii="宋体" w:hAnsi="宋体" w:eastAsia="宋体" w:cs="宋体"/>
          <w:color w:val="auto"/>
          <w:sz w:val="24"/>
          <w:szCs w:val="24"/>
          <w:highlight w:val="none"/>
        </w:rPr>
        <w:t>（以下简称甲方）通过公开招标的方式确定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（以下简称乙方）为乙方，乙方应按照《</w:t>
      </w:r>
      <w:r>
        <w:rPr>
          <w:rFonts w:hint="eastAsia" w:ascii="宋体" w:hAnsi="宋体" w:eastAsia="宋体" w:cs="宋体"/>
          <w:color w:val="auto"/>
          <w:sz w:val="24"/>
          <w:szCs w:val="24"/>
          <w:highlight w:val="none"/>
          <w:lang w:val="en-US" w:eastAsia="zh-CN"/>
        </w:rPr>
        <w:t>来六、明巢高速机电设施维护项目招标</w:t>
      </w:r>
      <w:r>
        <w:rPr>
          <w:rFonts w:hint="eastAsia" w:ascii="宋体" w:hAnsi="宋体" w:eastAsia="宋体" w:cs="宋体"/>
          <w:color w:val="auto"/>
          <w:sz w:val="24"/>
          <w:szCs w:val="24"/>
          <w:highlight w:val="none"/>
        </w:rPr>
        <w:t>文件》的要求，开展</w:t>
      </w:r>
      <w:r>
        <w:rPr>
          <w:rFonts w:hint="eastAsia" w:ascii="宋体"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rPr>
        <w:t>服务工作。经双方友好协商同意签订本合同，具体要求如下：</w:t>
      </w:r>
    </w:p>
    <w:p w14:paraId="0DBCEE4C">
      <w:pPr>
        <w:pStyle w:val="19"/>
        <w:shd w:val="clea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一、合同服务期限</w:t>
      </w:r>
    </w:p>
    <w:p w14:paraId="70FE3143">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w:t>
      </w:r>
      <w:r>
        <w:rPr>
          <w:rFonts w:hint="eastAsia" w:ascii="宋体" w:hAnsi="宋体" w:eastAsia="宋体" w:cs="宋体"/>
          <w:color w:val="auto"/>
          <w:sz w:val="24"/>
          <w:szCs w:val="24"/>
          <w:highlight w:val="none"/>
          <w:lang w:val="en-US" w:eastAsia="zh-CN"/>
        </w:rPr>
        <w:t>来六、明巢高速全线收费系统、监控系统、通信系统、供配电系统四大系统维护维修,服务范围包括:日常巡检与预防性维护、故障应急修复</w:t>
      </w:r>
      <w:r>
        <w:rPr>
          <w:rFonts w:hint="eastAsia" w:ascii="宋体" w:hAnsi="宋体" w:eastAsia="宋体" w:cs="宋体"/>
          <w:color w:val="auto"/>
          <w:sz w:val="24"/>
          <w:szCs w:val="24"/>
          <w:highlight w:val="none"/>
        </w:rPr>
        <w:t>。</w:t>
      </w:r>
    </w:p>
    <w:p w14:paraId="6D7E31B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总服务期限为：</w:t>
      </w:r>
      <w:r>
        <w:rPr>
          <w:rFonts w:hint="eastAsia" w:ascii="宋体" w:hAnsi="宋体" w:eastAsia="宋体" w:cs="宋体"/>
          <w:color w:val="auto"/>
          <w:sz w:val="24"/>
          <w:szCs w:val="24"/>
          <w:highlight w:val="none"/>
          <w:lang w:val="en-US" w:eastAsia="zh-CN"/>
        </w:rPr>
        <w:t>3±N（N=0、1、2）年</w:t>
      </w:r>
      <w:r>
        <w:rPr>
          <w:rFonts w:hint="eastAsia" w:ascii="宋体" w:hAnsi="宋体" w:cs="宋体"/>
          <w:color w:val="auto"/>
          <w:sz w:val="24"/>
          <w:szCs w:val="24"/>
          <w:highlight w:val="none"/>
          <w:lang w:val="en-US" w:eastAsia="zh-CN"/>
        </w:rPr>
        <w:t>，合同一年一签</w:t>
      </w:r>
      <w:r>
        <w:rPr>
          <w:rFonts w:hint="eastAsia" w:ascii="宋体" w:hAnsi="宋体" w:eastAsia="宋体" w:cs="宋体"/>
          <w:color w:val="auto"/>
          <w:sz w:val="24"/>
          <w:szCs w:val="24"/>
          <w:highlight w:val="none"/>
        </w:rPr>
        <w:t>。</w:t>
      </w:r>
    </w:p>
    <w:p w14:paraId="604090F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实际服务开始日期以甲方书面通知为准。</w:t>
      </w:r>
    </w:p>
    <w:p w14:paraId="3D5607F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2、若乙方不履行或不完全履行合同义务，导致本项目提前终止合作的，甲方有权单方面解除本合同，应由乙方对甲方补偿因乙方违约造成的损失。</w:t>
      </w:r>
    </w:p>
    <w:p w14:paraId="7EC8822A">
      <w:pPr>
        <w:pStyle w:val="19"/>
        <w:shd w:val="clea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二、构成合同的文件</w:t>
      </w:r>
    </w:p>
    <w:p w14:paraId="4ED1ED03">
      <w:pPr>
        <w:shd w:val="clear"/>
        <w:tabs>
          <w:tab w:val="left" w:pos="735"/>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构成合同的文件应能相互解释，互为说明。除合同条款另有约定外，组成本合同的文件如下：</w:t>
      </w:r>
    </w:p>
    <w:p w14:paraId="5F89B39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（1）合同履行中，甲乙方有关本项目的洽商、变更等书面协议或文件；</w:t>
      </w:r>
    </w:p>
    <w:p w14:paraId="04CD232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（2）本项目服务合同；</w:t>
      </w:r>
    </w:p>
    <w:p w14:paraId="00F40D3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w:t>
      </w:r>
      <w:r>
        <w:rPr>
          <w:rFonts w:hint="eastAsia" w:ascii="宋体" w:hAnsi="宋体" w:eastAsia="宋体" w:cs="宋体"/>
          <w:color w:val="auto"/>
          <w:sz w:val="24"/>
          <w:szCs w:val="24"/>
          <w:highlight w:val="none"/>
          <w:lang w:val="en-GB"/>
        </w:rPr>
        <w:t>投</w:t>
      </w:r>
      <w:r>
        <w:rPr>
          <w:rFonts w:hint="eastAsia" w:ascii="宋体" w:hAnsi="宋体" w:eastAsia="宋体" w:cs="宋体"/>
          <w:color w:val="auto"/>
          <w:sz w:val="24"/>
          <w:szCs w:val="24"/>
          <w:highlight w:val="none"/>
        </w:rPr>
        <w:t>标文件及其附件、承诺书或合同条件约谈记录；</w:t>
      </w:r>
    </w:p>
    <w:p w14:paraId="5F1574C0">
      <w:pPr>
        <w:pStyle w:val="19"/>
        <w:shd w:val="clea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三、合同履约保证金</w:t>
      </w:r>
    </w:p>
    <w:p w14:paraId="72349C30">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合同履约数额：</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rPr>
        <w:t>；</w:t>
      </w:r>
    </w:p>
    <w:p w14:paraId="390A6BD7">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形式：支持银行转账、银行电汇、银行保函、担保机构担保、保证保险使用</w:t>
      </w:r>
    </w:p>
    <w:p w14:paraId="4321D56F">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备注：1、须由项目所在地的六大国有银行（或股份制银行）或公司所在地的六大国有银行或滁州市融资担保集团出具，保函出具前须取得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认可。</w:t>
      </w:r>
    </w:p>
    <w:p w14:paraId="18EF6099">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注释：①六大国有银行仅指中国银行、农业银行、建设银行、工商银行、交通银行、邮储银行。②股份制银行不包括城市商业银行。</w:t>
      </w:r>
    </w:p>
    <w:p w14:paraId="75CE1175">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缴纳时间：乙方须在</w:t>
      </w:r>
      <w:r>
        <w:rPr>
          <w:rFonts w:hint="eastAsia" w:hAnsi="宋体" w:cs="宋体"/>
          <w:color w:val="auto"/>
          <w:sz w:val="24"/>
          <w:szCs w:val="24"/>
          <w:highlight w:val="none"/>
          <w:lang w:val="en-US" w:eastAsia="zh-CN"/>
        </w:rPr>
        <w:t>合同签订前缴纳完毕</w:t>
      </w:r>
      <w:r>
        <w:rPr>
          <w:rFonts w:hint="eastAsia" w:ascii="宋体" w:hAnsi="宋体" w:eastAsia="宋体" w:cs="宋体"/>
          <w:color w:val="auto"/>
          <w:sz w:val="24"/>
          <w:szCs w:val="24"/>
          <w:highlight w:val="none"/>
        </w:rPr>
        <w:t>。</w:t>
      </w:r>
    </w:p>
    <w:p w14:paraId="4489D7EC">
      <w:pPr>
        <w:pStyle w:val="19"/>
        <w:shd w:val="clear"/>
        <w:spacing w:line="560" w:lineRule="exact"/>
        <w:ind w:firstLine="480" w:firstLineChars="200"/>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退还时间</w:t>
      </w:r>
    </w:p>
    <w:p w14:paraId="2D53BD73">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（1）采用银行转账方式：合同服务期满后，一个月内无息退还。</w:t>
      </w:r>
    </w:p>
    <w:p w14:paraId="7435B056">
      <w:pPr>
        <w:pStyle w:val="19"/>
        <w:shd w:val="clea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（2）采用银行保函方式，保函有效期为：合同服务期满后 1 个月。</w:t>
      </w:r>
    </w:p>
    <w:p w14:paraId="269A48E7">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四、合同价款及支付方式</w:t>
      </w:r>
    </w:p>
    <w:p w14:paraId="39F46258">
      <w:pPr>
        <w:pStyle w:val="11"/>
        <w:shd w:val="clear"/>
        <w:spacing w:line="560" w:lineRule="exact"/>
        <w:ind w:right="-50" w:rightChars="-24"/>
        <w:jc w:val="both"/>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4.3.1合同价款及支付</w:t>
      </w:r>
    </w:p>
    <w:p w14:paraId="44482D90">
      <w:pPr>
        <w:pStyle w:val="11"/>
        <w:shd w:val="clear"/>
        <w:spacing w:line="560" w:lineRule="exact"/>
        <w:ind w:right="-50" w:rightChars="-24"/>
        <w:jc w:val="both"/>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合同暂定总价：￥【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DF4B06F">
      <w:pPr>
        <w:pStyle w:val="19"/>
        <w:shd w:val="clea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结算方式：</w:t>
      </w:r>
    </w:p>
    <w:p w14:paraId="0AE7F4E0">
      <w:pPr>
        <w:pStyle w:val="19"/>
        <w:shd w:val="clear"/>
        <w:spacing w:line="56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本项目分为按照《维护清单》分为定期技术服务和专项巡查和不定期维护三部分，其中专项巡查和不定期维护中所列内容以实际发生为准，据实结算。</w:t>
      </w:r>
    </w:p>
    <w:p w14:paraId="1AEF6F53">
      <w:pPr>
        <w:pStyle w:val="19"/>
        <w:shd w:val="clea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当季度</w:t>
      </w:r>
      <w:r>
        <w:rPr>
          <w:rFonts w:hint="eastAsia" w:hAnsi="宋体" w:cs="宋体"/>
          <w:color w:val="auto"/>
          <w:sz w:val="24"/>
          <w:szCs w:val="24"/>
          <w:highlight w:val="none"/>
          <w:lang w:val="en-US" w:eastAsia="zh-CN"/>
        </w:rPr>
        <w:t>服务费</w:t>
      </w:r>
      <w:r>
        <w:rPr>
          <w:rFonts w:hint="default"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 xml:space="preserve">定期技术服务小计金额 </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 xml:space="preserve">× 中标费率 +  </w:t>
      </w:r>
      <w:r>
        <w:rPr>
          <w:rFonts w:hint="eastAsia" w:ascii="宋体" w:hAnsi="宋体" w:eastAsia="宋体" w:cs="宋体"/>
          <w:color w:val="auto"/>
          <w:sz w:val="24"/>
          <w:szCs w:val="24"/>
          <w:highlight w:val="none"/>
          <w:lang w:val="en-US" w:eastAsia="zh-CN"/>
        </w:rPr>
        <w:t>当季度</w:t>
      </w:r>
      <w:r>
        <w:rPr>
          <w:rFonts w:hint="default" w:ascii="宋体" w:hAnsi="宋体" w:eastAsia="宋体" w:cs="宋体"/>
          <w:color w:val="auto"/>
          <w:sz w:val="24"/>
          <w:szCs w:val="24"/>
          <w:highlight w:val="none"/>
          <w:lang w:val="en-US" w:eastAsia="zh-CN"/>
        </w:rPr>
        <w:t xml:space="preserve">专项巡查相应内容单价 × 中标费率 × 实际数量 + </w:t>
      </w:r>
      <w:r>
        <w:rPr>
          <w:rFonts w:hint="eastAsia" w:ascii="宋体" w:hAnsi="宋体" w:eastAsia="宋体" w:cs="宋体"/>
          <w:color w:val="auto"/>
          <w:sz w:val="24"/>
          <w:szCs w:val="24"/>
          <w:highlight w:val="none"/>
          <w:lang w:val="en-US" w:eastAsia="zh-CN"/>
        </w:rPr>
        <w:t>当季度</w:t>
      </w:r>
      <w:r>
        <w:rPr>
          <w:rFonts w:hint="default" w:ascii="宋体" w:hAnsi="宋体" w:eastAsia="宋体" w:cs="宋体"/>
          <w:color w:val="auto"/>
          <w:sz w:val="24"/>
          <w:szCs w:val="24"/>
          <w:highlight w:val="none"/>
          <w:lang w:val="en-US" w:eastAsia="zh-CN"/>
        </w:rPr>
        <w:t>不定期维护相应内容单价 × 中标费率 × 实际数量</w:t>
      </w:r>
      <w:r>
        <w:rPr>
          <w:rFonts w:hint="eastAsia" w:ascii="宋体" w:hAnsi="宋体" w:eastAsia="宋体" w:cs="宋体"/>
          <w:color w:val="auto"/>
          <w:sz w:val="24"/>
          <w:szCs w:val="24"/>
          <w:highlight w:val="none"/>
          <w:lang w:val="en-US" w:eastAsia="zh-CN"/>
        </w:rPr>
        <w:t xml:space="preserve"> - 当季度违约金（或扣款）</w:t>
      </w:r>
      <w:r>
        <w:rPr>
          <w:rFonts w:hint="default" w:ascii="宋体" w:hAnsi="宋体" w:eastAsia="宋体" w:cs="宋体"/>
          <w:color w:val="auto"/>
          <w:sz w:val="24"/>
          <w:szCs w:val="24"/>
          <w:highlight w:val="none"/>
          <w:lang w:val="en-US" w:eastAsia="zh-CN"/>
        </w:rPr>
        <w:t>。</w:t>
      </w:r>
    </w:p>
    <w:p w14:paraId="0AAFDE71">
      <w:pPr>
        <w:pStyle w:val="19"/>
        <w:shd w:val="clea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支付方式：</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本项目统招分付，由招标人招标和合同签订，安徽明巢高速公路开发有限公司和安徽来六高速公路开发有限公司分别付款</w:t>
      </w:r>
      <w:r>
        <w:rPr>
          <w:rFonts w:hint="eastAsia" w:hAnsi="宋体" w:cs="宋体"/>
          <w:color w:val="auto"/>
          <w:sz w:val="24"/>
          <w:szCs w:val="24"/>
          <w:highlight w:val="none"/>
          <w:lang w:eastAsia="zh-CN"/>
        </w:rPr>
        <w:t>）</w:t>
      </w:r>
    </w:p>
    <w:p w14:paraId="097130DB">
      <w:pPr>
        <w:pStyle w:val="19"/>
        <w:shd w:val="clea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服务费按季度据实结算,招标人按季度进行考核,</w:t>
      </w:r>
      <w:r>
        <w:rPr>
          <w:rFonts w:hint="eastAsia" w:hAnsi="宋体" w:cs="宋体"/>
          <w:b/>
          <w:bCs/>
          <w:color w:val="auto"/>
          <w:sz w:val="24"/>
          <w:szCs w:val="24"/>
          <w:highlight w:val="none"/>
          <w:lang w:val="en-US" w:eastAsia="zh-CN"/>
        </w:rPr>
        <w:t>服务费</w:t>
      </w:r>
      <w:r>
        <w:rPr>
          <w:rFonts w:hint="eastAsia" w:ascii="宋体" w:hAnsi="宋体" w:eastAsia="宋体" w:cs="宋体"/>
          <w:b/>
          <w:bCs/>
          <w:color w:val="auto"/>
          <w:sz w:val="24"/>
          <w:szCs w:val="24"/>
          <w:highlight w:val="none"/>
          <w:lang w:val="en-US" w:eastAsia="zh-CN"/>
        </w:rPr>
        <w:t>以考核结果为依据进行支付</w:t>
      </w:r>
      <w:r>
        <w:rPr>
          <w:rFonts w:hint="eastAsia" w:hAnsi="宋体" w:cs="宋体"/>
          <w:b/>
          <w:bCs/>
          <w:color w:val="auto"/>
          <w:sz w:val="24"/>
          <w:szCs w:val="24"/>
          <w:highlight w:val="none"/>
          <w:lang w:val="en-US" w:eastAsia="zh-CN"/>
        </w:rPr>
        <w:t>，下一季度首月支付上一季度服务费</w:t>
      </w:r>
      <w:r>
        <w:rPr>
          <w:rFonts w:hint="eastAsia" w:ascii="宋体" w:hAnsi="宋体" w:eastAsia="宋体" w:cs="宋体"/>
          <w:b/>
          <w:bCs/>
          <w:color w:val="auto"/>
          <w:sz w:val="24"/>
          <w:szCs w:val="24"/>
          <w:highlight w:val="none"/>
          <w:lang w:val="en-US" w:eastAsia="zh-CN"/>
        </w:rPr>
        <w:t xml:space="preserve">: </w:t>
      </w:r>
    </w:p>
    <w:p w14:paraId="24650643">
      <w:pPr>
        <w:pStyle w:val="19"/>
        <w:shd w:val="clea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①当季考核得分≥90分,全额支付支付当季</w:t>
      </w:r>
      <w:r>
        <w:rPr>
          <w:rFonts w:hint="eastAsia" w:hAnsi="宋体" w:cs="宋体"/>
          <w:b/>
          <w:bCs/>
          <w:color w:val="auto"/>
          <w:sz w:val="24"/>
          <w:szCs w:val="24"/>
          <w:highlight w:val="none"/>
          <w:lang w:val="en-US" w:eastAsia="zh-CN"/>
        </w:rPr>
        <w:t>服务费</w:t>
      </w:r>
      <w:r>
        <w:rPr>
          <w:rFonts w:hint="eastAsia" w:ascii="宋体" w:hAnsi="宋体" w:eastAsia="宋体" w:cs="宋体"/>
          <w:b/>
          <w:bCs/>
          <w:color w:val="auto"/>
          <w:sz w:val="24"/>
          <w:szCs w:val="24"/>
          <w:highlight w:val="none"/>
          <w:lang w:val="en-US" w:eastAsia="zh-CN"/>
        </w:rPr>
        <w:t>；</w:t>
      </w:r>
    </w:p>
    <w:p w14:paraId="5E8E8BFF">
      <w:pPr>
        <w:pStyle w:val="19"/>
        <w:shd w:val="clea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②60分≤当季考核得分＜90分,从当季</w:t>
      </w:r>
      <w:r>
        <w:rPr>
          <w:rFonts w:hint="eastAsia" w:hAnsi="宋体" w:cs="宋体"/>
          <w:b/>
          <w:bCs/>
          <w:color w:val="auto"/>
          <w:sz w:val="24"/>
          <w:szCs w:val="24"/>
          <w:highlight w:val="none"/>
          <w:lang w:val="en-US" w:eastAsia="zh-CN"/>
        </w:rPr>
        <w:t>服务费</w:t>
      </w:r>
      <w:r>
        <w:rPr>
          <w:rFonts w:hint="eastAsia" w:ascii="宋体" w:hAnsi="宋体" w:eastAsia="宋体" w:cs="宋体"/>
          <w:b/>
          <w:bCs/>
          <w:color w:val="auto"/>
          <w:sz w:val="24"/>
          <w:szCs w:val="24"/>
          <w:highlight w:val="none"/>
          <w:lang w:val="en-US" w:eastAsia="zh-CN"/>
        </w:rPr>
        <w:t>中进行相应扣款，扣款标准为（90-当季考核得分）* 当季</w:t>
      </w:r>
      <w:r>
        <w:rPr>
          <w:rFonts w:hint="eastAsia" w:hAnsi="宋体" w:cs="宋体"/>
          <w:b/>
          <w:bCs/>
          <w:color w:val="auto"/>
          <w:sz w:val="24"/>
          <w:szCs w:val="24"/>
          <w:highlight w:val="none"/>
          <w:lang w:val="en-US" w:eastAsia="zh-CN"/>
        </w:rPr>
        <w:t>服务费</w:t>
      </w:r>
      <w:r>
        <w:rPr>
          <w:rFonts w:hint="eastAsia" w:ascii="宋体" w:hAnsi="宋体" w:eastAsia="宋体" w:cs="宋体"/>
          <w:b/>
          <w:bCs/>
          <w:color w:val="auto"/>
          <w:sz w:val="24"/>
          <w:szCs w:val="24"/>
          <w:highlight w:val="none"/>
          <w:lang w:val="en-US" w:eastAsia="zh-CN"/>
        </w:rPr>
        <w:t xml:space="preserve">金额 * 1%； </w:t>
      </w:r>
    </w:p>
    <w:p w14:paraId="20CD8091">
      <w:pPr>
        <w:pStyle w:val="19"/>
        <w:shd w:val="clea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③当季考核得分在60分以下为不合格,当季度</w:t>
      </w:r>
      <w:r>
        <w:rPr>
          <w:rFonts w:hint="eastAsia" w:hAnsi="宋体" w:cs="宋体"/>
          <w:b/>
          <w:bCs/>
          <w:color w:val="auto"/>
          <w:sz w:val="24"/>
          <w:szCs w:val="24"/>
          <w:highlight w:val="none"/>
          <w:lang w:val="en-US" w:eastAsia="zh-CN"/>
        </w:rPr>
        <w:t>服务费</w:t>
      </w:r>
      <w:r>
        <w:rPr>
          <w:rFonts w:hint="eastAsia" w:ascii="宋体" w:hAnsi="宋体" w:eastAsia="宋体" w:cs="宋体"/>
          <w:b/>
          <w:bCs/>
          <w:color w:val="auto"/>
          <w:sz w:val="24"/>
          <w:szCs w:val="24"/>
          <w:highlight w:val="none"/>
          <w:lang w:val="en-US" w:eastAsia="zh-CN"/>
        </w:rPr>
        <w:t>全额扣除</w:t>
      </w:r>
      <w:r>
        <w:rPr>
          <w:rFonts w:hint="eastAsia" w:ascii="宋体" w:hAnsi="宋体" w:eastAsia="宋体" w:cs="宋体"/>
          <w:b/>
          <w:bCs/>
          <w:color w:val="auto"/>
          <w:sz w:val="24"/>
          <w:szCs w:val="24"/>
          <w:highlight w:val="none"/>
        </w:rPr>
        <w:t>。</w:t>
      </w:r>
    </w:p>
    <w:p w14:paraId="2F0B2EFF">
      <w:pPr>
        <w:widowControl/>
        <w:shd w:val="clear"/>
        <w:spacing w:line="360" w:lineRule="auto"/>
        <w:ind w:right="-76"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4.3.2</w:t>
      </w:r>
      <w:r>
        <w:rPr>
          <w:rFonts w:hint="eastAsia" w:ascii="宋体" w:hAnsi="宋体" w:eastAsia="宋体" w:cs="宋体"/>
          <w:color w:val="auto"/>
          <w:sz w:val="24"/>
          <w:szCs w:val="24"/>
          <w:highlight w:val="none"/>
        </w:rPr>
        <w:t>乙方收款前应向甲方提供等额合法有效的增值税专用发票，甲方在收到乙方增值税发票且经验证合法有效后方能向乙方付款。乙方未按上述要求提供发票的，需按甲方要求重新提供发票，否则甲方有权拒绝付款，由此产生的损失或责任由乙方承担。</w:t>
      </w:r>
    </w:p>
    <w:p w14:paraId="28E063EE">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五、双方的权利与义务</w:t>
      </w:r>
    </w:p>
    <w:p w14:paraId="428EF565">
      <w:pPr>
        <w:shd w:val="clear"/>
        <w:autoSpaceDE w:val="0"/>
        <w:autoSpaceDN w:val="0"/>
        <w:adjustRightInd w:val="0"/>
        <w:snapToGrid w:val="0"/>
        <w:spacing w:line="400" w:lineRule="exact"/>
        <w:ind w:right="-10"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5.1</w:t>
      </w:r>
      <w:r>
        <w:rPr>
          <w:rFonts w:hint="eastAsia" w:ascii="宋体" w:hAnsi="宋体" w:eastAsia="宋体" w:cs="宋体"/>
          <w:color w:val="auto"/>
          <w:sz w:val="24"/>
          <w:szCs w:val="24"/>
          <w:highlight w:val="none"/>
        </w:rPr>
        <w:t>甲方的权利与义务</w:t>
      </w:r>
    </w:p>
    <w:p w14:paraId="0C053FE5">
      <w:pPr>
        <w:shd w:val="clear"/>
        <w:spacing w:line="360" w:lineRule="auto"/>
        <w:ind w:firstLine="480" w:firstLineChars="200"/>
        <w:rPr>
          <w:rFonts w:hint="eastAsia" w:ascii="宋体" w:hAnsi="宋体" w:eastAsia="宋体" w:cs="宋体"/>
          <w:bCs/>
          <w:color w:val="auto"/>
          <w:sz w:val="24"/>
          <w:szCs w:val="24"/>
          <w:highlight w:val="none"/>
        </w:rPr>
      </w:pPr>
      <w:bookmarkStart w:id="176" w:name="_Toc306782723"/>
      <w:bookmarkStart w:id="177" w:name="_Toc248131474"/>
      <w:r>
        <w:rPr>
          <w:rFonts w:hint="eastAsia" w:ascii="宋体" w:hAnsi="宋体" w:eastAsia="宋体" w:cs="宋体"/>
          <w:bCs/>
          <w:color w:val="auto"/>
          <w:sz w:val="24"/>
          <w:szCs w:val="24"/>
          <w:highlight w:val="none"/>
        </w:rPr>
        <w:t xml:space="preserve">5.1.1 </w:t>
      </w:r>
      <w:r>
        <w:rPr>
          <w:rFonts w:hint="eastAsia" w:ascii="宋体" w:hAnsi="宋体" w:eastAsia="宋体" w:cs="宋体"/>
          <w:color w:val="auto"/>
          <w:sz w:val="24"/>
          <w:szCs w:val="24"/>
          <w:highlight w:val="none"/>
        </w:rPr>
        <w:t>甲方对本项目的实施进行统一管理，并负责与相关部门的联络及总体协调工作。</w:t>
      </w:r>
      <w:bookmarkEnd w:id="176"/>
      <w:bookmarkEnd w:id="177"/>
    </w:p>
    <w:p w14:paraId="6152A2C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 监督检查服务质量，负责进度款的支付等。</w:t>
      </w:r>
    </w:p>
    <w:p w14:paraId="56B2B9F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 根据实际需要，对现场布置进行调整。</w:t>
      </w:r>
    </w:p>
    <w:p w14:paraId="70EDCF5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 如乙方不按合同及招投标文件要求进行服务，甲方可勒令乙方暂停服务，待整改完毕后报甲方并经同意后方可复工，由此造成的损失由乙方承担。</w:t>
      </w:r>
    </w:p>
    <w:p w14:paraId="491DAA2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乙方的权利与义务</w:t>
      </w:r>
    </w:p>
    <w:p w14:paraId="20D79E69">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本项目乙方负责人【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】。乙方项目负责人即为乙方本项目总代表，代表乙方行使合同约定的权利，履行合同约定的义务。乙方的要求、通知，均以书面形式由乙方项目负责人签字加盖乙方公章后递交甲方。未经甲方批准不得更换。</w:t>
      </w:r>
    </w:p>
    <w:p w14:paraId="574313C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乙方项目负责人应保证每月在现场全日制工作不少于【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天。甲方有权要求乙方更换甲方认为不合适的项目负责人。乙方项目负责人全权负责乙方现场管理，代表乙方行使与本合同有关的权利和义务，并与甲方保持通畅的通讯联系和现场配合，乙方对该项目负责人所有基于履行本合同约定的行为承担全部法律责任。</w:t>
      </w:r>
    </w:p>
    <w:p w14:paraId="38429465">
      <w:pPr>
        <w:shd w:val="clea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乙方应按本合同约定的内容和时间，完成下列工作：</w:t>
      </w:r>
    </w:p>
    <w:p w14:paraId="16ED344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）乙方应按照本合同约定，全面、准确、按时履行合同，</w:t>
      </w:r>
      <w:r>
        <w:rPr>
          <w:rFonts w:hint="eastAsia" w:ascii="宋体" w:hAnsi="宋体" w:eastAsia="宋体" w:cs="宋体"/>
          <w:color w:val="auto"/>
          <w:sz w:val="24"/>
          <w:szCs w:val="24"/>
          <w:highlight w:val="none"/>
        </w:rPr>
        <w:t>对全部服务内容的适用性、可靠性和安全性承担全部责任。</w:t>
      </w:r>
    </w:p>
    <w:p w14:paraId="518CDA1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（2）乙方服从甲方的总体部署，接受甲方指导和督促。</w:t>
      </w:r>
    </w:p>
    <w:p w14:paraId="468BBBE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（3）乙方应按甲方要求及时提交各类报表台账、作业记录、巡查日志等资料，并保证资料的完整性和真实性。</w:t>
      </w:r>
    </w:p>
    <w:p w14:paraId="4412B63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（4）乙方应遵守政府有关安全的法律、条例和安全操作规则，建立安全保证体系，按要求提供安全防护措施，并承担由于其安全措施不得力而造成的安全事故的责任和费用。</w:t>
      </w:r>
    </w:p>
    <w:p w14:paraId="33D4B43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对其现场人员的安全负一切责任，若发生安全事故，乙方应第一时间内无条件对其受伤人员安全负一切费用，事后根据事故原因追究责任。若事故为乙方引起，乙方应承担对甲方造成的一切损失；若出现意外伤亡，全部由乙方自行承担。若工伤事故处理不及时或不妥当，由此给甲方造成的一切经济损失均从进度款中予以扣除，乙方对此无条件接受。</w:t>
      </w:r>
    </w:p>
    <w:p w14:paraId="499983F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支付的进度款，乙方须优先用于支付工人劳动报酬。乙方作为用人单位，需与劳动者签订劳动合同，缴纳社会保险等社会福利及支付工人工资；若因工资发放与工人发生纠纷的，与甲方无关。若发生劳动纠纷，乙方须妥善解决并不得影响甲方正常的生产经营，因此造成一切损失由乙方承担。</w:t>
      </w:r>
    </w:p>
    <w:p w14:paraId="7C96DF0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组织、策划、指挥指使默许工人（含所雇人员）向有关部门投诉、控告、检举或聚集、闹事等，并应积极预防、组织上述情况发生。若每发生一次，甲方可从乙方进度款中扣除1万元作为违约金。甲方有权视情况严重程度每次额外追究乙方2万元违约金。</w:t>
      </w:r>
    </w:p>
    <w:p w14:paraId="04B67734">
      <w:pPr>
        <w:shd w:val="clear"/>
        <w:autoSpaceDE w:val="0"/>
        <w:autoSpaceDN w:val="0"/>
        <w:adjustRightInd w:val="0"/>
        <w:snapToGrid w:val="0"/>
        <w:spacing w:line="360" w:lineRule="auto"/>
        <w:ind w:righ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（8）乙方负责</w:t>
      </w:r>
      <w:r>
        <w:rPr>
          <w:rFonts w:hint="eastAsia" w:ascii="宋体" w:hAnsi="宋体" w:eastAsia="宋体" w:cs="宋体"/>
          <w:color w:val="auto"/>
          <w:sz w:val="24"/>
          <w:szCs w:val="24"/>
          <w:highlight w:val="none"/>
          <w:lang w:val="en-US" w:eastAsia="zh-CN"/>
        </w:rPr>
        <w:t>维护作业产生的</w:t>
      </w:r>
      <w:r>
        <w:rPr>
          <w:rFonts w:hint="eastAsia" w:ascii="宋体" w:hAnsi="宋体" w:eastAsia="宋体" w:cs="宋体"/>
          <w:color w:val="auto"/>
          <w:sz w:val="24"/>
          <w:szCs w:val="24"/>
          <w:highlight w:val="none"/>
        </w:rPr>
        <w:t>垃圾运到</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指定的垃圾堆放点，负责清运指定堆放点的垃圾，如发现乙方的垃圾乱放，作业面清理不到位，则甲方有权另行委托其他作业队将作业面清理后，所发生的人工费、机械费将在乙方进度款中扣除。</w:t>
      </w:r>
    </w:p>
    <w:p w14:paraId="7C4CCC6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不得将转包或者再次分包，否则，经查实甲方有权单方面解除合同。乙方须在24小时内退场（现场清理干净，人员及机械撤离现场，并做好现场的交接工作，否则不予结算进度款），并按合同价的10%向甲方支付违约金，如果甲方因此遭受损失，一切损失赔偿责任均由乙方承担。</w:t>
      </w:r>
    </w:p>
    <w:p w14:paraId="4DF7642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乙方须遵守各项法律法规、项目管理制度与规约，承担本项目的委托服务事项，达到委托服务要求工作质量标准。</w:t>
      </w:r>
    </w:p>
    <w:p w14:paraId="4CD784B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）乙方每班到岗数量、质量不低于委托合同及招标文件约定，执行岗位职责、工作计划，服务质量标准不得低于招标文件约定。</w:t>
      </w:r>
    </w:p>
    <w:p w14:paraId="6407310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）乙方应自行租赁办公场所，并配备办公类设备（办公桌椅、固定电话、电脑，打印机等办公设施），配备设备和工具。</w:t>
      </w:r>
    </w:p>
    <w:p w14:paraId="6FF29D8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）因乙方管理不善，造成工作范围内的设施、设备等损坏的，由乙方负责赔偿损失，情节严重的可终止合同甚至诉诸法律。</w:t>
      </w:r>
    </w:p>
    <w:p w14:paraId="2BEDDF47">
      <w:pPr>
        <w:shd w:val="clea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）节假日，遇突击任务及重大活动时，乙方应无条件按甲方要求完成服务。如因此临时增加服务人员或耗材，则相关费用甲方不再另行支付。</w:t>
      </w:r>
    </w:p>
    <w:p w14:paraId="43200706">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六、相关管理要求</w:t>
      </w:r>
    </w:p>
    <w:p w14:paraId="3A56FD1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同招标文件</w:t>
      </w:r>
      <w:r>
        <w:rPr>
          <w:rFonts w:hint="eastAsia" w:ascii="宋体" w:hAnsi="宋体" w:eastAsia="宋体" w:cs="宋体"/>
          <w:color w:val="auto"/>
          <w:sz w:val="24"/>
          <w:szCs w:val="24"/>
          <w:highlight w:val="none"/>
        </w:rPr>
        <w:t>。</w:t>
      </w:r>
    </w:p>
    <w:p w14:paraId="745FED80">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w:t>
      </w:r>
      <w:r>
        <w:rPr>
          <w:rFonts w:hint="eastAsia" w:ascii="宋体" w:hAnsi="宋体" w:eastAsia="宋体" w:cs="宋体"/>
          <w:b/>
          <w:bCs/>
          <w:color w:val="auto"/>
          <w:sz w:val="28"/>
          <w:szCs w:val="28"/>
          <w:highlight w:val="none"/>
          <w:lang w:val="en-US" w:eastAsia="zh-CN"/>
        </w:rPr>
        <w:t>维护</w:t>
      </w:r>
      <w:r>
        <w:rPr>
          <w:rFonts w:hint="eastAsia" w:ascii="宋体" w:hAnsi="宋体" w:eastAsia="宋体" w:cs="宋体"/>
          <w:b/>
          <w:bCs/>
          <w:color w:val="auto"/>
          <w:sz w:val="28"/>
          <w:szCs w:val="28"/>
          <w:highlight w:val="none"/>
        </w:rPr>
        <w:t>标准</w:t>
      </w:r>
    </w:p>
    <w:p w14:paraId="606B4A39">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同招标文件要求。</w:t>
      </w:r>
    </w:p>
    <w:p w14:paraId="5C343CE8">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、合同的解除和转让</w:t>
      </w:r>
    </w:p>
    <w:p w14:paraId="435E14E3">
      <w:pPr>
        <w:shd w:val="clear"/>
        <w:snapToGrid w:val="0"/>
        <w:spacing w:before="180" w:beforeLines="5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1、甲方和乙方协商一致，可以解除合同。</w:t>
      </w:r>
    </w:p>
    <w:p w14:paraId="282B7D54">
      <w:pPr>
        <w:shd w:val="clear"/>
        <w:snapToGrid w:val="0"/>
        <w:spacing w:before="180" w:beforeLines="5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2、有下列情形之一，合同一方可以解除合同：</w:t>
      </w:r>
    </w:p>
    <w:p w14:paraId="045EB4E2">
      <w:pPr>
        <w:shd w:val="clear"/>
        <w:snapToGrid w:val="0"/>
        <w:spacing w:before="180" w:beforeLines="5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（1）因不可抗力致使不能实现合同目的，未受不可抗力影响的一方有权解除合同；</w:t>
      </w:r>
    </w:p>
    <w:p w14:paraId="6074953F">
      <w:pPr>
        <w:shd w:val="clear"/>
        <w:snapToGrid w:val="0"/>
        <w:spacing w:before="180" w:beforeLines="5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（2）因合同一方违约导致合同不能履行，另一方有权解除合同。</w:t>
      </w:r>
    </w:p>
    <w:p w14:paraId="6715F43C">
      <w:pPr>
        <w:pStyle w:val="52"/>
        <w:shd w:val="clear"/>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乙方合同履约金额达到中标通知书约定金额，甲方可以单方解除合同，提前半个月书面通知乙方。</w:t>
      </w:r>
    </w:p>
    <w:p w14:paraId="4ADC0498">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因下列情形之一发生的，甲方有权单方解除合同并提前一个月书面知会乙方，同时可扣留尚未支付乙方的服务进度款。由此给甲方造成的经济损失超过扣留款项的，乙方仍应赔偿。 </w:t>
      </w:r>
    </w:p>
    <w:p w14:paraId="4C0E8241">
      <w:pPr>
        <w:keepNext w:val="0"/>
        <w:keepLines w:val="0"/>
        <w:pageBreakBefore w:val="0"/>
        <w:widowControl w:val="0"/>
        <w:shd w:val="clear"/>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（1）乙方违反合同约定，降低服务质量或导致其他方面的严重损害的。</w:t>
      </w:r>
    </w:p>
    <w:p w14:paraId="24767153">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年度服务中两个季度考核不合格</w:t>
      </w:r>
      <w:r>
        <w:rPr>
          <w:rFonts w:hint="eastAsia" w:ascii="宋体" w:hAnsi="宋体" w:cs="宋体"/>
          <w:color w:val="auto"/>
          <w:sz w:val="24"/>
          <w:szCs w:val="24"/>
          <w:highlight w:val="none"/>
          <w:lang w:val="en-US" w:eastAsia="zh-CN"/>
        </w:rPr>
        <w:t>的。</w:t>
      </w:r>
    </w:p>
    <w:p w14:paraId="03AB6684">
      <w:pPr>
        <w:keepNext w:val="0"/>
        <w:keepLines w:val="0"/>
        <w:pageBreakBefore w:val="0"/>
        <w:widowControl w:val="0"/>
        <w:shd w:val="clear"/>
        <w:tabs>
          <w:tab w:val="left" w:pos="567"/>
        </w:tabs>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）乙方将本合同权利义务分包或变相转包的。</w:t>
      </w:r>
    </w:p>
    <w:p w14:paraId="234CAE8F">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）专项检查不合格的。</w:t>
      </w:r>
    </w:p>
    <w:p w14:paraId="4A9C5B92">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）乙方或其服务人员涉及违法或违规行为的。</w:t>
      </w:r>
    </w:p>
    <w:p w14:paraId="39BA1C3F">
      <w:pPr>
        <w:keepNext w:val="0"/>
        <w:keepLines w:val="0"/>
        <w:pageBreakBefore w:val="0"/>
        <w:widowControl w:val="0"/>
        <w:shd w:val="clear"/>
        <w:tabs>
          <w:tab w:val="left" w:pos="567"/>
        </w:tabs>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4、有权解除合同的一方，应当在违约事实或不可抗力发生之后三十天内书面通知对方提出解除合同，合同在书面通知到达对方时解除。</w:t>
      </w:r>
    </w:p>
    <w:p w14:paraId="6163DD9B">
      <w:pPr>
        <w:keepNext w:val="0"/>
        <w:keepLines w:val="0"/>
        <w:pageBreakBefore w:val="0"/>
        <w:widowControl w:val="0"/>
        <w:shd w:val="clear"/>
        <w:tabs>
          <w:tab w:val="left" w:pos="567"/>
        </w:tabs>
        <w:kinsoku/>
        <w:wordWrap/>
        <w:overflowPunct/>
        <w:topLinePunct w:val="0"/>
        <w:autoSpaceDE/>
        <w:autoSpaceDN/>
        <w:bidi w:val="0"/>
        <w:adjustRightIn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5、合同的部分和全部都不得转让。</w:t>
      </w:r>
    </w:p>
    <w:p w14:paraId="1B7BADBF">
      <w:pPr>
        <w:shd w:val="clea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、考核表</w:t>
      </w:r>
    </w:p>
    <w:p w14:paraId="38CAC1FE">
      <w:pPr>
        <w:shd w:val="clear"/>
        <w:spacing w:line="48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.1考核频次及要求</w:t>
      </w:r>
    </w:p>
    <w:p w14:paraId="6ED46E2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同招标文件</w:t>
      </w:r>
      <w:r>
        <w:rPr>
          <w:rFonts w:hint="eastAsia" w:ascii="宋体" w:hAnsi="宋体" w:eastAsia="宋体" w:cs="宋体"/>
          <w:color w:val="auto"/>
          <w:sz w:val="24"/>
          <w:szCs w:val="24"/>
          <w:highlight w:val="none"/>
        </w:rPr>
        <w:t>。</w:t>
      </w:r>
    </w:p>
    <w:p w14:paraId="1FF1453D">
      <w:pPr>
        <w:shd w:val="clea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十、争议解决方式</w:t>
      </w:r>
    </w:p>
    <w:p w14:paraId="3529995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如有未尽事宜，须经甲、乙方双方协商，协商达成一致后签订补充协议；补充协议与本合同具有同等法律效力。因履行本合同发生纠纷的，双方应友好协商解决；协商不成，任何一方有权向项目所在地的人民法院提起诉讼。</w:t>
      </w:r>
    </w:p>
    <w:p w14:paraId="685882F3">
      <w:pPr>
        <w:shd w:val="clea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十一、其它</w:t>
      </w:r>
    </w:p>
    <w:p w14:paraId="1548893E">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负责办理乙方服务期间现场人员的生命财产、现场使用设施、设备的保险，并支付相应的费用，该费用已含在合同价款中。因乙方原因造成的任何事故（包括第三者人员在内）所发生的依法应支付的损失、赔偿费、补偿费用等，由乙方承担。</w:t>
      </w:r>
    </w:p>
    <w:p w14:paraId="2A5D4D4C">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若遇重大保障活动和突发事件，乙方无条件服从甲方对服务时间的调整及对车辆的调度，车辆迅速到位，人机结合快速处置。</w:t>
      </w:r>
    </w:p>
    <w:p w14:paraId="7A251B90">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服务期限届满后，甲乙双方应办理交接手续，具体交接事宜双方另行协商。</w:t>
      </w:r>
    </w:p>
    <w:p w14:paraId="392ED9C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本合同经双方签字并盖章后生效。本合同一式【捌】份，甲方持【陆】份，乙方持【贰】份，各份具有同等法律效力。本合同未尽事宜，由合同双方另行协商签订补充协议，补充协议与本合同具有同等法律效力。</w:t>
      </w:r>
    </w:p>
    <w:p w14:paraId="5A8A21AD">
      <w:pPr>
        <w:pStyle w:val="27"/>
        <w:shd w:val="clear"/>
        <w:ind w:left="0" w:firstLine="0"/>
        <w:rPr>
          <w:rFonts w:hint="eastAsia" w:ascii="宋体" w:hAnsi="宋体" w:eastAsia="宋体" w:cs="宋体"/>
          <w:color w:val="auto"/>
          <w:sz w:val="24"/>
          <w:szCs w:val="24"/>
          <w:highlight w:val="none"/>
        </w:rPr>
      </w:pPr>
    </w:p>
    <w:p w14:paraId="7E08C4C7">
      <w:pPr>
        <w:shd w:val="clea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  方：                           乙  方：            </w:t>
      </w:r>
    </w:p>
    <w:p w14:paraId="5D3526D4">
      <w:pPr>
        <w:shd w:val="clea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                         单位盖章：</w:t>
      </w:r>
    </w:p>
    <w:p w14:paraId="3CD9DE7A">
      <w:pPr>
        <w:shd w:val="clea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           法定代表人或委托代理人：</w:t>
      </w:r>
    </w:p>
    <w:p w14:paraId="6F4317EF">
      <w:pPr>
        <w:shd w:val="clear"/>
        <w:spacing w:line="360" w:lineRule="auto"/>
        <w:ind w:firstLine="560" w:firstLineChars="200"/>
        <w:rPr>
          <w:rFonts w:hint="eastAsia" w:ascii="宋体" w:hAnsi="宋体" w:eastAsia="宋体" w:cs="宋体"/>
          <w:color w:val="auto"/>
          <w:sz w:val="28"/>
          <w:szCs w:val="28"/>
          <w:highlight w:val="none"/>
        </w:rPr>
      </w:pPr>
    </w:p>
    <w:p w14:paraId="1F2C61D3">
      <w:pPr>
        <w:shd w:val="clear"/>
        <w:spacing w:line="360" w:lineRule="auto"/>
        <w:ind w:firstLine="560" w:firstLineChars="200"/>
        <w:rPr>
          <w:rFonts w:hint="eastAsia" w:ascii="宋体" w:hAnsi="宋体" w:eastAsia="宋体" w:cs="宋体"/>
          <w:color w:val="auto"/>
          <w:sz w:val="28"/>
          <w:szCs w:val="28"/>
          <w:highlight w:val="none"/>
        </w:rPr>
      </w:pPr>
    </w:p>
    <w:p w14:paraId="17C38474">
      <w:pPr>
        <w:pStyle w:val="5"/>
        <w:tabs>
          <w:tab w:val="left" w:pos="7950"/>
        </w:tabs>
        <w:rPr>
          <w:rFonts w:ascii="Times New Roman" w:hAnsi="Times New Roman"/>
          <w:color w:val="auto"/>
          <w:highlight w:val="none"/>
        </w:rPr>
      </w:pPr>
      <w:bookmarkStart w:id="178" w:name="_Toc8628"/>
      <w:r>
        <w:rPr>
          <w:rFonts w:ascii="Times New Roman" w:hAnsi="Times New Roman"/>
          <w:color w:val="auto"/>
          <w:highlight w:val="none"/>
        </w:rPr>
        <w:t>附件</w:t>
      </w:r>
      <w:r>
        <w:rPr>
          <w:rFonts w:hint="eastAsia" w:ascii="Times New Roman" w:hAnsi="Times New Roman"/>
          <w:color w:val="auto"/>
          <w:highlight w:val="none"/>
          <w:lang w:val="en-US" w:eastAsia="zh-CN"/>
        </w:rPr>
        <w:t>一</w:t>
      </w:r>
      <w:r>
        <w:rPr>
          <w:rFonts w:ascii="Times New Roman" w:hAnsi="Times New Roman"/>
          <w:color w:val="auto"/>
          <w:highlight w:val="none"/>
        </w:rPr>
        <w:t xml:space="preserve">  廉政合同</w:t>
      </w:r>
      <w:r>
        <w:rPr>
          <w:rFonts w:ascii="Times New Roman" w:hAnsi="Times New Roman"/>
          <w:color w:val="auto"/>
          <w:highlight w:val="none"/>
        </w:rPr>
        <w:tab/>
      </w:r>
    </w:p>
    <w:p w14:paraId="5BFDE94F">
      <w:pPr>
        <w:spacing w:line="440" w:lineRule="exact"/>
        <w:jc w:val="center"/>
        <w:rPr>
          <w:rFonts w:eastAsia="黑体"/>
          <w:b/>
          <w:bCs/>
          <w:color w:val="auto"/>
          <w:sz w:val="28"/>
          <w:szCs w:val="28"/>
          <w:highlight w:val="none"/>
        </w:rPr>
      </w:pPr>
      <w:r>
        <w:rPr>
          <w:rFonts w:eastAsia="黑体"/>
          <w:b/>
          <w:bCs/>
          <w:color w:val="auto"/>
          <w:sz w:val="28"/>
          <w:szCs w:val="28"/>
          <w:highlight w:val="none"/>
        </w:rPr>
        <w:t>廉政合同</w:t>
      </w:r>
    </w:p>
    <w:p w14:paraId="0081CE2C">
      <w:pPr>
        <w:spacing w:line="440" w:lineRule="exact"/>
        <w:jc w:val="center"/>
        <w:rPr>
          <w:rFonts w:eastAsia="黑体"/>
          <w:b/>
          <w:bCs/>
          <w:color w:val="auto"/>
          <w:sz w:val="28"/>
          <w:szCs w:val="28"/>
          <w:highlight w:val="none"/>
        </w:rPr>
      </w:pPr>
    </w:p>
    <w:p w14:paraId="59590CA9">
      <w:pPr>
        <w:spacing w:line="360" w:lineRule="auto"/>
        <w:ind w:firstLine="440" w:firstLineChars="200"/>
        <w:rPr>
          <w:color w:val="auto"/>
          <w:sz w:val="22"/>
          <w:szCs w:val="28"/>
          <w:highlight w:val="none"/>
        </w:rPr>
      </w:pPr>
      <w:r>
        <w:rPr>
          <w:color w:val="auto"/>
          <w:sz w:val="22"/>
          <w:szCs w:val="28"/>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auto"/>
          <w:sz w:val="22"/>
          <w:szCs w:val="28"/>
          <w:highlight w:val="none"/>
          <w:u w:val="single"/>
        </w:rPr>
        <w:t xml:space="preserve">               </w:t>
      </w:r>
      <w:r>
        <w:rPr>
          <w:color w:val="auto"/>
          <w:sz w:val="22"/>
          <w:szCs w:val="28"/>
          <w:highlight w:val="none"/>
        </w:rPr>
        <w:t>（项目名称）的项目法人</w:t>
      </w:r>
      <w:r>
        <w:rPr>
          <w:color w:val="auto"/>
          <w:sz w:val="22"/>
          <w:szCs w:val="28"/>
          <w:highlight w:val="none"/>
          <w:u w:val="single"/>
        </w:rPr>
        <w:t xml:space="preserve">           </w:t>
      </w:r>
      <w:r>
        <w:rPr>
          <w:color w:val="auto"/>
          <w:sz w:val="22"/>
          <w:szCs w:val="28"/>
          <w:highlight w:val="none"/>
        </w:rPr>
        <w:t>（项目法人名称，以下简称“</w:t>
      </w:r>
      <w:r>
        <w:rPr>
          <w:rFonts w:hint="eastAsia"/>
          <w:color w:val="auto"/>
          <w:sz w:val="22"/>
          <w:szCs w:val="28"/>
          <w:highlight w:val="none"/>
          <w:lang w:val="en-US" w:eastAsia="zh-CN"/>
        </w:rPr>
        <w:t>甲方</w:t>
      </w:r>
      <w:r>
        <w:rPr>
          <w:color w:val="auto"/>
          <w:sz w:val="22"/>
          <w:szCs w:val="28"/>
          <w:highlight w:val="none"/>
        </w:rPr>
        <w:t>”）与该项目</w:t>
      </w:r>
      <w:r>
        <w:rPr>
          <w:color w:val="auto"/>
          <w:sz w:val="22"/>
          <w:szCs w:val="28"/>
          <w:highlight w:val="none"/>
          <w:u w:val="single"/>
        </w:rPr>
        <w:t xml:space="preserve">   </w:t>
      </w:r>
      <w:r>
        <w:rPr>
          <w:rFonts w:hint="eastAsia"/>
          <w:color w:val="auto"/>
          <w:sz w:val="22"/>
          <w:szCs w:val="28"/>
          <w:highlight w:val="none"/>
          <w:u w:val="single"/>
          <w:lang w:val="en-US" w:eastAsia="zh-CN"/>
        </w:rPr>
        <w:t xml:space="preserve">         </w:t>
      </w:r>
      <w:r>
        <w:rPr>
          <w:color w:val="auto"/>
          <w:sz w:val="22"/>
          <w:szCs w:val="28"/>
          <w:highlight w:val="none"/>
          <w:u w:val="single"/>
        </w:rPr>
        <w:t xml:space="preserve"> </w:t>
      </w:r>
      <w:r>
        <w:rPr>
          <w:color w:val="auto"/>
          <w:sz w:val="22"/>
          <w:szCs w:val="28"/>
          <w:highlight w:val="none"/>
        </w:rPr>
        <w:t>的</w:t>
      </w:r>
      <w:r>
        <w:rPr>
          <w:rFonts w:hint="eastAsia"/>
          <w:color w:val="auto"/>
          <w:sz w:val="22"/>
          <w:szCs w:val="28"/>
          <w:highlight w:val="none"/>
          <w:lang w:val="en-US" w:eastAsia="zh-CN"/>
        </w:rPr>
        <w:t>中标</w:t>
      </w:r>
      <w:r>
        <w:rPr>
          <w:color w:val="auto"/>
          <w:sz w:val="22"/>
          <w:szCs w:val="28"/>
          <w:highlight w:val="none"/>
        </w:rPr>
        <w:t>单位</w:t>
      </w:r>
      <w:r>
        <w:rPr>
          <w:color w:val="auto"/>
          <w:sz w:val="22"/>
          <w:szCs w:val="28"/>
          <w:highlight w:val="none"/>
          <w:u w:val="single"/>
        </w:rPr>
        <w:t xml:space="preserve">         </w:t>
      </w:r>
      <w:r>
        <w:rPr>
          <w:color w:val="auto"/>
          <w:sz w:val="22"/>
          <w:szCs w:val="28"/>
          <w:highlight w:val="none"/>
        </w:rPr>
        <w:t>（</w:t>
      </w:r>
      <w:r>
        <w:rPr>
          <w:rFonts w:hint="eastAsia"/>
          <w:color w:val="auto"/>
          <w:sz w:val="22"/>
          <w:szCs w:val="28"/>
          <w:highlight w:val="none"/>
          <w:lang w:val="en-US" w:eastAsia="zh-CN"/>
        </w:rPr>
        <w:t>中标</w:t>
      </w:r>
      <w:r>
        <w:rPr>
          <w:color w:val="auto"/>
          <w:sz w:val="22"/>
          <w:szCs w:val="28"/>
          <w:highlight w:val="none"/>
        </w:rPr>
        <w:t>单位名称，以下简称“</w:t>
      </w:r>
      <w:r>
        <w:rPr>
          <w:rFonts w:hint="eastAsia"/>
          <w:color w:val="auto"/>
          <w:sz w:val="22"/>
          <w:szCs w:val="28"/>
          <w:highlight w:val="none"/>
          <w:lang w:val="en-US" w:eastAsia="zh-CN"/>
        </w:rPr>
        <w:t>乙方</w:t>
      </w:r>
      <w:r>
        <w:rPr>
          <w:color w:val="auto"/>
          <w:sz w:val="22"/>
          <w:szCs w:val="28"/>
          <w:highlight w:val="none"/>
        </w:rPr>
        <w:t>”），特订立如下合同。</w:t>
      </w:r>
    </w:p>
    <w:p w14:paraId="43B49AB9">
      <w:pPr>
        <w:spacing w:line="360" w:lineRule="auto"/>
        <w:ind w:firstLine="440" w:firstLineChars="200"/>
        <w:rPr>
          <w:color w:val="auto"/>
          <w:sz w:val="22"/>
          <w:szCs w:val="28"/>
          <w:highlight w:val="none"/>
        </w:rPr>
      </w:pPr>
      <w:r>
        <w:rPr>
          <w:color w:val="auto"/>
          <w:sz w:val="22"/>
          <w:szCs w:val="28"/>
          <w:highlight w:val="none"/>
        </w:rPr>
        <w:t>1．</w:t>
      </w:r>
      <w:r>
        <w:rPr>
          <w:rFonts w:hint="eastAsia"/>
          <w:color w:val="auto"/>
          <w:sz w:val="22"/>
          <w:szCs w:val="28"/>
          <w:highlight w:val="none"/>
          <w:lang w:val="en-US" w:eastAsia="zh-CN"/>
        </w:rPr>
        <w:t>甲方</w:t>
      </w:r>
      <w:r>
        <w:rPr>
          <w:color w:val="auto"/>
          <w:sz w:val="22"/>
          <w:szCs w:val="28"/>
          <w:highlight w:val="none"/>
        </w:rPr>
        <w:t>和</w:t>
      </w:r>
      <w:r>
        <w:rPr>
          <w:rFonts w:hint="eastAsia"/>
          <w:color w:val="auto"/>
          <w:sz w:val="22"/>
          <w:szCs w:val="28"/>
          <w:highlight w:val="none"/>
          <w:lang w:val="en-US" w:eastAsia="zh-CN"/>
        </w:rPr>
        <w:t>乙方</w:t>
      </w:r>
      <w:r>
        <w:rPr>
          <w:color w:val="auto"/>
          <w:sz w:val="22"/>
          <w:szCs w:val="28"/>
          <w:highlight w:val="none"/>
        </w:rPr>
        <w:t>双方的权利和义务</w:t>
      </w:r>
    </w:p>
    <w:p w14:paraId="4AA72659">
      <w:pPr>
        <w:spacing w:line="360" w:lineRule="auto"/>
        <w:ind w:firstLine="440" w:firstLineChars="200"/>
        <w:rPr>
          <w:color w:val="auto"/>
          <w:sz w:val="22"/>
          <w:szCs w:val="28"/>
          <w:highlight w:val="none"/>
        </w:rPr>
      </w:pPr>
      <w:r>
        <w:rPr>
          <w:color w:val="auto"/>
          <w:sz w:val="22"/>
          <w:szCs w:val="28"/>
          <w:highlight w:val="none"/>
        </w:rPr>
        <w:t>（1）严格遵守党的政策规定和国家有关法律法规及交通运输部的有关规定。</w:t>
      </w:r>
    </w:p>
    <w:p w14:paraId="4F6E1465">
      <w:pPr>
        <w:spacing w:line="360" w:lineRule="auto"/>
        <w:ind w:firstLine="440" w:firstLineChars="200"/>
        <w:rPr>
          <w:color w:val="auto"/>
          <w:sz w:val="22"/>
          <w:szCs w:val="28"/>
          <w:highlight w:val="none"/>
        </w:rPr>
      </w:pPr>
      <w:r>
        <w:rPr>
          <w:color w:val="auto"/>
          <w:sz w:val="22"/>
          <w:szCs w:val="28"/>
          <w:highlight w:val="none"/>
        </w:rPr>
        <w:t>（2）严格执行</w:t>
      </w:r>
      <w:r>
        <w:rPr>
          <w:color w:val="auto"/>
          <w:sz w:val="22"/>
          <w:szCs w:val="28"/>
          <w:highlight w:val="none"/>
          <w:u w:val="single"/>
        </w:rPr>
        <w:t xml:space="preserve">                 </w:t>
      </w:r>
      <w:r>
        <w:rPr>
          <w:color w:val="auto"/>
          <w:sz w:val="22"/>
          <w:szCs w:val="28"/>
          <w:highlight w:val="none"/>
        </w:rPr>
        <w:t>（项目名称）合同文件，自觉按合同办事。</w:t>
      </w:r>
    </w:p>
    <w:p w14:paraId="6F7DDF10">
      <w:pPr>
        <w:spacing w:line="360" w:lineRule="auto"/>
        <w:ind w:firstLine="440" w:firstLineChars="200"/>
        <w:rPr>
          <w:color w:val="auto"/>
          <w:sz w:val="22"/>
          <w:szCs w:val="28"/>
          <w:highlight w:val="none"/>
        </w:rPr>
      </w:pPr>
      <w:r>
        <w:rPr>
          <w:color w:val="auto"/>
          <w:sz w:val="22"/>
          <w:szCs w:val="28"/>
          <w:highlight w:val="none"/>
        </w:rPr>
        <w:t>（3）双方的业务活动坚持公开、公正、诚信、透明的原则（法律认定的商业秘密和合同文件另有规定除外），不得损害国家和集体利益，不得违反工程建设管理规章制度。</w:t>
      </w:r>
    </w:p>
    <w:p w14:paraId="718B075A">
      <w:pPr>
        <w:spacing w:line="360" w:lineRule="auto"/>
        <w:ind w:firstLine="440" w:firstLineChars="200"/>
        <w:rPr>
          <w:color w:val="auto"/>
          <w:sz w:val="22"/>
          <w:szCs w:val="28"/>
          <w:highlight w:val="none"/>
        </w:rPr>
      </w:pPr>
      <w:r>
        <w:rPr>
          <w:color w:val="auto"/>
          <w:sz w:val="22"/>
          <w:szCs w:val="28"/>
          <w:highlight w:val="none"/>
        </w:rPr>
        <w:t>（4）建立健全廉政制度，开展廉政教育，</w:t>
      </w:r>
      <w:r>
        <w:rPr>
          <w:rFonts w:hint="eastAsia"/>
          <w:color w:val="auto"/>
          <w:sz w:val="22"/>
          <w:szCs w:val="28"/>
          <w:highlight w:val="none"/>
          <w:lang w:val="en-US" w:eastAsia="zh-CN"/>
        </w:rPr>
        <w:t>设立</w:t>
      </w:r>
      <w:r>
        <w:rPr>
          <w:color w:val="auto"/>
          <w:sz w:val="22"/>
          <w:szCs w:val="28"/>
          <w:highlight w:val="none"/>
        </w:rPr>
        <w:t>廉政告示牌，公布举报电话，监督并认真查处违法违纪行为。</w:t>
      </w:r>
    </w:p>
    <w:p w14:paraId="66F29BD9">
      <w:pPr>
        <w:spacing w:line="360" w:lineRule="auto"/>
        <w:ind w:firstLine="440" w:firstLineChars="200"/>
        <w:rPr>
          <w:color w:val="auto"/>
          <w:sz w:val="22"/>
          <w:szCs w:val="28"/>
          <w:highlight w:val="none"/>
        </w:rPr>
      </w:pPr>
      <w:r>
        <w:rPr>
          <w:color w:val="auto"/>
          <w:sz w:val="22"/>
          <w:szCs w:val="28"/>
          <w:highlight w:val="none"/>
        </w:rPr>
        <w:t>（5）发现对方在业务活动中有违反廉政规定的行为，有及时提醒对方纠正的权利和义务。</w:t>
      </w:r>
    </w:p>
    <w:p w14:paraId="392005BB">
      <w:pPr>
        <w:spacing w:line="360" w:lineRule="auto"/>
        <w:ind w:firstLine="440" w:firstLineChars="200"/>
        <w:rPr>
          <w:color w:val="auto"/>
          <w:sz w:val="22"/>
          <w:szCs w:val="28"/>
          <w:highlight w:val="none"/>
        </w:rPr>
      </w:pPr>
      <w:r>
        <w:rPr>
          <w:color w:val="auto"/>
          <w:sz w:val="22"/>
          <w:szCs w:val="28"/>
          <w:highlight w:val="none"/>
        </w:rPr>
        <w:t>（6）发现对方严重违反合同义务条款的行为，有向其上级有关部门举报、建议给予处理并要求告知处理结果的权利。</w:t>
      </w:r>
    </w:p>
    <w:p w14:paraId="7056D975">
      <w:pPr>
        <w:spacing w:line="360" w:lineRule="auto"/>
        <w:ind w:firstLine="440" w:firstLineChars="200"/>
        <w:rPr>
          <w:color w:val="auto"/>
          <w:sz w:val="22"/>
          <w:szCs w:val="28"/>
          <w:highlight w:val="none"/>
        </w:rPr>
      </w:pPr>
      <w:r>
        <w:rPr>
          <w:color w:val="auto"/>
          <w:sz w:val="22"/>
          <w:szCs w:val="28"/>
          <w:highlight w:val="none"/>
        </w:rPr>
        <w:t>2</w:t>
      </w:r>
      <w:r>
        <w:rPr>
          <w:rFonts w:hint="eastAsia"/>
          <w:color w:val="auto"/>
          <w:sz w:val="22"/>
          <w:szCs w:val="28"/>
          <w:highlight w:val="none"/>
          <w:lang w:val="en-US" w:eastAsia="zh-CN"/>
        </w:rPr>
        <w:t>.甲方</w:t>
      </w:r>
      <w:r>
        <w:rPr>
          <w:color w:val="auto"/>
          <w:sz w:val="22"/>
          <w:szCs w:val="28"/>
          <w:highlight w:val="none"/>
        </w:rPr>
        <w:t>的义务</w:t>
      </w:r>
    </w:p>
    <w:p w14:paraId="4FDF5D80">
      <w:pPr>
        <w:spacing w:line="360" w:lineRule="auto"/>
        <w:ind w:firstLine="440" w:firstLineChars="200"/>
        <w:rPr>
          <w:color w:val="auto"/>
          <w:sz w:val="22"/>
          <w:szCs w:val="28"/>
          <w:highlight w:val="none"/>
        </w:rPr>
      </w:pPr>
      <w:r>
        <w:rPr>
          <w:color w:val="auto"/>
          <w:sz w:val="22"/>
          <w:szCs w:val="28"/>
          <w:highlight w:val="none"/>
        </w:rPr>
        <w:t>（1）</w:t>
      </w:r>
      <w:r>
        <w:rPr>
          <w:rFonts w:hint="eastAsia"/>
          <w:color w:val="auto"/>
          <w:sz w:val="22"/>
          <w:szCs w:val="28"/>
          <w:highlight w:val="none"/>
          <w:lang w:val="en-US" w:eastAsia="zh-CN"/>
        </w:rPr>
        <w:t>甲方</w:t>
      </w:r>
      <w:r>
        <w:rPr>
          <w:color w:val="auto"/>
          <w:sz w:val="22"/>
          <w:szCs w:val="28"/>
          <w:highlight w:val="none"/>
        </w:rPr>
        <w:t>及其工作人员不得索要或接受承包人的礼金、有价证券和贵重物品，不得在</w:t>
      </w:r>
      <w:r>
        <w:rPr>
          <w:rFonts w:hint="eastAsia"/>
          <w:color w:val="auto"/>
          <w:sz w:val="22"/>
          <w:szCs w:val="28"/>
          <w:highlight w:val="none"/>
          <w:lang w:val="en-US" w:eastAsia="zh-CN"/>
        </w:rPr>
        <w:t>乙方</w:t>
      </w:r>
      <w:r>
        <w:rPr>
          <w:color w:val="auto"/>
          <w:sz w:val="22"/>
          <w:szCs w:val="28"/>
          <w:highlight w:val="none"/>
        </w:rPr>
        <w:t>报销任何应由</w:t>
      </w:r>
      <w:r>
        <w:rPr>
          <w:rFonts w:hint="eastAsia"/>
          <w:color w:val="auto"/>
          <w:sz w:val="22"/>
          <w:szCs w:val="28"/>
          <w:highlight w:val="none"/>
          <w:lang w:val="en-US" w:eastAsia="zh-CN"/>
        </w:rPr>
        <w:t>甲方或甲方</w:t>
      </w:r>
      <w:r>
        <w:rPr>
          <w:color w:val="auto"/>
          <w:sz w:val="22"/>
          <w:szCs w:val="28"/>
          <w:highlight w:val="none"/>
        </w:rPr>
        <w:t>工作人员个人支付的费用等。</w:t>
      </w:r>
    </w:p>
    <w:p w14:paraId="290C8125">
      <w:pPr>
        <w:spacing w:line="360" w:lineRule="auto"/>
        <w:ind w:firstLine="440" w:firstLineChars="200"/>
        <w:rPr>
          <w:color w:val="auto"/>
          <w:sz w:val="22"/>
          <w:szCs w:val="28"/>
          <w:highlight w:val="none"/>
        </w:rPr>
      </w:pPr>
      <w:r>
        <w:rPr>
          <w:color w:val="auto"/>
          <w:sz w:val="22"/>
          <w:szCs w:val="28"/>
          <w:highlight w:val="none"/>
        </w:rPr>
        <w:t>（2）</w:t>
      </w:r>
      <w:r>
        <w:rPr>
          <w:rFonts w:hint="eastAsia"/>
          <w:color w:val="auto"/>
          <w:sz w:val="22"/>
          <w:szCs w:val="28"/>
          <w:highlight w:val="none"/>
          <w:lang w:val="en-US" w:eastAsia="zh-CN"/>
        </w:rPr>
        <w:t>甲方</w:t>
      </w:r>
      <w:r>
        <w:rPr>
          <w:color w:val="auto"/>
          <w:sz w:val="22"/>
          <w:szCs w:val="28"/>
          <w:highlight w:val="none"/>
        </w:rPr>
        <w:t>工作人员不得参加</w:t>
      </w:r>
      <w:r>
        <w:rPr>
          <w:rFonts w:hint="eastAsia"/>
          <w:color w:val="auto"/>
          <w:sz w:val="22"/>
          <w:szCs w:val="28"/>
          <w:highlight w:val="none"/>
          <w:lang w:val="en-US" w:eastAsia="zh-CN"/>
        </w:rPr>
        <w:t>乙方</w:t>
      </w:r>
      <w:r>
        <w:rPr>
          <w:color w:val="auto"/>
          <w:sz w:val="22"/>
          <w:szCs w:val="28"/>
          <w:highlight w:val="none"/>
        </w:rPr>
        <w:t>安排的超标准宴请和娱乐活动；不得接受</w:t>
      </w:r>
      <w:r>
        <w:rPr>
          <w:rFonts w:hint="eastAsia"/>
          <w:color w:val="auto"/>
          <w:sz w:val="22"/>
          <w:szCs w:val="28"/>
          <w:highlight w:val="none"/>
          <w:lang w:val="en-US" w:eastAsia="zh-CN"/>
        </w:rPr>
        <w:t>乙方</w:t>
      </w:r>
      <w:r>
        <w:rPr>
          <w:color w:val="auto"/>
          <w:sz w:val="22"/>
          <w:szCs w:val="28"/>
          <w:highlight w:val="none"/>
        </w:rPr>
        <w:t>提供的通讯工具和高档办公用品等。</w:t>
      </w:r>
    </w:p>
    <w:p w14:paraId="6758A757">
      <w:pPr>
        <w:spacing w:line="360" w:lineRule="auto"/>
        <w:ind w:firstLine="440" w:firstLineChars="200"/>
        <w:rPr>
          <w:color w:val="auto"/>
          <w:sz w:val="22"/>
          <w:szCs w:val="28"/>
          <w:highlight w:val="none"/>
        </w:rPr>
      </w:pPr>
      <w:r>
        <w:rPr>
          <w:color w:val="auto"/>
          <w:sz w:val="22"/>
          <w:szCs w:val="28"/>
          <w:highlight w:val="none"/>
        </w:rPr>
        <w:t>（3）</w:t>
      </w:r>
      <w:r>
        <w:rPr>
          <w:rFonts w:hint="eastAsia"/>
          <w:color w:val="auto"/>
          <w:sz w:val="22"/>
          <w:szCs w:val="28"/>
          <w:highlight w:val="none"/>
          <w:lang w:val="en-US" w:eastAsia="zh-CN"/>
        </w:rPr>
        <w:t>甲方</w:t>
      </w:r>
      <w:r>
        <w:rPr>
          <w:color w:val="auto"/>
          <w:sz w:val="22"/>
          <w:szCs w:val="28"/>
          <w:highlight w:val="none"/>
        </w:rPr>
        <w:t>及其工作人员不得要求或者接受</w:t>
      </w:r>
      <w:r>
        <w:rPr>
          <w:rFonts w:hint="eastAsia"/>
          <w:color w:val="auto"/>
          <w:sz w:val="22"/>
          <w:szCs w:val="28"/>
          <w:highlight w:val="none"/>
          <w:lang w:val="en-US" w:eastAsia="zh-CN"/>
        </w:rPr>
        <w:t>乙方</w:t>
      </w:r>
      <w:r>
        <w:rPr>
          <w:color w:val="auto"/>
          <w:sz w:val="22"/>
          <w:szCs w:val="28"/>
          <w:highlight w:val="none"/>
        </w:rPr>
        <w:t>为其住房装修、婚丧嫁娶活动、配偶子女的工作安排以及出国出境、旅游等提供方便等。</w:t>
      </w:r>
    </w:p>
    <w:p w14:paraId="4F3120BC">
      <w:pPr>
        <w:spacing w:line="360" w:lineRule="auto"/>
        <w:ind w:firstLine="440" w:firstLineChars="200"/>
        <w:rPr>
          <w:color w:val="auto"/>
          <w:sz w:val="22"/>
          <w:szCs w:val="28"/>
          <w:highlight w:val="none"/>
        </w:rPr>
      </w:pPr>
      <w:r>
        <w:rPr>
          <w:color w:val="auto"/>
          <w:sz w:val="22"/>
          <w:szCs w:val="28"/>
          <w:highlight w:val="none"/>
        </w:rPr>
        <w:t>（4）</w:t>
      </w:r>
      <w:r>
        <w:rPr>
          <w:rFonts w:hint="eastAsia"/>
          <w:color w:val="auto"/>
          <w:sz w:val="22"/>
          <w:szCs w:val="28"/>
          <w:highlight w:val="none"/>
          <w:lang w:val="en-US" w:eastAsia="zh-CN"/>
        </w:rPr>
        <w:t>甲方</w:t>
      </w:r>
      <w:r>
        <w:rPr>
          <w:color w:val="auto"/>
          <w:sz w:val="22"/>
          <w:szCs w:val="28"/>
          <w:highlight w:val="none"/>
        </w:rPr>
        <w:t>工作人员及其配偶、子女不得从事与</w:t>
      </w:r>
      <w:r>
        <w:rPr>
          <w:rFonts w:hint="eastAsia"/>
          <w:color w:val="auto"/>
          <w:sz w:val="22"/>
          <w:szCs w:val="28"/>
          <w:highlight w:val="none"/>
          <w:lang w:val="en-US" w:eastAsia="zh-CN"/>
        </w:rPr>
        <w:t>甲方</w:t>
      </w:r>
      <w:r>
        <w:rPr>
          <w:color w:val="auto"/>
          <w:sz w:val="22"/>
          <w:szCs w:val="28"/>
          <w:highlight w:val="none"/>
        </w:rPr>
        <w:t>工程有关的材料设备供应、工程分包、劳务等经济活动等。</w:t>
      </w:r>
    </w:p>
    <w:p w14:paraId="72DA98D3">
      <w:pPr>
        <w:spacing w:line="360" w:lineRule="auto"/>
        <w:ind w:firstLine="440" w:firstLineChars="200"/>
        <w:rPr>
          <w:color w:val="auto"/>
          <w:sz w:val="22"/>
          <w:szCs w:val="28"/>
          <w:highlight w:val="none"/>
        </w:rPr>
      </w:pPr>
      <w:r>
        <w:rPr>
          <w:color w:val="auto"/>
          <w:sz w:val="22"/>
          <w:szCs w:val="28"/>
          <w:highlight w:val="none"/>
        </w:rPr>
        <w:t>（5）</w:t>
      </w:r>
      <w:r>
        <w:rPr>
          <w:rFonts w:hint="eastAsia"/>
          <w:color w:val="auto"/>
          <w:sz w:val="22"/>
          <w:szCs w:val="28"/>
          <w:highlight w:val="none"/>
          <w:lang w:val="en-US" w:eastAsia="zh-CN"/>
        </w:rPr>
        <w:t>甲方</w:t>
      </w:r>
      <w:r>
        <w:rPr>
          <w:color w:val="auto"/>
          <w:sz w:val="22"/>
          <w:szCs w:val="28"/>
          <w:highlight w:val="none"/>
        </w:rPr>
        <w:t>及其工作人员不得以任何理由向</w:t>
      </w:r>
      <w:r>
        <w:rPr>
          <w:rFonts w:hint="eastAsia"/>
          <w:color w:val="auto"/>
          <w:sz w:val="22"/>
          <w:szCs w:val="28"/>
          <w:highlight w:val="none"/>
          <w:lang w:val="en-US" w:eastAsia="zh-CN"/>
        </w:rPr>
        <w:t>乙方</w:t>
      </w:r>
      <w:r>
        <w:rPr>
          <w:color w:val="auto"/>
          <w:sz w:val="22"/>
          <w:szCs w:val="28"/>
          <w:highlight w:val="none"/>
        </w:rPr>
        <w:t>推荐分包单位或推销材料</w:t>
      </w:r>
      <w:r>
        <w:rPr>
          <w:rFonts w:hint="eastAsia"/>
          <w:color w:val="auto"/>
          <w:sz w:val="22"/>
          <w:szCs w:val="28"/>
          <w:highlight w:val="none"/>
          <w:lang w:eastAsia="zh-CN"/>
        </w:rPr>
        <w:t>、</w:t>
      </w:r>
      <w:r>
        <w:rPr>
          <w:rFonts w:hint="eastAsia"/>
          <w:color w:val="auto"/>
          <w:sz w:val="22"/>
          <w:szCs w:val="28"/>
          <w:highlight w:val="none"/>
          <w:lang w:val="en-US" w:eastAsia="zh-CN"/>
        </w:rPr>
        <w:t>产品、设备</w:t>
      </w:r>
      <w:r>
        <w:rPr>
          <w:color w:val="auto"/>
          <w:sz w:val="22"/>
          <w:szCs w:val="28"/>
          <w:highlight w:val="none"/>
        </w:rPr>
        <w:t>，不得要求</w:t>
      </w:r>
      <w:r>
        <w:rPr>
          <w:rFonts w:hint="eastAsia"/>
          <w:color w:val="auto"/>
          <w:sz w:val="22"/>
          <w:szCs w:val="28"/>
          <w:highlight w:val="none"/>
          <w:lang w:val="en-US" w:eastAsia="zh-CN"/>
        </w:rPr>
        <w:t>乙方</w:t>
      </w:r>
      <w:r>
        <w:rPr>
          <w:color w:val="auto"/>
          <w:sz w:val="22"/>
          <w:szCs w:val="28"/>
          <w:highlight w:val="none"/>
        </w:rPr>
        <w:t>购买合同规定外的材料和设备。</w:t>
      </w:r>
    </w:p>
    <w:p w14:paraId="0CFBB9A2">
      <w:pPr>
        <w:spacing w:line="360" w:lineRule="auto"/>
        <w:ind w:firstLine="440" w:firstLineChars="200"/>
        <w:rPr>
          <w:color w:val="auto"/>
          <w:sz w:val="22"/>
          <w:szCs w:val="28"/>
          <w:highlight w:val="none"/>
        </w:rPr>
      </w:pPr>
      <w:r>
        <w:rPr>
          <w:color w:val="auto"/>
          <w:sz w:val="22"/>
          <w:szCs w:val="28"/>
          <w:highlight w:val="none"/>
        </w:rPr>
        <w:t>（6）</w:t>
      </w:r>
      <w:r>
        <w:rPr>
          <w:rFonts w:hint="eastAsia"/>
          <w:color w:val="auto"/>
          <w:sz w:val="22"/>
          <w:szCs w:val="28"/>
          <w:highlight w:val="none"/>
          <w:lang w:val="en-US" w:eastAsia="zh-CN"/>
        </w:rPr>
        <w:t>甲方</w:t>
      </w:r>
      <w:r>
        <w:rPr>
          <w:color w:val="auto"/>
          <w:sz w:val="22"/>
          <w:szCs w:val="28"/>
          <w:highlight w:val="none"/>
        </w:rPr>
        <w:t>工作人员要秉公办事，不准营私舞弊，不准利用职权从事各种个人有偿中介活动和安排个人施工队伍。</w:t>
      </w:r>
      <w:r>
        <w:rPr>
          <w:rFonts w:hint="eastAsia"/>
          <w:color w:val="auto"/>
          <w:sz w:val="22"/>
          <w:szCs w:val="28"/>
          <w:highlight w:val="none"/>
          <w:lang w:val="en-US" w:eastAsia="zh-CN"/>
        </w:rPr>
        <w:t xml:space="preserve"> </w:t>
      </w:r>
    </w:p>
    <w:p w14:paraId="42F7063C">
      <w:pPr>
        <w:spacing w:line="360" w:lineRule="auto"/>
        <w:ind w:firstLine="440" w:firstLineChars="200"/>
        <w:rPr>
          <w:color w:val="auto"/>
          <w:sz w:val="22"/>
          <w:szCs w:val="28"/>
          <w:highlight w:val="none"/>
        </w:rPr>
      </w:pPr>
      <w:r>
        <w:rPr>
          <w:rFonts w:hint="eastAsia"/>
          <w:color w:val="auto"/>
          <w:sz w:val="22"/>
          <w:szCs w:val="28"/>
          <w:highlight w:val="none"/>
          <w:lang w:val="en-US" w:eastAsia="zh-CN"/>
        </w:rPr>
        <w:t xml:space="preserve">（7）甲方及其工作人员不得有其他可能影响廉洁从业的行为。 </w:t>
      </w:r>
    </w:p>
    <w:p w14:paraId="6B7238C1">
      <w:pPr>
        <w:spacing w:line="360" w:lineRule="auto"/>
        <w:ind w:firstLine="440" w:firstLineChars="200"/>
        <w:rPr>
          <w:color w:val="auto"/>
          <w:sz w:val="22"/>
          <w:szCs w:val="28"/>
          <w:highlight w:val="none"/>
        </w:rPr>
      </w:pPr>
      <w:r>
        <w:rPr>
          <w:color w:val="auto"/>
          <w:sz w:val="22"/>
          <w:szCs w:val="28"/>
          <w:highlight w:val="none"/>
        </w:rPr>
        <w:t>3．</w:t>
      </w:r>
      <w:r>
        <w:rPr>
          <w:rFonts w:hint="eastAsia"/>
          <w:color w:val="auto"/>
          <w:sz w:val="22"/>
          <w:szCs w:val="28"/>
          <w:highlight w:val="none"/>
          <w:lang w:val="en-US" w:eastAsia="zh-CN"/>
        </w:rPr>
        <w:t>乙方</w:t>
      </w:r>
      <w:r>
        <w:rPr>
          <w:color w:val="auto"/>
          <w:sz w:val="22"/>
          <w:szCs w:val="28"/>
          <w:highlight w:val="none"/>
        </w:rPr>
        <w:t>义务</w:t>
      </w:r>
    </w:p>
    <w:p w14:paraId="3429DBF1">
      <w:pPr>
        <w:spacing w:line="360" w:lineRule="auto"/>
        <w:ind w:firstLine="440" w:firstLineChars="200"/>
        <w:rPr>
          <w:color w:val="auto"/>
          <w:sz w:val="22"/>
          <w:szCs w:val="28"/>
          <w:highlight w:val="none"/>
        </w:rPr>
      </w:pPr>
      <w:r>
        <w:rPr>
          <w:color w:val="auto"/>
          <w:sz w:val="22"/>
          <w:szCs w:val="28"/>
          <w:highlight w:val="none"/>
        </w:rPr>
        <w:t>（1）</w:t>
      </w:r>
      <w:r>
        <w:rPr>
          <w:rFonts w:hint="eastAsia"/>
          <w:color w:val="auto"/>
          <w:sz w:val="22"/>
          <w:szCs w:val="28"/>
          <w:highlight w:val="none"/>
          <w:lang w:val="en-US" w:eastAsia="zh-CN"/>
        </w:rPr>
        <w:t>乙方</w:t>
      </w:r>
      <w:r>
        <w:rPr>
          <w:color w:val="auto"/>
          <w:sz w:val="22"/>
          <w:szCs w:val="28"/>
          <w:highlight w:val="none"/>
        </w:rPr>
        <w:t>不得以任何理由向</w:t>
      </w:r>
      <w:r>
        <w:rPr>
          <w:rFonts w:hint="eastAsia"/>
          <w:color w:val="auto"/>
          <w:sz w:val="22"/>
          <w:szCs w:val="28"/>
          <w:highlight w:val="none"/>
          <w:lang w:val="en-US" w:eastAsia="zh-CN"/>
        </w:rPr>
        <w:t>甲方</w:t>
      </w:r>
      <w:r>
        <w:rPr>
          <w:color w:val="auto"/>
          <w:sz w:val="22"/>
          <w:szCs w:val="28"/>
          <w:highlight w:val="none"/>
        </w:rPr>
        <w:t>及其工作人员行贿或馈赠礼金、有价证券、贵重礼品。</w:t>
      </w:r>
    </w:p>
    <w:p w14:paraId="61AE0B86">
      <w:pPr>
        <w:spacing w:line="360" w:lineRule="auto"/>
        <w:ind w:firstLine="440" w:firstLineChars="200"/>
        <w:rPr>
          <w:color w:val="auto"/>
          <w:sz w:val="22"/>
          <w:szCs w:val="28"/>
          <w:highlight w:val="none"/>
        </w:rPr>
      </w:pPr>
      <w:r>
        <w:rPr>
          <w:color w:val="auto"/>
          <w:sz w:val="22"/>
          <w:szCs w:val="28"/>
          <w:highlight w:val="none"/>
        </w:rPr>
        <w:t>（2）</w:t>
      </w:r>
      <w:r>
        <w:rPr>
          <w:rFonts w:hint="eastAsia"/>
          <w:color w:val="auto"/>
          <w:sz w:val="22"/>
          <w:szCs w:val="28"/>
          <w:highlight w:val="none"/>
          <w:lang w:val="en-US" w:eastAsia="zh-CN"/>
        </w:rPr>
        <w:t>乙方</w:t>
      </w:r>
      <w:r>
        <w:rPr>
          <w:color w:val="auto"/>
          <w:sz w:val="22"/>
          <w:szCs w:val="28"/>
          <w:highlight w:val="none"/>
        </w:rPr>
        <w:t>不得以任何名义为</w:t>
      </w:r>
      <w:r>
        <w:rPr>
          <w:rFonts w:hint="eastAsia"/>
          <w:color w:val="auto"/>
          <w:sz w:val="22"/>
          <w:szCs w:val="28"/>
          <w:highlight w:val="none"/>
          <w:lang w:val="en-US" w:eastAsia="zh-CN"/>
        </w:rPr>
        <w:t>甲方</w:t>
      </w:r>
      <w:r>
        <w:rPr>
          <w:color w:val="auto"/>
          <w:sz w:val="22"/>
          <w:szCs w:val="28"/>
          <w:highlight w:val="none"/>
        </w:rPr>
        <w:t>及其工作人员报销应由</w:t>
      </w:r>
      <w:r>
        <w:rPr>
          <w:rFonts w:hint="eastAsia"/>
          <w:color w:val="auto"/>
          <w:sz w:val="22"/>
          <w:szCs w:val="28"/>
          <w:highlight w:val="none"/>
          <w:lang w:val="en-US" w:eastAsia="zh-CN"/>
        </w:rPr>
        <w:t>甲方</w:t>
      </w:r>
      <w:r>
        <w:rPr>
          <w:color w:val="auto"/>
          <w:sz w:val="22"/>
          <w:szCs w:val="28"/>
          <w:highlight w:val="none"/>
        </w:rPr>
        <w:t>单位或个人支付的任何费用。</w:t>
      </w:r>
    </w:p>
    <w:p w14:paraId="41C15BB5">
      <w:pPr>
        <w:spacing w:line="360" w:lineRule="auto"/>
        <w:ind w:firstLine="440" w:firstLineChars="200"/>
        <w:rPr>
          <w:color w:val="auto"/>
          <w:sz w:val="22"/>
          <w:szCs w:val="28"/>
          <w:highlight w:val="none"/>
        </w:rPr>
      </w:pPr>
      <w:r>
        <w:rPr>
          <w:color w:val="auto"/>
          <w:sz w:val="22"/>
          <w:szCs w:val="28"/>
          <w:highlight w:val="none"/>
        </w:rPr>
        <w:t>（3）</w:t>
      </w:r>
      <w:r>
        <w:rPr>
          <w:rFonts w:hint="eastAsia"/>
          <w:color w:val="auto"/>
          <w:sz w:val="22"/>
          <w:szCs w:val="28"/>
          <w:highlight w:val="none"/>
          <w:lang w:val="en-US" w:eastAsia="zh-CN"/>
        </w:rPr>
        <w:t>乙方</w:t>
      </w:r>
      <w:r>
        <w:rPr>
          <w:color w:val="auto"/>
          <w:sz w:val="22"/>
          <w:szCs w:val="28"/>
          <w:highlight w:val="none"/>
        </w:rPr>
        <w:t>不得以任何理由安排</w:t>
      </w:r>
      <w:r>
        <w:rPr>
          <w:rFonts w:hint="eastAsia"/>
          <w:color w:val="auto"/>
          <w:sz w:val="22"/>
          <w:szCs w:val="28"/>
          <w:highlight w:val="none"/>
          <w:lang w:val="en-US" w:eastAsia="zh-CN"/>
        </w:rPr>
        <w:t>甲方</w:t>
      </w:r>
      <w:r>
        <w:rPr>
          <w:color w:val="auto"/>
          <w:sz w:val="22"/>
          <w:szCs w:val="28"/>
          <w:highlight w:val="none"/>
        </w:rPr>
        <w:t>工作人员参加超标准宴请及娱乐活动。</w:t>
      </w:r>
    </w:p>
    <w:p w14:paraId="123E348F">
      <w:pPr>
        <w:spacing w:line="360" w:lineRule="auto"/>
        <w:ind w:firstLine="440" w:firstLineChars="200"/>
        <w:rPr>
          <w:color w:val="auto"/>
          <w:sz w:val="22"/>
          <w:szCs w:val="28"/>
          <w:highlight w:val="none"/>
        </w:rPr>
      </w:pPr>
      <w:r>
        <w:rPr>
          <w:color w:val="auto"/>
          <w:sz w:val="22"/>
          <w:szCs w:val="28"/>
          <w:highlight w:val="none"/>
        </w:rPr>
        <w:t>（4）</w:t>
      </w:r>
      <w:r>
        <w:rPr>
          <w:rFonts w:hint="eastAsia"/>
          <w:color w:val="auto"/>
          <w:sz w:val="22"/>
          <w:szCs w:val="28"/>
          <w:highlight w:val="none"/>
          <w:lang w:val="en-US" w:eastAsia="zh-CN"/>
        </w:rPr>
        <w:t>乙方</w:t>
      </w:r>
      <w:r>
        <w:rPr>
          <w:color w:val="auto"/>
          <w:sz w:val="22"/>
          <w:szCs w:val="28"/>
          <w:highlight w:val="none"/>
        </w:rPr>
        <w:t>不得为</w:t>
      </w:r>
      <w:r>
        <w:rPr>
          <w:rFonts w:hint="eastAsia"/>
          <w:color w:val="auto"/>
          <w:sz w:val="22"/>
          <w:szCs w:val="28"/>
          <w:highlight w:val="none"/>
          <w:lang w:val="en-US" w:eastAsia="zh-CN"/>
        </w:rPr>
        <w:t>甲方</w:t>
      </w:r>
      <w:r>
        <w:rPr>
          <w:color w:val="auto"/>
          <w:sz w:val="22"/>
          <w:szCs w:val="28"/>
          <w:highlight w:val="none"/>
        </w:rPr>
        <w:t>单位和个人购置或提拱通讯工具和高档办公用品等。</w:t>
      </w:r>
    </w:p>
    <w:p w14:paraId="5899121B">
      <w:pPr>
        <w:spacing w:line="360" w:lineRule="auto"/>
        <w:ind w:firstLine="440" w:firstLineChars="200"/>
        <w:rPr>
          <w:color w:val="auto"/>
          <w:sz w:val="22"/>
          <w:szCs w:val="28"/>
          <w:highlight w:val="none"/>
        </w:rPr>
      </w:pPr>
      <w:r>
        <w:rPr>
          <w:rFonts w:hint="eastAsia"/>
          <w:color w:val="auto"/>
          <w:sz w:val="22"/>
          <w:szCs w:val="28"/>
          <w:highlight w:val="none"/>
          <w:lang w:val="en-US" w:eastAsia="zh-CN"/>
        </w:rPr>
        <w:t>（</w:t>
      </w:r>
      <w:r>
        <w:rPr>
          <w:rFonts w:hint="default"/>
          <w:color w:val="auto"/>
          <w:sz w:val="22"/>
          <w:szCs w:val="28"/>
          <w:highlight w:val="none"/>
          <w:lang w:val="en-US" w:eastAsia="zh-CN"/>
        </w:rPr>
        <w:t>5</w:t>
      </w:r>
      <w:r>
        <w:rPr>
          <w:rFonts w:hint="eastAsia"/>
          <w:color w:val="auto"/>
          <w:sz w:val="22"/>
          <w:szCs w:val="28"/>
          <w:highlight w:val="none"/>
          <w:lang w:val="en-US" w:eastAsia="zh-CN"/>
        </w:rPr>
        <w:t xml:space="preserve">）乙方及其工作人员不得为甲方工作人员住房装修、婚丧嫁娶、特定关系人的工作安排以及出国、旅游等提供方便；不得为甲方工作人员的特定关系人以安排工作为名，使其不实际工作却获取薪酬。 </w:t>
      </w:r>
    </w:p>
    <w:p w14:paraId="27340497">
      <w:pPr>
        <w:spacing w:line="360" w:lineRule="auto"/>
        <w:ind w:firstLine="440" w:firstLineChars="200"/>
        <w:rPr>
          <w:color w:val="auto"/>
          <w:sz w:val="22"/>
          <w:szCs w:val="28"/>
          <w:highlight w:val="none"/>
        </w:rPr>
      </w:pPr>
      <w:r>
        <w:rPr>
          <w:rFonts w:hint="eastAsia"/>
          <w:color w:val="auto"/>
          <w:sz w:val="22"/>
          <w:szCs w:val="28"/>
          <w:highlight w:val="none"/>
          <w:lang w:val="en-US" w:eastAsia="zh-CN"/>
        </w:rPr>
        <w:t>（</w:t>
      </w:r>
      <w:r>
        <w:rPr>
          <w:rFonts w:hint="default"/>
          <w:color w:val="auto"/>
          <w:sz w:val="22"/>
          <w:szCs w:val="28"/>
          <w:highlight w:val="none"/>
          <w:lang w:val="en-US" w:eastAsia="zh-CN"/>
        </w:rPr>
        <w:t>6</w:t>
      </w:r>
      <w:r>
        <w:rPr>
          <w:rFonts w:hint="eastAsia"/>
          <w:color w:val="auto"/>
          <w:sz w:val="22"/>
          <w:szCs w:val="28"/>
          <w:highlight w:val="none"/>
          <w:lang w:val="en-US" w:eastAsia="zh-CN"/>
        </w:rPr>
        <w:t xml:space="preserve">）乙方及其工作人员不得与本项目的监理单位、验收单位及其工作人员串通，违反工程计量、资金支付、质量评定、竣工验收等有关规定和程序，损害乙方甲方利益，影响项目进度、质量、安全和效益，不得骗取、套取国家资金。 </w:t>
      </w:r>
    </w:p>
    <w:p w14:paraId="08E33284">
      <w:pPr>
        <w:spacing w:line="360" w:lineRule="auto"/>
        <w:ind w:firstLine="440" w:firstLineChars="200"/>
        <w:rPr>
          <w:color w:val="auto"/>
          <w:sz w:val="22"/>
          <w:szCs w:val="28"/>
          <w:highlight w:val="none"/>
        </w:rPr>
      </w:pPr>
      <w:r>
        <w:rPr>
          <w:rFonts w:hint="eastAsia"/>
          <w:color w:val="auto"/>
          <w:sz w:val="22"/>
          <w:szCs w:val="28"/>
          <w:highlight w:val="none"/>
          <w:lang w:val="en-US" w:eastAsia="zh-CN"/>
        </w:rPr>
        <w:t>（</w:t>
      </w:r>
      <w:r>
        <w:rPr>
          <w:rFonts w:hint="default"/>
          <w:color w:val="auto"/>
          <w:sz w:val="22"/>
          <w:szCs w:val="28"/>
          <w:highlight w:val="none"/>
          <w:lang w:val="en-US" w:eastAsia="zh-CN"/>
        </w:rPr>
        <w:t>7</w:t>
      </w:r>
      <w:r>
        <w:rPr>
          <w:rFonts w:hint="eastAsia"/>
          <w:color w:val="auto"/>
          <w:sz w:val="22"/>
          <w:szCs w:val="28"/>
          <w:highlight w:val="none"/>
          <w:lang w:val="en-US" w:eastAsia="zh-CN"/>
        </w:rPr>
        <w:t xml:space="preserve">）乙方应在项目地的显著位置设立廉政公示牌，公示项目的名称、项目乙方、项目监理单位、项目开竣工时间，以及项目管理单位和督查单位及廉政建设举报电话。 </w:t>
      </w:r>
    </w:p>
    <w:p w14:paraId="7D33EBBB">
      <w:pPr>
        <w:spacing w:line="360" w:lineRule="auto"/>
        <w:ind w:firstLine="440" w:firstLineChars="200"/>
        <w:rPr>
          <w:color w:val="auto"/>
          <w:sz w:val="22"/>
          <w:szCs w:val="28"/>
          <w:highlight w:val="none"/>
        </w:rPr>
      </w:pPr>
      <w:r>
        <w:rPr>
          <w:rFonts w:hint="eastAsia"/>
          <w:color w:val="auto"/>
          <w:sz w:val="22"/>
          <w:szCs w:val="28"/>
          <w:highlight w:val="none"/>
          <w:lang w:val="en-US" w:eastAsia="zh-CN"/>
        </w:rPr>
        <w:t>（</w:t>
      </w:r>
      <w:r>
        <w:rPr>
          <w:rFonts w:hint="default"/>
          <w:color w:val="auto"/>
          <w:sz w:val="22"/>
          <w:szCs w:val="28"/>
          <w:highlight w:val="none"/>
          <w:lang w:val="en-US" w:eastAsia="zh-CN"/>
        </w:rPr>
        <w:t>8</w:t>
      </w:r>
      <w:r>
        <w:rPr>
          <w:rFonts w:hint="eastAsia"/>
          <w:color w:val="auto"/>
          <w:sz w:val="22"/>
          <w:szCs w:val="28"/>
          <w:highlight w:val="none"/>
          <w:lang w:val="en-US" w:eastAsia="zh-CN"/>
        </w:rPr>
        <w:t xml:space="preserve">）乙方及其工作人员不得有其他可能影响廉洁从业的行为。 </w:t>
      </w:r>
    </w:p>
    <w:p w14:paraId="18C81D9F">
      <w:pPr>
        <w:spacing w:line="360" w:lineRule="auto"/>
        <w:ind w:firstLine="440" w:firstLineChars="200"/>
        <w:rPr>
          <w:color w:val="auto"/>
          <w:sz w:val="22"/>
          <w:szCs w:val="28"/>
          <w:highlight w:val="none"/>
        </w:rPr>
      </w:pPr>
      <w:r>
        <w:rPr>
          <w:color w:val="auto"/>
          <w:sz w:val="22"/>
          <w:szCs w:val="28"/>
          <w:highlight w:val="none"/>
        </w:rPr>
        <w:t>4．违约责任</w:t>
      </w:r>
    </w:p>
    <w:p w14:paraId="3BEFF642">
      <w:pPr>
        <w:spacing w:line="360" w:lineRule="auto"/>
        <w:ind w:firstLine="440" w:firstLineChars="200"/>
        <w:rPr>
          <w:color w:val="auto"/>
          <w:sz w:val="22"/>
          <w:szCs w:val="28"/>
          <w:highlight w:val="none"/>
        </w:rPr>
      </w:pPr>
      <w:r>
        <w:rPr>
          <w:color w:val="auto"/>
          <w:sz w:val="22"/>
          <w:szCs w:val="28"/>
          <w:highlight w:val="none"/>
        </w:rPr>
        <w:t>（1）</w:t>
      </w:r>
      <w:r>
        <w:rPr>
          <w:rFonts w:hint="eastAsia"/>
          <w:color w:val="auto"/>
          <w:sz w:val="22"/>
          <w:szCs w:val="28"/>
          <w:highlight w:val="none"/>
          <w:lang w:val="en-US" w:eastAsia="zh-CN"/>
        </w:rPr>
        <w:t>甲方</w:t>
      </w:r>
      <w:r>
        <w:rPr>
          <w:color w:val="auto"/>
          <w:sz w:val="22"/>
          <w:szCs w:val="28"/>
          <w:highlight w:val="none"/>
        </w:rPr>
        <w:t>及其工作人员违反本合同第1、2条，按管理权限，依据有关规定给予党纪、政纪或组织处理；涉嫌犯罪的，移交司法机关追究刑事责任；给</w:t>
      </w:r>
      <w:r>
        <w:rPr>
          <w:rFonts w:hint="eastAsia"/>
          <w:color w:val="auto"/>
          <w:sz w:val="22"/>
          <w:szCs w:val="28"/>
          <w:highlight w:val="none"/>
          <w:lang w:val="en-US" w:eastAsia="zh-CN"/>
        </w:rPr>
        <w:t>乙方</w:t>
      </w:r>
      <w:r>
        <w:rPr>
          <w:color w:val="auto"/>
          <w:sz w:val="22"/>
          <w:szCs w:val="28"/>
          <w:highlight w:val="none"/>
        </w:rPr>
        <w:t>单位造成经济损失的，应予以赔偿。</w:t>
      </w:r>
    </w:p>
    <w:p w14:paraId="1C850AA7">
      <w:pPr>
        <w:spacing w:line="360" w:lineRule="auto"/>
        <w:ind w:firstLine="440" w:firstLineChars="200"/>
        <w:rPr>
          <w:color w:val="auto"/>
          <w:sz w:val="22"/>
          <w:szCs w:val="28"/>
          <w:highlight w:val="none"/>
        </w:rPr>
      </w:pPr>
      <w:r>
        <w:rPr>
          <w:color w:val="auto"/>
          <w:sz w:val="22"/>
          <w:szCs w:val="28"/>
          <w:highlight w:val="none"/>
        </w:rPr>
        <w:t>（2）</w:t>
      </w:r>
      <w:r>
        <w:rPr>
          <w:rFonts w:hint="eastAsia"/>
          <w:color w:val="auto"/>
          <w:sz w:val="22"/>
          <w:szCs w:val="28"/>
          <w:highlight w:val="none"/>
          <w:lang w:val="en-US" w:eastAsia="zh-CN"/>
        </w:rPr>
        <w:t>乙方</w:t>
      </w:r>
      <w:r>
        <w:rPr>
          <w:color w:val="auto"/>
          <w:sz w:val="22"/>
          <w:szCs w:val="28"/>
          <w:highlight w:val="none"/>
        </w:rPr>
        <w:t>及其工作人员违反本合同第1、3条，按管理权限，依据有关规定给予党纪、政纪或组织处理；给</w:t>
      </w:r>
      <w:r>
        <w:rPr>
          <w:rFonts w:hint="eastAsia"/>
          <w:color w:val="auto"/>
          <w:sz w:val="22"/>
          <w:szCs w:val="28"/>
          <w:highlight w:val="none"/>
          <w:lang w:val="en-US" w:eastAsia="zh-CN"/>
        </w:rPr>
        <w:t>甲方</w:t>
      </w:r>
      <w:r>
        <w:rPr>
          <w:color w:val="auto"/>
          <w:sz w:val="22"/>
          <w:szCs w:val="28"/>
          <w:highlight w:val="none"/>
        </w:rPr>
        <w:t>单位造成经济损失的，应予以赔偿；情节严重的，</w:t>
      </w:r>
      <w:r>
        <w:rPr>
          <w:rFonts w:hint="eastAsia"/>
          <w:color w:val="auto"/>
          <w:sz w:val="22"/>
          <w:szCs w:val="28"/>
          <w:highlight w:val="none"/>
          <w:lang w:val="en-US" w:eastAsia="zh-CN"/>
        </w:rPr>
        <w:t>甲方</w:t>
      </w:r>
      <w:r>
        <w:rPr>
          <w:color w:val="auto"/>
          <w:sz w:val="22"/>
          <w:szCs w:val="28"/>
          <w:highlight w:val="none"/>
        </w:rPr>
        <w:t>建议交通工程建设主管部门给予</w:t>
      </w:r>
      <w:r>
        <w:rPr>
          <w:rFonts w:hint="eastAsia"/>
          <w:color w:val="auto"/>
          <w:sz w:val="22"/>
          <w:szCs w:val="28"/>
          <w:highlight w:val="none"/>
          <w:lang w:val="en-US" w:eastAsia="zh-CN"/>
        </w:rPr>
        <w:t>乙方</w:t>
      </w:r>
      <w:r>
        <w:rPr>
          <w:color w:val="auto"/>
          <w:sz w:val="22"/>
          <w:szCs w:val="28"/>
          <w:highlight w:val="none"/>
        </w:rPr>
        <w:t>一至三年内不得进入其主管的交通工程建设市场的处罚。</w:t>
      </w:r>
    </w:p>
    <w:p w14:paraId="7CAA8985">
      <w:pPr>
        <w:spacing w:line="360" w:lineRule="auto"/>
        <w:ind w:firstLine="440" w:firstLineChars="200"/>
        <w:rPr>
          <w:color w:val="auto"/>
          <w:sz w:val="22"/>
          <w:szCs w:val="28"/>
          <w:highlight w:val="none"/>
        </w:rPr>
      </w:pPr>
      <w:r>
        <w:rPr>
          <w:color w:val="auto"/>
          <w:sz w:val="22"/>
          <w:szCs w:val="28"/>
          <w:highlight w:val="none"/>
        </w:rPr>
        <w:t>5．本合同有效期为</w:t>
      </w:r>
      <w:r>
        <w:rPr>
          <w:rFonts w:hint="eastAsia"/>
          <w:color w:val="auto"/>
          <w:sz w:val="22"/>
          <w:szCs w:val="28"/>
          <w:highlight w:val="none"/>
          <w:lang w:val="en-US" w:eastAsia="zh-CN"/>
        </w:rPr>
        <w:t>甲方</w:t>
      </w:r>
      <w:r>
        <w:rPr>
          <w:color w:val="auto"/>
          <w:sz w:val="22"/>
          <w:szCs w:val="28"/>
          <w:highlight w:val="none"/>
        </w:rPr>
        <w:t>和</w:t>
      </w:r>
      <w:r>
        <w:rPr>
          <w:rFonts w:hint="eastAsia"/>
          <w:color w:val="auto"/>
          <w:sz w:val="22"/>
          <w:szCs w:val="28"/>
          <w:highlight w:val="none"/>
          <w:lang w:val="en-US" w:eastAsia="zh-CN"/>
        </w:rPr>
        <w:t>乙方</w:t>
      </w:r>
      <w:r>
        <w:rPr>
          <w:color w:val="auto"/>
          <w:sz w:val="22"/>
          <w:szCs w:val="28"/>
          <w:highlight w:val="none"/>
        </w:rPr>
        <w:t>签署之日起至该工程项目竣工验收后止。</w:t>
      </w:r>
    </w:p>
    <w:p w14:paraId="357F6EAE">
      <w:pPr>
        <w:spacing w:line="360" w:lineRule="auto"/>
        <w:ind w:firstLine="440" w:firstLineChars="200"/>
        <w:rPr>
          <w:color w:val="auto"/>
          <w:sz w:val="22"/>
          <w:szCs w:val="28"/>
          <w:highlight w:val="none"/>
        </w:rPr>
      </w:pPr>
      <w:r>
        <w:rPr>
          <w:rFonts w:hint="eastAsia"/>
          <w:color w:val="auto"/>
          <w:sz w:val="22"/>
          <w:szCs w:val="28"/>
          <w:highlight w:val="none"/>
        </w:rPr>
        <w:t>6</w:t>
      </w:r>
      <w:r>
        <w:rPr>
          <w:color w:val="auto"/>
          <w:sz w:val="22"/>
          <w:szCs w:val="28"/>
          <w:highlight w:val="none"/>
        </w:rPr>
        <w:t>．本合同作为</w:t>
      </w:r>
      <w:r>
        <w:rPr>
          <w:color w:val="auto"/>
          <w:sz w:val="22"/>
          <w:szCs w:val="28"/>
          <w:highlight w:val="none"/>
          <w:u w:val="single"/>
        </w:rPr>
        <w:t xml:space="preserve">             </w:t>
      </w:r>
      <w:r>
        <w:rPr>
          <w:color w:val="auto"/>
          <w:sz w:val="22"/>
          <w:szCs w:val="28"/>
          <w:highlight w:val="none"/>
        </w:rPr>
        <w:t>（项目名称）合同文件的附件，与工程施工合同具有同等的法律效力，经合同双方签署立即生效。</w:t>
      </w:r>
    </w:p>
    <w:p w14:paraId="51EBE352">
      <w:pPr>
        <w:spacing w:line="360" w:lineRule="auto"/>
        <w:ind w:firstLine="440" w:firstLineChars="200"/>
        <w:rPr>
          <w:color w:val="auto"/>
          <w:highlight w:val="none"/>
        </w:rPr>
      </w:pPr>
      <w:r>
        <w:rPr>
          <w:rFonts w:hint="eastAsia"/>
          <w:color w:val="auto"/>
          <w:sz w:val="22"/>
          <w:szCs w:val="28"/>
          <w:highlight w:val="none"/>
        </w:rPr>
        <w:t>7</w:t>
      </w:r>
      <w:r>
        <w:rPr>
          <w:color w:val="auto"/>
          <w:sz w:val="22"/>
          <w:szCs w:val="28"/>
          <w:highlight w:val="none"/>
        </w:rPr>
        <w:t>．本协议正本二份、副本</w:t>
      </w:r>
      <w:r>
        <w:rPr>
          <w:color w:val="auto"/>
          <w:sz w:val="22"/>
          <w:szCs w:val="28"/>
          <w:highlight w:val="none"/>
          <w:u w:val="single"/>
        </w:rPr>
        <w:t xml:space="preserve">     </w:t>
      </w:r>
      <w:r>
        <w:rPr>
          <w:color w:val="auto"/>
          <w:sz w:val="22"/>
          <w:szCs w:val="28"/>
          <w:highlight w:val="none"/>
        </w:rPr>
        <w:t>份，合同双方各执正本一份，副本</w:t>
      </w:r>
      <w:r>
        <w:rPr>
          <w:color w:val="auto"/>
          <w:sz w:val="22"/>
          <w:szCs w:val="28"/>
          <w:highlight w:val="none"/>
          <w:u w:val="single"/>
        </w:rPr>
        <w:t xml:space="preserve">     </w:t>
      </w:r>
      <w:r>
        <w:rPr>
          <w:color w:val="auto"/>
          <w:sz w:val="22"/>
          <w:szCs w:val="28"/>
          <w:highlight w:val="none"/>
        </w:rPr>
        <w:t>份。</w:t>
      </w:r>
    </w:p>
    <w:p w14:paraId="72FB27B4">
      <w:pPr>
        <w:pStyle w:val="34"/>
        <w:ind w:firstLine="400"/>
        <w:rPr>
          <w:color w:val="auto"/>
          <w:highlight w:val="none"/>
        </w:rPr>
      </w:pPr>
    </w:p>
    <w:p w14:paraId="25950C27">
      <w:pPr>
        <w:spacing w:line="360" w:lineRule="auto"/>
        <w:rPr>
          <w:color w:val="auto"/>
          <w:sz w:val="22"/>
          <w:szCs w:val="22"/>
          <w:highlight w:val="none"/>
        </w:rPr>
      </w:pPr>
      <w:r>
        <w:rPr>
          <w:rFonts w:hint="eastAsia"/>
          <w:color w:val="auto"/>
          <w:sz w:val="22"/>
          <w:szCs w:val="22"/>
          <w:highlight w:val="none"/>
          <w:lang w:val="en-US" w:eastAsia="zh-CN"/>
        </w:rPr>
        <w:t>甲方</w:t>
      </w:r>
      <w:r>
        <w:rPr>
          <w:color w:val="auto"/>
          <w:sz w:val="22"/>
          <w:szCs w:val="22"/>
          <w:highlight w:val="none"/>
        </w:rPr>
        <w:t>：</w:t>
      </w:r>
      <w:r>
        <w:rPr>
          <w:color w:val="auto"/>
          <w:sz w:val="22"/>
          <w:szCs w:val="22"/>
          <w:highlight w:val="none"/>
          <w:u w:val="single"/>
        </w:rPr>
        <w:t xml:space="preserve">                  </w:t>
      </w:r>
      <w:r>
        <w:rPr>
          <w:color w:val="auto"/>
          <w:sz w:val="22"/>
          <w:szCs w:val="22"/>
          <w:highlight w:val="none"/>
        </w:rPr>
        <w:t xml:space="preserve">（盖单位章）   </w:t>
      </w:r>
      <w:r>
        <w:rPr>
          <w:rFonts w:hint="eastAsia"/>
          <w:color w:val="auto"/>
          <w:sz w:val="22"/>
          <w:szCs w:val="22"/>
          <w:highlight w:val="none"/>
          <w:lang w:val="en-US" w:eastAsia="zh-CN"/>
        </w:rPr>
        <w:t xml:space="preserve">  </w:t>
      </w:r>
      <w:r>
        <w:rPr>
          <w:color w:val="auto"/>
          <w:sz w:val="22"/>
          <w:szCs w:val="22"/>
          <w:highlight w:val="none"/>
        </w:rPr>
        <w:t xml:space="preserve"> </w:t>
      </w:r>
      <w:r>
        <w:rPr>
          <w:rFonts w:hint="eastAsia"/>
          <w:color w:val="auto"/>
          <w:sz w:val="22"/>
          <w:szCs w:val="22"/>
          <w:highlight w:val="none"/>
          <w:lang w:val="en-US" w:eastAsia="zh-CN"/>
        </w:rPr>
        <w:t>乙方</w:t>
      </w:r>
      <w:r>
        <w:rPr>
          <w:color w:val="auto"/>
          <w:sz w:val="22"/>
          <w:szCs w:val="22"/>
          <w:highlight w:val="none"/>
        </w:rPr>
        <w:t>：</w:t>
      </w:r>
      <w:r>
        <w:rPr>
          <w:color w:val="auto"/>
          <w:sz w:val="22"/>
          <w:szCs w:val="22"/>
          <w:highlight w:val="none"/>
          <w:u w:val="single"/>
        </w:rPr>
        <w:t xml:space="preserve">                    </w:t>
      </w:r>
      <w:r>
        <w:rPr>
          <w:color w:val="auto"/>
          <w:sz w:val="22"/>
          <w:szCs w:val="22"/>
          <w:highlight w:val="none"/>
        </w:rPr>
        <w:t>（盖单位章）</w:t>
      </w:r>
    </w:p>
    <w:p w14:paraId="4F7C13FF">
      <w:pPr>
        <w:spacing w:line="360" w:lineRule="auto"/>
        <w:rPr>
          <w:color w:val="auto"/>
          <w:sz w:val="22"/>
          <w:szCs w:val="22"/>
          <w:highlight w:val="none"/>
        </w:rPr>
      </w:pPr>
      <w:r>
        <w:rPr>
          <w:color w:val="auto"/>
          <w:sz w:val="22"/>
          <w:szCs w:val="22"/>
          <w:highlight w:val="none"/>
        </w:rPr>
        <w:t>法定代表人或其委托代理人：</w:t>
      </w:r>
      <w:r>
        <w:rPr>
          <w:color w:val="auto"/>
          <w:sz w:val="22"/>
          <w:szCs w:val="22"/>
          <w:highlight w:val="none"/>
          <w:u w:val="single"/>
        </w:rPr>
        <w:t xml:space="preserve">    </w:t>
      </w:r>
      <w:r>
        <w:rPr>
          <w:color w:val="auto"/>
          <w:sz w:val="22"/>
          <w:szCs w:val="22"/>
          <w:highlight w:val="none"/>
        </w:rPr>
        <w:t>（签字）    法定代表人或其委托代理人：</w:t>
      </w:r>
      <w:r>
        <w:rPr>
          <w:color w:val="auto"/>
          <w:sz w:val="22"/>
          <w:szCs w:val="22"/>
          <w:highlight w:val="none"/>
          <w:u w:val="single"/>
        </w:rPr>
        <w:t xml:space="preserve">      </w:t>
      </w:r>
      <w:r>
        <w:rPr>
          <w:color w:val="auto"/>
          <w:sz w:val="22"/>
          <w:szCs w:val="22"/>
          <w:highlight w:val="none"/>
        </w:rPr>
        <w:t>（签字）</w:t>
      </w:r>
    </w:p>
    <w:p w14:paraId="78026E69">
      <w:pPr>
        <w:spacing w:line="360" w:lineRule="auto"/>
        <w:ind w:firstLine="660" w:firstLineChars="300"/>
        <w:rPr>
          <w:color w:val="auto"/>
          <w:sz w:val="22"/>
          <w:szCs w:val="28"/>
          <w:highlight w:val="none"/>
          <w:u w:val="single"/>
        </w:rPr>
      </w:pPr>
      <w:r>
        <w:rPr>
          <w:color w:val="auto"/>
          <w:sz w:val="22"/>
          <w:szCs w:val="22"/>
          <w:highlight w:val="none"/>
          <w:u w:val="single"/>
        </w:rPr>
        <w:t xml:space="preserve">         </w:t>
      </w:r>
      <w:r>
        <w:rPr>
          <w:color w:val="auto"/>
          <w:sz w:val="22"/>
          <w:szCs w:val="22"/>
          <w:highlight w:val="none"/>
        </w:rPr>
        <w:t>年</w:t>
      </w:r>
      <w:r>
        <w:rPr>
          <w:color w:val="auto"/>
          <w:sz w:val="22"/>
          <w:szCs w:val="22"/>
          <w:highlight w:val="none"/>
          <w:u w:val="single"/>
        </w:rPr>
        <w:t xml:space="preserve">       </w:t>
      </w:r>
      <w:r>
        <w:rPr>
          <w:color w:val="auto"/>
          <w:sz w:val="22"/>
          <w:szCs w:val="22"/>
          <w:highlight w:val="none"/>
        </w:rPr>
        <w:t xml:space="preserve">月 </w:t>
      </w:r>
      <w:r>
        <w:rPr>
          <w:color w:val="auto"/>
          <w:sz w:val="22"/>
          <w:szCs w:val="22"/>
          <w:highlight w:val="none"/>
          <w:u w:val="single"/>
        </w:rPr>
        <w:t xml:space="preserve">       </w:t>
      </w:r>
      <w:r>
        <w:rPr>
          <w:color w:val="auto"/>
          <w:sz w:val="22"/>
          <w:szCs w:val="22"/>
          <w:highlight w:val="none"/>
        </w:rPr>
        <w:t xml:space="preserve"> 日          </w:t>
      </w:r>
      <w:r>
        <w:rPr>
          <w:color w:val="auto"/>
          <w:sz w:val="22"/>
          <w:szCs w:val="22"/>
          <w:highlight w:val="none"/>
          <w:u w:val="single"/>
        </w:rPr>
        <w:t xml:space="preserve">        </w:t>
      </w:r>
      <w:r>
        <w:rPr>
          <w:color w:val="auto"/>
          <w:sz w:val="22"/>
          <w:szCs w:val="22"/>
          <w:highlight w:val="none"/>
        </w:rPr>
        <w:t>年</w:t>
      </w:r>
      <w:r>
        <w:rPr>
          <w:color w:val="auto"/>
          <w:sz w:val="22"/>
          <w:szCs w:val="22"/>
          <w:highlight w:val="none"/>
          <w:u w:val="single"/>
        </w:rPr>
        <w:t xml:space="preserve">         </w:t>
      </w:r>
      <w:r>
        <w:rPr>
          <w:color w:val="auto"/>
          <w:sz w:val="22"/>
          <w:szCs w:val="22"/>
          <w:highlight w:val="none"/>
        </w:rPr>
        <w:t xml:space="preserve">月 </w:t>
      </w:r>
      <w:r>
        <w:rPr>
          <w:color w:val="auto"/>
          <w:sz w:val="22"/>
          <w:szCs w:val="22"/>
          <w:highlight w:val="none"/>
          <w:u w:val="single"/>
        </w:rPr>
        <w:t xml:space="preserve">         </w:t>
      </w:r>
      <w:r>
        <w:rPr>
          <w:color w:val="auto"/>
          <w:sz w:val="22"/>
          <w:szCs w:val="22"/>
          <w:highlight w:val="none"/>
        </w:rPr>
        <w:t xml:space="preserve">日        </w:t>
      </w:r>
    </w:p>
    <w:p w14:paraId="62D812B3">
      <w:pPr>
        <w:pStyle w:val="5"/>
        <w:rPr>
          <w:rFonts w:ascii="Times New Roman" w:hAnsi="Times New Roman"/>
          <w:color w:val="auto"/>
          <w:highlight w:val="none"/>
        </w:rPr>
      </w:pPr>
      <w:r>
        <w:rPr>
          <w:rFonts w:ascii="Times New Roman" w:hAnsi="Times New Roman"/>
          <w:color w:val="auto"/>
          <w:highlight w:val="none"/>
        </w:rPr>
        <w:t>附件</w:t>
      </w:r>
      <w:r>
        <w:rPr>
          <w:rFonts w:hint="eastAsia" w:ascii="Times New Roman" w:hAnsi="Times New Roman"/>
          <w:color w:val="auto"/>
          <w:highlight w:val="none"/>
          <w:lang w:val="en-US" w:eastAsia="zh-CN"/>
        </w:rPr>
        <w:t>二</w:t>
      </w:r>
      <w:r>
        <w:rPr>
          <w:rFonts w:ascii="Times New Roman" w:hAnsi="Times New Roman"/>
          <w:color w:val="auto"/>
          <w:highlight w:val="none"/>
        </w:rPr>
        <w:t xml:space="preserve">  安全生产合同</w:t>
      </w:r>
    </w:p>
    <w:p w14:paraId="4CDD0143">
      <w:pPr>
        <w:spacing w:line="440" w:lineRule="exact"/>
        <w:jc w:val="center"/>
        <w:rPr>
          <w:rFonts w:eastAsia="黑体"/>
          <w:b/>
          <w:bCs/>
          <w:color w:val="auto"/>
          <w:sz w:val="28"/>
          <w:szCs w:val="28"/>
          <w:highlight w:val="none"/>
        </w:rPr>
      </w:pPr>
      <w:r>
        <w:rPr>
          <w:rFonts w:eastAsia="黑体"/>
          <w:b/>
          <w:bCs/>
          <w:color w:val="auto"/>
          <w:sz w:val="28"/>
          <w:szCs w:val="28"/>
          <w:highlight w:val="none"/>
        </w:rPr>
        <w:t>安全生产合同</w:t>
      </w:r>
    </w:p>
    <w:p w14:paraId="53CB2B46">
      <w:pPr>
        <w:spacing w:line="440" w:lineRule="exact"/>
        <w:jc w:val="center"/>
        <w:rPr>
          <w:rFonts w:eastAsia="黑体"/>
          <w:b/>
          <w:bCs/>
          <w:color w:val="auto"/>
          <w:sz w:val="28"/>
          <w:szCs w:val="28"/>
          <w:highlight w:val="none"/>
        </w:rPr>
      </w:pPr>
    </w:p>
    <w:p w14:paraId="6BEAAE31">
      <w:pPr>
        <w:spacing w:line="360" w:lineRule="auto"/>
        <w:ind w:firstLine="440" w:firstLineChars="200"/>
        <w:rPr>
          <w:color w:val="auto"/>
          <w:sz w:val="22"/>
          <w:szCs w:val="28"/>
          <w:highlight w:val="none"/>
        </w:rPr>
      </w:pPr>
      <w:r>
        <w:rPr>
          <w:color w:val="auto"/>
          <w:sz w:val="22"/>
          <w:szCs w:val="28"/>
          <w:highlight w:val="none"/>
        </w:rPr>
        <w:t>为在</w:t>
      </w:r>
      <w:r>
        <w:rPr>
          <w:color w:val="auto"/>
          <w:sz w:val="22"/>
          <w:szCs w:val="28"/>
          <w:highlight w:val="none"/>
          <w:u w:val="single"/>
        </w:rPr>
        <w:t xml:space="preserve">                   </w:t>
      </w:r>
      <w:r>
        <w:rPr>
          <w:color w:val="auto"/>
          <w:sz w:val="22"/>
          <w:szCs w:val="28"/>
          <w:highlight w:val="none"/>
        </w:rPr>
        <w:t>（项目名称）的实施过程中创造安全、高效的施工环境，切实搞好本项目的安全管理工作，本项目</w:t>
      </w:r>
      <w:r>
        <w:rPr>
          <w:rFonts w:hint="eastAsia"/>
          <w:color w:val="auto"/>
          <w:sz w:val="22"/>
          <w:szCs w:val="28"/>
          <w:highlight w:val="none"/>
          <w:lang w:val="en-US" w:eastAsia="zh-CN"/>
        </w:rPr>
        <w:t>甲方</w:t>
      </w:r>
      <w:r>
        <w:rPr>
          <w:color w:val="auto"/>
          <w:sz w:val="22"/>
          <w:szCs w:val="28"/>
          <w:highlight w:val="none"/>
          <w:u w:val="single"/>
        </w:rPr>
        <w:t xml:space="preserve">               </w:t>
      </w:r>
      <w:r>
        <w:rPr>
          <w:color w:val="auto"/>
          <w:sz w:val="22"/>
          <w:szCs w:val="28"/>
          <w:highlight w:val="none"/>
        </w:rPr>
        <w:t>（</w:t>
      </w:r>
      <w:r>
        <w:rPr>
          <w:rFonts w:hint="eastAsia"/>
          <w:color w:val="auto"/>
          <w:sz w:val="22"/>
          <w:szCs w:val="28"/>
          <w:highlight w:val="none"/>
          <w:lang w:val="en-US" w:eastAsia="zh-CN"/>
        </w:rPr>
        <w:t>甲方</w:t>
      </w:r>
      <w:r>
        <w:rPr>
          <w:color w:val="auto"/>
          <w:sz w:val="22"/>
          <w:szCs w:val="28"/>
          <w:highlight w:val="none"/>
        </w:rPr>
        <w:t>名称，以下简称“</w:t>
      </w:r>
      <w:r>
        <w:rPr>
          <w:rFonts w:hint="eastAsia"/>
          <w:color w:val="auto"/>
          <w:sz w:val="22"/>
          <w:szCs w:val="28"/>
          <w:highlight w:val="none"/>
          <w:lang w:val="en-US" w:eastAsia="zh-CN"/>
        </w:rPr>
        <w:t>甲方</w:t>
      </w:r>
      <w:r>
        <w:rPr>
          <w:color w:val="auto"/>
          <w:sz w:val="22"/>
          <w:szCs w:val="28"/>
          <w:highlight w:val="none"/>
        </w:rPr>
        <w:t>”））与</w:t>
      </w:r>
      <w:r>
        <w:rPr>
          <w:rFonts w:hint="eastAsia"/>
          <w:color w:val="auto"/>
          <w:sz w:val="22"/>
          <w:szCs w:val="28"/>
          <w:highlight w:val="none"/>
          <w:lang w:val="en-US" w:eastAsia="zh-CN"/>
        </w:rPr>
        <w:t>乙方</w:t>
      </w:r>
      <w:r>
        <w:rPr>
          <w:color w:val="auto"/>
          <w:sz w:val="22"/>
          <w:szCs w:val="28"/>
          <w:highlight w:val="none"/>
          <w:u w:val="single"/>
        </w:rPr>
        <w:t xml:space="preserve">           </w:t>
      </w:r>
      <w:r>
        <w:rPr>
          <w:color w:val="auto"/>
          <w:sz w:val="22"/>
          <w:szCs w:val="28"/>
          <w:highlight w:val="none"/>
        </w:rPr>
        <w:t>（</w:t>
      </w:r>
      <w:r>
        <w:rPr>
          <w:rFonts w:hint="eastAsia"/>
          <w:color w:val="auto"/>
          <w:sz w:val="22"/>
          <w:szCs w:val="28"/>
          <w:highlight w:val="none"/>
          <w:lang w:val="en-US" w:eastAsia="zh-CN"/>
        </w:rPr>
        <w:t>乙方</w:t>
      </w:r>
      <w:r>
        <w:rPr>
          <w:color w:val="auto"/>
          <w:sz w:val="22"/>
          <w:szCs w:val="28"/>
          <w:highlight w:val="none"/>
        </w:rPr>
        <w:t>名称，以下简称“</w:t>
      </w:r>
      <w:r>
        <w:rPr>
          <w:rFonts w:hint="eastAsia"/>
          <w:color w:val="auto"/>
          <w:sz w:val="22"/>
          <w:szCs w:val="28"/>
          <w:highlight w:val="none"/>
          <w:lang w:val="en-US" w:eastAsia="zh-CN"/>
        </w:rPr>
        <w:t>乙方</w:t>
      </w:r>
      <w:r>
        <w:rPr>
          <w:color w:val="auto"/>
          <w:sz w:val="22"/>
          <w:szCs w:val="28"/>
          <w:highlight w:val="none"/>
        </w:rPr>
        <w:t>”）特此签订安全生产合同。</w:t>
      </w:r>
    </w:p>
    <w:p w14:paraId="28386CE9">
      <w:pPr>
        <w:spacing w:line="360" w:lineRule="auto"/>
        <w:ind w:firstLine="440" w:firstLineChars="200"/>
        <w:rPr>
          <w:color w:val="auto"/>
          <w:sz w:val="22"/>
          <w:szCs w:val="28"/>
          <w:highlight w:val="none"/>
        </w:rPr>
      </w:pPr>
      <w:r>
        <w:rPr>
          <w:color w:val="auto"/>
          <w:sz w:val="22"/>
          <w:szCs w:val="28"/>
          <w:highlight w:val="none"/>
        </w:rPr>
        <w:t>1．</w:t>
      </w:r>
      <w:r>
        <w:rPr>
          <w:rFonts w:hint="eastAsia"/>
          <w:color w:val="auto"/>
          <w:sz w:val="22"/>
          <w:szCs w:val="28"/>
          <w:highlight w:val="none"/>
          <w:lang w:val="en-US" w:eastAsia="zh-CN"/>
        </w:rPr>
        <w:t>甲方</w:t>
      </w:r>
      <w:r>
        <w:rPr>
          <w:color w:val="auto"/>
          <w:sz w:val="22"/>
          <w:szCs w:val="28"/>
          <w:highlight w:val="none"/>
        </w:rPr>
        <w:t>职责</w:t>
      </w:r>
    </w:p>
    <w:p w14:paraId="1E12AD43">
      <w:pPr>
        <w:spacing w:line="360" w:lineRule="auto"/>
        <w:ind w:firstLine="440" w:firstLineChars="200"/>
        <w:rPr>
          <w:color w:val="auto"/>
          <w:sz w:val="22"/>
          <w:szCs w:val="28"/>
          <w:highlight w:val="none"/>
        </w:rPr>
      </w:pPr>
      <w:r>
        <w:rPr>
          <w:color w:val="auto"/>
          <w:sz w:val="22"/>
          <w:szCs w:val="28"/>
          <w:highlight w:val="none"/>
        </w:rPr>
        <w:t>（1）严格遵守国家有关安全生产的法律法规，认真执行工程承包合同中的有关安全要求。</w:t>
      </w:r>
    </w:p>
    <w:p w14:paraId="4C768F63">
      <w:pPr>
        <w:spacing w:line="360" w:lineRule="auto"/>
        <w:ind w:firstLine="440" w:firstLineChars="200"/>
        <w:rPr>
          <w:color w:val="auto"/>
          <w:sz w:val="22"/>
          <w:szCs w:val="28"/>
          <w:highlight w:val="none"/>
        </w:rPr>
      </w:pPr>
      <w:r>
        <w:rPr>
          <w:color w:val="auto"/>
          <w:sz w:val="22"/>
          <w:szCs w:val="28"/>
          <w:highlight w:val="none"/>
        </w:rPr>
        <w:t>（2）按照“安全第一、预防为主、综合治理”和坚持“管生产必须管安全”的原则进行安全生产管理，做到生产与安全工作同时计划、布置、检查、总结和评比。</w:t>
      </w:r>
    </w:p>
    <w:p w14:paraId="4CD9B3DB">
      <w:pPr>
        <w:spacing w:line="360" w:lineRule="auto"/>
        <w:ind w:firstLine="440" w:firstLineChars="200"/>
        <w:rPr>
          <w:color w:val="auto"/>
          <w:sz w:val="22"/>
          <w:szCs w:val="28"/>
          <w:highlight w:val="none"/>
        </w:rPr>
      </w:pPr>
      <w:r>
        <w:rPr>
          <w:color w:val="auto"/>
          <w:sz w:val="22"/>
          <w:szCs w:val="28"/>
          <w:highlight w:val="none"/>
        </w:rPr>
        <w:t>（3）重要的安全设施必须坚持与主体工程“三同时”的原则，即：同时设计、审批，同时施工，同时验收，投入使用。</w:t>
      </w:r>
    </w:p>
    <w:p w14:paraId="2B9FC987">
      <w:pPr>
        <w:spacing w:line="360" w:lineRule="auto"/>
        <w:ind w:firstLine="440" w:firstLineChars="200"/>
        <w:rPr>
          <w:color w:val="auto"/>
          <w:sz w:val="22"/>
          <w:szCs w:val="28"/>
          <w:highlight w:val="none"/>
        </w:rPr>
      </w:pPr>
      <w:r>
        <w:rPr>
          <w:color w:val="auto"/>
          <w:sz w:val="22"/>
          <w:szCs w:val="28"/>
          <w:highlight w:val="none"/>
        </w:rPr>
        <w:t>（4）定期召开安全生产调度会，及时传达中央及地方有关安全生产的精神。</w:t>
      </w:r>
    </w:p>
    <w:p w14:paraId="027EBEB3">
      <w:pPr>
        <w:spacing w:line="360" w:lineRule="auto"/>
        <w:ind w:firstLine="440" w:firstLineChars="200"/>
        <w:rPr>
          <w:color w:val="auto"/>
          <w:sz w:val="22"/>
          <w:szCs w:val="28"/>
          <w:highlight w:val="none"/>
        </w:rPr>
      </w:pPr>
      <w:r>
        <w:rPr>
          <w:color w:val="auto"/>
          <w:sz w:val="22"/>
          <w:szCs w:val="28"/>
          <w:highlight w:val="none"/>
        </w:rPr>
        <w:t>（5）组织对</w:t>
      </w:r>
      <w:r>
        <w:rPr>
          <w:rFonts w:hint="eastAsia"/>
          <w:color w:val="auto"/>
          <w:sz w:val="22"/>
          <w:szCs w:val="28"/>
          <w:highlight w:val="none"/>
          <w:lang w:val="en-US" w:eastAsia="zh-CN"/>
        </w:rPr>
        <w:t>乙方</w:t>
      </w:r>
      <w:r>
        <w:rPr>
          <w:color w:val="auto"/>
          <w:sz w:val="22"/>
          <w:szCs w:val="28"/>
          <w:highlight w:val="none"/>
        </w:rPr>
        <w:t>施工现场安全生产检查，监督</w:t>
      </w:r>
      <w:r>
        <w:rPr>
          <w:rFonts w:hint="eastAsia"/>
          <w:color w:val="auto"/>
          <w:sz w:val="22"/>
          <w:szCs w:val="28"/>
          <w:highlight w:val="none"/>
          <w:lang w:val="en-US" w:eastAsia="zh-CN"/>
        </w:rPr>
        <w:t>乙方</w:t>
      </w:r>
      <w:r>
        <w:rPr>
          <w:color w:val="auto"/>
          <w:sz w:val="22"/>
          <w:szCs w:val="28"/>
          <w:highlight w:val="none"/>
        </w:rPr>
        <w:t>及时处理发现的各项安全隐患。</w:t>
      </w:r>
    </w:p>
    <w:p w14:paraId="51372F4C">
      <w:pPr>
        <w:spacing w:line="360" w:lineRule="auto"/>
        <w:ind w:firstLine="440" w:firstLineChars="200"/>
        <w:rPr>
          <w:color w:val="auto"/>
          <w:sz w:val="22"/>
          <w:szCs w:val="28"/>
          <w:highlight w:val="none"/>
        </w:rPr>
      </w:pPr>
      <w:r>
        <w:rPr>
          <w:color w:val="auto"/>
          <w:sz w:val="22"/>
          <w:szCs w:val="28"/>
          <w:highlight w:val="none"/>
        </w:rPr>
        <w:t>2．</w:t>
      </w:r>
      <w:r>
        <w:rPr>
          <w:rFonts w:hint="eastAsia"/>
          <w:color w:val="auto"/>
          <w:sz w:val="22"/>
          <w:szCs w:val="28"/>
          <w:highlight w:val="none"/>
          <w:lang w:val="en-US" w:eastAsia="zh-CN"/>
        </w:rPr>
        <w:t>乙方</w:t>
      </w:r>
      <w:r>
        <w:rPr>
          <w:color w:val="auto"/>
          <w:sz w:val="22"/>
          <w:szCs w:val="28"/>
          <w:highlight w:val="none"/>
        </w:rPr>
        <w:t>职责</w:t>
      </w:r>
    </w:p>
    <w:p w14:paraId="0E6B1C35">
      <w:pPr>
        <w:spacing w:line="360" w:lineRule="auto"/>
        <w:ind w:firstLine="440" w:firstLineChars="200"/>
        <w:rPr>
          <w:color w:val="auto"/>
          <w:sz w:val="22"/>
          <w:szCs w:val="28"/>
          <w:highlight w:val="none"/>
        </w:rPr>
      </w:pPr>
      <w:r>
        <w:rPr>
          <w:color w:val="auto"/>
          <w:sz w:val="22"/>
          <w:szCs w:val="28"/>
          <w:highlight w:val="none"/>
        </w:rPr>
        <w:t>（1）严格遵守《中华人民共和国安全生产法》、《建设工程安全生产管理条例》等国家有关安全生产的法律法规、《公路水运工程安全生产监督管理办法》、《公路水运工程平安工地建设管理办法》</w:t>
      </w:r>
      <w:r>
        <w:rPr>
          <w:rFonts w:hint="eastAsia"/>
          <w:color w:val="auto"/>
          <w:sz w:val="22"/>
          <w:szCs w:val="28"/>
          <w:highlight w:val="none"/>
          <w:lang w:eastAsia="zh-CN"/>
        </w:rPr>
        <w:t>、</w:t>
      </w:r>
      <w:r>
        <w:rPr>
          <w:color w:val="auto"/>
          <w:sz w:val="22"/>
          <w:szCs w:val="28"/>
          <w:highlight w:val="none"/>
        </w:rPr>
        <w:t>《公路工程施工安全技术规范》和《公路筑养路机械操作规程》等有关安全生产的规定。认真执行工程承包合现中的有安全要求。</w:t>
      </w:r>
    </w:p>
    <w:p w14:paraId="5BB493F6">
      <w:pPr>
        <w:spacing w:line="360" w:lineRule="auto"/>
        <w:ind w:firstLine="440" w:firstLineChars="200"/>
        <w:rPr>
          <w:color w:val="auto"/>
          <w:sz w:val="22"/>
          <w:szCs w:val="28"/>
          <w:highlight w:val="none"/>
        </w:rPr>
      </w:pPr>
      <w:r>
        <w:rPr>
          <w:color w:val="auto"/>
          <w:sz w:val="22"/>
          <w:szCs w:val="28"/>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04EEEC6">
      <w:pPr>
        <w:spacing w:line="360" w:lineRule="auto"/>
        <w:ind w:firstLine="440" w:firstLineChars="200"/>
        <w:rPr>
          <w:color w:val="auto"/>
          <w:sz w:val="22"/>
          <w:szCs w:val="28"/>
          <w:highlight w:val="none"/>
        </w:rPr>
      </w:pPr>
      <w:r>
        <w:rPr>
          <w:color w:val="auto"/>
          <w:sz w:val="22"/>
          <w:szCs w:val="28"/>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9F3BFD4">
      <w:pPr>
        <w:spacing w:line="360" w:lineRule="auto"/>
        <w:ind w:firstLine="440" w:firstLineChars="200"/>
        <w:rPr>
          <w:color w:val="auto"/>
          <w:sz w:val="22"/>
          <w:szCs w:val="28"/>
          <w:highlight w:val="none"/>
        </w:rPr>
      </w:pPr>
      <w:r>
        <w:rPr>
          <w:color w:val="auto"/>
          <w:sz w:val="22"/>
          <w:szCs w:val="28"/>
          <w:highlight w:val="none"/>
        </w:rPr>
        <w:t>（4）</w:t>
      </w:r>
      <w:r>
        <w:rPr>
          <w:rFonts w:hint="eastAsia"/>
          <w:color w:val="auto"/>
          <w:sz w:val="22"/>
          <w:szCs w:val="28"/>
          <w:highlight w:val="none"/>
          <w:lang w:val="en-US" w:eastAsia="zh-CN"/>
        </w:rPr>
        <w:t>乙方</w:t>
      </w:r>
      <w:r>
        <w:rPr>
          <w:color w:val="auto"/>
          <w:sz w:val="22"/>
          <w:szCs w:val="28"/>
          <w:highlight w:val="none"/>
        </w:rPr>
        <w:t>在任何时候都应采取各种合理的预防措施，防止其员工发生任何违法、违禁、暴力或妨碍治安的行为。</w:t>
      </w:r>
    </w:p>
    <w:p w14:paraId="48A518E0">
      <w:pPr>
        <w:spacing w:line="360" w:lineRule="auto"/>
        <w:ind w:firstLine="440" w:firstLineChars="200"/>
        <w:rPr>
          <w:color w:val="auto"/>
          <w:sz w:val="22"/>
          <w:szCs w:val="28"/>
          <w:highlight w:val="none"/>
        </w:rPr>
      </w:pPr>
      <w:r>
        <w:rPr>
          <w:color w:val="auto"/>
          <w:sz w:val="22"/>
          <w:szCs w:val="28"/>
          <w:highlight w:val="none"/>
        </w:rPr>
        <w:t>（5）</w:t>
      </w:r>
      <w:r>
        <w:rPr>
          <w:rFonts w:hint="eastAsia"/>
          <w:color w:val="auto"/>
          <w:sz w:val="22"/>
          <w:szCs w:val="28"/>
          <w:highlight w:val="none"/>
          <w:lang w:val="en-US" w:eastAsia="zh-CN"/>
        </w:rPr>
        <w:t>乙方</w:t>
      </w:r>
      <w:r>
        <w:rPr>
          <w:rFonts w:ascii="Times New Roman" w:hAnsi="Times New Roman" w:cs="Times New Roman"/>
          <w:color w:val="auto"/>
          <w:sz w:val="22"/>
          <w:szCs w:val="28"/>
          <w:highlight w:val="none"/>
        </w:rPr>
        <w:t>必须具有</w:t>
      </w:r>
      <w:r>
        <w:rPr>
          <w:rFonts w:hint="default" w:ascii="Times New Roman" w:hAnsi="Times New Roman" w:cs="Times New Roman"/>
          <w:color w:val="auto"/>
          <w:sz w:val="22"/>
          <w:szCs w:val="28"/>
          <w:highlight w:val="none"/>
          <w:lang w:val="en-US" w:eastAsia="zh-CN"/>
        </w:rPr>
        <w:t>安全</w:t>
      </w:r>
      <w:r>
        <w:rPr>
          <w:rFonts w:ascii="Times New Roman" w:hAnsi="Times New Roman" w:cs="Times New Roman"/>
          <w:color w:val="auto"/>
          <w:sz w:val="22"/>
          <w:szCs w:val="28"/>
          <w:highlight w:val="none"/>
        </w:rPr>
        <w:t>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162BE01C">
      <w:pPr>
        <w:spacing w:line="360" w:lineRule="auto"/>
        <w:ind w:firstLine="440" w:firstLineChars="200"/>
        <w:rPr>
          <w:color w:val="auto"/>
          <w:sz w:val="22"/>
          <w:szCs w:val="28"/>
          <w:highlight w:val="none"/>
        </w:rPr>
      </w:pPr>
      <w:r>
        <w:rPr>
          <w:color w:val="auto"/>
          <w:sz w:val="22"/>
          <w:szCs w:val="28"/>
          <w:highlight w:val="none"/>
        </w:rPr>
        <w:t>（6）对于易燃易爆的材料除应专门妥善保管之外，还应配备有足够的消防设施，所有施工人员都应熟悉消防设备的性能和使用方法；</w:t>
      </w:r>
      <w:r>
        <w:rPr>
          <w:rFonts w:hint="eastAsia"/>
          <w:color w:val="auto"/>
          <w:sz w:val="22"/>
          <w:szCs w:val="28"/>
          <w:highlight w:val="none"/>
          <w:lang w:val="en-US" w:eastAsia="zh-CN"/>
        </w:rPr>
        <w:t>乙方</w:t>
      </w:r>
      <w:r>
        <w:rPr>
          <w:color w:val="auto"/>
          <w:sz w:val="22"/>
          <w:szCs w:val="28"/>
          <w:highlight w:val="none"/>
        </w:rPr>
        <w:t>不得将任何种类的爆炸物给予、易货或以其他方式转让给任何其他人，或允许、容忍上述同样行为。</w:t>
      </w:r>
    </w:p>
    <w:p w14:paraId="31D605C3">
      <w:pPr>
        <w:spacing w:line="360" w:lineRule="auto"/>
        <w:ind w:firstLine="440" w:firstLineChars="200"/>
        <w:rPr>
          <w:color w:val="auto"/>
          <w:sz w:val="22"/>
          <w:szCs w:val="28"/>
          <w:highlight w:val="none"/>
        </w:rPr>
      </w:pPr>
      <w:r>
        <w:rPr>
          <w:color w:val="auto"/>
          <w:sz w:val="22"/>
          <w:szCs w:val="28"/>
          <w:highlight w:val="none"/>
        </w:rPr>
        <w:t>（7）操作人员上岗，必须按规定穿戴防护用品。施工负责人和安全检查员应随时检查劳动防护用品的穿戴情况，不按规定穿戴防护用品的人员不得上岗。</w:t>
      </w:r>
    </w:p>
    <w:p w14:paraId="4166F211">
      <w:pPr>
        <w:spacing w:line="360" w:lineRule="auto"/>
        <w:ind w:firstLine="440" w:firstLineChars="200"/>
        <w:rPr>
          <w:color w:val="auto"/>
          <w:sz w:val="22"/>
          <w:szCs w:val="28"/>
          <w:highlight w:val="none"/>
        </w:rPr>
      </w:pPr>
      <w:r>
        <w:rPr>
          <w:color w:val="auto"/>
          <w:sz w:val="22"/>
          <w:szCs w:val="28"/>
          <w:highlight w:val="none"/>
        </w:rPr>
        <w:t>（8）所有施工机具设备和高空作业的设备均应定期检查，并有安全员的签字记录，保证其经常处于完好状态；不合格的机具、设备和劳动保护用品严禁使用。</w:t>
      </w:r>
    </w:p>
    <w:p w14:paraId="7449F4ED">
      <w:pPr>
        <w:spacing w:line="360" w:lineRule="auto"/>
        <w:ind w:firstLine="440" w:firstLineChars="200"/>
        <w:rPr>
          <w:color w:val="auto"/>
          <w:sz w:val="22"/>
          <w:szCs w:val="28"/>
          <w:highlight w:val="none"/>
        </w:rPr>
      </w:pPr>
      <w:r>
        <w:rPr>
          <w:color w:val="auto"/>
          <w:sz w:val="22"/>
          <w:szCs w:val="28"/>
          <w:highlight w:val="none"/>
        </w:rPr>
        <w:t>（9）施工中采用新技术、新工艺、新设备、新材料时，必须制定相应的安全技术措施，施工现场必须具有相关的安全标志牌。</w:t>
      </w:r>
    </w:p>
    <w:p w14:paraId="3D174CBB">
      <w:pPr>
        <w:spacing w:line="360" w:lineRule="auto"/>
        <w:ind w:firstLine="440" w:firstLineChars="200"/>
        <w:rPr>
          <w:color w:val="auto"/>
          <w:sz w:val="22"/>
          <w:szCs w:val="28"/>
          <w:highlight w:val="none"/>
        </w:rPr>
      </w:pPr>
      <w:r>
        <w:rPr>
          <w:color w:val="auto"/>
          <w:sz w:val="22"/>
          <w:szCs w:val="28"/>
          <w:highlight w:val="none"/>
        </w:rPr>
        <w:t>（10）</w:t>
      </w:r>
      <w:r>
        <w:rPr>
          <w:rFonts w:hint="eastAsia"/>
          <w:color w:val="auto"/>
          <w:sz w:val="22"/>
          <w:szCs w:val="28"/>
          <w:highlight w:val="none"/>
          <w:lang w:val="en-US" w:eastAsia="zh-CN"/>
        </w:rPr>
        <w:t>乙方</w:t>
      </w:r>
      <w:r>
        <w:rPr>
          <w:color w:val="auto"/>
          <w:sz w:val="22"/>
          <w:szCs w:val="28"/>
          <w:highlight w:val="none"/>
        </w:rPr>
        <w:t>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3D984756">
      <w:pPr>
        <w:spacing w:line="360" w:lineRule="auto"/>
        <w:ind w:firstLine="440" w:firstLineChars="200"/>
        <w:rPr>
          <w:color w:val="auto"/>
          <w:sz w:val="22"/>
          <w:szCs w:val="28"/>
          <w:highlight w:val="none"/>
        </w:rPr>
      </w:pPr>
      <w:r>
        <w:rPr>
          <w:color w:val="auto"/>
          <w:sz w:val="22"/>
          <w:szCs w:val="28"/>
          <w:highlight w:val="none"/>
        </w:rPr>
        <w:t>（11）安全生产费用按照《公路水运工程安全生产监督管理办法》的相关规定使用和管理。</w:t>
      </w:r>
    </w:p>
    <w:p w14:paraId="30030B89">
      <w:pPr>
        <w:spacing w:line="360" w:lineRule="auto"/>
        <w:ind w:firstLine="440" w:firstLineChars="200"/>
        <w:rPr>
          <w:color w:val="auto"/>
          <w:sz w:val="22"/>
          <w:szCs w:val="28"/>
          <w:highlight w:val="none"/>
        </w:rPr>
      </w:pPr>
      <w:r>
        <w:rPr>
          <w:rFonts w:hint="eastAsia"/>
          <w:color w:val="auto"/>
          <w:sz w:val="22"/>
          <w:szCs w:val="22"/>
          <w:highlight w:val="none"/>
          <w:lang w:val="en-US" w:eastAsia="zh-CN"/>
        </w:rPr>
        <w:t>（12）</w:t>
      </w:r>
      <w:r>
        <w:rPr>
          <w:rFonts w:hint="eastAsia"/>
          <w:color w:val="auto"/>
          <w:sz w:val="22"/>
          <w:szCs w:val="28"/>
          <w:highlight w:val="none"/>
          <w:lang w:val="en-US" w:eastAsia="zh-CN"/>
        </w:rPr>
        <w:t>乙方</w:t>
      </w:r>
      <w:r>
        <w:rPr>
          <w:rFonts w:hint="eastAsia"/>
          <w:color w:val="auto"/>
          <w:sz w:val="22"/>
          <w:szCs w:val="22"/>
          <w:highlight w:val="none"/>
          <w:lang w:val="en-US" w:eastAsia="zh-CN"/>
        </w:rPr>
        <w:t>对施工项目负全面安全管理责任，</w:t>
      </w:r>
      <w:r>
        <w:rPr>
          <w:color w:val="auto"/>
          <w:sz w:val="22"/>
          <w:szCs w:val="22"/>
          <w:highlight w:val="none"/>
        </w:rPr>
        <w:t>在整个施工过程中对</w:t>
      </w:r>
      <w:r>
        <w:rPr>
          <w:rFonts w:hint="eastAsia"/>
          <w:color w:val="auto"/>
          <w:sz w:val="22"/>
          <w:szCs w:val="28"/>
          <w:highlight w:val="none"/>
          <w:lang w:val="en-US" w:eastAsia="zh-CN"/>
        </w:rPr>
        <w:t>乙方</w:t>
      </w:r>
      <w:r>
        <w:rPr>
          <w:color w:val="auto"/>
          <w:sz w:val="22"/>
          <w:szCs w:val="22"/>
          <w:highlight w:val="none"/>
        </w:rPr>
        <w:t>采取的安全、保卫措施，</w:t>
      </w:r>
      <w:r>
        <w:rPr>
          <w:rFonts w:hint="eastAsia"/>
          <w:color w:val="auto"/>
          <w:sz w:val="22"/>
          <w:szCs w:val="22"/>
          <w:highlight w:val="none"/>
          <w:lang w:val="en-US" w:eastAsia="zh-CN"/>
        </w:rPr>
        <w:t>甲方</w:t>
      </w:r>
      <w:r>
        <w:rPr>
          <w:color w:val="auto"/>
          <w:sz w:val="22"/>
          <w:szCs w:val="22"/>
          <w:highlight w:val="none"/>
        </w:rPr>
        <w:t>和监理人有权监督，并向</w:t>
      </w:r>
      <w:r>
        <w:rPr>
          <w:rFonts w:hint="eastAsia"/>
          <w:color w:val="auto"/>
          <w:sz w:val="22"/>
          <w:szCs w:val="28"/>
          <w:highlight w:val="none"/>
          <w:lang w:val="en-US" w:eastAsia="zh-CN"/>
        </w:rPr>
        <w:t>乙方</w:t>
      </w:r>
      <w:r>
        <w:rPr>
          <w:color w:val="auto"/>
          <w:sz w:val="22"/>
          <w:szCs w:val="22"/>
          <w:highlight w:val="none"/>
        </w:rPr>
        <w:t>提出整改要求。</w:t>
      </w:r>
      <w:r>
        <w:rPr>
          <w:rFonts w:hint="eastAsia"/>
          <w:color w:val="auto"/>
          <w:sz w:val="22"/>
          <w:szCs w:val="22"/>
          <w:highlight w:val="none"/>
          <w:lang w:val="en-US" w:eastAsia="zh-CN"/>
        </w:rPr>
        <w:t>如施工项目</w:t>
      </w:r>
      <w:r>
        <w:rPr>
          <w:color w:val="auto"/>
          <w:sz w:val="22"/>
          <w:szCs w:val="22"/>
          <w:highlight w:val="none"/>
        </w:rPr>
        <w:t>发生有关的人身伤亡、病残、罚款、索赔、</w:t>
      </w:r>
      <w:r>
        <w:rPr>
          <w:rFonts w:hint="eastAsia"/>
          <w:color w:val="auto"/>
          <w:sz w:val="22"/>
          <w:szCs w:val="22"/>
          <w:highlight w:val="none"/>
          <w:lang w:val="en-US" w:eastAsia="zh-CN"/>
        </w:rPr>
        <w:t>财产损失、</w:t>
      </w:r>
      <w:r>
        <w:rPr>
          <w:color w:val="auto"/>
          <w:sz w:val="22"/>
          <w:szCs w:val="22"/>
          <w:highlight w:val="none"/>
        </w:rPr>
        <w:t>损失补偿、诉讼费用及其他一切责任应由</w:t>
      </w:r>
      <w:r>
        <w:rPr>
          <w:rFonts w:hint="eastAsia"/>
          <w:color w:val="auto"/>
          <w:sz w:val="22"/>
          <w:szCs w:val="28"/>
          <w:highlight w:val="none"/>
          <w:lang w:val="en-US" w:eastAsia="zh-CN"/>
        </w:rPr>
        <w:t>乙方</w:t>
      </w:r>
      <w:r>
        <w:rPr>
          <w:color w:val="auto"/>
          <w:sz w:val="22"/>
          <w:szCs w:val="22"/>
          <w:highlight w:val="none"/>
        </w:rPr>
        <w:t>负责，</w:t>
      </w:r>
      <w:r>
        <w:rPr>
          <w:rFonts w:hint="eastAsia"/>
          <w:color w:val="auto"/>
          <w:sz w:val="22"/>
          <w:szCs w:val="28"/>
          <w:highlight w:val="none"/>
          <w:lang w:val="en-US" w:eastAsia="zh-CN"/>
        </w:rPr>
        <w:t>甲方</w:t>
      </w:r>
      <w:r>
        <w:rPr>
          <w:color w:val="auto"/>
          <w:sz w:val="22"/>
          <w:szCs w:val="22"/>
          <w:highlight w:val="none"/>
        </w:rPr>
        <w:t>不承担任何责任和费用。</w:t>
      </w:r>
    </w:p>
    <w:p w14:paraId="05DAEA67">
      <w:pPr>
        <w:spacing w:line="360" w:lineRule="auto"/>
        <w:ind w:firstLine="440" w:firstLineChars="200"/>
        <w:rPr>
          <w:color w:val="auto"/>
          <w:sz w:val="22"/>
          <w:szCs w:val="28"/>
          <w:highlight w:val="none"/>
        </w:rPr>
      </w:pPr>
      <w:r>
        <w:rPr>
          <w:color w:val="auto"/>
          <w:sz w:val="22"/>
          <w:szCs w:val="28"/>
          <w:highlight w:val="none"/>
        </w:rPr>
        <w:t>3．违约责任</w:t>
      </w:r>
    </w:p>
    <w:p w14:paraId="0353074C">
      <w:pPr>
        <w:spacing w:line="360" w:lineRule="auto"/>
        <w:ind w:firstLine="440" w:firstLineChars="200"/>
        <w:rPr>
          <w:color w:val="auto"/>
          <w:sz w:val="22"/>
          <w:szCs w:val="28"/>
          <w:highlight w:val="none"/>
        </w:rPr>
      </w:pPr>
      <w:r>
        <w:rPr>
          <w:color w:val="auto"/>
          <w:sz w:val="22"/>
          <w:szCs w:val="28"/>
          <w:highlight w:val="none"/>
        </w:rPr>
        <w:t>如因</w:t>
      </w:r>
      <w:r>
        <w:rPr>
          <w:rFonts w:hint="eastAsia"/>
          <w:color w:val="auto"/>
          <w:sz w:val="22"/>
          <w:szCs w:val="28"/>
          <w:highlight w:val="none"/>
          <w:lang w:val="en-US" w:eastAsia="zh-CN"/>
        </w:rPr>
        <w:t>甲方</w:t>
      </w:r>
      <w:r>
        <w:rPr>
          <w:color w:val="auto"/>
          <w:sz w:val="22"/>
          <w:szCs w:val="28"/>
          <w:highlight w:val="none"/>
        </w:rPr>
        <w:t>或</w:t>
      </w:r>
      <w:r>
        <w:rPr>
          <w:rFonts w:hint="eastAsia"/>
          <w:color w:val="auto"/>
          <w:sz w:val="22"/>
          <w:szCs w:val="28"/>
          <w:highlight w:val="none"/>
          <w:lang w:val="en-US" w:eastAsia="zh-CN"/>
        </w:rPr>
        <w:t>乙方</w:t>
      </w:r>
      <w:r>
        <w:rPr>
          <w:color w:val="auto"/>
          <w:sz w:val="22"/>
          <w:szCs w:val="28"/>
          <w:highlight w:val="none"/>
        </w:rPr>
        <w:t>违约造成安全事故，将依法追究责任。</w:t>
      </w:r>
    </w:p>
    <w:p w14:paraId="1E6F4092">
      <w:pPr>
        <w:spacing w:line="360" w:lineRule="auto"/>
        <w:ind w:firstLine="440" w:firstLineChars="200"/>
        <w:rPr>
          <w:color w:val="auto"/>
          <w:sz w:val="22"/>
          <w:szCs w:val="28"/>
          <w:highlight w:val="none"/>
        </w:rPr>
      </w:pPr>
      <w:r>
        <w:rPr>
          <w:color w:val="auto"/>
          <w:sz w:val="22"/>
          <w:szCs w:val="28"/>
          <w:highlight w:val="none"/>
        </w:rPr>
        <w:t>4．本合同由双方法定代表人或其授权的代理人签署并加盖单位章后生效。全部工程竣工验收后失效。</w:t>
      </w:r>
    </w:p>
    <w:p w14:paraId="08DF9420">
      <w:pPr>
        <w:spacing w:line="360" w:lineRule="auto"/>
        <w:ind w:firstLine="440" w:firstLineChars="200"/>
        <w:rPr>
          <w:color w:val="auto"/>
          <w:sz w:val="22"/>
          <w:szCs w:val="28"/>
          <w:highlight w:val="none"/>
        </w:rPr>
      </w:pPr>
      <w:r>
        <w:rPr>
          <w:color w:val="auto"/>
          <w:sz w:val="22"/>
          <w:szCs w:val="28"/>
          <w:highlight w:val="none"/>
        </w:rPr>
        <w:t>5．本协议正本二份、副本</w:t>
      </w:r>
      <w:r>
        <w:rPr>
          <w:color w:val="auto"/>
          <w:sz w:val="22"/>
          <w:szCs w:val="28"/>
          <w:highlight w:val="none"/>
          <w:u w:val="single"/>
        </w:rPr>
        <w:t xml:space="preserve">     </w:t>
      </w:r>
      <w:r>
        <w:rPr>
          <w:color w:val="auto"/>
          <w:sz w:val="22"/>
          <w:szCs w:val="28"/>
          <w:highlight w:val="none"/>
        </w:rPr>
        <w:t>份，合同双方各执正本一份，副本</w:t>
      </w:r>
      <w:r>
        <w:rPr>
          <w:color w:val="auto"/>
          <w:sz w:val="22"/>
          <w:szCs w:val="28"/>
          <w:highlight w:val="none"/>
          <w:u w:val="single"/>
        </w:rPr>
        <w:t xml:space="preserve">     </w:t>
      </w:r>
      <w:r>
        <w:rPr>
          <w:color w:val="auto"/>
          <w:sz w:val="22"/>
          <w:szCs w:val="28"/>
          <w:highlight w:val="none"/>
        </w:rPr>
        <w:t>份，当正本与副本的内容不一致时，以正本为准</w:t>
      </w:r>
      <w:r>
        <w:rPr>
          <w:color w:val="auto"/>
          <w:sz w:val="22"/>
          <w:szCs w:val="22"/>
          <w:highlight w:val="none"/>
        </w:rPr>
        <w:t>。</w:t>
      </w:r>
    </w:p>
    <w:p w14:paraId="1233FD6D">
      <w:pPr>
        <w:spacing w:line="360" w:lineRule="auto"/>
        <w:rPr>
          <w:color w:val="auto"/>
          <w:sz w:val="22"/>
          <w:szCs w:val="28"/>
          <w:highlight w:val="none"/>
        </w:rPr>
      </w:pPr>
    </w:p>
    <w:p w14:paraId="6392D58F">
      <w:pPr>
        <w:spacing w:line="360" w:lineRule="auto"/>
        <w:rPr>
          <w:color w:val="auto"/>
          <w:sz w:val="22"/>
          <w:szCs w:val="28"/>
          <w:highlight w:val="none"/>
        </w:rPr>
      </w:pPr>
    </w:p>
    <w:p w14:paraId="5D91C8DF">
      <w:pPr>
        <w:spacing w:line="360" w:lineRule="auto"/>
        <w:rPr>
          <w:color w:val="auto"/>
          <w:sz w:val="22"/>
          <w:szCs w:val="22"/>
          <w:highlight w:val="none"/>
        </w:rPr>
      </w:pPr>
      <w:r>
        <w:rPr>
          <w:rFonts w:hint="eastAsia"/>
          <w:color w:val="auto"/>
          <w:sz w:val="22"/>
          <w:szCs w:val="22"/>
          <w:highlight w:val="none"/>
          <w:lang w:val="en-US" w:eastAsia="zh-CN"/>
        </w:rPr>
        <w:t>甲方</w:t>
      </w:r>
      <w:r>
        <w:rPr>
          <w:color w:val="auto"/>
          <w:sz w:val="22"/>
          <w:szCs w:val="22"/>
          <w:highlight w:val="none"/>
        </w:rPr>
        <w:t>：</w:t>
      </w:r>
      <w:r>
        <w:rPr>
          <w:color w:val="auto"/>
          <w:sz w:val="22"/>
          <w:szCs w:val="22"/>
          <w:highlight w:val="none"/>
          <w:u w:val="single"/>
        </w:rPr>
        <w:t xml:space="preserve">                  </w:t>
      </w:r>
      <w:r>
        <w:rPr>
          <w:color w:val="auto"/>
          <w:sz w:val="22"/>
          <w:szCs w:val="22"/>
          <w:highlight w:val="none"/>
        </w:rPr>
        <w:t xml:space="preserve">（盖单位章）    </w:t>
      </w:r>
      <w:r>
        <w:rPr>
          <w:rFonts w:hint="eastAsia"/>
          <w:color w:val="auto"/>
          <w:sz w:val="22"/>
          <w:szCs w:val="22"/>
          <w:highlight w:val="none"/>
          <w:lang w:val="en-US" w:eastAsia="zh-CN"/>
        </w:rPr>
        <w:t xml:space="preserve">  乙方</w:t>
      </w:r>
      <w:r>
        <w:rPr>
          <w:color w:val="auto"/>
          <w:sz w:val="22"/>
          <w:szCs w:val="22"/>
          <w:highlight w:val="none"/>
        </w:rPr>
        <w:t>：</w:t>
      </w:r>
      <w:r>
        <w:rPr>
          <w:color w:val="auto"/>
          <w:sz w:val="22"/>
          <w:szCs w:val="22"/>
          <w:highlight w:val="none"/>
          <w:u w:val="single"/>
        </w:rPr>
        <w:t xml:space="preserve">                    </w:t>
      </w:r>
      <w:r>
        <w:rPr>
          <w:color w:val="auto"/>
          <w:sz w:val="22"/>
          <w:szCs w:val="22"/>
          <w:highlight w:val="none"/>
        </w:rPr>
        <w:t>（盖单位章）</w:t>
      </w:r>
    </w:p>
    <w:p w14:paraId="62DAA091">
      <w:pPr>
        <w:spacing w:line="360" w:lineRule="auto"/>
        <w:rPr>
          <w:color w:val="auto"/>
          <w:sz w:val="22"/>
          <w:szCs w:val="22"/>
          <w:highlight w:val="none"/>
        </w:rPr>
      </w:pPr>
      <w:r>
        <w:rPr>
          <w:color w:val="auto"/>
          <w:sz w:val="22"/>
          <w:szCs w:val="22"/>
          <w:highlight w:val="none"/>
        </w:rPr>
        <w:t>法定代表人或其委托代理人：</w:t>
      </w:r>
      <w:r>
        <w:rPr>
          <w:color w:val="auto"/>
          <w:sz w:val="22"/>
          <w:szCs w:val="22"/>
          <w:highlight w:val="none"/>
          <w:u w:val="single"/>
        </w:rPr>
        <w:t xml:space="preserve">    </w:t>
      </w:r>
      <w:r>
        <w:rPr>
          <w:color w:val="auto"/>
          <w:sz w:val="22"/>
          <w:szCs w:val="22"/>
          <w:highlight w:val="none"/>
        </w:rPr>
        <w:t>（签字）    法定代表人或其委托代理人：</w:t>
      </w:r>
      <w:r>
        <w:rPr>
          <w:color w:val="auto"/>
          <w:sz w:val="22"/>
          <w:szCs w:val="22"/>
          <w:highlight w:val="none"/>
          <w:u w:val="single"/>
        </w:rPr>
        <w:t xml:space="preserve">      </w:t>
      </w:r>
      <w:r>
        <w:rPr>
          <w:color w:val="auto"/>
          <w:sz w:val="22"/>
          <w:szCs w:val="22"/>
          <w:highlight w:val="none"/>
        </w:rPr>
        <w:t>（签字）</w:t>
      </w:r>
    </w:p>
    <w:p w14:paraId="475317D4">
      <w:pPr>
        <w:spacing w:line="360" w:lineRule="auto"/>
        <w:ind w:firstLine="1100" w:firstLineChars="500"/>
        <w:rPr>
          <w:color w:val="auto"/>
          <w:sz w:val="22"/>
          <w:szCs w:val="22"/>
          <w:highlight w:val="none"/>
          <w:u w:val="single"/>
        </w:rPr>
      </w:pPr>
    </w:p>
    <w:p w14:paraId="0733E79B">
      <w:pPr>
        <w:spacing w:line="360" w:lineRule="auto"/>
        <w:rPr>
          <w:color w:val="auto"/>
          <w:sz w:val="22"/>
          <w:szCs w:val="28"/>
          <w:highlight w:val="none"/>
        </w:rPr>
        <w:sectPr>
          <w:headerReference r:id="rId5" w:type="default"/>
          <w:footerReference r:id="rId6" w:type="default"/>
          <w:pgSz w:w="11906" w:h="16838"/>
          <w:pgMar w:top="1440" w:right="1417" w:bottom="1417" w:left="1417" w:header="851" w:footer="992" w:gutter="0"/>
          <w:pgNumType w:fmt="numberInDash"/>
          <w:cols w:space="720" w:num="1"/>
          <w:docGrid w:type="lines" w:linePitch="312" w:charSpace="0"/>
        </w:sectPr>
      </w:pPr>
      <w:r>
        <w:rPr>
          <w:color w:val="auto"/>
          <w:sz w:val="22"/>
          <w:szCs w:val="28"/>
          <w:highlight w:val="none"/>
          <w:u w:val="single"/>
        </w:rPr>
        <w:t xml:space="preserve">       </w:t>
      </w:r>
      <w:r>
        <w:rPr>
          <w:color w:val="auto"/>
          <w:sz w:val="22"/>
          <w:szCs w:val="28"/>
          <w:highlight w:val="none"/>
        </w:rPr>
        <w:t>年</w:t>
      </w:r>
      <w:r>
        <w:rPr>
          <w:color w:val="auto"/>
          <w:sz w:val="22"/>
          <w:szCs w:val="28"/>
          <w:highlight w:val="none"/>
          <w:u w:val="single"/>
        </w:rPr>
        <w:t xml:space="preserve">    </w:t>
      </w:r>
      <w:r>
        <w:rPr>
          <w:color w:val="auto"/>
          <w:sz w:val="22"/>
          <w:szCs w:val="28"/>
          <w:highlight w:val="none"/>
        </w:rPr>
        <w:t>月</w:t>
      </w:r>
      <w:r>
        <w:rPr>
          <w:color w:val="auto"/>
          <w:sz w:val="22"/>
          <w:szCs w:val="28"/>
          <w:highlight w:val="none"/>
          <w:u w:val="single"/>
        </w:rPr>
        <w:t xml:space="preserve">    </w:t>
      </w:r>
      <w:r>
        <w:rPr>
          <w:color w:val="auto"/>
          <w:sz w:val="22"/>
          <w:szCs w:val="28"/>
          <w:highlight w:val="none"/>
        </w:rPr>
        <w:t xml:space="preserve">日                        </w:t>
      </w:r>
      <w:r>
        <w:rPr>
          <w:color w:val="auto"/>
          <w:sz w:val="22"/>
          <w:szCs w:val="28"/>
          <w:highlight w:val="none"/>
          <w:u w:val="single"/>
        </w:rPr>
        <w:t xml:space="preserve">       </w:t>
      </w:r>
      <w:r>
        <w:rPr>
          <w:color w:val="auto"/>
          <w:sz w:val="22"/>
          <w:szCs w:val="28"/>
          <w:highlight w:val="none"/>
        </w:rPr>
        <w:t>年</w:t>
      </w:r>
      <w:r>
        <w:rPr>
          <w:color w:val="auto"/>
          <w:sz w:val="22"/>
          <w:szCs w:val="28"/>
          <w:highlight w:val="none"/>
          <w:u w:val="single"/>
        </w:rPr>
        <w:t xml:space="preserve">    </w:t>
      </w:r>
      <w:r>
        <w:rPr>
          <w:color w:val="auto"/>
          <w:sz w:val="22"/>
          <w:szCs w:val="28"/>
          <w:highlight w:val="none"/>
        </w:rPr>
        <w:t>月</w:t>
      </w:r>
      <w:r>
        <w:rPr>
          <w:color w:val="auto"/>
          <w:sz w:val="22"/>
          <w:szCs w:val="28"/>
          <w:highlight w:val="none"/>
          <w:u w:val="single"/>
        </w:rPr>
        <w:t xml:space="preserve">    </w:t>
      </w:r>
      <w:r>
        <w:rPr>
          <w:color w:val="auto"/>
          <w:sz w:val="22"/>
          <w:szCs w:val="28"/>
          <w:highlight w:val="none"/>
        </w:rPr>
        <w:t>日</w:t>
      </w:r>
    </w:p>
    <w:p w14:paraId="4B8B61E9">
      <w:pPr>
        <w:pStyle w:val="2"/>
        <w:shd w:val="clear"/>
        <w:rPr>
          <w:color w:val="auto"/>
          <w:highlight w:val="none"/>
        </w:rPr>
      </w:pPr>
      <w:r>
        <w:rPr>
          <w:rFonts w:hint="eastAsia"/>
          <w:color w:val="auto"/>
          <w:highlight w:val="none"/>
        </w:rPr>
        <w:t>第六章  投标文件格式</w:t>
      </w:r>
      <w:bookmarkEnd w:id="175"/>
      <w:bookmarkEnd w:id="178"/>
    </w:p>
    <w:p w14:paraId="2F3ECE03">
      <w:pPr>
        <w:shd w:val="clea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F39163B">
      <w:pPr>
        <w:shd w:val="clear"/>
        <w:jc w:val="center"/>
        <w:rPr>
          <w:rFonts w:eastAsia="黑体"/>
          <w:color w:val="auto"/>
          <w:sz w:val="20"/>
          <w:highlight w:val="none"/>
        </w:rPr>
      </w:pPr>
    </w:p>
    <w:p w14:paraId="0C64D765">
      <w:pPr>
        <w:shd w:val="clear"/>
        <w:rPr>
          <w:rFonts w:eastAsia="黑体"/>
          <w:color w:val="auto"/>
          <w:sz w:val="20"/>
          <w:highlight w:val="none"/>
        </w:rPr>
      </w:pPr>
    </w:p>
    <w:p w14:paraId="47C3C2C8">
      <w:pPr>
        <w:shd w:val="clear"/>
        <w:jc w:val="center"/>
        <w:rPr>
          <w:rFonts w:ascii="宋体"/>
          <w:b/>
          <w:color w:val="auto"/>
          <w:sz w:val="44"/>
          <w:szCs w:val="44"/>
          <w:highlight w:val="none"/>
        </w:rPr>
      </w:pPr>
      <w:bookmarkStart w:id="179" w:name="_Toc449028949"/>
      <w:bookmarkStart w:id="180" w:name="_Toc350698753"/>
      <w:r>
        <w:rPr>
          <w:rFonts w:hint="eastAsia" w:ascii="宋体"/>
          <w:b/>
          <w:color w:val="auto"/>
          <w:sz w:val="44"/>
          <w:szCs w:val="44"/>
          <w:highlight w:val="none"/>
        </w:rPr>
        <w:t>资信证明文件</w:t>
      </w:r>
      <w:bookmarkEnd w:id="179"/>
      <w:bookmarkEnd w:id="180"/>
    </w:p>
    <w:p w14:paraId="2B23B304">
      <w:pPr>
        <w:shd w:val="clear"/>
        <w:jc w:val="center"/>
        <w:rPr>
          <w:rFonts w:ascii="宋体"/>
          <w:color w:val="auto"/>
          <w:sz w:val="32"/>
          <w:szCs w:val="32"/>
          <w:highlight w:val="none"/>
        </w:rPr>
      </w:pPr>
      <w:r>
        <w:rPr>
          <w:rFonts w:hint="eastAsia" w:ascii="宋体"/>
          <w:color w:val="auto"/>
          <w:sz w:val="32"/>
          <w:szCs w:val="32"/>
          <w:highlight w:val="none"/>
        </w:rPr>
        <w:t>（投标文件一）</w:t>
      </w:r>
    </w:p>
    <w:p w14:paraId="1F908BE7">
      <w:pPr>
        <w:shd w:val="clear"/>
        <w:jc w:val="center"/>
        <w:rPr>
          <w:rFonts w:eastAsia="黑体"/>
          <w:color w:val="auto"/>
          <w:sz w:val="44"/>
          <w:szCs w:val="44"/>
          <w:highlight w:val="none"/>
        </w:rPr>
      </w:pPr>
    </w:p>
    <w:p w14:paraId="50FA55E3">
      <w:pPr>
        <w:shd w:val="clea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6CEDA27A">
      <w:pPr>
        <w:shd w:val="clea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352D2CB3">
      <w:pPr>
        <w:shd w:val="clear"/>
        <w:rPr>
          <w:rFonts w:ascii="宋体"/>
          <w:color w:val="auto"/>
          <w:sz w:val="28"/>
          <w:szCs w:val="28"/>
          <w:highlight w:val="none"/>
        </w:rPr>
      </w:pPr>
    </w:p>
    <w:p w14:paraId="4FC5A753">
      <w:pPr>
        <w:shd w:val="clear"/>
        <w:rPr>
          <w:rFonts w:ascii="宋体"/>
          <w:color w:val="auto"/>
          <w:sz w:val="28"/>
          <w:szCs w:val="28"/>
          <w:highlight w:val="none"/>
        </w:rPr>
      </w:pPr>
    </w:p>
    <w:p w14:paraId="26198A86">
      <w:pPr>
        <w:shd w:val="clear"/>
        <w:rPr>
          <w:rFonts w:ascii="宋体"/>
          <w:color w:val="auto"/>
          <w:sz w:val="28"/>
          <w:szCs w:val="28"/>
          <w:highlight w:val="none"/>
        </w:rPr>
      </w:pPr>
    </w:p>
    <w:p w14:paraId="54DD1591">
      <w:pPr>
        <w:shd w:val="clear"/>
        <w:rPr>
          <w:rFonts w:ascii="宋体"/>
          <w:color w:val="auto"/>
          <w:sz w:val="28"/>
          <w:szCs w:val="28"/>
          <w:highlight w:val="none"/>
        </w:rPr>
      </w:pPr>
    </w:p>
    <w:p w14:paraId="2CE33B46">
      <w:pPr>
        <w:shd w:val="clear"/>
        <w:rPr>
          <w:rFonts w:ascii="宋体"/>
          <w:color w:val="auto"/>
          <w:sz w:val="28"/>
          <w:szCs w:val="28"/>
          <w:highlight w:val="none"/>
        </w:rPr>
      </w:pPr>
    </w:p>
    <w:p w14:paraId="562597AD">
      <w:pPr>
        <w:shd w:val="clear"/>
        <w:rPr>
          <w:rFonts w:ascii="宋体"/>
          <w:color w:val="auto"/>
          <w:sz w:val="28"/>
          <w:szCs w:val="28"/>
          <w:highlight w:val="none"/>
        </w:rPr>
      </w:pPr>
    </w:p>
    <w:p w14:paraId="4DF176C3">
      <w:pPr>
        <w:shd w:val="clear"/>
        <w:rPr>
          <w:rFonts w:ascii="宋体"/>
          <w:color w:val="auto"/>
          <w:sz w:val="28"/>
          <w:szCs w:val="28"/>
          <w:highlight w:val="none"/>
        </w:rPr>
      </w:pPr>
    </w:p>
    <w:p w14:paraId="14FE95C4">
      <w:pPr>
        <w:shd w:val="clea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C42B740">
      <w:pPr>
        <w:shd w:val="clea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94E2F68">
      <w:pPr>
        <w:shd w:val="clea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053E0B">
      <w:pPr>
        <w:shd w:val="clear"/>
        <w:spacing w:line="720" w:lineRule="auto"/>
        <w:jc w:val="center"/>
        <w:rPr>
          <w:rFonts w:ascii="宋体"/>
          <w:b/>
          <w:color w:val="auto"/>
          <w:sz w:val="36"/>
          <w:szCs w:val="36"/>
          <w:highlight w:val="none"/>
        </w:rPr>
      </w:pPr>
    </w:p>
    <w:p w14:paraId="5DCA0A8E">
      <w:pPr>
        <w:shd w:val="clear"/>
        <w:spacing w:line="400" w:lineRule="exact"/>
        <w:ind w:firstLine="4130" w:firstLineChars="935"/>
        <w:rPr>
          <w:b/>
          <w:color w:val="auto"/>
          <w:sz w:val="44"/>
          <w:szCs w:val="44"/>
          <w:highlight w:val="none"/>
        </w:rPr>
      </w:pPr>
    </w:p>
    <w:p w14:paraId="4D492B39">
      <w:pPr>
        <w:pStyle w:val="33"/>
        <w:shd w:val="clear"/>
        <w:ind w:firstLine="210"/>
        <w:rPr>
          <w:color w:val="auto"/>
          <w:highlight w:val="none"/>
        </w:rPr>
      </w:pPr>
    </w:p>
    <w:p w14:paraId="188F7BCB">
      <w:pPr>
        <w:shd w:val="clear"/>
        <w:jc w:val="center"/>
        <w:rPr>
          <w:b/>
          <w:color w:val="auto"/>
          <w:sz w:val="44"/>
          <w:szCs w:val="44"/>
          <w:highlight w:val="none"/>
        </w:rPr>
      </w:pPr>
      <w:r>
        <w:rPr>
          <w:rFonts w:hint="eastAsia"/>
          <w:b/>
          <w:color w:val="auto"/>
          <w:sz w:val="36"/>
          <w:szCs w:val="36"/>
          <w:highlight w:val="none"/>
        </w:rPr>
        <w:t>目   录</w:t>
      </w:r>
    </w:p>
    <w:p w14:paraId="00773A97">
      <w:pPr>
        <w:shd w:val="clear"/>
        <w:spacing w:line="400" w:lineRule="exact"/>
        <w:ind w:firstLine="562" w:firstLineChars="200"/>
        <w:rPr>
          <w:b/>
          <w:color w:val="auto"/>
          <w:sz w:val="28"/>
          <w:szCs w:val="28"/>
          <w:highlight w:val="none"/>
        </w:rPr>
      </w:pPr>
    </w:p>
    <w:p w14:paraId="7B4CE8D5">
      <w:pPr>
        <w:shd w:val="clea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6ABC3A8C">
      <w:pPr>
        <w:shd w:val="clea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64CECD03">
      <w:pPr>
        <w:shd w:val="clear"/>
        <w:spacing w:line="440" w:lineRule="exact"/>
        <w:jc w:val="left"/>
        <w:rPr>
          <w:rFonts w:ascii="宋体" w:hAnsi="宋体" w:eastAsia="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lang w:val="en-US" w:eastAsia="zh-CN"/>
        </w:rPr>
        <w:t>有效的</w:t>
      </w:r>
      <w:r>
        <w:rPr>
          <w:rFonts w:hint="eastAsia" w:ascii="宋体" w:hAnsi="宋体" w:cs="宋体"/>
          <w:color w:val="auto"/>
          <w:szCs w:val="21"/>
          <w:highlight w:val="none"/>
        </w:rPr>
        <w:t>企业资质证书</w:t>
      </w:r>
      <w:r>
        <w:rPr>
          <w:rFonts w:hint="eastAsia" w:ascii="宋体" w:hAnsi="宋体" w:cs="宋体"/>
          <w:bCs/>
          <w:color w:val="auto"/>
          <w:szCs w:val="21"/>
          <w:highlight w:val="none"/>
        </w:rPr>
        <w:t>；</w:t>
      </w:r>
    </w:p>
    <w:p w14:paraId="5D9F8042">
      <w:pPr>
        <w:shd w:val="clear"/>
        <w:spacing w:line="44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cs="宋体"/>
          <w:color w:val="auto"/>
          <w:szCs w:val="21"/>
          <w:highlight w:val="none"/>
          <w:lang w:val="en-US" w:eastAsia="zh-CN"/>
        </w:rPr>
        <w:t>有效的</w:t>
      </w:r>
      <w:r>
        <w:rPr>
          <w:rFonts w:hint="eastAsia" w:ascii="宋体" w:hAnsi="宋体" w:eastAsia="宋体" w:cs="宋体"/>
          <w:bCs/>
          <w:color w:val="auto"/>
          <w:szCs w:val="21"/>
          <w:highlight w:val="none"/>
        </w:rPr>
        <w:t>企业安全生产许可证；</w:t>
      </w:r>
    </w:p>
    <w:p w14:paraId="655AC4CC">
      <w:pPr>
        <w:shd w:val="clear"/>
        <w:spacing w:line="440" w:lineRule="exact"/>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（5）</w:t>
      </w:r>
      <w:r>
        <w:rPr>
          <w:rFonts w:hint="eastAsia" w:ascii="宋体" w:hAnsi="宋体" w:cs="宋体"/>
          <w:color w:val="auto"/>
          <w:szCs w:val="21"/>
          <w:highlight w:val="none"/>
          <w:lang w:val="en-US" w:eastAsia="zh-CN"/>
        </w:rPr>
        <w:t>项目负责人身份证、注册证书、安全生产考核合格证书证书及持有社保部门出具的本单位为其缴纳的投标前近三个月连续的养老保险证明（证明文件两个月内有效），投标申请人是事业单位的，须由其主管部门出具证明</w:t>
      </w:r>
      <w:r>
        <w:rPr>
          <w:rFonts w:hint="eastAsia" w:ascii="宋体" w:hAnsi="宋体" w:eastAsia="宋体" w:cs="宋体"/>
          <w:bCs/>
          <w:color w:val="auto"/>
          <w:szCs w:val="21"/>
          <w:highlight w:val="none"/>
          <w:lang w:eastAsia="zh-CN"/>
        </w:rPr>
        <w:t>；</w:t>
      </w:r>
    </w:p>
    <w:p w14:paraId="429DC2FB">
      <w:pPr>
        <w:shd w:val="clear"/>
        <w:spacing w:line="440" w:lineRule="exact"/>
        <w:jc w:val="left"/>
        <w:rPr>
          <w:rFonts w:ascii="宋体" w:hAnsi="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658D5A8A">
      <w:pPr>
        <w:shd w:val="clea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）服务承诺：是否响应招标文件要求的书面说明和服务承诺书（格式见附件）</w:t>
      </w:r>
    </w:p>
    <w:p w14:paraId="1052AE67">
      <w:pPr>
        <w:shd w:val="clea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）招标文件中要求的资信标评审及其他支持资料</w:t>
      </w:r>
    </w:p>
    <w:p w14:paraId="1A732646">
      <w:pPr>
        <w:shd w:val="clear"/>
        <w:spacing w:line="400" w:lineRule="exact"/>
        <w:ind w:firstLine="562" w:firstLineChars="200"/>
        <w:rPr>
          <w:b/>
          <w:color w:val="auto"/>
          <w:sz w:val="28"/>
          <w:szCs w:val="28"/>
          <w:highlight w:val="none"/>
        </w:rPr>
      </w:pPr>
    </w:p>
    <w:p w14:paraId="1217EE06">
      <w:pPr>
        <w:shd w:val="clear"/>
        <w:spacing w:line="400" w:lineRule="exact"/>
        <w:ind w:firstLine="562" w:firstLineChars="200"/>
        <w:rPr>
          <w:b/>
          <w:color w:val="auto"/>
          <w:sz w:val="28"/>
          <w:szCs w:val="28"/>
          <w:highlight w:val="none"/>
        </w:rPr>
      </w:pPr>
    </w:p>
    <w:p w14:paraId="1AC9D31B">
      <w:pPr>
        <w:shd w:val="clear"/>
        <w:spacing w:line="400" w:lineRule="exact"/>
        <w:ind w:firstLine="562" w:firstLineChars="200"/>
        <w:rPr>
          <w:b/>
          <w:color w:val="auto"/>
          <w:sz w:val="28"/>
          <w:szCs w:val="28"/>
          <w:highlight w:val="none"/>
        </w:rPr>
      </w:pPr>
    </w:p>
    <w:p w14:paraId="7ACC4C61">
      <w:pPr>
        <w:shd w:val="clear"/>
        <w:spacing w:line="400" w:lineRule="exact"/>
        <w:ind w:firstLine="562" w:firstLineChars="200"/>
        <w:rPr>
          <w:b/>
          <w:color w:val="auto"/>
          <w:sz w:val="28"/>
          <w:szCs w:val="28"/>
          <w:highlight w:val="none"/>
        </w:rPr>
      </w:pPr>
    </w:p>
    <w:p w14:paraId="4CA1E8AE">
      <w:pPr>
        <w:shd w:val="clear"/>
        <w:spacing w:line="400" w:lineRule="exact"/>
        <w:rPr>
          <w:b/>
          <w:color w:val="auto"/>
          <w:sz w:val="28"/>
          <w:szCs w:val="28"/>
          <w:highlight w:val="none"/>
        </w:rPr>
        <w:sectPr>
          <w:pgSz w:w="11906" w:h="16838"/>
          <w:pgMar w:top="1440" w:right="1417" w:bottom="1417" w:left="1417" w:header="851" w:footer="992" w:gutter="0"/>
          <w:pgNumType w:fmt="numberInDash"/>
          <w:cols w:space="720" w:num="1"/>
          <w:docGrid w:type="lines" w:linePitch="312" w:charSpace="0"/>
        </w:sectPr>
      </w:pPr>
    </w:p>
    <w:p w14:paraId="1CC8963C">
      <w:pPr>
        <w:shd w:val="clear"/>
        <w:spacing w:line="360" w:lineRule="auto"/>
        <w:rPr>
          <w:b/>
          <w:color w:val="auto"/>
          <w:sz w:val="28"/>
          <w:szCs w:val="28"/>
          <w:highlight w:val="none"/>
        </w:rPr>
      </w:pPr>
      <w:r>
        <w:rPr>
          <w:rFonts w:hint="eastAsia"/>
          <w:b/>
          <w:color w:val="auto"/>
          <w:sz w:val="28"/>
          <w:szCs w:val="28"/>
          <w:highlight w:val="none"/>
        </w:rPr>
        <w:t>附件1</w:t>
      </w:r>
    </w:p>
    <w:p w14:paraId="7DE805B1">
      <w:pPr>
        <w:shd w:val="clea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40902BE5">
      <w:pPr>
        <w:pStyle w:val="104"/>
        <w:shd w:val="clear"/>
        <w:spacing w:beforeLines="100"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752263EB">
      <w:pPr>
        <w:shd w:val="clea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2572523A">
      <w:pPr>
        <w:shd w:val="clea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482C208">
      <w:pPr>
        <w:shd w:val="clea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764296D5">
      <w:pPr>
        <w:shd w:val="clea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2F6D72D">
      <w:pPr>
        <w:shd w:val="clea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7F6D6611">
      <w:pPr>
        <w:shd w:val="clea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DF80ADB">
      <w:pPr>
        <w:shd w:val="clea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0CE5E9A">
      <w:pPr>
        <w:shd w:val="clea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73C60D79">
      <w:pPr>
        <w:shd w:val="clea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29CCF73D">
      <w:pPr>
        <w:shd w:val="clea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E98EF0F">
      <w:pPr>
        <w:shd w:val="clear"/>
        <w:spacing w:beforeLines="100"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0C0D3E2D">
      <w:pPr>
        <w:shd w:val="clea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7A554FF7">
      <w:pPr>
        <w:shd w:val="clea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6B84D81A">
      <w:pPr>
        <w:shd w:val="clea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238882B">
      <w:pPr>
        <w:shd w:val="clea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38BBE11E">
      <w:pPr>
        <w:shd w:val="clear"/>
        <w:spacing w:line="480" w:lineRule="exact"/>
        <w:rPr>
          <w:rFonts w:ascii="宋体"/>
          <w:color w:val="auto"/>
          <w:sz w:val="24"/>
          <w:highlight w:val="none"/>
        </w:rPr>
      </w:pPr>
      <w:r>
        <w:rPr>
          <w:rFonts w:hint="eastAsia" w:ascii="宋体"/>
          <w:color w:val="auto"/>
          <w:sz w:val="24"/>
          <w:highlight w:val="none"/>
        </w:rPr>
        <w:t xml:space="preserve">                                     投标人：             （盖单位章）</w:t>
      </w:r>
    </w:p>
    <w:p w14:paraId="0CA3C949">
      <w:pPr>
        <w:shd w:val="clea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07B8A61D">
      <w:pPr>
        <w:shd w:val="clea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2E067C6D">
      <w:pPr>
        <w:shd w:val="clear"/>
        <w:spacing w:line="360" w:lineRule="exact"/>
        <w:ind w:firstLine="413" w:firstLineChars="147"/>
        <w:rPr>
          <w:b/>
          <w:color w:val="auto"/>
          <w:sz w:val="28"/>
          <w:szCs w:val="28"/>
          <w:highlight w:val="none"/>
          <w:u w:val="single"/>
        </w:rPr>
      </w:pPr>
    </w:p>
    <w:p w14:paraId="2118DE66">
      <w:pPr>
        <w:shd w:val="clear"/>
        <w:spacing w:line="360" w:lineRule="exact"/>
        <w:ind w:firstLine="413" w:firstLineChars="147"/>
        <w:rPr>
          <w:b/>
          <w:color w:val="auto"/>
          <w:sz w:val="28"/>
          <w:szCs w:val="28"/>
          <w:highlight w:val="none"/>
          <w:u w:val="single"/>
        </w:rPr>
      </w:pPr>
    </w:p>
    <w:p w14:paraId="78F23557">
      <w:pPr>
        <w:shd w:val="clear"/>
        <w:spacing w:line="360" w:lineRule="exact"/>
        <w:rPr>
          <w:rFonts w:ascii="宋体"/>
          <w:b/>
          <w:color w:val="auto"/>
          <w:sz w:val="30"/>
          <w:szCs w:val="30"/>
          <w:highlight w:val="none"/>
        </w:rPr>
      </w:pPr>
      <w:r>
        <w:rPr>
          <w:rFonts w:hint="eastAsia" w:ascii="宋体"/>
          <w:b/>
          <w:color w:val="auto"/>
          <w:sz w:val="30"/>
          <w:szCs w:val="30"/>
          <w:highlight w:val="none"/>
        </w:rPr>
        <w:t>附件2</w:t>
      </w:r>
    </w:p>
    <w:p w14:paraId="0CCAAACC">
      <w:pPr>
        <w:shd w:val="clear"/>
        <w:spacing w:line="360" w:lineRule="exact"/>
        <w:ind w:firstLine="413" w:firstLineChars="147"/>
        <w:jc w:val="center"/>
        <w:rPr>
          <w:b/>
          <w:color w:val="auto"/>
          <w:sz w:val="28"/>
          <w:szCs w:val="28"/>
          <w:highlight w:val="none"/>
        </w:rPr>
      </w:pPr>
      <w:bookmarkStart w:id="181" w:name="_Toc449028950"/>
      <w:bookmarkStart w:id="182" w:name="_Toc440443268"/>
      <w:r>
        <w:rPr>
          <w:rFonts w:hint="eastAsia"/>
          <w:b/>
          <w:color w:val="auto"/>
          <w:sz w:val="28"/>
          <w:szCs w:val="28"/>
          <w:highlight w:val="none"/>
        </w:rPr>
        <w:t>（2）诚信投标承诺书</w:t>
      </w:r>
    </w:p>
    <w:p w14:paraId="20738049">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240F7DE4">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2966BA52">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37A1F08B">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49B65B28">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107E5175">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F9B250">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83" w:name="OLE_LINK134"/>
      <w:bookmarkStart w:id="184"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83"/>
      <w:bookmarkEnd w:id="184"/>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5E494D07">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080166C4">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0A0D6067">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390C5D2E">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93CF68F">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29DD537">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263164E5">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2901B344">
      <w:pPr>
        <w:keepNext w:val="0"/>
        <w:keepLines w:val="0"/>
        <w:pageBreakBefore w:val="0"/>
        <w:widowControl w:val="0"/>
        <w:shd w:val="clear"/>
        <w:kinsoku/>
        <w:wordWrap/>
        <w:overflowPunct/>
        <w:topLinePunct w:val="0"/>
        <w:autoSpaceDE/>
        <w:autoSpaceDN/>
        <w:bidi w:val="0"/>
        <w:adjustRightInd/>
        <w:snapToGrid/>
        <w:spacing w:line="300" w:lineRule="exact"/>
        <w:ind w:left="-420" w:leftChars="-200" w:right="-512" w:rightChars="-244" w:firstLine="420" w:firstLineChars="200"/>
        <w:textAlignment w:val="auto"/>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430514BB">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1D9717E1">
      <w:pPr>
        <w:shd w:val="clear"/>
        <w:rPr>
          <w:rFonts w:ascii="宋体" w:hAnsi="宋体"/>
          <w:color w:val="auto"/>
          <w:szCs w:val="21"/>
          <w:highlight w:val="none"/>
        </w:rPr>
      </w:pPr>
    </w:p>
    <w:p w14:paraId="3590403F">
      <w:pPr>
        <w:shd w:val="clear"/>
        <w:rPr>
          <w:rFonts w:ascii="宋体" w:hAnsi="宋体"/>
          <w:color w:val="auto"/>
          <w:szCs w:val="21"/>
          <w:highlight w:val="none"/>
        </w:rPr>
      </w:pPr>
    </w:p>
    <w:p w14:paraId="3E82995B">
      <w:pPr>
        <w:shd w:val="clear"/>
        <w:spacing w:line="280" w:lineRule="exact"/>
        <w:ind w:right="-512" w:rightChars="-244"/>
        <w:jc w:val="center"/>
        <w:rPr>
          <w:b/>
          <w:color w:val="auto"/>
          <w:sz w:val="28"/>
          <w:szCs w:val="28"/>
          <w:highlight w:val="none"/>
        </w:rPr>
      </w:pPr>
      <w:r>
        <w:rPr>
          <w:rFonts w:hint="eastAsia"/>
          <w:b/>
          <w:color w:val="auto"/>
          <w:sz w:val="28"/>
          <w:szCs w:val="28"/>
          <w:highlight w:val="none"/>
        </w:rPr>
        <w:t>或（2）公共信用信息报告（无违法违规证明版或核查版））</w:t>
      </w:r>
    </w:p>
    <w:p w14:paraId="5D9119F5">
      <w:pPr>
        <w:keepNext w:val="0"/>
        <w:keepLines w:val="0"/>
        <w:pageBreakBefore w:val="0"/>
        <w:widowControl w:val="0"/>
        <w:shd w:val="clear"/>
        <w:kinsoku/>
        <w:wordWrap w:val="0"/>
        <w:overflowPunct/>
        <w:topLinePunct w:val="0"/>
        <w:autoSpaceDE/>
        <w:autoSpaceDN/>
        <w:bidi w:val="0"/>
        <w:adjustRightInd/>
        <w:snapToGrid/>
        <w:textAlignment w:val="auto"/>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2725BB87">
      <w:pPr>
        <w:shd w:val="clear"/>
        <w:spacing w:line="360" w:lineRule="auto"/>
        <w:rPr>
          <w:b/>
          <w:color w:val="auto"/>
          <w:sz w:val="28"/>
          <w:szCs w:val="28"/>
          <w:highlight w:val="none"/>
        </w:rPr>
      </w:pPr>
      <w:r>
        <w:rPr>
          <w:rFonts w:hint="eastAsia" w:ascii="宋体" w:hAnsi="宋体"/>
          <w:b/>
          <w:color w:val="auto"/>
          <w:sz w:val="24"/>
          <w:highlight w:val="none"/>
        </w:rPr>
        <w:t>附件3</w:t>
      </w:r>
    </w:p>
    <w:p w14:paraId="2EF1F0FE">
      <w:pPr>
        <w:shd w:val="clear"/>
        <w:spacing w:line="400" w:lineRule="exact"/>
        <w:ind w:firstLine="562" w:firstLineChars="200"/>
        <w:rPr>
          <w:b/>
          <w:color w:val="auto"/>
          <w:sz w:val="28"/>
          <w:szCs w:val="28"/>
          <w:highlight w:val="none"/>
        </w:rPr>
      </w:pPr>
    </w:p>
    <w:p w14:paraId="7B682A37">
      <w:pPr>
        <w:shd w:val="clear"/>
        <w:jc w:val="center"/>
        <w:rPr>
          <w:rFonts w:ascii="宋体"/>
          <w:b/>
          <w:color w:val="auto"/>
          <w:sz w:val="30"/>
          <w:szCs w:val="30"/>
          <w:highlight w:val="none"/>
        </w:rPr>
      </w:pPr>
      <w:r>
        <w:rPr>
          <w:rFonts w:hint="eastAsia" w:ascii="宋体"/>
          <w:b/>
          <w:color w:val="auto"/>
          <w:sz w:val="30"/>
          <w:szCs w:val="30"/>
          <w:highlight w:val="none"/>
        </w:rPr>
        <w:t>服务承诺书</w:t>
      </w:r>
    </w:p>
    <w:p w14:paraId="667F27BD">
      <w:pPr>
        <w:shd w:val="clear"/>
        <w:ind w:firstLine="480" w:firstLineChars="200"/>
        <w:rPr>
          <w:rFonts w:ascii="宋体"/>
          <w:color w:val="auto"/>
          <w:sz w:val="24"/>
          <w:highlight w:val="none"/>
        </w:rPr>
      </w:pPr>
    </w:p>
    <w:p w14:paraId="6EB9788A">
      <w:pPr>
        <w:shd w:val="clea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588C8BA2">
      <w:pPr>
        <w:shd w:val="clea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59418CE0">
      <w:pPr>
        <w:shd w:val="clea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400FCA5">
      <w:pPr>
        <w:shd w:val="clear"/>
        <w:spacing w:line="600" w:lineRule="exact"/>
        <w:rPr>
          <w:rFonts w:ascii="宋体"/>
          <w:color w:val="auto"/>
          <w:sz w:val="24"/>
          <w:highlight w:val="none"/>
        </w:rPr>
      </w:pPr>
      <w:r>
        <w:rPr>
          <w:rFonts w:hint="eastAsia" w:ascii="宋体"/>
          <w:color w:val="auto"/>
          <w:sz w:val="24"/>
          <w:highlight w:val="none"/>
        </w:rPr>
        <w:t> </w:t>
      </w:r>
    </w:p>
    <w:p w14:paraId="0FD6EFD1">
      <w:pPr>
        <w:shd w:val="clea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1E9C35C5">
      <w:pPr>
        <w:shd w:val="clea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86951BC">
      <w:pPr>
        <w:shd w:val="clea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869C128">
      <w:pPr>
        <w:pStyle w:val="34"/>
        <w:shd w:val="clear"/>
        <w:ind w:firstLine="400"/>
        <w:rPr>
          <w:color w:val="auto"/>
          <w:highlight w:val="none"/>
        </w:rPr>
      </w:pPr>
    </w:p>
    <w:bookmarkEnd w:id="181"/>
    <w:bookmarkEnd w:id="182"/>
    <w:p w14:paraId="167F3766">
      <w:pPr>
        <w:shd w:val="clea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789FAD68">
      <w:pPr>
        <w:shd w:val="clear"/>
        <w:jc w:val="center"/>
        <w:rPr>
          <w:rFonts w:ascii="宋体"/>
          <w:b/>
          <w:color w:val="auto"/>
          <w:sz w:val="44"/>
          <w:szCs w:val="44"/>
          <w:highlight w:val="none"/>
        </w:rPr>
      </w:pPr>
      <w:bookmarkStart w:id="185" w:name="_Toc387149626"/>
      <w:bookmarkStart w:id="186" w:name="_Toc449028953"/>
    </w:p>
    <w:p w14:paraId="786A638C">
      <w:pPr>
        <w:shd w:val="clear"/>
        <w:jc w:val="center"/>
        <w:rPr>
          <w:rFonts w:ascii="宋体"/>
          <w:b/>
          <w:color w:val="auto"/>
          <w:sz w:val="44"/>
          <w:szCs w:val="44"/>
          <w:highlight w:val="none"/>
        </w:rPr>
      </w:pPr>
      <w:r>
        <w:rPr>
          <w:rFonts w:hint="eastAsia" w:ascii="宋体"/>
          <w:b/>
          <w:color w:val="auto"/>
          <w:sz w:val="44"/>
          <w:szCs w:val="44"/>
          <w:highlight w:val="none"/>
        </w:rPr>
        <w:t>技术标</w:t>
      </w:r>
      <w:bookmarkEnd w:id="185"/>
      <w:bookmarkEnd w:id="186"/>
    </w:p>
    <w:p w14:paraId="321FBAF2">
      <w:pPr>
        <w:shd w:val="clear"/>
        <w:jc w:val="center"/>
        <w:rPr>
          <w:rFonts w:ascii="宋体"/>
          <w:color w:val="auto"/>
          <w:sz w:val="32"/>
          <w:szCs w:val="32"/>
          <w:highlight w:val="none"/>
        </w:rPr>
      </w:pPr>
      <w:r>
        <w:rPr>
          <w:rFonts w:hint="eastAsia" w:ascii="宋体"/>
          <w:color w:val="auto"/>
          <w:sz w:val="32"/>
          <w:szCs w:val="32"/>
          <w:highlight w:val="none"/>
        </w:rPr>
        <w:t>（投标文件二）</w:t>
      </w:r>
    </w:p>
    <w:p w14:paraId="26DEFF3B">
      <w:pPr>
        <w:shd w:val="clear"/>
        <w:jc w:val="center"/>
        <w:rPr>
          <w:rFonts w:eastAsia="黑体"/>
          <w:color w:val="auto"/>
          <w:sz w:val="44"/>
          <w:szCs w:val="44"/>
          <w:highlight w:val="none"/>
        </w:rPr>
      </w:pPr>
    </w:p>
    <w:p w14:paraId="3BDFAFB6">
      <w:pPr>
        <w:shd w:val="clea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AF3B866">
      <w:pPr>
        <w:shd w:val="clea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17175D11">
      <w:pPr>
        <w:shd w:val="clear"/>
        <w:rPr>
          <w:rFonts w:ascii="宋体"/>
          <w:color w:val="auto"/>
          <w:sz w:val="28"/>
          <w:szCs w:val="28"/>
          <w:highlight w:val="none"/>
        </w:rPr>
      </w:pPr>
    </w:p>
    <w:p w14:paraId="367101F7">
      <w:pPr>
        <w:shd w:val="clear"/>
        <w:rPr>
          <w:rFonts w:ascii="宋体"/>
          <w:color w:val="auto"/>
          <w:sz w:val="28"/>
          <w:szCs w:val="28"/>
          <w:highlight w:val="none"/>
        </w:rPr>
      </w:pPr>
    </w:p>
    <w:p w14:paraId="0CEB744C">
      <w:pPr>
        <w:shd w:val="clea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6A65964B">
      <w:pPr>
        <w:pStyle w:val="34"/>
        <w:shd w:val="clear"/>
        <w:ind w:firstLine="560"/>
        <w:rPr>
          <w:rFonts w:ascii="宋体"/>
          <w:color w:val="auto"/>
          <w:sz w:val="28"/>
          <w:szCs w:val="28"/>
          <w:highlight w:val="none"/>
        </w:rPr>
      </w:pPr>
      <w:r>
        <w:rPr>
          <w:rFonts w:hint="eastAsia" w:ascii="宋体"/>
          <w:color w:val="auto"/>
          <w:sz w:val="28"/>
          <w:szCs w:val="28"/>
          <w:highlight w:val="none"/>
        </w:rPr>
        <w:br w:type="page"/>
      </w:r>
    </w:p>
    <w:p w14:paraId="3ABA617A">
      <w:pPr>
        <w:shd w:val="clear"/>
        <w:rPr>
          <w:rFonts w:ascii="宋体"/>
          <w:color w:val="auto"/>
          <w:sz w:val="28"/>
          <w:szCs w:val="28"/>
          <w:highlight w:val="none"/>
        </w:rPr>
      </w:pPr>
    </w:p>
    <w:p w14:paraId="718DD351">
      <w:pPr>
        <w:pStyle w:val="34"/>
        <w:shd w:val="clear"/>
        <w:ind w:firstLine="400"/>
        <w:rPr>
          <w:color w:val="auto"/>
          <w:highlight w:val="none"/>
        </w:rPr>
      </w:pPr>
    </w:p>
    <w:p w14:paraId="296FA476">
      <w:pPr>
        <w:shd w:val="clear"/>
        <w:spacing w:line="400" w:lineRule="exact"/>
        <w:rPr>
          <w:b/>
          <w:color w:val="auto"/>
          <w:sz w:val="36"/>
          <w:szCs w:val="36"/>
          <w:highlight w:val="none"/>
        </w:rPr>
      </w:pPr>
    </w:p>
    <w:p w14:paraId="40D71DA9">
      <w:pPr>
        <w:shd w:val="clear"/>
        <w:spacing w:line="400" w:lineRule="exact"/>
        <w:jc w:val="center"/>
        <w:rPr>
          <w:rFonts w:hint="eastAsia"/>
          <w:b/>
          <w:color w:val="auto"/>
          <w:sz w:val="36"/>
          <w:szCs w:val="36"/>
          <w:highlight w:val="none"/>
        </w:rPr>
      </w:pPr>
      <w:r>
        <w:rPr>
          <w:rFonts w:hint="eastAsia"/>
          <w:b/>
          <w:color w:val="auto"/>
          <w:sz w:val="36"/>
          <w:szCs w:val="36"/>
          <w:highlight w:val="none"/>
        </w:rPr>
        <w:t>目   录</w:t>
      </w:r>
    </w:p>
    <w:p w14:paraId="06CAAB20">
      <w:pPr>
        <w:shd w:val="clear"/>
        <w:spacing w:line="400" w:lineRule="exact"/>
        <w:jc w:val="center"/>
        <w:rPr>
          <w:rFonts w:hint="eastAsia"/>
          <w:b/>
          <w:color w:val="auto"/>
          <w:sz w:val="36"/>
          <w:szCs w:val="36"/>
          <w:highlight w:val="none"/>
        </w:rPr>
      </w:pPr>
    </w:p>
    <w:p w14:paraId="1864FE9C">
      <w:pPr>
        <w:numPr>
          <w:ilvl w:val="0"/>
          <w:numId w:val="0"/>
        </w:numPr>
        <w:shd w:val="clear"/>
        <w:spacing w:line="440" w:lineRule="exact"/>
        <w:jc w:val="left"/>
        <w:rPr>
          <w:rFonts w:hint="eastAsia" w:ascii="宋体" w:hAnsi="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（1）维护方案</w:t>
      </w:r>
      <w:r>
        <w:rPr>
          <w:rFonts w:hint="eastAsia" w:ascii="宋体" w:hAnsi="宋体" w:cs="宋体"/>
          <w:b/>
          <w:bCs/>
          <w:color w:val="auto"/>
          <w:szCs w:val="21"/>
          <w:highlight w:val="none"/>
          <w:lang w:val="en-US" w:eastAsia="zh-CN"/>
        </w:rPr>
        <w:t>（格式自拟）；</w:t>
      </w:r>
    </w:p>
    <w:p w14:paraId="7F6553A2">
      <w:pPr>
        <w:widowControl w:val="0"/>
        <w:numPr>
          <w:ilvl w:val="0"/>
          <w:numId w:val="0"/>
        </w:numPr>
        <w:shd w:val="clear"/>
        <w:spacing w:line="440" w:lineRule="exact"/>
        <w:jc w:val="left"/>
        <w:rPr>
          <w:rFonts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（2）质量与安全保障措施</w:t>
      </w:r>
      <w:r>
        <w:rPr>
          <w:rFonts w:hint="eastAsia" w:ascii="宋体" w:hAnsi="宋体" w:cs="宋体"/>
          <w:b/>
          <w:bCs/>
          <w:color w:val="auto"/>
          <w:szCs w:val="21"/>
          <w:highlight w:val="none"/>
          <w:lang w:val="en-US" w:eastAsia="zh-CN"/>
        </w:rPr>
        <w:t>（格式自拟）；</w:t>
      </w:r>
    </w:p>
    <w:p w14:paraId="015F5BD0">
      <w:pPr>
        <w:widowControl w:val="0"/>
        <w:numPr>
          <w:ilvl w:val="0"/>
          <w:numId w:val="0"/>
        </w:numPr>
        <w:shd w:val="clear"/>
        <w:spacing w:line="440" w:lineRule="exact"/>
        <w:jc w:val="left"/>
        <w:rPr>
          <w:rFonts w:hint="eastAsia" w:ascii="宋体" w:hAnsi="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（3）响应及时性与应急预案</w:t>
      </w:r>
      <w:r>
        <w:rPr>
          <w:rFonts w:hint="eastAsia" w:ascii="宋体" w:hAnsi="宋体" w:cs="宋体"/>
          <w:b/>
          <w:bCs/>
          <w:color w:val="auto"/>
          <w:szCs w:val="21"/>
          <w:highlight w:val="none"/>
          <w:lang w:val="en-US" w:eastAsia="zh-CN"/>
        </w:rPr>
        <w:t>（格式自拟）；</w:t>
      </w:r>
    </w:p>
    <w:p w14:paraId="00B5998F">
      <w:pPr>
        <w:widowControl w:val="0"/>
        <w:numPr>
          <w:ilvl w:val="0"/>
          <w:numId w:val="0"/>
        </w:numPr>
        <w:shd w:val="clear"/>
        <w:spacing w:line="440" w:lineRule="exact"/>
        <w:jc w:val="left"/>
        <w:rPr>
          <w:rFonts w:hint="eastAsia" w:ascii="宋体" w:hAnsi="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（4）设备保障</w:t>
      </w:r>
      <w:r>
        <w:rPr>
          <w:rFonts w:hint="eastAsia" w:ascii="宋体" w:hAnsi="宋体" w:cs="宋体"/>
          <w:b/>
          <w:bCs/>
          <w:color w:val="auto"/>
          <w:szCs w:val="21"/>
          <w:highlight w:val="none"/>
          <w:lang w:val="en-US" w:eastAsia="zh-CN"/>
        </w:rPr>
        <w:t>（格式自拟）；</w:t>
      </w:r>
    </w:p>
    <w:p w14:paraId="3CA3D2F2">
      <w:pPr>
        <w:widowControl w:val="0"/>
        <w:numPr>
          <w:ilvl w:val="0"/>
          <w:numId w:val="0"/>
        </w:numPr>
        <w:shd w:val="clear"/>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（5）技术支持与服务承诺</w:t>
      </w:r>
      <w:r>
        <w:rPr>
          <w:rFonts w:hint="eastAsia" w:ascii="宋体" w:hAnsi="宋体" w:cs="宋体"/>
          <w:b/>
          <w:bCs/>
          <w:color w:val="auto"/>
          <w:szCs w:val="21"/>
          <w:highlight w:val="none"/>
          <w:lang w:val="en-US" w:eastAsia="zh-CN"/>
        </w:rPr>
        <w:t>（格式自拟）；</w:t>
      </w:r>
    </w:p>
    <w:p w14:paraId="60ECA6C0">
      <w:pPr>
        <w:shd w:val="clear"/>
        <w:adjustRightInd w:val="0"/>
        <w:snapToGrid w:val="0"/>
        <w:spacing w:line="560" w:lineRule="exact"/>
        <w:rPr>
          <w:rFonts w:ascii="宋体" w:hAnsi="宋体"/>
          <w:b/>
          <w:bCs/>
          <w:color w:val="auto"/>
          <w:sz w:val="24"/>
          <w:highlight w:val="none"/>
        </w:rPr>
      </w:pPr>
    </w:p>
    <w:p w14:paraId="17489F54">
      <w:pPr>
        <w:shd w:val="clea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0D235BCF">
      <w:pPr>
        <w:pStyle w:val="14"/>
        <w:shd w:val="clear"/>
        <w:rPr>
          <w:color w:val="auto"/>
          <w:highlight w:val="none"/>
        </w:rPr>
      </w:pPr>
    </w:p>
    <w:p w14:paraId="56A1AE96">
      <w:pPr>
        <w:shd w:val="clear"/>
        <w:spacing w:line="400" w:lineRule="exact"/>
        <w:ind w:firstLine="562" w:firstLineChars="200"/>
        <w:rPr>
          <w:b/>
          <w:color w:val="auto"/>
          <w:sz w:val="28"/>
          <w:szCs w:val="28"/>
          <w:highlight w:val="none"/>
        </w:rPr>
      </w:pPr>
    </w:p>
    <w:p w14:paraId="4BD87A00">
      <w:pPr>
        <w:shd w:val="clear"/>
        <w:spacing w:line="400" w:lineRule="exact"/>
        <w:ind w:firstLine="562" w:firstLineChars="200"/>
        <w:rPr>
          <w:b/>
          <w:color w:val="auto"/>
          <w:sz w:val="28"/>
          <w:szCs w:val="28"/>
          <w:highlight w:val="none"/>
        </w:rPr>
      </w:pPr>
    </w:p>
    <w:p w14:paraId="0E8C2E9F">
      <w:pPr>
        <w:shd w:val="clear"/>
        <w:spacing w:line="400" w:lineRule="exact"/>
        <w:ind w:firstLine="562" w:firstLineChars="200"/>
        <w:rPr>
          <w:b/>
          <w:color w:val="auto"/>
          <w:sz w:val="28"/>
          <w:szCs w:val="28"/>
          <w:highlight w:val="none"/>
        </w:rPr>
      </w:pPr>
    </w:p>
    <w:p w14:paraId="2A8BCAA0">
      <w:pPr>
        <w:shd w:val="clear"/>
        <w:spacing w:line="480" w:lineRule="auto"/>
        <w:rPr>
          <w:b/>
          <w:color w:val="auto"/>
          <w:sz w:val="28"/>
          <w:szCs w:val="28"/>
          <w:highlight w:val="none"/>
        </w:rPr>
      </w:pPr>
      <w:r>
        <w:rPr>
          <w:rFonts w:hint="eastAsia"/>
          <w:b/>
          <w:color w:val="auto"/>
          <w:sz w:val="28"/>
          <w:szCs w:val="28"/>
          <w:highlight w:val="none"/>
        </w:rPr>
        <w:br w:type="page"/>
      </w:r>
    </w:p>
    <w:p w14:paraId="3935DF22">
      <w:pPr>
        <w:shd w:val="clea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6C49421">
      <w:pPr>
        <w:shd w:val="clear"/>
        <w:jc w:val="center"/>
        <w:rPr>
          <w:rFonts w:ascii="宋体"/>
          <w:color w:val="auto"/>
          <w:sz w:val="24"/>
          <w:highlight w:val="none"/>
        </w:rPr>
      </w:pPr>
      <w:r>
        <w:rPr>
          <w:rFonts w:hint="eastAsia" w:ascii="宋体" w:hAnsi="宋体"/>
          <w:b/>
          <w:color w:val="auto"/>
          <w:sz w:val="28"/>
          <w:szCs w:val="28"/>
          <w:highlight w:val="none"/>
        </w:rPr>
        <w:t>三、商务标格式文件</w:t>
      </w:r>
    </w:p>
    <w:p w14:paraId="591FED18">
      <w:pPr>
        <w:shd w:val="clear"/>
        <w:jc w:val="center"/>
        <w:rPr>
          <w:rFonts w:eastAsia="黑体"/>
          <w:color w:val="auto"/>
          <w:sz w:val="20"/>
          <w:highlight w:val="none"/>
        </w:rPr>
      </w:pPr>
    </w:p>
    <w:p w14:paraId="57F7E33F">
      <w:pPr>
        <w:shd w:val="clear"/>
        <w:rPr>
          <w:rFonts w:ascii="宋体"/>
          <w:color w:val="auto"/>
          <w:sz w:val="20"/>
          <w:highlight w:val="none"/>
        </w:rPr>
      </w:pPr>
    </w:p>
    <w:p w14:paraId="2678EE22">
      <w:pPr>
        <w:pStyle w:val="34"/>
        <w:shd w:val="clear"/>
        <w:ind w:firstLine="400"/>
        <w:rPr>
          <w:color w:val="auto"/>
          <w:highlight w:val="none"/>
        </w:rPr>
      </w:pPr>
    </w:p>
    <w:p w14:paraId="5882AD4B">
      <w:pPr>
        <w:shd w:val="clear"/>
        <w:jc w:val="center"/>
        <w:rPr>
          <w:rFonts w:ascii="宋体"/>
          <w:b/>
          <w:color w:val="auto"/>
          <w:sz w:val="44"/>
          <w:szCs w:val="44"/>
          <w:highlight w:val="none"/>
        </w:rPr>
      </w:pPr>
      <w:bookmarkStart w:id="187" w:name="_Toc449028954"/>
      <w:r>
        <w:rPr>
          <w:rFonts w:hint="eastAsia" w:ascii="宋体"/>
          <w:b/>
          <w:color w:val="auto"/>
          <w:sz w:val="44"/>
          <w:szCs w:val="44"/>
          <w:highlight w:val="none"/>
        </w:rPr>
        <w:t>商务标</w:t>
      </w:r>
      <w:bookmarkEnd w:id="187"/>
    </w:p>
    <w:p w14:paraId="684EFE7B">
      <w:pPr>
        <w:shd w:val="clea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1213EB3C">
      <w:pPr>
        <w:shd w:val="clear"/>
        <w:jc w:val="center"/>
        <w:rPr>
          <w:rFonts w:ascii="宋体"/>
          <w:color w:val="auto"/>
          <w:sz w:val="36"/>
          <w:szCs w:val="36"/>
          <w:highlight w:val="none"/>
        </w:rPr>
      </w:pPr>
    </w:p>
    <w:p w14:paraId="26E83962">
      <w:pPr>
        <w:shd w:val="clea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42F2E18">
      <w:pPr>
        <w:shd w:val="clea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396810C">
      <w:pPr>
        <w:shd w:val="clear"/>
        <w:rPr>
          <w:rFonts w:ascii="宋体"/>
          <w:color w:val="auto"/>
          <w:sz w:val="28"/>
          <w:szCs w:val="28"/>
          <w:highlight w:val="none"/>
        </w:rPr>
      </w:pPr>
    </w:p>
    <w:p w14:paraId="12E8E3E0">
      <w:pPr>
        <w:shd w:val="clear"/>
        <w:rPr>
          <w:rFonts w:ascii="宋体"/>
          <w:color w:val="auto"/>
          <w:sz w:val="28"/>
          <w:szCs w:val="28"/>
          <w:highlight w:val="none"/>
        </w:rPr>
      </w:pPr>
    </w:p>
    <w:p w14:paraId="75FFEFE2">
      <w:pPr>
        <w:shd w:val="clear"/>
        <w:rPr>
          <w:rFonts w:ascii="宋体"/>
          <w:color w:val="auto"/>
          <w:sz w:val="28"/>
          <w:szCs w:val="28"/>
          <w:highlight w:val="none"/>
        </w:rPr>
      </w:pPr>
    </w:p>
    <w:p w14:paraId="57C37052">
      <w:pPr>
        <w:shd w:val="clear"/>
        <w:rPr>
          <w:rFonts w:ascii="宋体"/>
          <w:color w:val="auto"/>
          <w:sz w:val="28"/>
          <w:szCs w:val="28"/>
          <w:highlight w:val="none"/>
        </w:rPr>
      </w:pPr>
    </w:p>
    <w:p w14:paraId="65143E18">
      <w:pPr>
        <w:shd w:val="clear"/>
        <w:rPr>
          <w:rFonts w:ascii="宋体"/>
          <w:color w:val="auto"/>
          <w:sz w:val="28"/>
          <w:szCs w:val="28"/>
          <w:highlight w:val="none"/>
        </w:rPr>
      </w:pPr>
    </w:p>
    <w:p w14:paraId="3BFD68F6">
      <w:pPr>
        <w:shd w:val="clear"/>
        <w:rPr>
          <w:rFonts w:ascii="宋体"/>
          <w:color w:val="auto"/>
          <w:sz w:val="28"/>
          <w:szCs w:val="28"/>
          <w:highlight w:val="none"/>
        </w:rPr>
      </w:pPr>
    </w:p>
    <w:p w14:paraId="5FD3A0D5">
      <w:pPr>
        <w:shd w:val="clear"/>
        <w:rPr>
          <w:rFonts w:ascii="宋体"/>
          <w:color w:val="auto"/>
          <w:sz w:val="28"/>
          <w:szCs w:val="28"/>
          <w:highlight w:val="none"/>
        </w:rPr>
      </w:pPr>
    </w:p>
    <w:p w14:paraId="2DC9B147">
      <w:pPr>
        <w:shd w:val="clea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C9A3FE9">
      <w:pPr>
        <w:shd w:val="clea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491F0BFF">
      <w:pPr>
        <w:shd w:val="clea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DD041EE">
      <w:pPr>
        <w:shd w:val="clear"/>
        <w:spacing w:line="720" w:lineRule="auto"/>
        <w:jc w:val="center"/>
        <w:rPr>
          <w:rFonts w:ascii="宋体"/>
          <w:b/>
          <w:color w:val="auto"/>
          <w:sz w:val="36"/>
          <w:szCs w:val="36"/>
          <w:highlight w:val="none"/>
        </w:rPr>
      </w:pPr>
    </w:p>
    <w:p w14:paraId="178E0D49">
      <w:pPr>
        <w:shd w:val="clear"/>
        <w:spacing w:line="400" w:lineRule="exact"/>
        <w:ind w:firstLine="562" w:firstLineChars="200"/>
        <w:rPr>
          <w:b/>
          <w:color w:val="auto"/>
          <w:sz w:val="28"/>
          <w:szCs w:val="28"/>
          <w:highlight w:val="none"/>
        </w:rPr>
      </w:pPr>
    </w:p>
    <w:p w14:paraId="0593D1E6">
      <w:pPr>
        <w:shd w:val="clea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6D771665">
      <w:pPr>
        <w:shd w:val="clear"/>
        <w:spacing w:line="400" w:lineRule="exact"/>
        <w:ind w:firstLine="4130" w:firstLineChars="935"/>
        <w:rPr>
          <w:b/>
          <w:color w:val="auto"/>
          <w:sz w:val="44"/>
          <w:szCs w:val="44"/>
          <w:highlight w:val="none"/>
        </w:rPr>
      </w:pPr>
    </w:p>
    <w:p w14:paraId="247393D4">
      <w:pPr>
        <w:shd w:val="clea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19682603">
      <w:pPr>
        <w:shd w:val="clea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13694BE2">
      <w:pPr>
        <w:shd w:val="clear"/>
        <w:spacing w:line="440" w:lineRule="exact"/>
        <w:ind w:firstLine="424" w:firstLineChars="202"/>
        <w:jc w:val="left"/>
        <w:rPr>
          <w:rFonts w:ascii="宋体"/>
          <w:color w:val="auto"/>
          <w:szCs w:val="21"/>
          <w:highlight w:val="none"/>
        </w:rPr>
      </w:pPr>
      <w:r>
        <w:rPr>
          <w:rFonts w:hint="eastAsia" w:ascii="宋体"/>
          <w:color w:val="auto"/>
          <w:szCs w:val="21"/>
          <w:highlight w:val="none"/>
        </w:rPr>
        <w:t>（3）</w:t>
      </w:r>
      <w:r>
        <w:rPr>
          <w:rFonts w:hint="eastAsia" w:ascii="宋体" w:hAnsi="宋体"/>
          <w:color w:val="auto"/>
          <w:szCs w:val="21"/>
          <w:highlight w:val="none"/>
        </w:rPr>
        <w:t>全国建筑市场监管公共服务平台(四库一平台)企业注册人员网页截图；</w:t>
      </w:r>
      <w:r>
        <w:rPr>
          <w:rFonts w:hint="eastAsia" w:ascii="宋体"/>
          <w:color w:val="auto"/>
          <w:szCs w:val="21"/>
          <w:highlight w:val="none"/>
        </w:rPr>
        <w:t>；</w:t>
      </w:r>
    </w:p>
    <w:p w14:paraId="0ADAEC21">
      <w:pPr>
        <w:shd w:val="clear"/>
        <w:spacing w:line="440" w:lineRule="exact"/>
        <w:ind w:firstLine="424" w:firstLineChars="202"/>
        <w:jc w:val="left"/>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）投标人认为需要提供的其他材料。</w:t>
      </w:r>
    </w:p>
    <w:p w14:paraId="51EC1FEF">
      <w:pPr>
        <w:shd w:val="clear"/>
        <w:jc w:val="center"/>
        <w:rPr>
          <w:rFonts w:ascii="宋体"/>
          <w:b/>
          <w:color w:val="auto"/>
          <w:sz w:val="28"/>
          <w:szCs w:val="28"/>
          <w:highlight w:val="none"/>
        </w:rPr>
      </w:pPr>
    </w:p>
    <w:p w14:paraId="3E0ADEAF">
      <w:pPr>
        <w:shd w:val="clear"/>
        <w:snapToGrid w:val="0"/>
        <w:spacing w:line="460" w:lineRule="exact"/>
        <w:ind w:left="2940" w:leftChars="1400" w:firstLine="964" w:firstLineChars="300"/>
        <w:rPr>
          <w:rFonts w:ascii="宋体"/>
          <w:b/>
          <w:color w:val="auto"/>
          <w:sz w:val="32"/>
          <w:szCs w:val="32"/>
          <w:highlight w:val="none"/>
        </w:rPr>
      </w:pPr>
    </w:p>
    <w:p w14:paraId="29A4BACB">
      <w:pPr>
        <w:shd w:val="clear"/>
        <w:snapToGrid w:val="0"/>
        <w:spacing w:line="460" w:lineRule="exact"/>
        <w:ind w:left="2940" w:leftChars="1400" w:firstLine="964" w:firstLineChars="300"/>
        <w:rPr>
          <w:rFonts w:ascii="宋体"/>
          <w:b/>
          <w:color w:val="auto"/>
          <w:sz w:val="32"/>
          <w:szCs w:val="32"/>
          <w:highlight w:val="none"/>
        </w:rPr>
      </w:pPr>
    </w:p>
    <w:p w14:paraId="5608A55D">
      <w:pPr>
        <w:shd w:val="clear"/>
        <w:snapToGrid w:val="0"/>
        <w:spacing w:line="460" w:lineRule="exact"/>
        <w:ind w:left="2940" w:leftChars="1400" w:firstLine="964" w:firstLineChars="300"/>
        <w:rPr>
          <w:rFonts w:ascii="宋体"/>
          <w:b/>
          <w:color w:val="auto"/>
          <w:sz w:val="32"/>
          <w:szCs w:val="32"/>
          <w:highlight w:val="none"/>
        </w:rPr>
      </w:pPr>
    </w:p>
    <w:p w14:paraId="79E44AFE">
      <w:pPr>
        <w:shd w:val="clear"/>
        <w:snapToGrid w:val="0"/>
        <w:spacing w:line="460" w:lineRule="exact"/>
        <w:ind w:left="2940" w:leftChars="1400" w:firstLine="964" w:firstLineChars="300"/>
        <w:rPr>
          <w:rFonts w:ascii="宋体"/>
          <w:b/>
          <w:color w:val="auto"/>
          <w:sz w:val="32"/>
          <w:szCs w:val="32"/>
          <w:highlight w:val="none"/>
        </w:rPr>
      </w:pPr>
    </w:p>
    <w:p w14:paraId="55E53FA2">
      <w:pPr>
        <w:shd w:val="clear"/>
        <w:snapToGrid w:val="0"/>
        <w:spacing w:line="460" w:lineRule="exact"/>
        <w:ind w:left="2940" w:leftChars="1400" w:firstLine="964" w:firstLineChars="300"/>
        <w:rPr>
          <w:rFonts w:ascii="宋体"/>
          <w:b/>
          <w:color w:val="auto"/>
          <w:sz w:val="32"/>
          <w:szCs w:val="32"/>
          <w:highlight w:val="none"/>
        </w:rPr>
      </w:pPr>
    </w:p>
    <w:p w14:paraId="2D661747">
      <w:pPr>
        <w:shd w:val="clear"/>
        <w:snapToGrid w:val="0"/>
        <w:spacing w:line="460" w:lineRule="exact"/>
        <w:ind w:left="2940" w:leftChars="1400" w:firstLine="964" w:firstLineChars="300"/>
        <w:rPr>
          <w:rFonts w:ascii="宋体"/>
          <w:b/>
          <w:color w:val="auto"/>
          <w:sz w:val="32"/>
          <w:szCs w:val="32"/>
          <w:highlight w:val="none"/>
        </w:rPr>
      </w:pPr>
    </w:p>
    <w:p w14:paraId="3F1D5D27">
      <w:pPr>
        <w:shd w:val="clea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6E6DC666">
      <w:pPr>
        <w:shd w:val="clear"/>
        <w:spacing w:line="360" w:lineRule="exact"/>
        <w:ind w:firstLine="472" w:firstLineChars="147"/>
        <w:jc w:val="center"/>
        <w:rPr>
          <w:rFonts w:ascii="宋体"/>
          <w:b/>
          <w:color w:val="auto"/>
          <w:sz w:val="32"/>
          <w:szCs w:val="32"/>
          <w:highlight w:val="none"/>
        </w:rPr>
      </w:pPr>
    </w:p>
    <w:p w14:paraId="2265E0F5">
      <w:pPr>
        <w:shd w:val="clea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6B64D90A">
      <w:pPr>
        <w:shd w:val="clear"/>
        <w:spacing w:line="360" w:lineRule="exact"/>
        <w:ind w:firstLine="354" w:firstLineChars="147"/>
        <w:rPr>
          <w:rFonts w:ascii="宋体"/>
          <w:b/>
          <w:color w:val="auto"/>
          <w:sz w:val="24"/>
          <w:highlight w:val="none"/>
        </w:rPr>
      </w:pP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0C00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0EF4FFE9">
            <w:pPr>
              <w:shd w:val="clea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69D304A3">
            <w:pPr>
              <w:shd w:val="clear"/>
              <w:spacing w:line="700" w:lineRule="exact"/>
              <w:jc w:val="left"/>
              <w:rPr>
                <w:color w:val="auto"/>
                <w:sz w:val="24"/>
                <w:highlight w:val="none"/>
              </w:rPr>
            </w:pPr>
            <w:r>
              <w:rPr>
                <w:rFonts w:hint="eastAsia"/>
                <w:color w:val="auto"/>
                <w:sz w:val="24"/>
                <w:highlight w:val="none"/>
              </w:rPr>
              <w:t xml:space="preserve">         </w:t>
            </w:r>
          </w:p>
        </w:tc>
      </w:tr>
      <w:tr w14:paraId="6312A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7C04D232">
            <w:pPr>
              <w:shd w:val="clea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1FB14744">
            <w:pPr>
              <w:shd w:val="clear"/>
              <w:spacing w:line="700" w:lineRule="exact"/>
              <w:rPr>
                <w:rFonts w:ascii="宋体"/>
                <w:color w:val="auto"/>
                <w:sz w:val="24"/>
                <w:highlight w:val="none"/>
              </w:rPr>
            </w:pPr>
          </w:p>
        </w:tc>
      </w:tr>
      <w:tr w14:paraId="7878D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47628928">
            <w:pPr>
              <w:shd w:val="clea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463BC20D">
            <w:pPr>
              <w:pStyle w:val="20"/>
              <w:shd w:val="clear"/>
              <w:spacing w:line="700" w:lineRule="exact"/>
              <w:ind w:left="86" w:leftChars="41"/>
              <w:rPr>
                <w:rFonts w:ascii="宋体" w:eastAsia="宋体"/>
                <w:color w:val="auto"/>
                <w:sz w:val="24"/>
                <w:szCs w:val="24"/>
                <w:highlight w:val="none"/>
              </w:rPr>
            </w:pPr>
          </w:p>
        </w:tc>
      </w:tr>
      <w:tr w14:paraId="1C791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047967E9">
            <w:pPr>
              <w:shd w:val="clea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65996552">
            <w:pPr>
              <w:shd w:val="clear"/>
              <w:spacing w:line="360" w:lineRule="auto"/>
              <w:jc w:val="left"/>
              <w:rPr>
                <w:rFonts w:ascii="宋体" w:hAnsi="宋体"/>
                <w:color w:val="auto"/>
                <w:sz w:val="24"/>
                <w:highlight w:val="none"/>
              </w:rPr>
            </w:pPr>
            <w:r>
              <w:rPr>
                <w:rFonts w:hint="eastAsia" w:ascii="宋体" w:hAnsi="宋体"/>
                <w:color w:val="auto"/>
                <w:sz w:val="24"/>
                <w:highlight w:val="none"/>
              </w:rPr>
              <w:t>投标报价 ：（大写）：</w:t>
            </w:r>
            <w:r>
              <w:rPr>
                <w:rFonts w:hint="eastAsia" w:ascii="宋体" w:hAnsi="宋体"/>
                <w:color w:val="auto"/>
                <w:sz w:val="24"/>
                <w:highlight w:val="none"/>
                <w:lang w:val="en-US" w:eastAsia="zh-CN"/>
              </w:rPr>
              <w:t>百分之</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1F3C1E5">
            <w:pPr>
              <w:shd w:val="clea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hint="eastAsia" w:ascii="宋体" w:hAnsi="宋体"/>
                <w:color w:val="auto"/>
                <w:sz w:val="24"/>
                <w:highlight w:val="none"/>
              </w:rPr>
              <w:t>。</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42BEB455">
            <w:pPr>
              <w:shd w:val="clear"/>
              <w:spacing w:line="360" w:lineRule="auto"/>
              <w:rPr>
                <w:color w:val="auto"/>
                <w:sz w:val="24"/>
                <w:highlight w:val="none"/>
              </w:rPr>
            </w:pPr>
            <w:r>
              <w:rPr>
                <w:rFonts w:hint="eastAsia"/>
                <w:color w:val="auto"/>
                <w:sz w:val="24"/>
                <w:highlight w:val="none"/>
              </w:rPr>
              <w:t xml:space="preserve">合同履行期限：响应招标文件要求。 </w:t>
            </w:r>
          </w:p>
        </w:tc>
      </w:tr>
    </w:tbl>
    <w:p w14:paraId="25DED567">
      <w:pPr>
        <w:shd w:val="clear"/>
        <w:snapToGrid w:val="0"/>
        <w:spacing w:line="460" w:lineRule="exact"/>
        <w:ind w:left="2940" w:leftChars="1400" w:firstLine="723" w:firstLineChars="300"/>
        <w:rPr>
          <w:rFonts w:ascii="宋体"/>
          <w:b/>
          <w:color w:val="auto"/>
          <w:sz w:val="24"/>
          <w:highlight w:val="none"/>
        </w:rPr>
      </w:pPr>
    </w:p>
    <w:p w14:paraId="1CF2A232">
      <w:pPr>
        <w:shd w:val="clear"/>
        <w:rPr>
          <w:rFonts w:ascii="宋体"/>
          <w:color w:val="auto"/>
          <w:sz w:val="24"/>
          <w:highlight w:val="none"/>
        </w:rPr>
      </w:pPr>
      <w:r>
        <w:rPr>
          <w:rFonts w:hint="eastAsia" w:ascii="宋体"/>
          <w:color w:val="auto"/>
          <w:sz w:val="24"/>
          <w:highlight w:val="none"/>
        </w:rPr>
        <w:t>法定代表人（签章）：         投标人（盖单位章）：</w:t>
      </w:r>
    </w:p>
    <w:p w14:paraId="3841B900">
      <w:pPr>
        <w:shd w:val="clear"/>
        <w:snapToGrid w:val="0"/>
        <w:spacing w:beforeLines="100"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6360FD0">
      <w:pPr>
        <w:shd w:val="clea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5242FD0C">
      <w:pPr>
        <w:shd w:val="clea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7971AFAA">
      <w:pPr>
        <w:shd w:val="clear"/>
        <w:spacing w:line="440" w:lineRule="exact"/>
        <w:rPr>
          <w:rFonts w:ascii="宋体"/>
          <w:color w:val="auto"/>
          <w:sz w:val="24"/>
          <w:highlight w:val="none"/>
        </w:rPr>
      </w:pPr>
    </w:p>
    <w:p w14:paraId="2ABDF1C8">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2B1236FA">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006C1336">
      <w:pPr>
        <w:shd w:val="clear"/>
        <w:spacing w:line="50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val="en-US" w:eastAsia="zh-CN"/>
        </w:rPr>
        <w:t xml:space="preserve">百分之 </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项目负责人为：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，联系方式：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w:t>
      </w:r>
    </w:p>
    <w:p w14:paraId="5996518F">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行合同规定的责任和义务。</w:t>
      </w:r>
    </w:p>
    <w:p w14:paraId="12C416D8">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4、若我方中标，愿意为本项目提交的纸质投标文件一式三份，其中正本一份、副本二份。</w:t>
      </w:r>
    </w:p>
    <w:p w14:paraId="39DDD6F6">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4E0884C8">
      <w:pPr>
        <w:pStyle w:val="34"/>
        <w:shd w:val="clear"/>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6C8BFA62">
      <w:pPr>
        <w:shd w:val="clea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069DCB7">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1A78D7F1">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C297112">
      <w:pPr>
        <w:shd w:val="clea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5DDC4F29">
      <w:pPr>
        <w:shd w:val="clea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628BE12">
      <w:pPr>
        <w:shd w:val="clea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4869801F">
      <w:pPr>
        <w:shd w:val="clea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6235627A">
      <w:pPr>
        <w:shd w:val="clea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5E042D83">
      <w:pPr>
        <w:shd w:val="clear"/>
        <w:rPr>
          <w:rFonts w:ascii="宋体" w:hAnsi="宋体"/>
          <w:b/>
          <w:color w:val="auto"/>
          <w:sz w:val="30"/>
          <w:szCs w:val="30"/>
          <w:highlight w:val="none"/>
        </w:rPr>
      </w:pPr>
    </w:p>
    <w:p w14:paraId="165CB8F7">
      <w:pPr>
        <w:shd w:val="clear"/>
        <w:rPr>
          <w:rFonts w:ascii="宋体" w:hAnsi="宋体"/>
          <w:b/>
          <w:color w:val="auto"/>
          <w:sz w:val="30"/>
          <w:szCs w:val="30"/>
          <w:highlight w:val="none"/>
        </w:rPr>
      </w:pPr>
    </w:p>
    <w:p w14:paraId="1811AFA6">
      <w:pPr>
        <w:shd w:val="clear"/>
        <w:rPr>
          <w:rFonts w:ascii="宋体" w:hAnsi="宋体"/>
          <w:b/>
          <w:color w:val="auto"/>
          <w:sz w:val="30"/>
          <w:szCs w:val="30"/>
          <w:highlight w:val="none"/>
        </w:rPr>
      </w:pPr>
    </w:p>
    <w:p w14:paraId="43E2A404">
      <w:pPr>
        <w:shd w:val="clear"/>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27F809C">
      <w:pPr>
        <w:shd w:val="clear"/>
        <w:spacing w:line="380" w:lineRule="exact"/>
        <w:ind w:firstLine="568" w:firstLineChars="202"/>
        <w:rPr>
          <w:rFonts w:hint="eastAsia" w:ascii="宋体"/>
          <w:color w:val="auto"/>
          <w:szCs w:val="21"/>
          <w:highlight w:val="none"/>
        </w:rPr>
      </w:pPr>
      <w:r>
        <w:rPr>
          <w:rFonts w:hint="eastAsia" w:ascii="宋体" w:hAnsi="宋体" w:eastAsia="宋体" w:cs="宋体"/>
          <w:b/>
          <w:bCs/>
          <w:color w:val="auto"/>
          <w:sz w:val="28"/>
          <w:szCs w:val="28"/>
          <w:highlight w:val="none"/>
        </w:rPr>
        <w:t>全国建筑市场监管公共服务平台(四库一平台)企业注册人员网页截图；</w:t>
      </w:r>
    </w:p>
    <w:p w14:paraId="63A9BAB5">
      <w:pPr>
        <w:shd w:val="clear"/>
        <w:spacing w:line="380" w:lineRule="exact"/>
        <w:ind w:firstLine="424" w:firstLineChars="202"/>
        <w:rPr>
          <w:rFonts w:hint="eastAsia" w:ascii="宋体"/>
          <w:color w:val="auto"/>
          <w:szCs w:val="21"/>
          <w:highlight w:val="none"/>
        </w:rPr>
      </w:pPr>
    </w:p>
    <w:p w14:paraId="083A51A8">
      <w:pPr>
        <w:shd w:val="clear"/>
        <w:spacing w:line="380" w:lineRule="exact"/>
        <w:ind w:firstLine="424" w:firstLineChars="202"/>
        <w:rPr>
          <w:rFonts w:hint="eastAsia" w:ascii="宋体"/>
          <w:color w:val="auto"/>
          <w:szCs w:val="21"/>
          <w:highlight w:val="none"/>
        </w:rPr>
      </w:pPr>
    </w:p>
    <w:p w14:paraId="21304FE2">
      <w:pPr>
        <w:shd w:val="clear"/>
        <w:spacing w:line="380" w:lineRule="exact"/>
        <w:ind w:firstLine="424" w:firstLineChars="202"/>
        <w:rPr>
          <w:rFonts w:hint="eastAsia" w:ascii="宋体"/>
          <w:color w:val="auto"/>
          <w:szCs w:val="21"/>
          <w:highlight w:val="none"/>
        </w:rPr>
      </w:pPr>
    </w:p>
    <w:p w14:paraId="305A1C63">
      <w:pPr>
        <w:shd w:val="clear"/>
        <w:spacing w:line="380" w:lineRule="exact"/>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11506C2A">
      <w:pPr>
        <w:shd w:val="clear"/>
        <w:spacing w:line="38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投标人认为需要提供的其他材料（如有）。</w:t>
      </w:r>
    </w:p>
    <w:p w14:paraId="7B86369D">
      <w:pPr>
        <w:shd w:val="clear"/>
        <w:spacing w:line="380" w:lineRule="exact"/>
        <w:ind w:firstLine="568" w:firstLineChars="202"/>
        <w:rPr>
          <w:rFonts w:hint="eastAsia" w:ascii="宋体" w:hAnsi="宋体" w:eastAsia="宋体" w:cs="宋体"/>
          <w:b/>
          <w:bCs/>
          <w:color w:val="auto"/>
          <w:sz w:val="28"/>
          <w:szCs w:val="28"/>
          <w:highlight w:val="none"/>
          <w:lang w:eastAsia="zh-CN"/>
        </w:rPr>
      </w:pPr>
    </w:p>
    <w:p w14:paraId="3015812F">
      <w:pPr>
        <w:shd w:val="clear"/>
        <w:outlineLvl w:val="0"/>
        <w:rPr>
          <w:rFonts w:ascii="宋体" w:hAnsi="宋体" w:cs="宋体"/>
          <w:color w:val="auto"/>
          <w:sz w:val="28"/>
          <w:szCs w:val="28"/>
          <w:highlight w:val="none"/>
        </w:rPr>
      </w:pPr>
      <w:r>
        <w:rPr>
          <w:rFonts w:hint="eastAsia"/>
          <w:color w:val="auto"/>
          <w:highlight w:val="none"/>
        </w:rPr>
        <w:br w:type="page"/>
      </w:r>
      <w:bookmarkStart w:id="188" w:name="_Toc11016"/>
      <w:r>
        <w:rPr>
          <w:rFonts w:hint="eastAsia" w:ascii="宋体" w:hAnsi="宋体" w:cs="宋体"/>
          <w:b/>
          <w:color w:val="auto"/>
          <w:sz w:val="28"/>
          <w:szCs w:val="28"/>
          <w:highlight w:val="none"/>
        </w:rPr>
        <w:t>附件1</w:t>
      </w:r>
      <w:bookmarkEnd w:id="188"/>
    </w:p>
    <w:p w14:paraId="4E7D1521">
      <w:pPr>
        <w:shd w:val="clea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关于联合惩戒失信行为 加强信用查询管理的通知</w:t>
      </w:r>
    </w:p>
    <w:p w14:paraId="7EEE57B8">
      <w:pPr>
        <w:shd w:val="clea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7C168750">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在我市公共资源交易活动中对存在下列失信行为的投标人、法定代表人及其项目经理（建造师）实施联合惩戒，禁止参与我市公共资源交易活动。</w:t>
      </w:r>
    </w:p>
    <w:p w14:paraId="59047D82">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（一）工程建设项目</w:t>
      </w:r>
    </w:p>
    <w:p w14:paraId="3786C4C7">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1、“信用中国”网站（www.creditchina.gov.cn）查询投标人、法定代表人及其项目经理(建造师)以下失信行为：</w:t>
      </w:r>
    </w:p>
    <w:p w14:paraId="26D3A1B5">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4C05F676">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1992E306">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③被列入“拖欠农民工工资失信联合惩戒对象名单”的；</w:t>
      </w:r>
    </w:p>
    <w:p w14:paraId="67FAB5A2">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④被列入 “严重失信主体名单”的；</w:t>
      </w:r>
    </w:p>
    <w:p w14:paraId="4AF5CD05">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⑤在“信用中国”网站上披露的仍在公示期的严重失信行为(具体行为类别及判定依据见附件2)的。</w:t>
      </w:r>
    </w:p>
    <w:p w14:paraId="4CC8C1DA">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2、国家企业信用信息公示系统网站（www.gsxt.gov.cn）查询投标人以下失信行为：</w:t>
      </w:r>
    </w:p>
    <w:p w14:paraId="5E02A86C">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①被列入“经营异常名录”或者“严重违法失信名单”的。</w:t>
      </w:r>
    </w:p>
    <w:p w14:paraId="2F7D79C6">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3、由投标人、法定代表人及其项目经理(建造师)进行承诺，不进行现场网上信用查询的失信行为：</w:t>
      </w:r>
    </w:p>
    <w:p w14:paraId="0715BCD4">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①前三年有行贿犯罪行为的单位和个人；</w:t>
      </w:r>
    </w:p>
    <w:p w14:paraId="789614B4">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②被滁州市县两级公管部门取消在一定期限内的投标资格且在取消期限内的；</w:t>
      </w:r>
    </w:p>
    <w:p w14:paraId="6B067738">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③被滁州市县两级各行业主管部门取消在一定期限内的投标资格且在取消期限内的；</w:t>
      </w:r>
    </w:p>
    <w:p w14:paraId="5A74D985">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④因拖欠农民工工资被县级及以上有关行政主管部门限制投标资格且在限制期限内的；</w:t>
      </w:r>
    </w:p>
    <w:p w14:paraId="694A9559">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379AC0B">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（二）政府采购项目</w:t>
      </w:r>
    </w:p>
    <w:p w14:paraId="70A6D309">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1、“信用中国”网站（www.creditchina.gov.cn）查询供应商、法定代表人及其项目负责人以下失信行为：</w:t>
      </w:r>
    </w:p>
    <w:p w14:paraId="32A21B59">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55FD0892">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43FDF8B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 “严重失信主体名单”的；</w:t>
      </w:r>
    </w:p>
    <w:p w14:paraId="610173F8">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④在“信用中国”网站上披露的仍在公示期的严重失信行为(具体行为类别及判定依据见附件2)的。</w:t>
      </w:r>
    </w:p>
    <w:p w14:paraId="1FD4B8C2">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rPr>
        <w:t>www.gsxt.gov.cn）</w:t>
      </w:r>
      <w:r>
        <w:rPr>
          <w:rFonts w:hint="eastAsia" w:ascii="宋体" w:hAnsi="宋体" w:cs="宋体"/>
          <w:bCs/>
          <w:color w:val="auto"/>
          <w:kern w:val="0"/>
          <w:sz w:val="24"/>
          <w:highlight w:val="none"/>
        </w:rPr>
        <w:fldChar w:fldCharType="end"/>
      </w:r>
      <w:r>
        <w:rPr>
          <w:rFonts w:hint="eastAsia" w:ascii="宋体" w:hAnsi="宋体" w:cs="宋体"/>
          <w:bCs/>
          <w:color w:val="auto"/>
          <w:kern w:val="0"/>
          <w:sz w:val="24"/>
          <w:highlight w:val="none"/>
        </w:rPr>
        <w:t>查询供应商以下失信行为：</w:t>
      </w:r>
    </w:p>
    <w:p w14:paraId="14EF7E0D">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89" w:name="OLE_LINK102"/>
      <w:bookmarkStart w:id="190" w:name="OLE_LINK101"/>
      <w:bookmarkStart w:id="191" w:name="OLE_LINK100"/>
      <w:r>
        <w:rPr>
          <w:rFonts w:hint="eastAsia" w:ascii="宋体" w:hAnsi="宋体" w:cs="宋体"/>
          <w:bCs/>
          <w:color w:val="auto"/>
          <w:kern w:val="0"/>
          <w:sz w:val="24"/>
          <w:highlight w:val="none"/>
        </w:rPr>
        <w:t>被列入“经营异常名录”或者“严重违法失信名单”的</w:t>
      </w:r>
      <w:bookmarkEnd w:id="189"/>
      <w:bookmarkEnd w:id="190"/>
      <w:bookmarkEnd w:id="191"/>
      <w:r>
        <w:rPr>
          <w:rFonts w:hint="eastAsia" w:ascii="宋体" w:hAnsi="宋体" w:cs="宋体"/>
          <w:bCs/>
          <w:color w:val="auto"/>
          <w:kern w:val="0"/>
          <w:sz w:val="24"/>
          <w:highlight w:val="none"/>
        </w:rPr>
        <w:t>。</w:t>
      </w:r>
    </w:p>
    <w:p w14:paraId="5E1D3ED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3、中国政府采购网站（</w:t>
      </w:r>
      <w:bookmarkStart w:id="192" w:name="OLE_LINK96"/>
      <w:bookmarkStart w:id="193" w:name="OLE_LINK95"/>
      <w:r>
        <w:rPr>
          <w:rFonts w:hint="eastAsia" w:ascii="宋体" w:hAnsi="宋体" w:cs="宋体"/>
          <w:bCs/>
          <w:color w:val="auto"/>
          <w:kern w:val="0"/>
          <w:sz w:val="24"/>
          <w:highlight w:val="none"/>
        </w:rPr>
        <w:fldChar w:fldCharType="begin"/>
      </w:r>
      <w:r>
        <w:rPr>
          <w:rFonts w:hint="eastAsia" w:ascii="宋体" w:hAnsi="宋体" w:cs="宋体"/>
          <w:bCs/>
          <w:color w:val="auto"/>
          <w:kern w:val="0"/>
          <w:sz w:val="24"/>
          <w:highlight w:val="none"/>
        </w:rPr>
        <w:instrText xml:space="preserve"> HYPERLINK "http://www.ccgp.gov.cn" </w:instrText>
      </w:r>
      <w:r>
        <w:rPr>
          <w:rFonts w:hint="eastAsia" w:ascii="宋体" w:hAnsi="宋体" w:cs="宋体"/>
          <w:bCs/>
          <w:color w:val="auto"/>
          <w:kern w:val="0"/>
          <w:sz w:val="24"/>
          <w:highlight w:val="none"/>
        </w:rPr>
        <w:fldChar w:fldCharType="separate"/>
      </w:r>
      <w:r>
        <w:rPr>
          <w:rFonts w:hint="eastAsia" w:ascii="宋体" w:hAnsi="宋体" w:cs="宋体"/>
          <w:bCs/>
          <w:color w:val="auto"/>
          <w:kern w:val="0"/>
          <w:sz w:val="24"/>
          <w:highlight w:val="none"/>
        </w:rPr>
        <w:t>www.ccgp.gov.cn</w:t>
      </w:r>
      <w:r>
        <w:rPr>
          <w:rFonts w:hint="eastAsia" w:ascii="宋体" w:hAnsi="宋体" w:cs="宋体"/>
          <w:bCs/>
          <w:color w:val="auto"/>
          <w:kern w:val="0"/>
          <w:sz w:val="24"/>
          <w:highlight w:val="none"/>
        </w:rPr>
        <w:fldChar w:fldCharType="end"/>
      </w:r>
      <w:bookmarkEnd w:id="192"/>
      <w:bookmarkEnd w:id="193"/>
      <w:r>
        <w:rPr>
          <w:rFonts w:hint="eastAsia" w:ascii="宋体" w:hAnsi="宋体" w:cs="宋体"/>
          <w:bCs/>
          <w:color w:val="auto"/>
          <w:kern w:val="0"/>
          <w:sz w:val="24"/>
          <w:highlight w:val="none"/>
        </w:rPr>
        <w:t>）查询以下失信行为：</w:t>
      </w:r>
    </w:p>
    <w:p w14:paraId="1BC0C3E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94" w:name="OLE_LINK106"/>
      <w:bookmarkStart w:id="195" w:name="OLE_LINK105"/>
      <w:bookmarkStart w:id="196" w:name="OLE_LINK104"/>
      <w:r>
        <w:rPr>
          <w:rFonts w:hint="eastAsia" w:ascii="宋体" w:hAnsi="宋体" w:cs="宋体"/>
          <w:bCs/>
          <w:color w:val="auto"/>
          <w:kern w:val="0"/>
          <w:sz w:val="24"/>
          <w:highlight w:val="none"/>
        </w:rPr>
        <w:t>被列入“政府采购严重违法失信行为信息记录”的</w:t>
      </w:r>
      <w:bookmarkEnd w:id="194"/>
      <w:bookmarkEnd w:id="195"/>
      <w:bookmarkEnd w:id="196"/>
      <w:r>
        <w:rPr>
          <w:rFonts w:hint="eastAsia" w:ascii="宋体" w:hAnsi="宋体" w:cs="宋体"/>
          <w:bCs/>
          <w:color w:val="auto"/>
          <w:kern w:val="0"/>
          <w:sz w:val="24"/>
          <w:highlight w:val="none"/>
        </w:rPr>
        <w:t>。</w:t>
      </w:r>
    </w:p>
    <w:p w14:paraId="4E91DA71">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4、由竞争主体进行承诺，不进行现场网上信用查询的失信行为：</w:t>
      </w:r>
    </w:p>
    <w:p w14:paraId="23BA924C">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①前三年有行贿犯罪行为的单位和个人。</w:t>
      </w:r>
    </w:p>
    <w:p w14:paraId="32470B1A">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二、在开评标活动中的查询程序</w:t>
      </w:r>
    </w:p>
    <w:p w14:paraId="4BE351B3">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3062400">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2BFFA2">
      <w:pPr>
        <w:widowControl/>
        <w:shd w:val="clear"/>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3、项目单位及其委托的代理机构应当做好信用查询结果截图和记录留存。</w:t>
      </w:r>
    </w:p>
    <w:p w14:paraId="35ED741D">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三、相关要求</w:t>
      </w:r>
    </w:p>
    <w:p w14:paraId="796E5B46">
      <w:pPr>
        <w:widowControl/>
        <w:shd w:val="clear"/>
        <w:wordWrap w:val="0"/>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BCB18D8">
      <w:pPr>
        <w:widowControl/>
        <w:shd w:val="clear"/>
        <w:wordWrap w:val="0"/>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4F318C3">
      <w:pPr>
        <w:widowControl/>
        <w:shd w:val="clear"/>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1104835">
      <w:pPr>
        <w:widowControl/>
        <w:shd w:val="clear"/>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2、“信用中国”查询的严重失信行为判定依据为各行业主管部门下发的联合惩戒文件中规定的行为（按附件2执行）。</w:t>
      </w:r>
    </w:p>
    <w:p w14:paraId="727FCBBD">
      <w:pPr>
        <w:widowControl/>
        <w:shd w:val="clear"/>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3、资格预审的项目以递交资格预审申请文件截止时间查询为准；资格后审的项目以递交投标文件截止时间查询为准。</w:t>
      </w:r>
    </w:p>
    <w:p w14:paraId="43119D20">
      <w:pPr>
        <w:shd w:val="clear"/>
        <w:spacing w:line="440" w:lineRule="exact"/>
        <w:rPr>
          <w:rFonts w:ascii="宋体" w:hAnsi="宋体" w:cs="宋体"/>
          <w:b/>
          <w:color w:val="auto"/>
          <w:sz w:val="24"/>
          <w:highlight w:val="none"/>
        </w:rPr>
      </w:pPr>
      <w:r>
        <w:rPr>
          <w:rFonts w:hint="eastAsia" w:ascii="宋体" w:hAnsi="宋体" w:cs="宋体"/>
          <w:b/>
          <w:color w:val="auto"/>
          <w:sz w:val="24"/>
          <w:highlight w:val="none"/>
        </w:rPr>
        <w:t xml:space="preserve"> </w:t>
      </w:r>
    </w:p>
    <w:p w14:paraId="17744FF6">
      <w:pPr>
        <w:pStyle w:val="31"/>
        <w:shd w:val="clear"/>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rPr>
        <w:t xml:space="preserve"> </w:t>
      </w:r>
    </w:p>
    <w:p w14:paraId="46D61C38">
      <w:pPr>
        <w:shd w:val="clear"/>
        <w:spacing w:line="440" w:lineRule="exac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附件2</w:t>
      </w:r>
    </w:p>
    <w:p w14:paraId="0BB6DF3E">
      <w:pPr>
        <w:shd w:val="clea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52481EA0">
      <w:pPr>
        <w:shd w:val="clea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 xml:space="preserve"> </w:t>
      </w:r>
    </w:p>
    <w:p w14:paraId="40ED2B8C">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“信用中国”查询的严重失信行为判定依据为各行业主管部门下发的联合惩戒文件中规定的行为。下面将部分类别的严重失信行为列举如下：</w:t>
      </w:r>
    </w:p>
    <w:p w14:paraId="3535E805">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一、安全生产领域严重失信行为：</w:t>
      </w:r>
    </w:p>
    <w:p w14:paraId="33B0451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（一）下列发生生产安全事故的生产经营单位及其有关人员应当列入严重失信主体名单：</w:t>
      </w:r>
    </w:p>
    <w:p w14:paraId="0C2DBD6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1、发生特别重大、重大生产安全事故的生产经营单位及其主要负责人，以及经调查认定对该事故发生负有责任，应当列入名单的其他单位和人员；</w:t>
      </w:r>
    </w:p>
    <w:p w14:paraId="58C81B4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2、12个月内累计发生2起以上较大生产安全事故的生产经营单位及其主要负责人；</w:t>
      </w:r>
    </w:p>
    <w:p w14:paraId="7DCB473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09EAA60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4、瞒报、谎报生产安全事故的生产经营单位及其有关责任人员；</w:t>
      </w:r>
    </w:p>
    <w:p w14:paraId="5E09FDF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5、发生生产安全事故后，不立即组织抢救或者在事故调查处理期间擅离职守或者逃匿的生产经营单位主要负责人。</w:t>
      </w:r>
    </w:p>
    <w:p w14:paraId="39C452E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（二）下列未发生生产安全事故，但因安全生产违法行为，受到行政处罚的生产经营单位或者机构及其有关人员，应当列入严重失信主体名单：</w:t>
      </w:r>
    </w:p>
    <w:p w14:paraId="5F5228A4">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1、未依法取得安全生产相关许可或者许可被暂扣、吊销期间从事相关生产经营活动的生产经营单位及其主要负责人；</w:t>
      </w:r>
    </w:p>
    <w:p w14:paraId="0D933C0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2、承担安全评价、认证、检测、检验职责的机构及其直接责任人员租借资质、挂靠、出具虚假报告或者证书的；</w:t>
      </w:r>
    </w:p>
    <w:p w14:paraId="4D05B7E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3、在应急管理部门作出行政处罚后，有执行能力拒不执行或者逃避执行的生产经营单位及其主要负责人；</w:t>
      </w:r>
    </w:p>
    <w:p w14:paraId="092F9BC1">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4、其他违反安全生产法律法规受到行政处罚，且性质恶劣、情节严重的。</w:t>
      </w:r>
    </w:p>
    <w:p w14:paraId="06FACC9E">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依据：《安全生产严重失信主体名单管理办法》（2023年8月8日应急管理部令第11号）</w:t>
      </w:r>
    </w:p>
    <w:p w14:paraId="016A467A">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3DE900EA">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二、环境保护领域严重失信行为：</w:t>
      </w:r>
    </w:p>
    <w:p w14:paraId="23528F3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（一）因为环境违法构成环境犯罪的；</w:t>
      </w:r>
    </w:p>
    <w:p w14:paraId="7AB7CAF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（二）建设项目环境影响评价文件未按规定通过审批，擅自开工建设的；</w:t>
      </w:r>
    </w:p>
    <w:p w14:paraId="44220E99">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（三）建设项目环保设施未建成、环保措施未落实、未通过竣工环保验收或者验收不合格，主体工程正式投入生产或者使用的；</w:t>
      </w:r>
    </w:p>
    <w:p w14:paraId="1CF0C30F">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（四）建设项目性质、规模、地点、采用的生产工艺或者防治污染、防止生态破坏的措施发生重大变动，未重新报批环境影响评价文件，擅自投入生产或者使用的；</w:t>
      </w:r>
    </w:p>
    <w:p w14:paraId="770D64EE">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（五）主要污染物排放总量超过控制指标的；</w:t>
      </w:r>
    </w:p>
    <w:p w14:paraId="308CE2D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（六）私设暗管或者利用渗井、渗坑、裂隙、溶洞等排放、倾倒、处置水污染物，或者通过私设旁路排放大气污染物的；</w:t>
      </w:r>
    </w:p>
    <w:p w14:paraId="4B80330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（七）非法排放、倾倒、处置危险废物，或者向无经营许可证或者超出经营许可范围的单位或个人提供或者委托其收集、贮存、利用、处置危险废物的；</w:t>
      </w:r>
    </w:p>
    <w:p w14:paraId="4635972F">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（八）环境违法行为造成集中式生活饮用水水源取水中断的；</w:t>
      </w:r>
    </w:p>
    <w:p w14:paraId="49F595A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（九）环境违法行为对生活饮用水水源保护区、自然保护区、国家重点生态功能区、风景名胜区、居住功能区、基本农田保护区等环境敏感区造成重大不利影响的；</w:t>
      </w:r>
    </w:p>
    <w:p w14:paraId="76DB589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（十）违法从事自然资源开发、交通基础设施建设，以及其他开发建设活动，造成严重生态破坏的；</w:t>
      </w:r>
    </w:p>
    <w:p w14:paraId="2EB5A2E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（十一）发生较大及以上突发环境事件的；</w:t>
      </w:r>
    </w:p>
    <w:p w14:paraId="47593F9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（十二）被环保部门挂牌督办，整改逾期未完成的；</w:t>
      </w:r>
    </w:p>
    <w:p w14:paraId="0DCDF6C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（十三）以暴力、威胁等方式拒绝、阻挠环保部门工作人员现场检查的；</w:t>
      </w:r>
    </w:p>
    <w:p w14:paraId="1A11358C">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（十四）违反重污染天气应急预案有关规定，对重污染天气响应不力的。</w:t>
      </w:r>
    </w:p>
    <w:p w14:paraId="3F45172B">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依据：《关于对环境保护领域失信生产经营单位及其有关人员开展联合惩戒的合作备忘录》、《企业环境信用评价办法（试行）》（环发〔2013〕150号）</w:t>
      </w:r>
    </w:p>
    <w:p w14:paraId="258F40E0">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778DE661">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三、公共资源交易领域严重失信行为</w:t>
      </w:r>
    </w:p>
    <w:p w14:paraId="423E9ED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（一）违反法律规定，必须进行招标的项目而不招标的，将必须进行招标的项目化整为零或者以其他任何方式规避招标的； </w:t>
      </w:r>
    </w:p>
    <w:p w14:paraId="1BEAE93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（二）招标代理机构违反法律规定，泄露应当保密的与招标投标活动有关的情况和资料的，或者与招标人、投标人串通损害 国家利益、社会公共利益或者他人合法权益的；</w:t>
      </w:r>
    </w:p>
    <w:p w14:paraId="404BB974">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（三）招标人以不合理的条件限制或者排斥潜在投标人的，对潜在投标人实行歧视待遇的，强制要求投标人组成联合体共同 投标的，或者限制投标人之间竞争的；</w:t>
      </w:r>
    </w:p>
    <w:p w14:paraId="0B33394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（四）依法必须进行招标的项目的招标人向他人透露已获取招标文件的潜在投标人的名称、数量或者可能影响公平竞争的有 关招标投标的其他情况的，或者泄露标底的；</w:t>
      </w:r>
    </w:p>
    <w:p w14:paraId="5AB87CA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（五）投标人相互串通投标或者与招标人串通投标的，投标人以向招标人或者评标委员会成员行贿的手段谋取中标的； </w:t>
      </w:r>
    </w:p>
    <w:p w14:paraId="2949F57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（六）投标人以他人名义投标或者以其他方式弄虚作假，骗取中标的；</w:t>
      </w:r>
    </w:p>
    <w:p w14:paraId="530586C8">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（七）依法必须进行招标的项目，招标人违反法律规定，与投标人就投标价格、投标方案等实质性内容进行谈判的；</w:t>
      </w:r>
    </w:p>
    <w:p w14:paraId="720B24D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097243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（九）招标人在评标委员会依法推荐的中标候选人以外确定中标人的，依法必须进行招标的项目在所有投标被评标委员会否 决后自行确定中标人的； </w:t>
      </w:r>
    </w:p>
    <w:p w14:paraId="54C8CD0E">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3E1A689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（十一）招标人与中标人不按照招标文件和中标人的投标文件订立合同的，或者招标人、中标人订立背离合同实质性内容的 协议的； </w:t>
      </w:r>
    </w:p>
    <w:p w14:paraId="2414E21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（十二）中标人不按照与招标人订立的合同履行义务，情节严重的； </w:t>
      </w:r>
    </w:p>
    <w:p w14:paraId="3DE535D5">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D74DC9C">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0681E8">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（十五）采购人对应当实行集中采购的政府采购项目，不委托集中采购机构实行集中采购的； </w:t>
      </w:r>
    </w:p>
    <w:p w14:paraId="3E2BDFB1">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（十六）采购人、采购代理机构违反法律规定隐匿、销毁应当保存的采购文件或者伪造、变造采购文件的； </w:t>
      </w:r>
    </w:p>
    <w:p w14:paraId="1536AB4E">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A64054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（十八）疫苗生产企业向县级疾病预防控制机构以外的单位或者个人销售第二类疫苗的； </w:t>
      </w:r>
    </w:p>
    <w:p w14:paraId="265104A0">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（十九）存在其他违反公共资源交易法律法规行为的。</w:t>
      </w:r>
    </w:p>
    <w:p w14:paraId="20A6220E">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依据：《关于对公共资源交易领域严重失信主体开展联合惩戒的备忘录》（发改法规〔2018〕457号）</w:t>
      </w:r>
    </w:p>
    <w:p w14:paraId="419DF3AE">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1FF9A6B2">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四、社会保险领域严重失信行为</w:t>
      </w:r>
    </w:p>
    <w:p w14:paraId="75AFB696">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（一）用人单位未按相关规定参加社会保险且拒不整改的； </w:t>
      </w:r>
    </w:p>
    <w:p w14:paraId="01B6E52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（二）用人单位未如实申报社会保险缴费基数且拒不整改的； </w:t>
      </w:r>
    </w:p>
    <w:p w14:paraId="6AF1B460">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（三）应缴纳社会保险费却拒不缴纳的； </w:t>
      </w:r>
    </w:p>
    <w:p w14:paraId="0176CC6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（四）隐匿、转移、侵占、挪用社会保险费款、基金或者违规投资运营的；</w:t>
      </w:r>
    </w:p>
    <w:p w14:paraId="79418D7A">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（五）以欺诈、伪造证明材料或者其他手段参加、申报社会保险和骗取社会保险基金支出或社会保险待遇的； </w:t>
      </w:r>
    </w:p>
    <w:p w14:paraId="6EB3878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（六）非法获取、出售或变相交易社会保险个人权益数据的； </w:t>
      </w:r>
    </w:p>
    <w:p w14:paraId="433924A1">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（七）社会保险服务机构违反服务协议或相关规定的； </w:t>
      </w:r>
    </w:p>
    <w:p w14:paraId="7FF7BE0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6160F652">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（九）其他违反法律法规规定的。</w:t>
      </w:r>
    </w:p>
    <w:p w14:paraId="0CC9F6E1">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依据：《关于对社会保险领域严重失信企业及其有关人员实施联合惩戒的合作备忘录》（发改财金〔2018〕1704号）</w:t>
      </w:r>
    </w:p>
    <w:p w14:paraId="7E2ECB73">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13035B53">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五、建筑市场领域严重失信行为</w:t>
      </w:r>
    </w:p>
    <w:p w14:paraId="3B6D029D">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（一）利用虚假材料、以欺骗手段取得企业资质的；</w:t>
      </w:r>
    </w:p>
    <w:p w14:paraId="7368B7F4">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（二）发生转包、出借资质，受到行政处罚的；</w:t>
      </w:r>
    </w:p>
    <w:p w14:paraId="56280808">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（三）发生重大及以上工程质量安全事故，或1年内累计发生2次及以上较大工程质量安全事故，或发生性质恶劣、危害性严重、社会影响大的较大工程质量安全事故，受到行政处罚的；</w:t>
      </w:r>
    </w:p>
    <w:p w14:paraId="30D9DE8B">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（四）经法院判决或仲裁机构裁决，认定为拖欠工程款,且拒不履行生效法律文书确定的义务的。</w:t>
      </w:r>
    </w:p>
    <w:p w14:paraId="57514980">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各级住房城乡建设主管部门应当参照建筑市场主体“黑名单”，对被人力资源社会保障行政部门列入拖欠农民工工资“黑名单”的建筑市场各方主体加强监管。</w:t>
      </w:r>
    </w:p>
    <w:p w14:paraId="750A5ED0">
      <w:pPr>
        <w:widowControl/>
        <w:shd w:val="clear"/>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rPr>
        <w:t>依据：《建筑市场信用管理暂行办法》（建市〔2017〕241号）</w:t>
      </w:r>
    </w:p>
    <w:p w14:paraId="65A48EC9">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35538504">
      <w:pPr>
        <w:widowControl/>
        <w:shd w:val="clear"/>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六、政府采购严重失信行为</w:t>
      </w:r>
    </w:p>
    <w:p w14:paraId="78AE29B9">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供应商、采购代理机构在三年内受到财政部门作出下列情形之一的行政处罚，列入政府采购严重违法失信行为记录名单。</w:t>
      </w:r>
    </w:p>
    <w:p w14:paraId="6FB95EE9">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（一）三万元以上罚款；</w:t>
      </w:r>
    </w:p>
    <w:p w14:paraId="4912F102">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（二）在一至三年内禁止参加政府采购活动（处罚期限届满的除外）；</w:t>
      </w:r>
    </w:p>
    <w:p w14:paraId="184586C7">
      <w:pPr>
        <w:widowControl/>
        <w:shd w:val="clear"/>
        <w:autoSpaceDE w:val="0"/>
        <w:spacing w:line="480" w:lineRule="exact"/>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（三）在一至三年内禁止代理政府采购业务（处罚期限届满的除外）；</w:t>
      </w:r>
    </w:p>
    <w:p w14:paraId="1A203A08">
      <w:pPr>
        <w:widowControl/>
        <w:shd w:val="clear"/>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（四）撤销政府采购代理机构资格（仅针对《政府采购法》第78条修改前作出的处罚决定）。</w:t>
      </w:r>
    </w:p>
    <w:p w14:paraId="230CE622">
      <w:pPr>
        <w:widowControl/>
        <w:shd w:val="clear"/>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依据：《关于报送政府采购严重违法失信行为信息记录的通知》（财办库〔2014〕526号）</w:t>
      </w:r>
    </w:p>
    <w:p w14:paraId="4E5729D7">
      <w:pPr>
        <w:widowControl/>
        <w:shd w:val="clear"/>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rPr>
        <w:t xml:space="preserve"> </w:t>
      </w:r>
    </w:p>
    <w:p w14:paraId="5A75B52A">
      <w:pPr>
        <w:widowControl/>
        <w:shd w:val="clear"/>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rPr>
        <w:t>。</w:t>
      </w:r>
    </w:p>
    <w:p w14:paraId="0F5755ED">
      <w:pPr>
        <w:pStyle w:val="2"/>
        <w:shd w:val="clear"/>
        <w:rPr>
          <w:rFonts w:ascii="宋体"/>
          <w:b w:val="0"/>
          <w:color w:val="auto"/>
          <w:szCs w:val="32"/>
          <w:highlight w:val="none"/>
        </w:rPr>
      </w:pPr>
      <w:bookmarkStart w:id="197" w:name="_Toc449028957"/>
      <w:r>
        <w:rPr>
          <w:rFonts w:ascii="宋体"/>
          <w:b w:val="0"/>
          <w:color w:val="auto"/>
          <w:szCs w:val="32"/>
          <w:highlight w:val="none"/>
        </w:rPr>
        <w:br w:type="page"/>
      </w:r>
      <w:bookmarkStart w:id="198" w:name="_Toc58430333"/>
      <w:bookmarkStart w:id="199"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97"/>
      <w:bookmarkEnd w:id="198"/>
      <w:bookmarkEnd w:id="199"/>
    </w:p>
    <w:p w14:paraId="0E98DD9E">
      <w:pPr>
        <w:shd w:val="clea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60950CED">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0F2AD7A3">
            <w:pPr>
              <w:shd w:val="clear"/>
              <w:spacing w:line="440" w:lineRule="exact"/>
              <w:ind w:firstLine="560" w:firstLineChars="200"/>
              <w:rPr>
                <w:rFonts w:ascii="宋体" w:cs="宋体"/>
                <w:color w:val="auto"/>
                <w:sz w:val="28"/>
                <w:szCs w:val="28"/>
                <w:highlight w:val="none"/>
              </w:rPr>
            </w:pPr>
          </w:p>
          <w:p w14:paraId="50D25ADE">
            <w:pPr>
              <w:shd w:val="clear"/>
              <w:spacing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来六、明巢高速机电设施维护项目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506FE6B">
            <w:pPr>
              <w:shd w:val="clear"/>
              <w:spacing w:line="540" w:lineRule="exact"/>
              <w:ind w:firstLine="560" w:firstLineChars="200"/>
              <w:rPr>
                <w:rFonts w:hint="eastAsia" w:ascii="宋体" w:eastAsia="宋体" w:cs="宋体"/>
                <w:color w:val="auto"/>
                <w:sz w:val="28"/>
                <w:szCs w:val="28"/>
                <w:highlight w:val="none"/>
                <w:lang w:val="en-US"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滁州市城投交通控股有限公司</w:t>
            </w:r>
          </w:p>
          <w:p w14:paraId="5C77EA09">
            <w:pPr>
              <w:shd w:val="clea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 xml:space="preserve">孙工 </w:t>
            </w:r>
          </w:p>
          <w:p w14:paraId="62E711A2">
            <w:pPr>
              <w:shd w:val="clea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w:t>
            </w:r>
            <w:r>
              <w:rPr>
                <w:rFonts w:hint="eastAsia" w:ascii="宋体" w:cs="宋体"/>
                <w:color w:val="auto"/>
                <w:sz w:val="28"/>
                <w:szCs w:val="28"/>
                <w:highlight w:val="none"/>
                <w:lang w:val="en-US" w:eastAsia="zh-CN"/>
              </w:rPr>
              <w:t>0550-3500336</w:t>
            </w:r>
          </w:p>
          <w:p w14:paraId="146F6F4B">
            <w:pPr>
              <w:shd w:val="clear"/>
              <w:spacing w:line="540" w:lineRule="exact"/>
              <w:ind w:firstLine="7140" w:firstLineChars="2550"/>
              <w:rPr>
                <w:rFonts w:ascii="宋体" w:cs="宋体"/>
                <w:color w:val="auto"/>
                <w:sz w:val="28"/>
                <w:szCs w:val="28"/>
                <w:highlight w:val="none"/>
              </w:rPr>
            </w:pPr>
          </w:p>
          <w:p w14:paraId="5F895AA1">
            <w:pPr>
              <w:shd w:val="clea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4D72797C">
            <w:pPr>
              <w:shd w:val="clea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r w14:paraId="07E8ABDE">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237B8E9E">
            <w:pPr>
              <w:shd w:val="clear"/>
              <w:spacing w:line="440" w:lineRule="exact"/>
              <w:rPr>
                <w:rFonts w:ascii="宋体" w:cs="宋体"/>
                <w:color w:val="auto"/>
                <w:sz w:val="28"/>
                <w:szCs w:val="28"/>
                <w:highlight w:val="none"/>
              </w:rPr>
            </w:pPr>
          </w:p>
          <w:p w14:paraId="0C68BBF1">
            <w:pPr>
              <w:shd w:val="clea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056CA4B2">
            <w:pPr>
              <w:shd w:val="clea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val="en-US" w:eastAsia="zh-CN"/>
              </w:rPr>
              <w:t>关勤勤</w:t>
            </w:r>
          </w:p>
          <w:p w14:paraId="446A1FAB">
            <w:pPr>
              <w:shd w:val="clear"/>
              <w:spacing w:line="52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电  话：0550-3519590、</w:t>
            </w:r>
            <w:r>
              <w:rPr>
                <w:rFonts w:hint="eastAsia" w:ascii="宋体" w:cs="宋体"/>
                <w:color w:val="auto"/>
                <w:sz w:val="28"/>
                <w:szCs w:val="28"/>
                <w:highlight w:val="none"/>
                <w:lang w:val="en-US" w:eastAsia="zh-CN"/>
              </w:rPr>
              <w:t>18909605753</w:t>
            </w:r>
          </w:p>
          <w:p w14:paraId="4C985C29">
            <w:pPr>
              <w:shd w:val="clear"/>
              <w:spacing w:line="520" w:lineRule="exact"/>
              <w:ind w:firstLine="6300" w:firstLineChars="2250"/>
              <w:rPr>
                <w:rFonts w:ascii="宋体" w:cs="宋体"/>
                <w:color w:val="auto"/>
                <w:sz w:val="28"/>
                <w:szCs w:val="28"/>
                <w:highlight w:val="none"/>
              </w:rPr>
            </w:pPr>
          </w:p>
          <w:p w14:paraId="40122368">
            <w:pPr>
              <w:pStyle w:val="34"/>
              <w:shd w:val="clear"/>
              <w:rPr>
                <w:color w:val="auto"/>
                <w:kern w:val="2"/>
                <w:sz w:val="21"/>
                <w:szCs w:val="24"/>
                <w:highlight w:val="none"/>
              </w:rPr>
            </w:pPr>
          </w:p>
          <w:p w14:paraId="28BFEEE4">
            <w:pPr>
              <w:shd w:val="clear"/>
              <w:spacing w:line="520" w:lineRule="exact"/>
              <w:ind w:firstLine="6580" w:firstLineChars="2350"/>
              <w:rPr>
                <w:rFonts w:ascii="宋体" w:cs="宋体"/>
                <w:color w:val="auto"/>
                <w:sz w:val="28"/>
                <w:szCs w:val="28"/>
                <w:highlight w:val="none"/>
              </w:rPr>
            </w:pPr>
          </w:p>
          <w:p w14:paraId="759C71E3">
            <w:pPr>
              <w:shd w:val="clea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2713D75B">
            <w:pPr>
              <w:shd w:val="clear"/>
              <w:spacing w:line="540" w:lineRule="exact"/>
              <w:jc w:val="right"/>
              <w:rPr>
                <w:rFonts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bl>
    <w:p w14:paraId="12C83CD3">
      <w:pPr>
        <w:shd w:val="clea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0000000000000000000"/>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20B05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07BB">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7165">
    <w:pPr>
      <w:pStyle w:val="23"/>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20A7A2">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20A7A2">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6D38">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6D74">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EE811"/>
    <w:multiLevelType w:val="multilevel"/>
    <w:tmpl w:val="D3EEE811"/>
    <w:lvl w:ilvl="0" w:tentative="0">
      <w:start w:val="1"/>
      <w:numFmt w:val="bullet"/>
      <w:lvlText w:val=""/>
      <w:lvlJc w:val="left"/>
      <w:pPr>
        <w:tabs>
          <w:tab w:val="left" w:pos="1167"/>
        </w:tabs>
        <w:ind w:left="1167" w:hanging="432"/>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17"/>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F80BBD"/>
    <w:multiLevelType w:val="singleLevel"/>
    <w:tmpl w:val="57F80BBD"/>
    <w:lvl w:ilvl="0" w:tentative="0">
      <w:start w:val="3"/>
      <w:numFmt w:val="decimal"/>
      <w:suff w:val="nothing"/>
      <w:lvlText w:val="%1、"/>
      <w:lvlJc w:val="left"/>
    </w:lvl>
  </w:abstractNum>
  <w:abstractNum w:abstractNumId="9">
    <w:nsid w:val="5A9B2A32"/>
    <w:multiLevelType w:val="multilevel"/>
    <w:tmpl w:val="5A9B2A32"/>
    <w:lvl w:ilvl="0" w:tentative="0">
      <w:start w:val="1"/>
      <w:numFmt w:val="bullet"/>
      <w:lvlText w:val=""/>
      <w:lvlJc w:val="left"/>
      <w:pPr>
        <w:ind w:left="1554" w:hanging="420"/>
      </w:pPr>
      <w:rPr>
        <w:rFonts w:hint="default" w:ascii="Wingdings" w:hAnsi="Wingdings"/>
        <w:b w:val="0"/>
        <w:i w:val="0"/>
        <w:sz w:val="24"/>
        <w:szCs w:val="24"/>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5D1A6599"/>
    <w:multiLevelType w:val="singleLevel"/>
    <w:tmpl w:val="5D1A6599"/>
    <w:lvl w:ilvl="0" w:tentative="0">
      <w:start w:val="1"/>
      <w:numFmt w:val="decimal"/>
      <w:lvlText w:val="%1."/>
      <w:lvlJc w:val="left"/>
      <w:pPr>
        <w:tabs>
          <w:tab w:val="left" w:pos="312"/>
        </w:tabs>
      </w:pPr>
    </w:lvl>
  </w:abstractNum>
  <w:abstractNum w:abstractNumId="11">
    <w:nsid w:val="64568081"/>
    <w:multiLevelType w:val="singleLevel"/>
    <w:tmpl w:val="64568081"/>
    <w:lvl w:ilvl="0" w:tentative="0">
      <w:start w:val="2"/>
      <w:numFmt w:val="decimal"/>
      <w:suff w:val="nothing"/>
      <w:lvlText w:val="（%1）"/>
      <w:lvlJc w:val="left"/>
    </w:lvl>
  </w:abstractNum>
  <w:abstractNum w:abstractNumId="12">
    <w:nsid w:val="78460BCF"/>
    <w:multiLevelType w:val="singleLevel"/>
    <w:tmpl w:val="78460BCF"/>
    <w:lvl w:ilvl="0" w:tentative="0">
      <w:start w:val="4"/>
      <w:numFmt w:val="chineseCounting"/>
      <w:suff w:val="space"/>
      <w:lvlText w:val="第%1章"/>
      <w:lvlJc w:val="left"/>
      <w:rPr>
        <w:rFonts w:hint="eastAsia"/>
      </w:rPr>
    </w:lvl>
  </w:abstractNum>
  <w:num w:numId="1">
    <w:abstractNumId w:val="4"/>
  </w:num>
  <w:num w:numId="2">
    <w:abstractNumId w:val="5"/>
  </w:num>
  <w:num w:numId="3">
    <w:abstractNumId w:val="2"/>
  </w:num>
  <w:num w:numId="4">
    <w:abstractNumId w:val="7"/>
  </w:num>
  <w:num w:numId="5">
    <w:abstractNumId w:val="3"/>
  </w:num>
  <w:num w:numId="6">
    <w:abstractNumId w:val="1"/>
  </w:num>
  <w:num w:numId="7">
    <w:abstractNumId w:val="6"/>
  </w:num>
  <w:num w:numId="8">
    <w:abstractNumId w:val="11"/>
  </w:num>
  <w:num w:numId="9">
    <w:abstractNumId w:val="12"/>
  </w:num>
  <w:num w:numId="10">
    <w:abstractNumId w:val="9"/>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jY1MzdhYzM1YjU4NzA2NDE0YmEzNTY3MzU2ZDY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77F31"/>
    <w:rsid w:val="0069368B"/>
    <w:rsid w:val="0074554D"/>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27CD6"/>
    <w:rsid w:val="00A54152"/>
    <w:rsid w:val="00A67D58"/>
    <w:rsid w:val="00A975DD"/>
    <w:rsid w:val="00AC5855"/>
    <w:rsid w:val="00AF40A6"/>
    <w:rsid w:val="00AF43B5"/>
    <w:rsid w:val="00B41BDC"/>
    <w:rsid w:val="00B45701"/>
    <w:rsid w:val="00B502D3"/>
    <w:rsid w:val="00B627A9"/>
    <w:rsid w:val="00B77363"/>
    <w:rsid w:val="00B84EF4"/>
    <w:rsid w:val="00B8500A"/>
    <w:rsid w:val="00BF0751"/>
    <w:rsid w:val="00C069E8"/>
    <w:rsid w:val="00C24AE6"/>
    <w:rsid w:val="00C2723E"/>
    <w:rsid w:val="00C57688"/>
    <w:rsid w:val="00C9047B"/>
    <w:rsid w:val="00CD391E"/>
    <w:rsid w:val="00CD4DF4"/>
    <w:rsid w:val="00CF1FFF"/>
    <w:rsid w:val="00D24FF0"/>
    <w:rsid w:val="00D25ACB"/>
    <w:rsid w:val="00D46C3D"/>
    <w:rsid w:val="00D50329"/>
    <w:rsid w:val="00D651BA"/>
    <w:rsid w:val="00DD6A62"/>
    <w:rsid w:val="00DD75A2"/>
    <w:rsid w:val="00E4156B"/>
    <w:rsid w:val="00E6284A"/>
    <w:rsid w:val="00E700A9"/>
    <w:rsid w:val="00E70847"/>
    <w:rsid w:val="00E87AA3"/>
    <w:rsid w:val="00F13E63"/>
    <w:rsid w:val="00F21540"/>
    <w:rsid w:val="00F768E1"/>
    <w:rsid w:val="00FC3E1B"/>
    <w:rsid w:val="00FF16F3"/>
    <w:rsid w:val="016947F9"/>
    <w:rsid w:val="016E2F6B"/>
    <w:rsid w:val="01826A17"/>
    <w:rsid w:val="01CB7DA6"/>
    <w:rsid w:val="01D9415D"/>
    <w:rsid w:val="01DA5E9C"/>
    <w:rsid w:val="01DB6127"/>
    <w:rsid w:val="01DE01EE"/>
    <w:rsid w:val="0219028B"/>
    <w:rsid w:val="022E6257"/>
    <w:rsid w:val="023215AC"/>
    <w:rsid w:val="023850C1"/>
    <w:rsid w:val="02477318"/>
    <w:rsid w:val="0255285E"/>
    <w:rsid w:val="026B1259"/>
    <w:rsid w:val="02827B99"/>
    <w:rsid w:val="029F2E1F"/>
    <w:rsid w:val="02BC3AEB"/>
    <w:rsid w:val="02D079EE"/>
    <w:rsid w:val="02E1227E"/>
    <w:rsid w:val="02E54D69"/>
    <w:rsid w:val="02EC4A24"/>
    <w:rsid w:val="02F254D6"/>
    <w:rsid w:val="02F53218"/>
    <w:rsid w:val="030355FF"/>
    <w:rsid w:val="0341645D"/>
    <w:rsid w:val="035241C7"/>
    <w:rsid w:val="037E320E"/>
    <w:rsid w:val="038A570F"/>
    <w:rsid w:val="039C407F"/>
    <w:rsid w:val="039E11BA"/>
    <w:rsid w:val="03A2514E"/>
    <w:rsid w:val="03B409DD"/>
    <w:rsid w:val="03C03826"/>
    <w:rsid w:val="03C30C20"/>
    <w:rsid w:val="03D1158F"/>
    <w:rsid w:val="03D96696"/>
    <w:rsid w:val="03DB41BC"/>
    <w:rsid w:val="03EF7C67"/>
    <w:rsid w:val="03FE7EAB"/>
    <w:rsid w:val="041C543C"/>
    <w:rsid w:val="041C6F42"/>
    <w:rsid w:val="04221DEB"/>
    <w:rsid w:val="04435676"/>
    <w:rsid w:val="044E498E"/>
    <w:rsid w:val="04651CD8"/>
    <w:rsid w:val="046A5576"/>
    <w:rsid w:val="04754611"/>
    <w:rsid w:val="048760F2"/>
    <w:rsid w:val="04A942BA"/>
    <w:rsid w:val="04AB3862"/>
    <w:rsid w:val="04BF3332"/>
    <w:rsid w:val="04ED2C18"/>
    <w:rsid w:val="04F01EE9"/>
    <w:rsid w:val="04F76DD4"/>
    <w:rsid w:val="04F81DB4"/>
    <w:rsid w:val="05085485"/>
    <w:rsid w:val="050B6D23"/>
    <w:rsid w:val="053242B0"/>
    <w:rsid w:val="05373674"/>
    <w:rsid w:val="053E4A03"/>
    <w:rsid w:val="05455577"/>
    <w:rsid w:val="05465FAD"/>
    <w:rsid w:val="054B0F4A"/>
    <w:rsid w:val="058F1702"/>
    <w:rsid w:val="05A351AD"/>
    <w:rsid w:val="05DE3CE5"/>
    <w:rsid w:val="05E82BC0"/>
    <w:rsid w:val="05F477B7"/>
    <w:rsid w:val="061816F7"/>
    <w:rsid w:val="062278D0"/>
    <w:rsid w:val="06370ACC"/>
    <w:rsid w:val="06624721"/>
    <w:rsid w:val="06632AA3"/>
    <w:rsid w:val="067A13EB"/>
    <w:rsid w:val="06836B5F"/>
    <w:rsid w:val="06A55ADF"/>
    <w:rsid w:val="06A64F55"/>
    <w:rsid w:val="06C453DB"/>
    <w:rsid w:val="06D82C35"/>
    <w:rsid w:val="06DA075B"/>
    <w:rsid w:val="06F224DF"/>
    <w:rsid w:val="06F9554A"/>
    <w:rsid w:val="070659F4"/>
    <w:rsid w:val="0721282E"/>
    <w:rsid w:val="07371FAF"/>
    <w:rsid w:val="075239E7"/>
    <w:rsid w:val="07750484"/>
    <w:rsid w:val="07794418"/>
    <w:rsid w:val="0788465B"/>
    <w:rsid w:val="07950B26"/>
    <w:rsid w:val="07AD2313"/>
    <w:rsid w:val="07B611C8"/>
    <w:rsid w:val="07B76CEE"/>
    <w:rsid w:val="07E0529D"/>
    <w:rsid w:val="07ED2710"/>
    <w:rsid w:val="07F613C5"/>
    <w:rsid w:val="08140B8B"/>
    <w:rsid w:val="08143A40"/>
    <w:rsid w:val="081E6D6D"/>
    <w:rsid w:val="082779ED"/>
    <w:rsid w:val="08293B60"/>
    <w:rsid w:val="082C4FE6"/>
    <w:rsid w:val="08362309"/>
    <w:rsid w:val="08395955"/>
    <w:rsid w:val="084A1910"/>
    <w:rsid w:val="084F5934"/>
    <w:rsid w:val="085D1644"/>
    <w:rsid w:val="08607386"/>
    <w:rsid w:val="08713341"/>
    <w:rsid w:val="0873089C"/>
    <w:rsid w:val="088A4403"/>
    <w:rsid w:val="088A5A8D"/>
    <w:rsid w:val="08A13C26"/>
    <w:rsid w:val="08BF40AC"/>
    <w:rsid w:val="08C07429"/>
    <w:rsid w:val="08D35DAA"/>
    <w:rsid w:val="08D51B22"/>
    <w:rsid w:val="08E27D9B"/>
    <w:rsid w:val="08E92ED7"/>
    <w:rsid w:val="08EE00FD"/>
    <w:rsid w:val="08FA50E4"/>
    <w:rsid w:val="092B6141"/>
    <w:rsid w:val="0935241C"/>
    <w:rsid w:val="09524F20"/>
    <w:rsid w:val="097035F9"/>
    <w:rsid w:val="099217C1"/>
    <w:rsid w:val="09963123"/>
    <w:rsid w:val="09981838"/>
    <w:rsid w:val="09B5283E"/>
    <w:rsid w:val="09C166B7"/>
    <w:rsid w:val="09C851E3"/>
    <w:rsid w:val="09CB469C"/>
    <w:rsid w:val="09CF3948"/>
    <w:rsid w:val="09D678FF"/>
    <w:rsid w:val="09E71B0D"/>
    <w:rsid w:val="09EF44EC"/>
    <w:rsid w:val="09F14739"/>
    <w:rsid w:val="0A03621B"/>
    <w:rsid w:val="0A2D3F49"/>
    <w:rsid w:val="0A2D4FEC"/>
    <w:rsid w:val="0A4708C9"/>
    <w:rsid w:val="0A8712AB"/>
    <w:rsid w:val="0AA04DDE"/>
    <w:rsid w:val="0AB12DCE"/>
    <w:rsid w:val="0AB45767"/>
    <w:rsid w:val="0AC43BFC"/>
    <w:rsid w:val="0AD16319"/>
    <w:rsid w:val="0AD96F7B"/>
    <w:rsid w:val="0AEC4F01"/>
    <w:rsid w:val="0AF3628F"/>
    <w:rsid w:val="0B343101"/>
    <w:rsid w:val="0B4B60CB"/>
    <w:rsid w:val="0B627EDA"/>
    <w:rsid w:val="0B704808"/>
    <w:rsid w:val="0B982B0E"/>
    <w:rsid w:val="0BA94BA0"/>
    <w:rsid w:val="0BAB31B1"/>
    <w:rsid w:val="0BAF2FA8"/>
    <w:rsid w:val="0BAF62FB"/>
    <w:rsid w:val="0BC66C7D"/>
    <w:rsid w:val="0BED3778"/>
    <w:rsid w:val="0C232BA4"/>
    <w:rsid w:val="0C2A577B"/>
    <w:rsid w:val="0C2D26E3"/>
    <w:rsid w:val="0C373ADB"/>
    <w:rsid w:val="0C37733F"/>
    <w:rsid w:val="0C3856AB"/>
    <w:rsid w:val="0C3C5A14"/>
    <w:rsid w:val="0C4274CE"/>
    <w:rsid w:val="0C6952DD"/>
    <w:rsid w:val="0CAD06C0"/>
    <w:rsid w:val="0CC53C5B"/>
    <w:rsid w:val="0CDB7B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46735F"/>
    <w:rsid w:val="0E4969BD"/>
    <w:rsid w:val="0E5928AD"/>
    <w:rsid w:val="0E5B4877"/>
    <w:rsid w:val="0E707BF7"/>
    <w:rsid w:val="0E7357F9"/>
    <w:rsid w:val="0E7D0D45"/>
    <w:rsid w:val="0E8611C8"/>
    <w:rsid w:val="0E975183"/>
    <w:rsid w:val="0E98626E"/>
    <w:rsid w:val="0EAD1661"/>
    <w:rsid w:val="0EBE21D3"/>
    <w:rsid w:val="0EBF7B36"/>
    <w:rsid w:val="0EC51CF1"/>
    <w:rsid w:val="0ECC307F"/>
    <w:rsid w:val="0F0C791F"/>
    <w:rsid w:val="0F1A6FD6"/>
    <w:rsid w:val="0F4E7F38"/>
    <w:rsid w:val="0F891446"/>
    <w:rsid w:val="0F9A13CF"/>
    <w:rsid w:val="0F9B000F"/>
    <w:rsid w:val="0F9D2C6D"/>
    <w:rsid w:val="0FB747DD"/>
    <w:rsid w:val="0FC91CB4"/>
    <w:rsid w:val="0FD10D03"/>
    <w:rsid w:val="0FD710A5"/>
    <w:rsid w:val="0FD77F2D"/>
    <w:rsid w:val="0FD83CA6"/>
    <w:rsid w:val="10131364"/>
    <w:rsid w:val="101822F4"/>
    <w:rsid w:val="10262C63"/>
    <w:rsid w:val="105B218F"/>
    <w:rsid w:val="10616837"/>
    <w:rsid w:val="107E794C"/>
    <w:rsid w:val="10857989"/>
    <w:rsid w:val="10AB148B"/>
    <w:rsid w:val="10AC25CA"/>
    <w:rsid w:val="10B4201D"/>
    <w:rsid w:val="10CA7A92"/>
    <w:rsid w:val="10EF574B"/>
    <w:rsid w:val="10F845FF"/>
    <w:rsid w:val="110C1E59"/>
    <w:rsid w:val="110D0173"/>
    <w:rsid w:val="11125CD9"/>
    <w:rsid w:val="111D5E14"/>
    <w:rsid w:val="112951FE"/>
    <w:rsid w:val="11317B11"/>
    <w:rsid w:val="113F7E2B"/>
    <w:rsid w:val="116E6670"/>
    <w:rsid w:val="117A3C75"/>
    <w:rsid w:val="11826A7D"/>
    <w:rsid w:val="118616F9"/>
    <w:rsid w:val="11904838"/>
    <w:rsid w:val="11A6405B"/>
    <w:rsid w:val="11B83956"/>
    <w:rsid w:val="11C40985"/>
    <w:rsid w:val="11CC786A"/>
    <w:rsid w:val="11E93F48"/>
    <w:rsid w:val="11EC68FB"/>
    <w:rsid w:val="11F03528"/>
    <w:rsid w:val="12046FD4"/>
    <w:rsid w:val="121420F8"/>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40B464A"/>
    <w:rsid w:val="140C4736"/>
    <w:rsid w:val="140D6614"/>
    <w:rsid w:val="14172FEE"/>
    <w:rsid w:val="14364B2C"/>
    <w:rsid w:val="1438503B"/>
    <w:rsid w:val="144933C4"/>
    <w:rsid w:val="145F3F52"/>
    <w:rsid w:val="14694230"/>
    <w:rsid w:val="14720C0D"/>
    <w:rsid w:val="147D0BDA"/>
    <w:rsid w:val="14860A3B"/>
    <w:rsid w:val="14972381"/>
    <w:rsid w:val="14AA2FD3"/>
    <w:rsid w:val="14B06F9F"/>
    <w:rsid w:val="14B52807"/>
    <w:rsid w:val="14B62AB7"/>
    <w:rsid w:val="14BA1BCC"/>
    <w:rsid w:val="14C724CE"/>
    <w:rsid w:val="14CA5427"/>
    <w:rsid w:val="14DA6A78"/>
    <w:rsid w:val="14DD669C"/>
    <w:rsid w:val="14DE1D5E"/>
    <w:rsid w:val="14E07884"/>
    <w:rsid w:val="14E16407"/>
    <w:rsid w:val="14EA0703"/>
    <w:rsid w:val="150572EB"/>
    <w:rsid w:val="150A448F"/>
    <w:rsid w:val="150C68CB"/>
    <w:rsid w:val="152229F1"/>
    <w:rsid w:val="154461CC"/>
    <w:rsid w:val="15597637"/>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F7F44"/>
    <w:rsid w:val="16F94C2D"/>
    <w:rsid w:val="16FE3FF2"/>
    <w:rsid w:val="171323AA"/>
    <w:rsid w:val="171C09DA"/>
    <w:rsid w:val="173B5246"/>
    <w:rsid w:val="17B63456"/>
    <w:rsid w:val="17F2764F"/>
    <w:rsid w:val="1833416F"/>
    <w:rsid w:val="18524B4C"/>
    <w:rsid w:val="185C36C6"/>
    <w:rsid w:val="186A4292"/>
    <w:rsid w:val="18737F6A"/>
    <w:rsid w:val="187D1E98"/>
    <w:rsid w:val="187D53EA"/>
    <w:rsid w:val="18A817AE"/>
    <w:rsid w:val="18B21538"/>
    <w:rsid w:val="18BB7749"/>
    <w:rsid w:val="18C44192"/>
    <w:rsid w:val="18D9512F"/>
    <w:rsid w:val="18ED431E"/>
    <w:rsid w:val="18F558C8"/>
    <w:rsid w:val="18F877F3"/>
    <w:rsid w:val="1901601B"/>
    <w:rsid w:val="19050741"/>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B77F4"/>
    <w:rsid w:val="1A2F16BB"/>
    <w:rsid w:val="1A501008"/>
    <w:rsid w:val="1A766595"/>
    <w:rsid w:val="1A8C59F8"/>
    <w:rsid w:val="1AA57FC0"/>
    <w:rsid w:val="1AAC1FB7"/>
    <w:rsid w:val="1AAE61FB"/>
    <w:rsid w:val="1AB01AA7"/>
    <w:rsid w:val="1AB23324"/>
    <w:rsid w:val="1ADF554D"/>
    <w:rsid w:val="1AED13C7"/>
    <w:rsid w:val="1B1069E9"/>
    <w:rsid w:val="1B193AF0"/>
    <w:rsid w:val="1B2D30F7"/>
    <w:rsid w:val="1B7747F3"/>
    <w:rsid w:val="1B79254B"/>
    <w:rsid w:val="1B972C67"/>
    <w:rsid w:val="1BA55384"/>
    <w:rsid w:val="1BD712B5"/>
    <w:rsid w:val="1BDD4B1E"/>
    <w:rsid w:val="1BE76F28"/>
    <w:rsid w:val="1C177904"/>
    <w:rsid w:val="1C284B16"/>
    <w:rsid w:val="1C5A26D3"/>
    <w:rsid w:val="1C5D0DA4"/>
    <w:rsid w:val="1C5F6917"/>
    <w:rsid w:val="1C6F5742"/>
    <w:rsid w:val="1C76287C"/>
    <w:rsid w:val="1C872925"/>
    <w:rsid w:val="1C8C6E3B"/>
    <w:rsid w:val="1C9E0082"/>
    <w:rsid w:val="1CA613B3"/>
    <w:rsid w:val="1CAA693B"/>
    <w:rsid w:val="1CB14442"/>
    <w:rsid w:val="1CC66428"/>
    <w:rsid w:val="1CC80B99"/>
    <w:rsid w:val="1CCB0E1A"/>
    <w:rsid w:val="1D0113C9"/>
    <w:rsid w:val="1D0A2DA7"/>
    <w:rsid w:val="1D1140B4"/>
    <w:rsid w:val="1D2B18B9"/>
    <w:rsid w:val="1D3E783E"/>
    <w:rsid w:val="1D630F86"/>
    <w:rsid w:val="1D7019C1"/>
    <w:rsid w:val="1D752B34"/>
    <w:rsid w:val="1D7E5E8C"/>
    <w:rsid w:val="1D836591"/>
    <w:rsid w:val="1DB55626"/>
    <w:rsid w:val="1DB7314C"/>
    <w:rsid w:val="1DC15D79"/>
    <w:rsid w:val="1DC53ABB"/>
    <w:rsid w:val="1DC85AE6"/>
    <w:rsid w:val="1DDB503E"/>
    <w:rsid w:val="1DDC665E"/>
    <w:rsid w:val="1DE84D03"/>
    <w:rsid w:val="1DE85A9D"/>
    <w:rsid w:val="1DF13B3B"/>
    <w:rsid w:val="1E0E2B0B"/>
    <w:rsid w:val="1E1660C5"/>
    <w:rsid w:val="1E205195"/>
    <w:rsid w:val="1E263E3C"/>
    <w:rsid w:val="1E276322"/>
    <w:rsid w:val="1E5170FD"/>
    <w:rsid w:val="1E5F2F8D"/>
    <w:rsid w:val="1E650DFA"/>
    <w:rsid w:val="1E982F7E"/>
    <w:rsid w:val="1EAC45D3"/>
    <w:rsid w:val="1EC71AB5"/>
    <w:rsid w:val="1ECF4FD3"/>
    <w:rsid w:val="1ED0096A"/>
    <w:rsid w:val="1ED7455A"/>
    <w:rsid w:val="1EDB6610"/>
    <w:rsid w:val="1EF34658"/>
    <w:rsid w:val="1F02489B"/>
    <w:rsid w:val="1F095D51"/>
    <w:rsid w:val="1F0E1553"/>
    <w:rsid w:val="1F132604"/>
    <w:rsid w:val="1F242A63"/>
    <w:rsid w:val="1F2627EB"/>
    <w:rsid w:val="1F294332"/>
    <w:rsid w:val="1F2A62AD"/>
    <w:rsid w:val="1F3233D2"/>
    <w:rsid w:val="1F4804CC"/>
    <w:rsid w:val="1FB61E22"/>
    <w:rsid w:val="1FEB1DE0"/>
    <w:rsid w:val="1FEF6DB8"/>
    <w:rsid w:val="1FF64400"/>
    <w:rsid w:val="200D799B"/>
    <w:rsid w:val="201E4F4F"/>
    <w:rsid w:val="2024414B"/>
    <w:rsid w:val="20256A93"/>
    <w:rsid w:val="20384A18"/>
    <w:rsid w:val="20390790"/>
    <w:rsid w:val="203F5E7C"/>
    <w:rsid w:val="204A474C"/>
    <w:rsid w:val="205055EF"/>
    <w:rsid w:val="20583FFA"/>
    <w:rsid w:val="206C46C2"/>
    <w:rsid w:val="20976AB4"/>
    <w:rsid w:val="20A81514"/>
    <w:rsid w:val="20AB6760"/>
    <w:rsid w:val="20B16579"/>
    <w:rsid w:val="20C95670"/>
    <w:rsid w:val="20D358CD"/>
    <w:rsid w:val="20D65FDF"/>
    <w:rsid w:val="20E85D1A"/>
    <w:rsid w:val="210055F8"/>
    <w:rsid w:val="21052421"/>
    <w:rsid w:val="211508B6"/>
    <w:rsid w:val="2126121F"/>
    <w:rsid w:val="216B1A91"/>
    <w:rsid w:val="217B0F40"/>
    <w:rsid w:val="218A192D"/>
    <w:rsid w:val="21A972E1"/>
    <w:rsid w:val="21BF0821"/>
    <w:rsid w:val="21DE60F4"/>
    <w:rsid w:val="21F816C1"/>
    <w:rsid w:val="221C5C74"/>
    <w:rsid w:val="222B0959"/>
    <w:rsid w:val="222F1E4B"/>
    <w:rsid w:val="2240564F"/>
    <w:rsid w:val="224F6049"/>
    <w:rsid w:val="22575E31"/>
    <w:rsid w:val="22816594"/>
    <w:rsid w:val="22A00653"/>
    <w:rsid w:val="22A52EFA"/>
    <w:rsid w:val="22A567AC"/>
    <w:rsid w:val="22A77054"/>
    <w:rsid w:val="22AA3280"/>
    <w:rsid w:val="22BD2FB3"/>
    <w:rsid w:val="22C04851"/>
    <w:rsid w:val="22CB1F7F"/>
    <w:rsid w:val="22CC31F6"/>
    <w:rsid w:val="22D43C96"/>
    <w:rsid w:val="22DB5B2F"/>
    <w:rsid w:val="22EC6903"/>
    <w:rsid w:val="22FB3ADB"/>
    <w:rsid w:val="23076924"/>
    <w:rsid w:val="2318468D"/>
    <w:rsid w:val="23214B81"/>
    <w:rsid w:val="23250B58"/>
    <w:rsid w:val="23287A3B"/>
    <w:rsid w:val="234C2589"/>
    <w:rsid w:val="234E0C74"/>
    <w:rsid w:val="235D595F"/>
    <w:rsid w:val="2366667A"/>
    <w:rsid w:val="236773C3"/>
    <w:rsid w:val="236B1B92"/>
    <w:rsid w:val="23725A46"/>
    <w:rsid w:val="239F4DAE"/>
    <w:rsid w:val="23A75A11"/>
    <w:rsid w:val="23D46034"/>
    <w:rsid w:val="23DD1433"/>
    <w:rsid w:val="23ED1676"/>
    <w:rsid w:val="23EF1892"/>
    <w:rsid w:val="23F37F14"/>
    <w:rsid w:val="23F956E8"/>
    <w:rsid w:val="23FA0237"/>
    <w:rsid w:val="24015121"/>
    <w:rsid w:val="24264B88"/>
    <w:rsid w:val="24305A06"/>
    <w:rsid w:val="2447702E"/>
    <w:rsid w:val="24631DDE"/>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924268"/>
    <w:rsid w:val="25E67FEE"/>
    <w:rsid w:val="25F3318F"/>
    <w:rsid w:val="260D33F7"/>
    <w:rsid w:val="2629095F"/>
    <w:rsid w:val="26355556"/>
    <w:rsid w:val="263B7010"/>
    <w:rsid w:val="263C7979"/>
    <w:rsid w:val="264B2FCC"/>
    <w:rsid w:val="264E5249"/>
    <w:rsid w:val="2650413E"/>
    <w:rsid w:val="265359DC"/>
    <w:rsid w:val="26551754"/>
    <w:rsid w:val="26712A32"/>
    <w:rsid w:val="26834513"/>
    <w:rsid w:val="26A10E3D"/>
    <w:rsid w:val="26AC3A6A"/>
    <w:rsid w:val="26B96187"/>
    <w:rsid w:val="26BE763B"/>
    <w:rsid w:val="26E730BC"/>
    <w:rsid w:val="270135A4"/>
    <w:rsid w:val="27090EBD"/>
    <w:rsid w:val="271635D9"/>
    <w:rsid w:val="2751016E"/>
    <w:rsid w:val="279F3713"/>
    <w:rsid w:val="27B84691"/>
    <w:rsid w:val="27BD1CA7"/>
    <w:rsid w:val="27C923FA"/>
    <w:rsid w:val="27CA464D"/>
    <w:rsid w:val="27CB7F20"/>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8F205C1"/>
    <w:rsid w:val="293B6E9E"/>
    <w:rsid w:val="29441132"/>
    <w:rsid w:val="29890753"/>
    <w:rsid w:val="298962E5"/>
    <w:rsid w:val="29934A6D"/>
    <w:rsid w:val="29B50E88"/>
    <w:rsid w:val="29B72649"/>
    <w:rsid w:val="29BC1AE3"/>
    <w:rsid w:val="29CD1E2A"/>
    <w:rsid w:val="29CF7F37"/>
    <w:rsid w:val="2A0C29B8"/>
    <w:rsid w:val="2A0E5104"/>
    <w:rsid w:val="2A131C98"/>
    <w:rsid w:val="2A1F09F7"/>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85488A"/>
    <w:rsid w:val="2BA07916"/>
    <w:rsid w:val="2BEC2B5B"/>
    <w:rsid w:val="2BFF63EA"/>
    <w:rsid w:val="2C002162"/>
    <w:rsid w:val="2C063C1D"/>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7C1CBC"/>
    <w:rsid w:val="2D8017AD"/>
    <w:rsid w:val="2D8868B3"/>
    <w:rsid w:val="2DAC4350"/>
    <w:rsid w:val="2E0F1AF1"/>
    <w:rsid w:val="2E1755ED"/>
    <w:rsid w:val="2E3A7BAD"/>
    <w:rsid w:val="2E56250D"/>
    <w:rsid w:val="2E623354"/>
    <w:rsid w:val="2E6A4E27"/>
    <w:rsid w:val="2E7806D6"/>
    <w:rsid w:val="2E876B6B"/>
    <w:rsid w:val="2E9B12B3"/>
    <w:rsid w:val="2EBE2A19"/>
    <w:rsid w:val="2ED33B5E"/>
    <w:rsid w:val="2EDA313F"/>
    <w:rsid w:val="2EE53D89"/>
    <w:rsid w:val="2EEC10D1"/>
    <w:rsid w:val="2EFA733D"/>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9706B9"/>
    <w:rsid w:val="30C85944"/>
    <w:rsid w:val="30D95A3C"/>
    <w:rsid w:val="30E12562"/>
    <w:rsid w:val="30E84AF7"/>
    <w:rsid w:val="31103BE8"/>
    <w:rsid w:val="31490108"/>
    <w:rsid w:val="315736D8"/>
    <w:rsid w:val="3166515D"/>
    <w:rsid w:val="31684A32"/>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74ADB"/>
    <w:rsid w:val="32785148"/>
    <w:rsid w:val="327B2543"/>
    <w:rsid w:val="327E342C"/>
    <w:rsid w:val="328533C1"/>
    <w:rsid w:val="3296503C"/>
    <w:rsid w:val="32A4546A"/>
    <w:rsid w:val="32B31CDC"/>
    <w:rsid w:val="32ED1980"/>
    <w:rsid w:val="32F1304C"/>
    <w:rsid w:val="32F50547"/>
    <w:rsid w:val="33094881"/>
    <w:rsid w:val="333F3794"/>
    <w:rsid w:val="335A57BD"/>
    <w:rsid w:val="339E5D33"/>
    <w:rsid w:val="33E03C55"/>
    <w:rsid w:val="33EC17CD"/>
    <w:rsid w:val="33EF143A"/>
    <w:rsid w:val="33EF1C73"/>
    <w:rsid w:val="33FA6F1E"/>
    <w:rsid w:val="340661A5"/>
    <w:rsid w:val="34076784"/>
    <w:rsid w:val="340903E3"/>
    <w:rsid w:val="340A6274"/>
    <w:rsid w:val="340E30B9"/>
    <w:rsid w:val="341E3ACD"/>
    <w:rsid w:val="342166A1"/>
    <w:rsid w:val="34313243"/>
    <w:rsid w:val="343678CD"/>
    <w:rsid w:val="34480B4A"/>
    <w:rsid w:val="345968B4"/>
    <w:rsid w:val="345A0C5F"/>
    <w:rsid w:val="345B087E"/>
    <w:rsid w:val="346D120F"/>
    <w:rsid w:val="34702AF7"/>
    <w:rsid w:val="347A2085"/>
    <w:rsid w:val="347F27BE"/>
    <w:rsid w:val="34897199"/>
    <w:rsid w:val="34945B3E"/>
    <w:rsid w:val="34AD7661"/>
    <w:rsid w:val="34B01E1E"/>
    <w:rsid w:val="34E16FD5"/>
    <w:rsid w:val="34E94961"/>
    <w:rsid w:val="34EA39B0"/>
    <w:rsid w:val="35171719"/>
    <w:rsid w:val="352E7D40"/>
    <w:rsid w:val="354B26A0"/>
    <w:rsid w:val="355F614C"/>
    <w:rsid w:val="357243F8"/>
    <w:rsid w:val="35853917"/>
    <w:rsid w:val="35906305"/>
    <w:rsid w:val="359C73A0"/>
    <w:rsid w:val="35A10512"/>
    <w:rsid w:val="35A26038"/>
    <w:rsid w:val="35AA3A3A"/>
    <w:rsid w:val="35AA4722"/>
    <w:rsid w:val="35CF507F"/>
    <w:rsid w:val="360B340E"/>
    <w:rsid w:val="362D5CD2"/>
    <w:rsid w:val="365E28A7"/>
    <w:rsid w:val="366B14C0"/>
    <w:rsid w:val="369342FF"/>
    <w:rsid w:val="369D456C"/>
    <w:rsid w:val="36A8455A"/>
    <w:rsid w:val="36AE738B"/>
    <w:rsid w:val="36C95F72"/>
    <w:rsid w:val="36DF3C16"/>
    <w:rsid w:val="36E27034"/>
    <w:rsid w:val="36ED1FA3"/>
    <w:rsid w:val="36F36DEE"/>
    <w:rsid w:val="36F6663C"/>
    <w:rsid w:val="370E607B"/>
    <w:rsid w:val="372E4027"/>
    <w:rsid w:val="373F79B1"/>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400042"/>
    <w:rsid w:val="39490357"/>
    <w:rsid w:val="397877DC"/>
    <w:rsid w:val="3980288F"/>
    <w:rsid w:val="3999678C"/>
    <w:rsid w:val="39A6259B"/>
    <w:rsid w:val="39D377DB"/>
    <w:rsid w:val="3A223DCB"/>
    <w:rsid w:val="3A3462BA"/>
    <w:rsid w:val="3A58475F"/>
    <w:rsid w:val="3A5E7E93"/>
    <w:rsid w:val="3A6E6C87"/>
    <w:rsid w:val="3AB46F3A"/>
    <w:rsid w:val="3AD13648"/>
    <w:rsid w:val="3AE0388B"/>
    <w:rsid w:val="3B1C0596"/>
    <w:rsid w:val="3B2319C9"/>
    <w:rsid w:val="3B5B1163"/>
    <w:rsid w:val="3B84063D"/>
    <w:rsid w:val="3B8701AA"/>
    <w:rsid w:val="3B8875E3"/>
    <w:rsid w:val="3B955700"/>
    <w:rsid w:val="3BC27434"/>
    <w:rsid w:val="3BC95C98"/>
    <w:rsid w:val="3BCB453B"/>
    <w:rsid w:val="3BD75940"/>
    <w:rsid w:val="3BDD7DCA"/>
    <w:rsid w:val="3BF42260"/>
    <w:rsid w:val="3C042703"/>
    <w:rsid w:val="3C265C15"/>
    <w:rsid w:val="3C284C49"/>
    <w:rsid w:val="3C522566"/>
    <w:rsid w:val="3C541BC5"/>
    <w:rsid w:val="3C65673D"/>
    <w:rsid w:val="3C722C08"/>
    <w:rsid w:val="3C7C5F7D"/>
    <w:rsid w:val="3C9506A5"/>
    <w:rsid w:val="3C9C7C85"/>
    <w:rsid w:val="3C9E3DCB"/>
    <w:rsid w:val="3CA31014"/>
    <w:rsid w:val="3CB123E6"/>
    <w:rsid w:val="3CDB6174"/>
    <w:rsid w:val="3D050477"/>
    <w:rsid w:val="3D14341C"/>
    <w:rsid w:val="3D3D4FC4"/>
    <w:rsid w:val="3D404852"/>
    <w:rsid w:val="3D477BF1"/>
    <w:rsid w:val="3D4A76E1"/>
    <w:rsid w:val="3D5D5666"/>
    <w:rsid w:val="3D611ECB"/>
    <w:rsid w:val="3DB668C6"/>
    <w:rsid w:val="3DEB4A20"/>
    <w:rsid w:val="3DF062BF"/>
    <w:rsid w:val="3E0618F6"/>
    <w:rsid w:val="3E0869AC"/>
    <w:rsid w:val="3E246184"/>
    <w:rsid w:val="3E2C6DE7"/>
    <w:rsid w:val="3E3068D7"/>
    <w:rsid w:val="3E32264F"/>
    <w:rsid w:val="3E3E1A04"/>
    <w:rsid w:val="3E53454B"/>
    <w:rsid w:val="3E6F204E"/>
    <w:rsid w:val="3E815973"/>
    <w:rsid w:val="3E88151A"/>
    <w:rsid w:val="3E894239"/>
    <w:rsid w:val="3E8D3D29"/>
    <w:rsid w:val="3E9450B8"/>
    <w:rsid w:val="3EC62D97"/>
    <w:rsid w:val="3F0D6C18"/>
    <w:rsid w:val="3F1735F3"/>
    <w:rsid w:val="3F3643C1"/>
    <w:rsid w:val="3F364D39"/>
    <w:rsid w:val="3F505A98"/>
    <w:rsid w:val="3F6207BA"/>
    <w:rsid w:val="3F7B1DD4"/>
    <w:rsid w:val="3F810615"/>
    <w:rsid w:val="3F843560"/>
    <w:rsid w:val="3F8C5D8F"/>
    <w:rsid w:val="3F8E7D59"/>
    <w:rsid w:val="3F984C13"/>
    <w:rsid w:val="3FA72BC9"/>
    <w:rsid w:val="3FBD063E"/>
    <w:rsid w:val="3FC90D91"/>
    <w:rsid w:val="3FCF3ECE"/>
    <w:rsid w:val="3FD919BA"/>
    <w:rsid w:val="3FDC2B4A"/>
    <w:rsid w:val="3FFD010D"/>
    <w:rsid w:val="400A40D9"/>
    <w:rsid w:val="401A783F"/>
    <w:rsid w:val="401F452F"/>
    <w:rsid w:val="40330901"/>
    <w:rsid w:val="40515724"/>
    <w:rsid w:val="405F16F6"/>
    <w:rsid w:val="408B38B3"/>
    <w:rsid w:val="40B27A77"/>
    <w:rsid w:val="40D338F0"/>
    <w:rsid w:val="40D40AAB"/>
    <w:rsid w:val="40D77011"/>
    <w:rsid w:val="40D7789E"/>
    <w:rsid w:val="40E90FBF"/>
    <w:rsid w:val="40F40090"/>
    <w:rsid w:val="40FB76BC"/>
    <w:rsid w:val="41036525"/>
    <w:rsid w:val="41072D28"/>
    <w:rsid w:val="41173D7E"/>
    <w:rsid w:val="411E335F"/>
    <w:rsid w:val="412344D1"/>
    <w:rsid w:val="4125450E"/>
    <w:rsid w:val="412973EA"/>
    <w:rsid w:val="417F4A52"/>
    <w:rsid w:val="41AA69A0"/>
    <w:rsid w:val="41B45A71"/>
    <w:rsid w:val="41E57263"/>
    <w:rsid w:val="41F71B81"/>
    <w:rsid w:val="42010DBE"/>
    <w:rsid w:val="42044303"/>
    <w:rsid w:val="42075BA1"/>
    <w:rsid w:val="42424E2B"/>
    <w:rsid w:val="426B25D4"/>
    <w:rsid w:val="4278084D"/>
    <w:rsid w:val="428611BC"/>
    <w:rsid w:val="42927B60"/>
    <w:rsid w:val="42BD2703"/>
    <w:rsid w:val="42C27D1A"/>
    <w:rsid w:val="42E04834"/>
    <w:rsid w:val="43140A2D"/>
    <w:rsid w:val="43301127"/>
    <w:rsid w:val="43364990"/>
    <w:rsid w:val="434150E2"/>
    <w:rsid w:val="4355293C"/>
    <w:rsid w:val="4359067E"/>
    <w:rsid w:val="436117D4"/>
    <w:rsid w:val="436F12C2"/>
    <w:rsid w:val="437049F2"/>
    <w:rsid w:val="43842246"/>
    <w:rsid w:val="43A7763B"/>
    <w:rsid w:val="43B92ECB"/>
    <w:rsid w:val="43BE0166"/>
    <w:rsid w:val="440E3217"/>
    <w:rsid w:val="440F0504"/>
    <w:rsid w:val="4421185F"/>
    <w:rsid w:val="4437557C"/>
    <w:rsid w:val="444C2BC0"/>
    <w:rsid w:val="444F71A2"/>
    <w:rsid w:val="445361E5"/>
    <w:rsid w:val="44603900"/>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7C68A6"/>
    <w:rsid w:val="45952817"/>
    <w:rsid w:val="45A863B8"/>
    <w:rsid w:val="45BB6D3C"/>
    <w:rsid w:val="45F91CA4"/>
    <w:rsid w:val="46011342"/>
    <w:rsid w:val="46017508"/>
    <w:rsid w:val="460A2104"/>
    <w:rsid w:val="460F14C8"/>
    <w:rsid w:val="46130FB8"/>
    <w:rsid w:val="46132D66"/>
    <w:rsid w:val="46342CDD"/>
    <w:rsid w:val="46431B1A"/>
    <w:rsid w:val="464E1FF0"/>
    <w:rsid w:val="466366B9"/>
    <w:rsid w:val="46955E71"/>
    <w:rsid w:val="469C7200"/>
    <w:rsid w:val="46C10A14"/>
    <w:rsid w:val="46D67F86"/>
    <w:rsid w:val="46F448C2"/>
    <w:rsid w:val="47060D7D"/>
    <w:rsid w:val="473F67A2"/>
    <w:rsid w:val="474536E0"/>
    <w:rsid w:val="47463365"/>
    <w:rsid w:val="47596E9F"/>
    <w:rsid w:val="476B55F6"/>
    <w:rsid w:val="477535AD"/>
    <w:rsid w:val="47777325"/>
    <w:rsid w:val="477E4B57"/>
    <w:rsid w:val="47863A0C"/>
    <w:rsid w:val="47925F0D"/>
    <w:rsid w:val="47A876DF"/>
    <w:rsid w:val="47AA76FA"/>
    <w:rsid w:val="47B370C9"/>
    <w:rsid w:val="48001EFA"/>
    <w:rsid w:val="48027536"/>
    <w:rsid w:val="48042FA6"/>
    <w:rsid w:val="481C57BF"/>
    <w:rsid w:val="48240342"/>
    <w:rsid w:val="48343468"/>
    <w:rsid w:val="485578E8"/>
    <w:rsid w:val="48680CE3"/>
    <w:rsid w:val="487516C9"/>
    <w:rsid w:val="48A147B6"/>
    <w:rsid w:val="48A73C3A"/>
    <w:rsid w:val="48D367DD"/>
    <w:rsid w:val="48E82D4D"/>
    <w:rsid w:val="48F007F6"/>
    <w:rsid w:val="48F14EB5"/>
    <w:rsid w:val="491D5CAA"/>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AC4A05"/>
    <w:rsid w:val="4AB112AD"/>
    <w:rsid w:val="4AB918F6"/>
    <w:rsid w:val="4AD14F9E"/>
    <w:rsid w:val="4AEB42B2"/>
    <w:rsid w:val="4AF403AA"/>
    <w:rsid w:val="4AFD616C"/>
    <w:rsid w:val="4B0B04B0"/>
    <w:rsid w:val="4B3E2640"/>
    <w:rsid w:val="4B447AD4"/>
    <w:rsid w:val="4B7050AD"/>
    <w:rsid w:val="4B717B63"/>
    <w:rsid w:val="4BA30828"/>
    <w:rsid w:val="4BA93D64"/>
    <w:rsid w:val="4BBE0554"/>
    <w:rsid w:val="4BBF20A9"/>
    <w:rsid w:val="4BCB40E3"/>
    <w:rsid w:val="4BD20FCE"/>
    <w:rsid w:val="4BD74836"/>
    <w:rsid w:val="4BED5E07"/>
    <w:rsid w:val="4BF70A34"/>
    <w:rsid w:val="4BFD1393"/>
    <w:rsid w:val="4C150E22"/>
    <w:rsid w:val="4C194E4E"/>
    <w:rsid w:val="4C1C26CD"/>
    <w:rsid w:val="4C2555A1"/>
    <w:rsid w:val="4C2C2DD4"/>
    <w:rsid w:val="4C3F1BAE"/>
    <w:rsid w:val="4C5C4D3B"/>
    <w:rsid w:val="4C5D5CA7"/>
    <w:rsid w:val="4C76404F"/>
    <w:rsid w:val="4C8147A2"/>
    <w:rsid w:val="4CB26A62"/>
    <w:rsid w:val="4CCA7AE1"/>
    <w:rsid w:val="4CE216E4"/>
    <w:rsid w:val="4CEE0366"/>
    <w:rsid w:val="4CF569B5"/>
    <w:rsid w:val="4CFB4947"/>
    <w:rsid w:val="4D04165B"/>
    <w:rsid w:val="4D11448E"/>
    <w:rsid w:val="4D267823"/>
    <w:rsid w:val="4D275D07"/>
    <w:rsid w:val="4D3A507C"/>
    <w:rsid w:val="4D5325E2"/>
    <w:rsid w:val="4D6848C0"/>
    <w:rsid w:val="4D7E0D8A"/>
    <w:rsid w:val="4D8602C2"/>
    <w:rsid w:val="4D9E5143"/>
    <w:rsid w:val="4D9F75D5"/>
    <w:rsid w:val="4DAE03C1"/>
    <w:rsid w:val="4DC97603"/>
    <w:rsid w:val="4DE163BF"/>
    <w:rsid w:val="4DF72F6D"/>
    <w:rsid w:val="4DFE10C7"/>
    <w:rsid w:val="4E086F29"/>
    <w:rsid w:val="4E140B6A"/>
    <w:rsid w:val="4E1B739A"/>
    <w:rsid w:val="4E233D62"/>
    <w:rsid w:val="4E2875CB"/>
    <w:rsid w:val="4E407F3C"/>
    <w:rsid w:val="4E41243B"/>
    <w:rsid w:val="4E676345"/>
    <w:rsid w:val="4E6C17FA"/>
    <w:rsid w:val="4E8B5D8F"/>
    <w:rsid w:val="4E943545"/>
    <w:rsid w:val="4EB86BA1"/>
    <w:rsid w:val="4ECC43FA"/>
    <w:rsid w:val="4EE94FAC"/>
    <w:rsid w:val="4F0B3CA6"/>
    <w:rsid w:val="4F107345"/>
    <w:rsid w:val="4F1847B3"/>
    <w:rsid w:val="4F2314B3"/>
    <w:rsid w:val="4F3B50DC"/>
    <w:rsid w:val="4F5D5052"/>
    <w:rsid w:val="4F691C49"/>
    <w:rsid w:val="4F813436"/>
    <w:rsid w:val="4FB619EF"/>
    <w:rsid w:val="4FBD1F95"/>
    <w:rsid w:val="4FC861DA"/>
    <w:rsid w:val="4FFB544B"/>
    <w:rsid w:val="500A342C"/>
    <w:rsid w:val="500D6A78"/>
    <w:rsid w:val="500F69BB"/>
    <w:rsid w:val="50406E4E"/>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937451"/>
    <w:rsid w:val="51A46F68"/>
    <w:rsid w:val="51B13335"/>
    <w:rsid w:val="51BB7B3D"/>
    <w:rsid w:val="51D75590"/>
    <w:rsid w:val="521D3CB5"/>
    <w:rsid w:val="523302EC"/>
    <w:rsid w:val="52426781"/>
    <w:rsid w:val="52454FAD"/>
    <w:rsid w:val="524B15B3"/>
    <w:rsid w:val="528374C6"/>
    <w:rsid w:val="528B1ED6"/>
    <w:rsid w:val="529C2335"/>
    <w:rsid w:val="52A70D2C"/>
    <w:rsid w:val="52BE405A"/>
    <w:rsid w:val="52E361B6"/>
    <w:rsid w:val="531210C9"/>
    <w:rsid w:val="532742F5"/>
    <w:rsid w:val="53607807"/>
    <w:rsid w:val="538434F5"/>
    <w:rsid w:val="538A03E0"/>
    <w:rsid w:val="539835FD"/>
    <w:rsid w:val="53A2397B"/>
    <w:rsid w:val="53B92A73"/>
    <w:rsid w:val="53BB67EB"/>
    <w:rsid w:val="53C71634"/>
    <w:rsid w:val="53D224B3"/>
    <w:rsid w:val="53EB1FF8"/>
    <w:rsid w:val="53EC2E48"/>
    <w:rsid w:val="53F45760"/>
    <w:rsid w:val="5406215C"/>
    <w:rsid w:val="546B6463"/>
    <w:rsid w:val="546E73A6"/>
    <w:rsid w:val="547C41CC"/>
    <w:rsid w:val="5488491F"/>
    <w:rsid w:val="54A379AB"/>
    <w:rsid w:val="54B27BEE"/>
    <w:rsid w:val="54BD0C40"/>
    <w:rsid w:val="54D659D2"/>
    <w:rsid w:val="54F75F49"/>
    <w:rsid w:val="54FC355F"/>
    <w:rsid w:val="55284354"/>
    <w:rsid w:val="55432F3C"/>
    <w:rsid w:val="554A42CB"/>
    <w:rsid w:val="5560589C"/>
    <w:rsid w:val="556C4241"/>
    <w:rsid w:val="5579695E"/>
    <w:rsid w:val="558C043F"/>
    <w:rsid w:val="559807C9"/>
    <w:rsid w:val="55A133E3"/>
    <w:rsid w:val="55B87486"/>
    <w:rsid w:val="55C404FA"/>
    <w:rsid w:val="55C45E2B"/>
    <w:rsid w:val="55CC345F"/>
    <w:rsid w:val="55EE2EA8"/>
    <w:rsid w:val="55F04E72"/>
    <w:rsid w:val="56203207"/>
    <w:rsid w:val="562A2C28"/>
    <w:rsid w:val="562C2ED7"/>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4BF2"/>
    <w:rsid w:val="57BD6FD6"/>
    <w:rsid w:val="57CA16F3"/>
    <w:rsid w:val="57CA3880"/>
    <w:rsid w:val="57E417E0"/>
    <w:rsid w:val="57EE53E1"/>
    <w:rsid w:val="57F32A52"/>
    <w:rsid w:val="57FE50EE"/>
    <w:rsid w:val="58073B8C"/>
    <w:rsid w:val="580E7831"/>
    <w:rsid w:val="58256929"/>
    <w:rsid w:val="583F3E8F"/>
    <w:rsid w:val="58A40196"/>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D86349"/>
    <w:rsid w:val="59DD0C04"/>
    <w:rsid w:val="59EC76FE"/>
    <w:rsid w:val="5A034978"/>
    <w:rsid w:val="5A040EEC"/>
    <w:rsid w:val="5A16280E"/>
    <w:rsid w:val="5A1B5A10"/>
    <w:rsid w:val="5A266807"/>
    <w:rsid w:val="5A2C21F1"/>
    <w:rsid w:val="5A6977D7"/>
    <w:rsid w:val="5A6E45B7"/>
    <w:rsid w:val="5A963B0E"/>
    <w:rsid w:val="5AA955EF"/>
    <w:rsid w:val="5ACC2E57"/>
    <w:rsid w:val="5AEB3E5A"/>
    <w:rsid w:val="5B044F1C"/>
    <w:rsid w:val="5B070568"/>
    <w:rsid w:val="5B1C2265"/>
    <w:rsid w:val="5B2E3D47"/>
    <w:rsid w:val="5B33135D"/>
    <w:rsid w:val="5B435A44"/>
    <w:rsid w:val="5B4672E2"/>
    <w:rsid w:val="5B4A6DD2"/>
    <w:rsid w:val="5B572513"/>
    <w:rsid w:val="5B5B46DE"/>
    <w:rsid w:val="5B773CF2"/>
    <w:rsid w:val="5B953DC6"/>
    <w:rsid w:val="5B9B5880"/>
    <w:rsid w:val="5BB7600F"/>
    <w:rsid w:val="5BCD355F"/>
    <w:rsid w:val="5BF037E6"/>
    <w:rsid w:val="5BFD3E45"/>
    <w:rsid w:val="5C0F2714"/>
    <w:rsid w:val="5C2A09B2"/>
    <w:rsid w:val="5C3A263A"/>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70A87"/>
    <w:rsid w:val="5D0B433F"/>
    <w:rsid w:val="5D17501F"/>
    <w:rsid w:val="5D213B63"/>
    <w:rsid w:val="5D2E44D2"/>
    <w:rsid w:val="5D3C6BEF"/>
    <w:rsid w:val="5D431D2B"/>
    <w:rsid w:val="5D4569AE"/>
    <w:rsid w:val="5D5E0913"/>
    <w:rsid w:val="5D6F2B20"/>
    <w:rsid w:val="5D7C6FEB"/>
    <w:rsid w:val="5D883BE2"/>
    <w:rsid w:val="5D9B5E1F"/>
    <w:rsid w:val="5DA36C6E"/>
    <w:rsid w:val="5DAF116F"/>
    <w:rsid w:val="5DB426F2"/>
    <w:rsid w:val="5DF11787"/>
    <w:rsid w:val="5E0771FD"/>
    <w:rsid w:val="5E2733FB"/>
    <w:rsid w:val="5E647215"/>
    <w:rsid w:val="5E6F6B70"/>
    <w:rsid w:val="5E7128C8"/>
    <w:rsid w:val="5E785A05"/>
    <w:rsid w:val="5E7E5BC7"/>
    <w:rsid w:val="5EA467FA"/>
    <w:rsid w:val="5EAC5CC5"/>
    <w:rsid w:val="5EBB3B43"/>
    <w:rsid w:val="5EC24ED2"/>
    <w:rsid w:val="5ECF669A"/>
    <w:rsid w:val="5EF64B7B"/>
    <w:rsid w:val="5F131BD1"/>
    <w:rsid w:val="5F1C68EB"/>
    <w:rsid w:val="5F223BC2"/>
    <w:rsid w:val="5F304531"/>
    <w:rsid w:val="5F3A658F"/>
    <w:rsid w:val="5F4B6DF9"/>
    <w:rsid w:val="5F5244A8"/>
    <w:rsid w:val="5F5E109E"/>
    <w:rsid w:val="5F675CE8"/>
    <w:rsid w:val="5F6D7533"/>
    <w:rsid w:val="5F904FD0"/>
    <w:rsid w:val="5F97010C"/>
    <w:rsid w:val="5F9E101E"/>
    <w:rsid w:val="5FD80582"/>
    <w:rsid w:val="5FE377F5"/>
    <w:rsid w:val="60150DC2"/>
    <w:rsid w:val="60326087"/>
    <w:rsid w:val="603E7754"/>
    <w:rsid w:val="604D407A"/>
    <w:rsid w:val="605E0C2A"/>
    <w:rsid w:val="6061582C"/>
    <w:rsid w:val="60787F3E"/>
    <w:rsid w:val="609113EE"/>
    <w:rsid w:val="60940AF0"/>
    <w:rsid w:val="609D64AA"/>
    <w:rsid w:val="60A27B32"/>
    <w:rsid w:val="60BE5D83"/>
    <w:rsid w:val="60DD3A26"/>
    <w:rsid w:val="60E51508"/>
    <w:rsid w:val="60E6759D"/>
    <w:rsid w:val="60F82E2D"/>
    <w:rsid w:val="60FC0223"/>
    <w:rsid w:val="612446A4"/>
    <w:rsid w:val="614A3DAA"/>
    <w:rsid w:val="6155027F"/>
    <w:rsid w:val="616821E1"/>
    <w:rsid w:val="61730B8F"/>
    <w:rsid w:val="618463A2"/>
    <w:rsid w:val="618741B1"/>
    <w:rsid w:val="61B2747F"/>
    <w:rsid w:val="61B90451"/>
    <w:rsid w:val="61DE0274"/>
    <w:rsid w:val="61E73B15"/>
    <w:rsid w:val="61EA259B"/>
    <w:rsid w:val="61EB473F"/>
    <w:rsid w:val="622540F5"/>
    <w:rsid w:val="623B7475"/>
    <w:rsid w:val="62405FC3"/>
    <w:rsid w:val="62482F7C"/>
    <w:rsid w:val="62677DAD"/>
    <w:rsid w:val="6281113E"/>
    <w:rsid w:val="62854B94"/>
    <w:rsid w:val="62935219"/>
    <w:rsid w:val="62CD6AEC"/>
    <w:rsid w:val="62D81569"/>
    <w:rsid w:val="62D94595"/>
    <w:rsid w:val="63103C43"/>
    <w:rsid w:val="631E6C0A"/>
    <w:rsid w:val="633B34A5"/>
    <w:rsid w:val="6347009B"/>
    <w:rsid w:val="63566066"/>
    <w:rsid w:val="63901A42"/>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B2AEF"/>
    <w:rsid w:val="64CB26DD"/>
    <w:rsid w:val="650171EE"/>
    <w:rsid w:val="65055B18"/>
    <w:rsid w:val="65433804"/>
    <w:rsid w:val="65556AA0"/>
    <w:rsid w:val="65684D07"/>
    <w:rsid w:val="657D2B9C"/>
    <w:rsid w:val="6593581A"/>
    <w:rsid w:val="65956E9C"/>
    <w:rsid w:val="65A215B9"/>
    <w:rsid w:val="65BD63F3"/>
    <w:rsid w:val="65D406EA"/>
    <w:rsid w:val="66542B2C"/>
    <w:rsid w:val="665723A3"/>
    <w:rsid w:val="667B400E"/>
    <w:rsid w:val="66911D59"/>
    <w:rsid w:val="66B261DF"/>
    <w:rsid w:val="66E005EB"/>
    <w:rsid w:val="66E53E53"/>
    <w:rsid w:val="66E55C01"/>
    <w:rsid w:val="66EA7812"/>
    <w:rsid w:val="6704527C"/>
    <w:rsid w:val="6710264E"/>
    <w:rsid w:val="673F1F3F"/>
    <w:rsid w:val="673F79B4"/>
    <w:rsid w:val="67442824"/>
    <w:rsid w:val="674A1F08"/>
    <w:rsid w:val="67795693"/>
    <w:rsid w:val="677A0A3F"/>
    <w:rsid w:val="67987117"/>
    <w:rsid w:val="67A43BE0"/>
    <w:rsid w:val="67AB6E4B"/>
    <w:rsid w:val="67B37F71"/>
    <w:rsid w:val="67CE6C86"/>
    <w:rsid w:val="67D31319"/>
    <w:rsid w:val="67D72D6F"/>
    <w:rsid w:val="67DC5114"/>
    <w:rsid w:val="67DC6D5A"/>
    <w:rsid w:val="67E206D5"/>
    <w:rsid w:val="683E4D48"/>
    <w:rsid w:val="685A261F"/>
    <w:rsid w:val="6865349E"/>
    <w:rsid w:val="68655F18"/>
    <w:rsid w:val="68701E42"/>
    <w:rsid w:val="68AD6BF3"/>
    <w:rsid w:val="68B00491"/>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AB0D0D"/>
    <w:rsid w:val="69B27B43"/>
    <w:rsid w:val="69BE0005"/>
    <w:rsid w:val="69DF2DDC"/>
    <w:rsid w:val="69EA352F"/>
    <w:rsid w:val="69EB2192"/>
    <w:rsid w:val="6A3C0286"/>
    <w:rsid w:val="6A570136"/>
    <w:rsid w:val="6A695DCD"/>
    <w:rsid w:val="6A731776"/>
    <w:rsid w:val="6A753740"/>
    <w:rsid w:val="6A7A6FA8"/>
    <w:rsid w:val="6A7E2C0A"/>
    <w:rsid w:val="6A802F8E"/>
    <w:rsid w:val="6AAD4C88"/>
    <w:rsid w:val="6ABA55F7"/>
    <w:rsid w:val="6AC10733"/>
    <w:rsid w:val="6ACD7255"/>
    <w:rsid w:val="6AD2649C"/>
    <w:rsid w:val="6AE17565"/>
    <w:rsid w:val="6AFE3735"/>
    <w:rsid w:val="6B1061F3"/>
    <w:rsid w:val="6B2111D2"/>
    <w:rsid w:val="6B361E7E"/>
    <w:rsid w:val="6B3C7DBA"/>
    <w:rsid w:val="6B3D4EC2"/>
    <w:rsid w:val="6B43383E"/>
    <w:rsid w:val="6B563481"/>
    <w:rsid w:val="6B6F63E1"/>
    <w:rsid w:val="6B8071BE"/>
    <w:rsid w:val="6BAA605B"/>
    <w:rsid w:val="6BB16221"/>
    <w:rsid w:val="6BE40B7D"/>
    <w:rsid w:val="6BE45953"/>
    <w:rsid w:val="6BE94F3A"/>
    <w:rsid w:val="6BF40694"/>
    <w:rsid w:val="6C061F17"/>
    <w:rsid w:val="6C0A16B2"/>
    <w:rsid w:val="6C0E5BFA"/>
    <w:rsid w:val="6C150D37"/>
    <w:rsid w:val="6C2F1E55"/>
    <w:rsid w:val="6C376EFF"/>
    <w:rsid w:val="6C661592"/>
    <w:rsid w:val="6C741E4F"/>
    <w:rsid w:val="6C787517"/>
    <w:rsid w:val="6C914D27"/>
    <w:rsid w:val="6C931E58"/>
    <w:rsid w:val="6CAA6CFE"/>
    <w:rsid w:val="6CC369E5"/>
    <w:rsid w:val="6CD7419C"/>
    <w:rsid w:val="6CDC7AA6"/>
    <w:rsid w:val="6D013FEB"/>
    <w:rsid w:val="6D1930EC"/>
    <w:rsid w:val="6D2F407A"/>
    <w:rsid w:val="6DA71186"/>
    <w:rsid w:val="6DB30918"/>
    <w:rsid w:val="6DB620A5"/>
    <w:rsid w:val="6DC42A14"/>
    <w:rsid w:val="6DCF4F15"/>
    <w:rsid w:val="6DD036A3"/>
    <w:rsid w:val="6DE81D0F"/>
    <w:rsid w:val="6DE85FD7"/>
    <w:rsid w:val="6DF76B0A"/>
    <w:rsid w:val="6E054DB3"/>
    <w:rsid w:val="6E0D5EB7"/>
    <w:rsid w:val="6E1A0994"/>
    <w:rsid w:val="6E7004A6"/>
    <w:rsid w:val="6E9E14B7"/>
    <w:rsid w:val="6EBD3E7A"/>
    <w:rsid w:val="6EBD700A"/>
    <w:rsid w:val="6EC72090"/>
    <w:rsid w:val="6ED53771"/>
    <w:rsid w:val="6EFD2502"/>
    <w:rsid w:val="6F062BB9"/>
    <w:rsid w:val="6F082DD5"/>
    <w:rsid w:val="6F1352D6"/>
    <w:rsid w:val="6F5E1724"/>
    <w:rsid w:val="6F6618A9"/>
    <w:rsid w:val="6F71097A"/>
    <w:rsid w:val="6F743FC6"/>
    <w:rsid w:val="6F783707"/>
    <w:rsid w:val="6F7D7049"/>
    <w:rsid w:val="6F963F3C"/>
    <w:rsid w:val="6FE1043B"/>
    <w:rsid w:val="6FF670D1"/>
    <w:rsid w:val="700B760E"/>
    <w:rsid w:val="700D7F77"/>
    <w:rsid w:val="703B4AE4"/>
    <w:rsid w:val="705160B5"/>
    <w:rsid w:val="706E310B"/>
    <w:rsid w:val="70794B97"/>
    <w:rsid w:val="70860455"/>
    <w:rsid w:val="70860D62"/>
    <w:rsid w:val="70891C83"/>
    <w:rsid w:val="708C17E3"/>
    <w:rsid w:val="70981F36"/>
    <w:rsid w:val="70CD6084"/>
    <w:rsid w:val="70D016D0"/>
    <w:rsid w:val="70F35BF8"/>
    <w:rsid w:val="71160F53"/>
    <w:rsid w:val="711A0B9D"/>
    <w:rsid w:val="713C4FB8"/>
    <w:rsid w:val="71491244"/>
    <w:rsid w:val="714B51FB"/>
    <w:rsid w:val="71582A07"/>
    <w:rsid w:val="717943B6"/>
    <w:rsid w:val="71916F49"/>
    <w:rsid w:val="71A33B87"/>
    <w:rsid w:val="71AB63BC"/>
    <w:rsid w:val="71AE4713"/>
    <w:rsid w:val="71B27028"/>
    <w:rsid w:val="71D25565"/>
    <w:rsid w:val="71D945B4"/>
    <w:rsid w:val="71F11C1F"/>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B4217"/>
    <w:rsid w:val="73AD5CF9"/>
    <w:rsid w:val="73D94D40"/>
    <w:rsid w:val="740D2C3B"/>
    <w:rsid w:val="742E508B"/>
    <w:rsid w:val="744877CF"/>
    <w:rsid w:val="74692D8A"/>
    <w:rsid w:val="74716D26"/>
    <w:rsid w:val="74933140"/>
    <w:rsid w:val="74AB66DC"/>
    <w:rsid w:val="74B81FE2"/>
    <w:rsid w:val="74B86703"/>
    <w:rsid w:val="74BD1F6B"/>
    <w:rsid w:val="74CE23CA"/>
    <w:rsid w:val="74E813D5"/>
    <w:rsid w:val="74FF4332"/>
    <w:rsid w:val="750E0AAE"/>
    <w:rsid w:val="751C1388"/>
    <w:rsid w:val="75265D17"/>
    <w:rsid w:val="75581C94"/>
    <w:rsid w:val="755F3023"/>
    <w:rsid w:val="75874327"/>
    <w:rsid w:val="75995FB8"/>
    <w:rsid w:val="75A1188D"/>
    <w:rsid w:val="75B50E95"/>
    <w:rsid w:val="75CA0DE4"/>
    <w:rsid w:val="75CD4430"/>
    <w:rsid w:val="75D25EEA"/>
    <w:rsid w:val="75F75951"/>
    <w:rsid w:val="75FC4D15"/>
    <w:rsid w:val="75FE0A8D"/>
    <w:rsid w:val="76097029"/>
    <w:rsid w:val="76133C04"/>
    <w:rsid w:val="76292962"/>
    <w:rsid w:val="76400B00"/>
    <w:rsid w:val="764A4CEF"/>
    <w:rsid w:val="766C1E9B"/>
    <w:rsid w:val="76880357"/>
    <w:rsid w:val="769D2054"/>
    <w:rsid w:val="76AA4771"/>
    <w:rsid w:val="76CC0B8C"/>
    <w:rsid w:val="76E13170"/>
    <w:rsid w:val="76E311A3"/>
    <w:rsid w:val="770254C5"/>
    <w:rsid w:val="77120CFE"/>
    <w:rsid w:val="772938E8"/>
    <w:rsid w:val="7734344E"/>
    <w:rsid w:val="774424D0"/>
    <w:rsid w:val="77813724"/>
    <w:rsid w:val="77972F48"/>
    <w:rsid w:val="77980A6E"/>
    <w:rsid w:val="7798554B"/>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C4C30"/>
    <w:rsid w:val="7874661E"/>
    <w:rsid w:val="78827754"/>
    <w:rsid w:val="78B91B03"/>
    <w:rsid w:val="78BE2756"/>
    <w:rsid w:val="78C42320"/>
    <w:rsid w:val="78D12489"/>
    <w:rsid w:val="78EA354B"/>
    <w:rsid w:val="79711576"/>
    <w:rsid w:val="7973634F"/>
    <w:rsid w:val="797F0066"/>
    <w:rsid w:val="79862855"/>
    <w:rsid w:val="79AB7B9C"/>
    <w:rsid w:val="79C36276"/>
    <w:rsid w:val="79D33BD7"/>
    <w:rsid w:val="79E56BF4"/>
    <w:rsid w:val="79E65AC0"/>
    <w:rsid w:val="7A0712A8"/>
    <w:rsid w:val="7A1A5F3C"/>
    <w:rsid w:val="7A293BFF"/>
    <w:rsid w:val="7A2E3F8E"/>
    <w:rsid w:val="7A340F22"/>
    <w:rsid w:val="7A440A39"/>
    <w:rsid w:val="7A486B67"/>
    <w:rsid w:val="7A5C5D83"/>
    <w:rsid w:val="7A63380E"/>
    <w:rsid w:val="7A7C01D3"/>
    <w:rsid w:val="7A7E002C"/>
    <w:rsid w:val="7A8734B8"/>
    <w:rsid w:val="7A8A6D94"/>
    <w:rsid w:val="7A911ED0"/>
    <w:rsid w:val="7AA67D29"/>
    <w:rsid w:val="7AB64546"/>
    <w:rsid w:val="7AC04563"/>
    <w:rsid w:val="7ACB4729"/>
    <w:rsid w:val="7AE220D3"/>
    <w:rsid w:val="7AE70BAE"/>
    <w:rsid w:val="7AEA7832"/>
    <w:rsid w:val="7AEC455F"/>
    <w:rsid w:val="7B05466C"/>
    <w:rsid w:val="7B0703E4"/>
    <w:rsid w:val="7B197943"/>
    <w:rsid w:val="7B4D1357"/>
    <w:rsid w:val="7B641393"/>
    <w:rsid w:val="7B6E2F9B"/>
    <w:rsid w:val="7B89704B"/>
    <w:rsid w:val="7B98702C"/>
    <w:rsid w:val="7BC71922"/>
    <w:rsid w:val="7BC77B74"/>
    <w:rsid w:val="7BD04C7A"/>
    <w:rsid w:val="7BD57CCF"/>
    <w:rsid w:val="7C022E76"/>
    <w:rsid w:val="7C055D6D"/>
    <w:rsid w:val="7C213B75"/>
    <w:rsid w:val="7C305719"/>
    <w:rsid w:val="7C3163FF"/>
    <w:rsid w:val="7C896BD7"/>
    <w:rsid w:val="7C8B6DF3"/>
    <w:rsid w:val="7C8D6749"/>
    <w:rsid w:val="7CA61385"/>
    <w:rsid w:val="7CB718F6"/>
    <w:rsid w:val="7CCC0C02"/>
    <w:rsid w:val="7CE24C65"/>
    <w:rsid w:val="7CE64C01"/>
    <w:rsid w:val="7CFB7AD5"/>
    <w:rsid w:val="7D07647A"/>
    <w:rsid w:val="7D0E5A5A"/>
    <w:rsid w:val="7D123C1F"/>
    <w:rsid w:val="7D1467DB"/>
    <w:rsid w:val="7D2C7C8E"/>
    <w:rsid w:val="7D625DA6"/>
    <w:rsid w:val="7D871368"/>
    <w:rsid w:val="7D8B70AB"/>
    <w:rsid w:val="7D931348"/>
    <w:rsid w:val="7DC12ACC"/>
    <w:rsid w:val="7DD32800"/>
    <w:rsid w:val="7DF14781"/>
    <w:rsid w:val="7DFA2E1C"/>
    <w:rsid w:val="7E0D3978"/>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6A2CF0"/>
    <w:rsid w:val="7F841BB1"/>
    <w:rsid w:val="7F8C2C66"/>
    <w:rsid w:val="7FCF1996"/>
    <w:rsid w:val="7FD17D13"/>
    <w:rsid w:val="7FD7406F"/>
    <w:rsid w:val="7FDE7E0D"/>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1"/>
    <w:qFormat/>
    <w:uiPriority w:val="0"/>
    <w:pPr>
      <w:jc w:val="left"/>
    </w:pPr>
  </w:style>
  <w:style w:type="paragraph" w:styleId="14">
    <w:name w:val="Body Text"/>
    <w:basedOn w:val="1"/>
    <w:qFormat/>
    <w:uiPriority w:val="0"/>
    <w:pPr>
      <w:spacing w:after="120"/>
    </w:pPr>
  </w:style>
  <w:style w:type="paragraph" w:styleId="15">
    <w:name w:val="Body Text Indent"/>
    <w:basedOn w:val="1"/>
    <w:next w:val="16"/>
    <w:link w:val="54"/>
    <w:qFormat/>
    <w:uiPriority w:val="0"/>
    <w:pPr>
      <w:spacing w:after="120"/>
      <w:ind w:left="200" w:leftChars="200"/>
    </w:pPr>
  </w:style>
  <w:style w:type="paragraph" w:styleId="16">
    <w:name w:val="envelope return"/>
    <w:basedOn w:val="1"/>
    <w:next w:val="17"/>
    <w:qFormat/>
    <w:uiPriority w:val="0"/>
    <w:pPr>
      <w:snapToGrid w:val="0"/>
    </w:pPr>
    <w:rPr>
      <w:rFonts w:ascii="Arial" w:hAnsi="Arial"/>
    </w:rPr>
  </w:style>
  <w:style w:type="paragraph" w:styleId="17">
    <w:name w:val="Title"/>
    <w:basedOn w:val="1"/>
    <w:next w:val="1"/>
    <w:qFormat/>
    <w:uiPriority w:val="0"/>
    <w:pPr>
      <w:numPr>
        <w:ilvl w:val="0"/>
        <w:numId w:val="3"/>
      </w:numPr>
      <w:spacing w:line="360" w:lineRule="auto"/>
      <w:jc w:val="left"/>
      <w:outlineLvl w:val="0"/>
    </w:pPr>
    <w:rPr>
      <w:rFonts w:ascii="Cambria" w:hAnsi="Cambria"/>
      <w:b/>
      <w:bCs/>
      <w:sz w:val="28"/>
      <w:szCs w:val="32"/>
    </w:r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2"/>
    <w:qFormat/>
    <w:uiPriority w:val="0"/>
    <w:rPr>
      <w:rFonts w:ascii="宋体"/>
      <w:color w:val="000000"/>
      <w:szCs w:val="20"/>
      <w:u w:color="000000"/>
    </w:rPr>
  </w:style>
  <w:style w:type="paragraph" w:styleId="20">
    <w:name w:val="Date"/>
    <w:basedOn w:val="1"/>
    <w:next w:val="1"/>
    <w:link w:val="63"/>
    <w:qFormat/>
    <w:uiPriority w:val="0"/>
    <w:rPr>
      <w:rFonts w:ascii="Arial" w:hAnsi="Arial" w:eastAsia="仿宋_GB2312"/>
      <w:color w:val="000000"/>
      <w:sz w:val="32"/>
      <w:szCs w:val="20"/>
      <w:u w:color="000000"/>
    </w:rPr>
  </w:style>
  <w:style w:type="paragraph" w:styleId="21">
    <w:name w:val="Body Text Indent 2"/>
    <w:basedOn w:val="1"/>
    <w:link w:val="64"/>
    <w:qFormat/>
    <w:uiPriority w:val="0"/>
    <w:pPr>
      <w:spacing w:after="120" w:line="480" w:lineRule="auto"/>
      <w:ind w:left="420" w:leftChars="200"/>
    </w:pPr>
  </w:style>
  <w:style w:type="paragraph" w:styleId="22">
    <w:name w:val="Balloon Text"/>
    <w:basedOn w:val="1"/>
    <w:link w:val="65"/>
    <w:qFormat/>
    <w:uiPriority w:val="0"/>
    <w:rPr>
      <w:sz w:val="18"/>
      <w:szCs w:val="18"/>
    </w:rPr>
  </w:style>
  <w:style w:type="paragraph" w:styleId="23">
    <w:name w:val="footer"/>
    <w:basedOn w:val="1"/>
    <w:link w:val="66"/>
    <w:qFormat/>
    <w:uiPriority w:val="0"/>
    <w:pPr>
      <w:tabs>
        <w:tab w:val="center" w:pos="4153"/>
        <w:tab w:val="right" w:pos="8306"/>
      </w:tabs>
      <w:snapToGrid w:val="0"/>
      <w:jc w:val="left"/>
    </w:pPr>
    <w:rPr>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4"/>
      </w:numPr>
      <w:spacing w:line="360" w:lineRule="auto"/>
      <w:jc w:val="left"/>
      <w:outlineLvl w:val="1"/>
    </w:pPr>
    <w:rPr>
      <w:rFonts w:ascii="Calibri Light" w:hAnsi="Calibri Light"/>
      <w:bCs/>
      <w:kern w:val="28"/>
      <w:szCs w:val="32"/>
    </w:rPr>
  </w:style>
  <w:style w:type="paragraph" w:styleId="27">
    <w:name w:val="List"/>
    <w:basedOn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annotation subject"/>
    <w:basedOn w:val="13"/>
    <w:next w:val="13"/>
    <w:link w:val="68"/>
    <w:qFormat/>
    <w:uiPriority w:val="0"/>
    <w:rPr>
      <w:b/>
      <w:bCs/>
    </w:rPr>
  </w:style>
  <w:style w:type="paragraph" w:styleId="33">
    <w:name w:val="Body Text First Indent"/>
    <w:basedOn w:val="14"/>
    <w:qFormat/>
    <w:uiPriority w:val="0"/>
    <w:pPr>
      <w:ind w:firstLine="420" w:firstLineChars="100"/>
    </w:pPr>
  </w:style>
  <w:style w:type="paragraph" w:styleId="34">
    <w:name w:val="Body Text First Indent 2"/>
    <w:basedOn w:val="15"/>
    <w:next w:val="1"/>
    <w:link w:val="55"/>
    <w:qFormat/>
    <w:uiPriority w:val="0"/>
    <w:pPr>
      <w:ind w:left="420" w:firstLine="420" w:firstLineChars="200"/>
    </w:pPr>
    <w:rPr>
      <w:kern w:val="0"/>
      <w:sz w:val="20"/>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正文1"/>
    <w:basedOn w:val="1"/>
    <w:next w:val="1"/>
    <w:qFormat/>
    <w:uiPriority w:val="0"/>
    <w:pPr>
      <w:widowControl w:val="0"/>
      <w:spacing w:before="120" w:line="360" w:lineRule="auto"/>
      <w:ind w:left="420" w:firstLine="527"/>
      <w:jc w:val="both"/>
    </w:pPr>
    <w:rPr>
      <w:rFonts w:ascii="宋体" w:hAnsi="宋体"/>
      <w:kern w:val="2"/>
    </w:rPr>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5"/>
    <w:qFormat/>
    <w:uiPriority w:val="0"/>
    <w:rPr>
      <w:rFonts w:ascii="Times New Roman" w:hAnsi="Times New Roman" w:eastAsia="宋体" w:cs="Times New Roman"/>
      <w:kern w:val="2"/>
      <w:sz w:val="21"/>
      <w:szCs w:val="24"/>
    </w:rPr>
  </w:style>
  <w:style w:type="character" w:customStyle="1" w:styleId="55">
    <w:name w:val="正文首行缩进 2 Char"/>
    <w:link w:val="34"/>
    <w:qFormat/>
    <w:uiPriority w:val="0"/>
    <w:rPr>
      <w:rFonts w:ascii="Times New Roman" w:hAnsi="Times New Roman" w:eastAsia="宋体" w:cs="Times New Roman"/>
    </w:rPr>
  </w:style>
  <w:style w:type="character" w:customStyle="1" w:styleId="56">
    <w:name w:val="标题 1 Char"/>
    <w:link w:val="2"/>
    <w:qFormat/>
    <w:uiPriority w:val="0"/>
    <w:rPr>
      <w:rFonts w:ascii="Times New Roman" w:hAnsi="Times New Roman" w:eastAsia="宋体" w:cs="Times New Roman"/>
      <w:b/>
      <w:bCs/>
      <w:kern w:val="44"/>
      <w:sz w:val="32"/>
      <w:szCs w:val="44"/>
    </w:rPr>
  </w:style>
  <w:style w:type="character" w:customStyle="1" w:styleId="57">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6"/>
    <w:qFormat/>
    <w:uiPriority w:val="0"/>
    <w:rPr>
      <w:rFonts w:ascii="Times New Roman" w:hAnsi="Times New Roman" w:eastAsia="宋体" w:cs="Times New Roman"/>
      <w:b/>
      <w:bCs/>
      <w:kern w:val="2"/>
      <w:sz w:val="28"/>
      <w:szCs w:val="28"/>
    </w:rPr>
  </w:style>
  <w:style w:type="character" w:customStyle="1" w:styleId="59">
    <w:name w:val="标题 6 Char"/>
    <w:link w:val="7"/>
    <w:qFormat/>
    <w:uiPriority w:val="0"/>
    <w:rPr>
      <w:rFonts w:ascii="Cambria" w:hAnsi="Cambria" w:eastAsia="宋体" w:cs="Times New Roman"/>
      <w:b/>
      <w:bCs/>
      <w:kern w:val="2"/>
      <w:sz w:val="24"/>
      <w:szCs w:val="24"/>
    </w:rPr>
  </w:style>
  <w:style w:type="character" w:customStyle="1" w:styleId="60">
    <w:name w:val="标题 7 Char"/>
    <w:link w:val="8"/>
    <w:qFormat/>
    <w:uiPriority w:val="0"/>
    <w:rPr>
      <w:rFonts w:ascii="Times New Roman" w:hAnsi="Times New Roman" w:eastAsia="宋体" w:cs="Times New Roman"/>
      <w:b/>
      <w:bCs/>
      <w:kern w:val="2"/>
      <w:sz w:val="24"/>
      <w:szCs w:val="24"/>
    </w:rPr>
  </w:style>
  <w:style w:type="character" w:customStyle="1" w:styleId="61">
    <w:name w:val="批注文字 Char"/>
    <w:link w:val="13"/>
    <w:qFormat/>
    <w:uiPriority w:val="0"/>
    <w:rPr>
      <w:rFonts w:ascii="Times New Roman" w:hAnsi="Times New Roman" w:eastAsia="宋体" w:cs="Times New Roman"/>
      <w:kern w:val="2"/>
      <w:sz w:val="21"/>
      <w:szCs w:val="24"/>
    </w:rPr>
  </w:style>
  <w:style w:type="character" w:customStyle="1" w:styleId="62">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20"/>
    <w:qFormat/>
    <w:uiPriority w:val="0"/>
    <w:rPr>
      <w:rFonts w:ascii="Arial" w:hAnsi="Arial" w:eastAsia="仿宋_GB2312" w:cs="Times New Roman"/>
      <w:color w:val="000000"/>
      <w:kern w:val="2"/>
      <w:sz w:val="32"/>
      <w:u w:val="none" w:color="000000"/>
    </w:rPr>
  </w:style>
  <w:style w:type="character" w:customStyle="1" w:styleId="64">
    <w:name w:val="正文文本缩进 2 Char"/>
    <w:link w:val="21"/>
    <w:qFormat/>
    <w:uiPriority w:val="0"/>
    <w:rPr>
      <w:rFonts w:ascii="Times New Roman" w:hAnsi="Times New Roman" w:eastAsia="宋体" w:cs="Times New Roman"/>
      <w:kern w:val="2"/>
      <w:sz w:val="21"/>
      <w:szCs w:val="24"/>
    </w:rPr>
  </w:style>
  <w:style w:type="character" w:customStyle="1" w:styleId="65">
    <w:name w:val="批注框文本 Char"/>
    <w:link w:val="22"/>
    <w:qFormat/>
    <w:uiPriority w:val="0"/>
    <w:rPr>
      <w:rFonts w:ascii="Times New Roman" w:hAnsi="Times New Roman" w:eastAsia="宋体" w:cs="Times New Roman"/>
      <w:kern w:val="2"/>
      <w:sz w:val="18"/>
      <w:szCs w:val="18"/>
    </w:rPr>
  </w:style>
  <w:style w:type="character" w:customStyle="1" w:styleId="66">
    <w:name w:val="页脚 Char"/>
    <w:link w:val="23"/>
    <w:qFormat/>
    <w:uiPriority w:val="0"/>
    <w:rPr>
      <w:rFonts w:ascii="Times New Roman" w:hAnsi="Times New Roman" w:eastAsia="宋体" w:cs="Times New Roman"/>
      <w:kern w:val="2"/>
      <w:sz w:val="18"/>
      <w:szCs w:val="18"/>
    </w:rPr>
  </w:style>
  <w:style w:type="character" w:customStyle="1" w:styleId="67">
    <w:name w:val="页眉 Char"/>
    <w:link w:val="24"/>
    <w:qFormat/>
    <w:uiPriority w:val="0"/>
    <w:rPr>
      <w:rFonts w:ascii="Times New Roman" w:hAnsi="Times New Roman" w:eastAsia="宋体" w:cs="Times New Roman"/>
      <w:kern w:val="2"/>
      <w:sz w:val="18"/>
      <w:szCs w:val="18"/>
    </w:rPr>
  </w:style>
  <w:style w:type="character" w:customStyle="1" w:styleId="68">
    <w:name w:val="批注主题 Char"/>
    <w:link w:val="32"/>
    <w:qFormat/>
    <w:uiPriority w:val="0"/>
    <w:rPr>
      <w:rFonts w:ascii="Times New Roman" w:hAnsi="Times New Roman" w:eastAsia="宋体" w:cs="Times New Roman"/>
      <w:b/>
      <w:bCs/>
      <w:kern w:val="2"/>
      <w:sz w:val="21"/>
      <w:szCs w:val="24"/>
    </w:rPr>
  </w:style>
  <w:style w:type="character" w:customStyle="1" w:styleId="69">
    <w:name w:val="图表 Char Char"/>
    <w:link w:val="70"/>
    <w:qFormat/>
    <w:uiPriority w:val="0"/>
    <w:rPr>
      <w:rFonts w:ascii="Times New Roman" w:hAnsi="Times New Roman" w:eastAsia="宋体" w:cs="Times New Roman"/>
      <w:kern w:val="2"/>
      <w:sz w:val="21"/>
      <w:szCs w:val="21"/>
    </w:rPr>
  </w:style>
  <w:style w:type="paragraph" w:customStyle="1" w:styleId="70">
    <w:name w:val="图表"/>
    <w:basedOn w:val="1"/>
    <w:next w:val="1"/>
    <w:link w:val="69"/>
    <w:qFormat/>
    <w:uiPriority w:val="0"/>
    <w:pPr>
      <w:jc w:val="center"/>
    </w:pPr>
    <w:rPr>
      <w:szCs w:val="21"/>
    </w:rPr>
  </w:style>
  <w:style w:type="character" w:customStyle="1" w:styleId="71">
    <w:name w:val="【正文】 Char Char"/>
    <w:link w:val="72"/>
    <w:qFormat/>
    <w:uiPriority w:val="0"/>
    <w:rPr>
      <w:rFonts w:ascii="Times New Roman" w:hAnsi="Times New Roman" w:eastAsia="宋体" w:cs="DokChampa"/>
      <w:kern w:val="2"/>
      <w:sz w:val="24"/>
      <w:szCs w:val="22"/>
    </w:rPr>
  </w:style>
  <w:style w:type="paragraph" w:customStyle="1" w:styleId="72">
    <w:name w:val="【正文】"/>
    <w:basedOn w:val="1"/>
    <w:link w:val="71"/>
    <w:qFormat/>
    <w:uiPriority w:val="0"/>
    <w:pPr>
      <w:spacing w:line="360" w:lineRule="auto"/>
      <w:ind w:firstLine="480" w:firstLineChars="200"/>
    </w:pPr>
    <w:rPr>
      <w:sz w:val="24"/>
      <w:szCs w:val="22"/>
    </w:rPr>
  </w:style>
  <w:style w:type="character" w:customStyle="1" w:styleId="73">
    <w:name w:val="selected"/>
    <w:qFormat/>
    <w:uiPriority w:val="0"/>
    <w:rPr>
      <w:rFonts w:ascii="Times New Roman" w:hAnsi="Times New Roman" w:eastAsia="宋体" w:cs="Times New Roman"/>
      <w:shd w:val="clear" w:color="auto" w:fill="B00006"/>
    </w:rPr>
  </w:style>
  <w:style w:type="character" w:customStyle="1" w:styleId="74">
    <w:name w:val="font21"/>
    <w:basedOn w:val="37"/>
    <w:qFormat/>
    <w:uiPriority w:val="0"/>
    <w:rPr>
      <w:rFonts w:hint="eastAsia" w:ascii="宋体" w:hAnsi="宋体" w:eastAsia="宋体" w:cs="宋体"/>
      <w:color w:val="000000"/>
      <w:sz w:val="18"/>
      <w:szCs w:val="18"/>
      <w:u w:val="none"/>
    </w:rPr>
  </w:style>
  <w:style w:type="character" w:customStyle="1" w:styleId="75">
    <w:name w:val="bds_nopic"/>
    <w:qFormat/>
    <w:uiPriority w:val="0"/>
    <w:rPr>
      <w:rFonts w:ascii="Times New Roman" w:hAnsi="Times New Roman" w:eastAsia="宋体" w:cs="Times New Roman"/>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gpa"/>
    <w:qFormat/>
    <w:uiPriority w:val="0"/>
    <w:rPr>
      <w:rFonts w:ascii="Arial" w:hAnsi="Arial" w:eastAsia="宋体" w:cs="Arial"/>
      <w:sz w:val="15"/>
      <w:szCs w:val="15"/>
    </w:rPr>
  </w:style>
  <w:style w:type="character" w:customStyle="1" w:styleId="78">
    <w:name w:val="正文首行缩进 2 Char1"/>
    <w:qFormat/>
    <w:uiPriority w:val="0"/>
    <w:rPr>
      <w:rFonts w:ascii="Times New Roman" w:hAnsi="Times New Roman" w:eastAsia="宋体" w:cs="Times New Roman"/>
    </w:rPr>
  </w:style>
  <w:style w:type="character" w:customStyle="1" w:styleId="79">
    <w:name w:val="列出段落 Char"/>
    <w:link w:val="80"/>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qFormat/>
    <w:uiPriority w:val="0"/>
    <w:pPr>
      <w:spacing w:line="312" w:lineRule="auto"/>
      <w:ind w:firstLine="420" w:firstLineChars="200"/>
    </w:pPr>
    <w:rPr>
      <w:rFonts w:ascii="Calibri" w:hAnsi="Calibri"/>
      <w:szCs w:val="22"/>
    </w:rPr>
  </w:style>
  <w:style w:type="character" w:customStyle="1" w:styleId="81">
    <w:name w:val="bds_nopic2"/>
    <w:qFormat/>
    <w:uiPriority w:val="0"/>
    <w:rPr>
      <w:rFonts w:ascii="Times New Roman" w:hAnsi="Times New Roman" w:eastAsia="宋体" w:cs="Times New Roman"/>
    </w:rPr>
  </w:style>
  <w:style w:type="character" w:customStyle="1" w:styleId="82">
    <w:name w:val="font61"/>
    <w:qFormat/>
    <w:uiPriority w:val="0"/>
    <w:rPr>
      <w:rFonts w:hint="default" w:ascii="MS Sans Serif" w:hAnsi="MS Sans Serif" w:eastAsia="MS Sans Serif" w:cs="MS Sans Serif"/>
      <w:color w:val="000000"/>
      <w:sz w:val="18"/>
      <w:szCs w:val="18"/>
      <w:u w:val="none"/>
    </w:rPr>
  </w:style>
  <w:style w:type="character" w:customStyle="1" w:styleId="83">
    <w:name w:val="bds_more1"/>
    <w:qFormat/>
    <w:uiPriority w:val="0"/>
    <w:rPr>
      <w:rFonts w:ascii="Times New Roman" w:hAnsi="Times New Roman" w:eastAsia="宋体" w:cs="Times New Roman"/>
    </w:rPr>
  </w:style>
  <w:style w:type="character" w:customStyle="1" w:styleId="84">
    <w:name w:val="font71"/>
    <w:qFormat/>
    <w:uiPriority w:val="0"/>
    <w:rPr>
      <w:rFonts w:hint="default" w:ascii="MS Sans Serif" w:hAnsi="MS Sans Serif" w:eastAsia="MS Sans Serif" w:cs="MS Sans Serif"/>
      <w:color w:val="000000"/>
      <w:sz w:val="18"/>
      <w:szCs w:val="18"/>
      <w:u w:val="none"/>
    </w:rPr>
  </w:style>
  <w:style w:type="character" w:customStyle="1" w:styleId="85">
    <w:name w:val="first-child"/>
    <w:qFormat/>
    <w:uiPriority w:val="0"/>
    <w:rPr>
      <w:rFonts w:ascii="Times New Roman" w:hAnsi="Times New Roman" w:eastAsia="宋体" w:cs="Times New Roman"/>
    </w:rPr>
  </w:style>
  <w:style w:type="character" w:customStyle="1" w:styleId="86">
    <w:name w:val="bds_nopic1"/>
    <w:qFormat/>
    <w:uiPriority w:val="0"/>
    <w:rPr>
      <w:rFonts w:ascii="Times New Roman" w:hAnsi="Times New Roman" w:eastAsia="宋体" w:cs="Times New Roman"/>
    </w:rPr>
  </w:style>
  <w:style w:type="character" w:customStyle="1" w:styleId="87">
    <w:name w:val="layui-this"/>
    <w:qFormat/>
    <w:uiPriority w:val="0"/>
    <w:rPr>
      <w:rFonts w:ascii="Times New Roman" w:hAnsi="Times New Roman" w:eastAsia="宋体" w:cs="Times New Roman"/>
      <w:bdr w:val="single" w:color="EEEEEE" w:sz="6" w:space="0"/>
      <w:shd w:val="clear" w:color="auto" w:fill="FFFFFF"/>
    </w:rPr>
  </w:style>
  <w:style w:type="character" w:customStyle="1" w:styleId="88">
    <w:name w:val="font81"/>
    <w:qFormat/>
    <w:uiPriority w:val="0"/>
    <w:rPr>
      <w:rFonts w:ascii="Arial Unicode MS" w:hAnsi="Arial Unicode MS" w:eastAsia="Arial Unicode MS" w:cs="Arial Unicode MS"/>
      <w:color w:val="000000"/>
      <w:sz w:val="18"/>
      <w:szCs w:val="18"/>
      <w:u w:val="none"/>
    </w:rPr>
  </w:style>
  <w:style w:type="character" w:customStyle="1" w:styleId="89">
    <w:name w:val="apple-converted-space"/>
    <w:qFormat/>
    <w:uiPriority w:val="0"/>
    <w:rPr>
      <w:rFonts w:ascii="Times New Roman" w:hAnsi="Times New Roman" w:eastAsia="宋体" w:cs="Times New Roman"/>
    </w:rPr>
  </w:style>
  <w:style w:type="character" w:customStyle="1" w:styleId="90">
    <w:name w:val="displayarti"/>
    <w:qFormat/>
    <w:uiPriority w:val="0"/>
    <w:rPr>
      <w:rFonts w:ascii="Times New Roman" w:hAnsi="Times New Roman" w:eastAsia="宋体" w:cs="Times New Roman"/>
      <w:color w:val="FFFFFF"/>
      <w:shd w:val="clear" w:color="auto" w:fill="A00000"/>
    </w:rPr>
  </w:style>
  <w:style w:type="character" w:customStyle="1" w:styleId="91">
    <w:name w:val="font131"/>
    <w:qFormat/>
    <w:uiPriority w:val="0"/>
    <w:rPr>
      <w:rFonts w:hint="eastAsia" w:ascii="宋体" w:hAnsi="宋体" w:eastAsia="宋体" w:cs="宋体"/>
      <w:b/>
      <w:bCs/>
      <w:color w:val="000000"/>
      <w:sz w:val="20"/>
      <w:szCs w:val="20"/>
      <w:u w:val="none"/>
    </w:rPr>
  </w:style>
  <w:style w:type="character" w:customStyle="1" w:styleId="92">
    <w:name w:val="bds_more2"/>
    <w:qFormat/>
    <w:uiPriority w:val="0"/>
    <w:rPr>
      <w:rFonts w:ascii="Times New Roman" w:hAnsi="Times New Roman" w:eastAsia="宋体" w:cs="Times New Roman"/>
    </w:rPr>
  </w:style>
  <w:style w:type="character" w:customStyle="1" w:styleId="93">
    <w:name w:val="bds_more"/>
    <w:qFormat/>
    <w:uiPriority w:val="0"/>
    <w:rPr>
      <w:rFonts w:hint="eastAsia" w:ascii="宋体" w:hAnsi="宋体" w:eastAsia="宋体" w:cs="宋体"/>
    </w:rPr>
  </w:style>
  <w:style w:type="paragraph" w:customStyle="1" w:styleId="94">
    <w:name w:val="Char Char Char Char"/>
    <w:basedOn w:val="1"/>
    <w:qFormat/>
    <w:uiPriority w:val="0"/>
    <w:rPr>
      <w:rFonts w:ascii="Tahoma" w:hAnsi="Tahoma"/>
      <w:sz w:val="24"/>
      <w:szCs w:val="20"/>
    </w:rPr>
  </w:style>
  <w:style w:type="paragraph" w:customStyle="1" w:styleId="95">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qFormat/>
    <w:uiPriority w:val="0"/>
    <w:rPr>
      <w:rFonts w:ascii="宋体" w:hAnsi="宋体" w:cs="宋体"/>
      <w:lang w:val="zh-CN" w:bidi="zh-CN"/>
    </w:rPr>
  </w:style>
  <w:style w:type="paragraph" w:customStyle="1" w:styleId="97">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next w:val="99"/>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2"/>
    <w:qFormat/>
    <w:uiPriority w:val="0"/>
    <w:pPr>
      <w:spacing w:line="360" w:lineRule="atLeast"/>
      <w:ind w:firstLine="482"/>
    </w:pPr>
    <w:rPr>
      <w:sz w:val="24"/>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Char"/>
    <w:basedOn w:val="1"/>
    <w:qFormat/>
    <w:uiPriority w:val="0"/>
  </w:style>
  <w:style w:type="paragraph" w:customStyle="1" w:styleId="102">
    <w:name w:val="（无样式）"/>
    <w:basedOn w:val="1"/>
    <w:qFormat/>
    <w:uiPriority w:val="0"/>
    <w:pPr>
      <w:widowControl/>
      <w:numPr>
        <w:ilvl w:val="0"/>
        <w:numId w:val="6"/>
      </w:numPr>
      <w:spacing w:line="360" w:lineRule="auto"/>
      <w:ind w:firstLine="0"/>
    </w:pPr>
    <w:rPr>
      <w:sz w:val="24"/>
      <w:szCs w:val="20"/>
    </w:rPr>
  </w:style>
  <w:style w:type="paragraph" w:customStyle="1" w:styleId="10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qFormat/>
    <w:uiPriority w:val="0"/>
    <w:pPr>
      <w:widowControl/>
      <w:spacing w:line="360" w:lineRule="auto"/>
      <w:jc w:val="left"/>
    </w:pPr>
    <w:rPr>
      <w:kern w:val="0"/>
      <w:szCs w:val="20"/>
      <w:lang w:eastAsia="en-US"/>
    </w:rPr>
  </w:style>
  <w:style w:type="paragraph" w:customStyle="1" w:styleId="107">
    <w:name w:val="_Style 2"/>
    <w:basedOn w:val="1"/>
    <w:qFormat/>
    <w:uiPriority w:val="0"/>
  </w:style>
  <w:style w:type="paragraph" w:customStyle="1" w:styleId="108">
    <w:name w:val="列出段落2"/>
    <w:basedOn w:val="1"/>
    <w:qFormat/>
    <w:uiPriority w:val="0"/>
    <w:pPr>
      <w:ind w:firstLine="420" w:firstLineChars="200"/>
    </w:pPr>
    <w:rPr>
      <w:rFonts w:ascii="Calibri" w:hAnsi="Calibri"/>
      <w:szCs w:val="22"/>
    </w:rPr>
  </w:style>
  <w:style w:type="paragraph" w:customStyle="1" w:styleId="109">
    <w:name w:val="*正文"/>
    <w:basedOn w:val="1"/>
    <w:qFormat/>
    <w:uiPriority w:val="0"/>
    <w:pPr>
      <w:widowControl/>
      <w:snapToGrid w:val="0"/>
      <w:ind w:firstLine="560"/>
      <w:jc w:val="left"/>
    </w:pPr>
    <w:rPr>
      <w:rFonts w:ascii="仿宋_GB2312"/>
      <w:color w:val="191919"/>
      <w:sz w:val="28"/>
      <w:szCs w:val="28"/>
    </w:rPr>
  </w:style>
  <w:style w:type="paragraph" w:customStyle="1" w:styleId="110">
    <w:name w:val="列出段落1"/>
    <w:basedOn w:val="1"/>
    <w:qFormat/>
    <w:uiPriority w:val="0"/>
    <w:pPr>
      <w:ind w:firstLine="420" w:firstLineChars="200"/>
    </w:pPr>
  </w:style>
  <w:style w:type="paragraph" w:customStyle="1" w:styleId="111">
    <w:name w:val="HtmlNormal"/>
    <w:basedOn w:val="1"/>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qFormat/>
    <w:uiPriority w:val="0"/>
    <w:pPr>
      <w:spacing w:line="360" w:lineRule="auto"/>
      <w:ind w:firstLine="420" w:firstLineChars="200"/>
    </w:pPr>
    <w:rPr>
      <w:rFonts w:ascii="宋体" w:hAnsi="宋体" w:cs="宋体"/>
      <w:sz w:val="24"/>
    </w:rPr>
  </w:style>
  <w:style w:type="paragraph" w:customStyle="1" w:styleId="113">
    <w:name w:val="列出段落11"/>
    <w:basedOn w:val="1"/>
    <w:qFormat/>
    <w:uiPriority w:val="0"/>
    <w:pPr>
      <w:spacing w:after="120" w:line="360" w:lineRule="auto"/>
      <w:ind w:firstLine="420" w:firstLineChars="200"/>
    </w:pPr>
    <w:rPr>
      <w:rFonts w:ascii="Calibri" w:hAnsi="Calibri"/>
      <w:szCs w:val="22"/>
    </w:rPr>
  </w:style>
  <w:style w:type="paragraph" w:customStyle="1" w:styleId="114">
    <w:name w:val="_Style 4"/>
    <w:basedOn w:val="1"/>
    <w:qFormat/>
    <w:uiPriority w:val="0"/>
    <w:pPr>
      <w:adjustRightInd w:val="0"/>
      <w:ind w:firstLine="420" w:firstLineChars="200"/>
      <w:jc w:val="left"/>
      <w:textAlignment w:val="baseline"/>
    </w:pPr>
    <w:rPr>
      <w:kern w:val="0"/>
      <w:szCs w:val="20"/>
    </w:rPr>
  </w:style>
  <w:style w:type="paragraph" w:customStyle="1" w:styleId="115">
    <w:name w:val="List Paragraph2"/>
    <w:basedOn w:val="1"/>
    <w:qFormat/>
    <w:uiPriority w:val="0"/>
    <w:pPr>
      <w:spacing w:line="360" w:lineRule="auto"/>
      <w:ind w:firstLine="420"/>
    </w:pPr>
    <w:rPr>
      <w:color w:val="000000"/>
      <w:sz w:val="24"/>
      <w:szCs w:val="21"/>
    </w:rPr>
  </w:style>
  <w:style w:type="paragraph" w:customStyle="1" w:styleId="116">
    <w:name w:val="正文文字 8"/>
    <w:basedOn w:val="1"/>
    <w:next w:val="1"/>
    <w:qFormat/>
    <w:uiPriority w:val="0"/>
    <w:pPr>
      <w:ind w:left="240"/>
    </w:pPr>
    <w:rPr>
      <w:sz w:val="16"/>
    </w:rPr>
  </w:style>
  <w:style w:type="paragraph" w:customStyle="1" w:styleId="117">
    <w:name w:val="样式1"/>
    <w:basedOn w:val="1"/>
    <w:qFormat/>
    <w:uiPriority w:val="0"/>
    <w:pPr>
      <w:spacing w:line="360" w:lineRule="auto"/>
      <w:jc w:val="center"/>
    </w:pPr>
    <w:rPr>
      <w:b/>
      <w:sz w:val="30"/>
      <w:szCs w:val="30"/>
    </w:rPr>
  </w:style>
  <w:style w:type="paragraph" w:customStyle="1" w:styleId="118">
    <w:name w:val="列表2"/>
    <w:basedOn w:val="1"/>
    <w:next w:val="1"/>
    <w:qFormat/>
    <w:uiPriority w:val="0"/>
    <w:pPr>
      <w:numPr>
        <w:ilvl w:val="0"/>
        <w:numId w:val="7"/>
      </w:numPr>
      <w:spacing w:line="200" w:lineRule="atLeast"/>
    </w:pPr>
    <w:rPr>
      <w:rFonts w:eastAsia="仿宋"/>
      <w:sz w:val="28"/>
    </w:rPr>
  </w:style>
  <w:style w:type="paragraph" w:customStyle="1" w:styleId="119">
    <w:name w:val="标题3-副本"/>
    <w:basedOn w:val="26"/>
    <w:qFormat/>
    <w:uiPriority w:val="0"/>
    <w:pPr>
      <w:numPr>
        <w:ilvl w:val="0"/>
        <w:numId w:val="0"/>
      </w:numPr>
      <w:ind w:left="840"/>
    </w:pPr>
    <w:rPr>
      <w:rFonts w:ascii="Times New Roman" w:hAnsi="Times New Roman"/>
    </w:rPr>
  </w:style>
  <w:style w:type="paragraph" w:customStyle="1" w:styleId="120">
    <w:name w:val="_Style 117"/>
    <w:basedOn w:val="1"/>
    <w:next w:val="1"/>
    <w:qFormat/>
    <w:uiPriority w:val="0"/>
    <w:pPr>
      <w:pBdr>
        <w:bottom w:val="single" w:color="auto" w:sz="6" w:space="1"/>
      </w:pBdr>
      <w:jc w:val="center"/>
    </w:pPr>
    <w:rPr>
      <w:rFonts w:ascii="Arial"/>
      <w:vanish/>
      <w:sz w:val="16"/>
    </w:rPr>
  </w:style>
  <w:style w:type="paragraph" w:customStyle="1" w:styleId="121">
    <w:name w:val="_Style 118"/>
    <w:basedOn w:val="1"/>
    <w:next w:val="1"/>
    <w:qFormat/>
    <w:uiPriority w:val="0"/>
    <w:pPr>
      <w:pBdr>
        <w:top w:val="single" w:color="auto" w:sz="6" w:space="1"/>
      </w:pBdr>
      <w:jc w:val="center"/>
    </w:pPr>
    <w:rPr>
      <w:rFonts w:ascii="Arial"/>
      <w:vanish/>
      <w:sz w:val="16"/>
    </w:rPr>
  </w:style>
  <w:style w:type="paragraph" w:customStyle="1" w:styleId="122">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qFormat/>
    <w:uiPriority w:val="0"/>
    <w:rPr>
      <w:rFonts w:hint="eastAsia" w:ascii="宋体" w:hAnsi="宋体" w:eastAsia="宋体" w:cs="宋体"/>
      <w:color w:val="000000"/>
      <w:sz w:val="16"/>
      <w:szCs w:val="16"/>
      <w:u w:val="none"/>
    </w:rPr>
  </w:style>
  <w:style w:type="character" w:customStyle="1" w:styleId="125">
    <w:name w:val="font31"/>
    <w:basedOn w:val="37"/>
    <w:qFormat/>
    <w:uiPriority w:val="0"/>
    <w:rPr>
      <w:rFonts w:ascii="宋体" w:hAnsi="宋体" w:eastAsia="宋体" w:cs="宋体"/>
      <w:color w:val="000000"/>
      <w:sz w:val="16"/>
      <w:szCs w:val="16"/>
      <w:u w:val="none"/>
    </w:rPr>
  </w:style>
  <w:style w:type="character" w:customStyle="1" w:styleId="126">
    <w:name w:val="font41"/>
    <w:basedOn w:val="37"/>
    <w:qFormat/>
    <w:uiPriority w:val="0"/>
    <w:rPr>
      <w:rFonts w:hint="eastAsia" w:ascii="宋体" w:hAnsi="宋体" w:eastAsia="宋体" w:cs="宋体"/>
      <w:color w:val="000000"/>
      <w:sz w:val="21"/>
      <w:szCs w:val="21"/>
      <w:u w:val="none"/>
    </w:rPr>
  </w:style>
  <w:style w:type="character" w:customStyle="1" w:styleId="127">
    <w:name w:val="hover"/>
    <w:basedOn w:val="37"/>
    <w:qFormat/>
    <w:uiPriority w:val="0"/>
  </w:style>
  <w:style w:type="character" w:customStyle="1" w:styleId="128">
    <w:name w:val="hover1"/>
    <w:basedOn w:val="37"/>
    <w:qFormat/>
    <w:uiPriority w:val="0"/>
    <w:rPr>
      <w:color w:val="2590EB"/>
    </w:rPr>
  </w:style>
  <w:style w:type="character" w:customStyle="1" w:styleId="129">
    <w:name w:val="hover2"/>
    <w:basedOn w:val="37"/>
    <w:qFormat/>
    <w:uiPriority w:val="0"/>
    <w:rPr>
      <w:color w:val="2590EB"/>
    </w:rPr>
  </w:style>
  <w:style w:type="character" w:customStyle="1" w:styleId="130">
    <w:name w:val="hover3"/>
    <w:basedOn w:val="37"/>
    <w:qFormat/>
    <w:uiPriority w:val="0"/>
    <w:rPr>
      <w:color w:val="2590EB"/>
      <w:shd w:val="clear" w:color="auto" w:fill="E9F4FD"/>
    </w:rPr>
  </w:style>
  <w:style w:type="table" w:customStyle="1" w:styleId="131">
    <w:name w:val="Table Normal"/>
    <w:semiHidden/>
    <w:unhideWhenUsed/>
    <w:qFormat/>
    <w:uiPriority w:val="0"/>
    <w:tblPr>
      <w:tblCellMar>
        <w:top w:w="0" w:type="dxa"/>
        <w:left w:w="0" w:type="dxa"/>
        <w:bottom w:w="0" w:type="dxa"/>
        <w:right w:w="0" w:type="dxa"/>
      </w:tblCellMar>
    </w:tblPr>
  </w:style>
  <w:style w:type="paragraph" w:customStyle="1" w:styleId="132">
    <w:name w:val="Table Text"/>
    <w:basedOn w:val="1"/>
    <w:semiHidden/>
    <w:qFormat/>
    <w:uiPriority w:val="0"/>
    <w:rPr>
      <w:rFonts w:ascii="宋体" w:hAnsi="宋体" w:eastAsia="宋体" w:cs="宋体"/>
      <w:sz w:val="20"/>
      <w:szCs w:val="20"/>
      <w:lang w:val="en-US" w:eastAsia="en-US" w:bidi="ar-SA"/>
    </w:rPr>
  </w:style>
  <w:style w:type="character" w:customStyle="1" w:styleId="133">
    <w:name w:val="fontstyle01"/>
    <w:basedOn w:val="37"/>
    <w:qFormat/>
    <w:uiPriority w:val="0"/>
    <w:rPr>
      <w:rFonts w:ascii="宋体" w:hAnsi="宋体" w:eastAsia="宋体" w:cs="宋体"/>
      <w:color w:val="000000"/>
      <w:sz w:val="32"/>
      <w:szCs w:val="32"/>
    </w:rPr>
  </w:style>
  <w:style w:type="character" w:customStyle="1" w:styleId="134">
    <w:name w:val="fontstyle21"/>
    <w:basedOn w:val="37"/>
    <w:qFormat/>
    <w:uiPriority w:val="0"/>
    <w:rPr>
      <w:rFonts w:ascii="TimesNewRomanPSMT" w:hAnsi="TimesNewRomanPSMT" w:eastAsia="TimesNewRomanPSMT" w:cs="TimesNewRomanPSMT"/>
      <w:color w:val="000000"/>
      <w:sz w:val="18"/>
      <w:szCs w:val="18"/>
    </w:rPr>
  </w:style>
  <w:style w:type="character" w:customStyle="1" w:styleId="135">
    <w:name w:val="font01"/>
    <w:basedOn w:val="37"/>
    <w:qFormat/>
    <w:uiPriority w:val="0"/>
    <w:rPr>
      <w:rFonts w:hint="eastAsia" w:ascii="宋体" w:hAnsi="宋体" w:eastAsia="宋体" w:cs="宋体"/>
      <w:color w:val="FF0000"/>
      <w:sz w:val="20"/>
      <w:szCs w:val="20"/>
      <w:u w:val="none"/>
    </w:rPr>
  </w:style>
  <w:style w:type="character" w:customStyle="1" w:styleId="136">
    <w:name w:val="font101"/>
    <w:basedOn w:val="37"/>
    <w:qFormat/>
    <w:uiPriority w:val="0"/>
    <w:rPr>
      <w:rFonts w:ascii="Calibri" w:hAnsi="Calibri" w:cs="Calibri"/>
      <w:b/>
      <w:bCs/>
      <w:color w:val="000000"/>
      <w:sz w:val="21"/>
      <w:szCs w:val="21"/>
      <w:u w:val="none"/>
    </w:rPr>
  </w:style>
  <w:style w:type="character" w:customStyle="1" w:styleId="137">
    <w:name w:val="font51"/>
    <w:basedOn w:val="37"/>
    <w:qFormat/>
    <w:uiPriority w:val="0"/>
    <w:rPr>
      <w:rFonts w:hint="eastAsia" w:ascii="宋体" w:hAnsi="宋体" w:eastAsia="宋体" w:cs="宋体"/>
      <w:color w:val="000000"/>
      <w:sz w:val="21"/>
      <w:szCs w:val="21"/>
      <w:u w:val="none"/>
    </w:rPr>
  </w:style>
  <w:style w:type="character" w:customStyle="1" w:styleId="138">
    <w:name w:val="font121"/>
    <w:basedOn w:val="37"/>
    <w:qFormat/>
    <w:uiPriority w:val="0"/>
    <w:rPr>
      <w:rFonts w:hint="eastAsia" w:ascii="宋体" w:hAnsi="宋体" w:eastAsia="宋体" w:cs="宋体"/>
      <w:color w:val="000000"/>
      <w:sz w:val="21"/>
      <w:szCs w:val="21"/>
      <w:u w:val="none"/>
    </w:rPr>
  </w:style>
  <w:style w:type="paragraph" w:customStyle="1" w:styleId="139">
    <w:name w:val="null3"/>
    <w:hidden/>
    <w:qFormat/>
    <w:uiPriority w:val="0"/>
    <w:rPr>
      <w:rFonts w:hint="eastAsia" w:asciiTheme="minorHAnsi" w:hAnsiTheme="minorHAnsi" w:eastAsiaTheme="minorEastAsia" w:cstheme="minorBidi"/>
      <w:lang w:val="en-US" w:eastAsia="zh-Hans"/>
    </w:rPr>
  </w:style>
  <w:style w:type="character" w:customStyle="1" w:styleId="140">
    <w:name w:val="mini-outputtext1"/>
    <w:basedOn w:val="37"/>
    <w:uiPriority w:val="0"/>
  </w:style>
  <w:style w:type="character" w:customStyle="1" w:styleId="141">
    <w:name w:val="hover4"/>
    <w:basedOn w:val="37"/>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102</Pages>
  <Words>9488</Words>
  <Characters>10621</Characters>
  <Lines>334</Lines>
  <Paragraphs>94</Paragraphs>
  <TotalTime>37</TotalTime>
  <ScaleCrop>false</ScaleCrop>
  <LinksUpToDate>false</LinksUpToDate>
  <CharactersWithSpaces>11066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2025-08-21T01:45:00Z</dcterms:created>
  <dc:creator>陈倩倩</dc:creator>
  <cp:lastModifiedBy>代理</cp:lastModifiedBy>
  <cp:lastPrinted>2026-01-20T00:23:00Z</cp:lastPrinted>
  <dcterms:modified xsi:type="dcterms:W3CDTF">2026-01-30T08:33:07Z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C4F488FB960A44D28618E5AAFA96048D_13</vt:lpwstr>
  </property>
  <property fmtid="{D5CDD505-2E9C-101B-9397-08002B2CF9AE}" pid="4" name="KSOTemplateDocerSaveRecord">
    <vt:lpwstr>eyJoZGlkIjoiOTc5MDNjMmIyODczM2YwMGZkZTNjYWY1NjIxZTY5YjciLCJ1c2VySWQiOiI1MDM3MjkwOTMifQ==</vt:lpwstr>
  </property>
</Properties>
</file>