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00A5D">
      <w:pPr>
        <w:pStyle w:val="11"/>
        <w:jc w:val="both"/>
        <w:rPr>
          <w:rFonts w:hint="eastAsia" w:ascii="宋体" w:hAnsi="宋体" w:eastAsia="宋体" w:cs="宋体"/>
          <w:b/>
          <w:bCs/>
          <w:color w:val="auto"/>
          <w:sz w:val="44"/>
          <w:szCs w:val="44"/>
          <w:highlight w:val="none"/>
          <w:lang w:val="en-US" w:eastAsia="zh-CN"/>
        </w:rPr>
      </w:pPr>
    </w:p>
    <w:p w14:paraId="7D7CF71B">
      <w:pPr>
        <w:keepNext w:val="0"/>
        <w:keepLines w:val="0"/>
        <w:pageBreakBefore w:val="0"/>
        <w:widowControl w:val="0"/>
        <w:kinsoku/>
        <w:wordWrap/>
        <w:overflowPunct/>
        <w:topLinePunct w:val="0"/>
        <w:autoSpaceDE/>
        <w:autoSpaceDN/>
        <w:bidi w:val="0"/>
        <w:adjustRightInd/>
        <w:snapToGrid/>
        <w:spacing w:line="840" w:lineRule="exact"/>
        <w:jc w:val="center"/>
        <w:textAlignment w:val="auto"/>
        <w:rPr>
          <w:rFonts w:ascii="宋体" w:hAnsi="宋体" w:eastAsia="宋体" w:cs="宋体"/>
          <w:color w:val="auto"/>
          <w:sz w:val="32"/>
          <w:szCs w:val="32"/>
          <w:highlight w:val="none"/>
        </w:rPr>
      </w:pPr>
      <w:r>
        <w:rPr>
          <w:rFonts w:hint="eastAsia" w:ascii="宋体" w:hAnsi="宋体" w:eastAsia="宋体" w:cs="宋体"/>
          <w:b/>
          <w:bCs/>
          <w:color w:val="auto"/>
          <w:sz w:val="44"/>
          <w:szCs w:val="44"/>
          <w:highlight w:val="none"/>
          <w:lang w:val="en-US" w:eastAsia="zh-CN"/>
        </w:rPr>
        <w:t>中新苏滁高新区（未来产业园）智能制造工业坊及中新苏滁高新区超级电容智能制造基地二期沉降观测服务项目</w:t>
      </w:r>
    </w:p>
    <w:p w14:paraId="5BD874FC">
      <w:pPr>
        <w:jc w:val="center"/>
        <w:rPr>
          <w:rFonts w:hint="eastAsia" w:ascii="宋体" w:hAnsi="宋体" w:eastAsia="宋体" w:cs="宋体"/>
          <w:color w:val="auto"/>
          <w:sz w:val="28"/>
          <w:szCs w:val="28"/>
          <w:highlight w:val="none"/>
          <w:lang w:val="en-US" w:eastAsia="zh-CN"/>
        </w:rPr>
      </w:pPr>
    </w:p>
    <w:p w14:paraId="107CCDAC">
      <w:pPr>
        <w:jc w:val="center"/>
        <w:rPr>
          <w:rFonts w:hint="eastAsia" w:ascii="宋体" w:hAnsi="宋体" w:eastAsia="宋体" w:cs="宋体"/>
          <w:b/>
          <w:bCs/>
          <w:color w:val="auto"/>
          <w:sz w:val="72"/>
          <w:szCs w:val="72"/>
          <w:highlight w:val="none"/>
        </w:rPr>
      </w:pPr>
      <w:r>
        <w:rPr>
          <w:rFonts w:hint="eastAsia" w:ascii="宋体" w:hAnsi="宋体" w:eastAsia="宋体" w:cs="宋体"/>
          <w:color w:val="auto"/>
          <w:sz w:val="28"/>
          <w:szCs w:val="28"/>
          <w:highlight w:val="none"/>
          <w:lang w:val="en-US" w:eastAsia="zh-CN"/>
        </w:rPr>
        <w:t xml:space="preserve">项目编号：HXJY1110001065651001 </w:t>
      </w:r>
    </w:p>
    <w:p w14:paraId="07E62C0D">
      <w:pPr>
        <w:spacing w:line="1400" w:lineRule="exact"/>
        <w:jc w:val="center"/>
        <w:rPr>
          <w:rFonts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招</w:t>
      </w:r>
    </w:p>
    <w:p w14:paraId="0EDE0673">
      <w:pPr>
        <w:spacing w:line="1400" w:lineRule="exact"/>
        <w:jc w:val="center"/>
        <w:rPr>
          <w:rFonts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标</w:t>
      </w:r>
    </w:p>
    <w:p w14:paraId="6DA091A6">
      <w:pPr>
        <w:spacing w:line="1400" w:lineRule="exact"/>
        <w:jc w:val="center"/>
        <w:rPr>
          <w:rFonts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文</w:t>
      </w:r>
    </w:p>
    <w:p w14:paraId="36F12D20">
      <w:pPr>
        <w:spacing w:line="1400" w:lineRule="exact"/>
        <w:jc w:val="center"/>
        <w:rPr>
          <w:rFonts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件</w:t>
      </w:r>
    </w:p>
    <w:p w14:paraId="247C111F">
      <w:pPr>
        <w:jc w:val="center"/>
        <w:rPr>
          <w:rFonts w:ascii="宋体" w:hAnsi="宋体" w:eastAsia="宋体" w:cs="宋体"/>
          <w:color w:val="auto"/>
          <w:sz w:val="32"/>
          <w:szCs w:val="32"/>
          <w:highlight w:val="none"/>
        </w:rPr>
      </w:pPr>
    </w:p>
    <w:p w14:paraId="55CD5E9F">
      <w:pPr>
        <w:rPr>
          <w:rFonts w:ascii="宋体" w:hAnsi="宋体" w:eastAsia="宋体" w:cs="宋体"/>
          <w:color w:val="auto"/>
          <w:sz w:val="32"/>
          <w:szCs w:val="32"/>
          <w:highlight w:val="none"/>
        </w:rPr>
      </w:pPr>
    </w:p>
    <w:p w14:paraId="19048B7E">
      <w:pPr>
        <w:keepNext w:val="0"/>
        <w:keepLines w:val="0"/>
        <w:pageBreakBefore w:val="0"/>
        <w:widowControl w:val="0"/>
        <w:kinsoku/>
        <w:wordWrap/>
        <w:overflowPunct/>
        <w:topLinePunct w:val="0"/>
        <w:autoSpaceDE/>
        <w:autoSpaceDN/>
        <w:bidi w:val="0"/>
        <w:adjustRightInd/>
        <w:snapToGrid/>
        <w:spacing w:line="900" w:lineRule="exact"/>
        <w:ind w:firstLine="643" w:firstLineChars="200"/>
        <w:textAlignment w:val="auto"/>
        <w:rPr>
          <w:rFonts w:ascii="宋体" w:hAnsi="宋体" w:eastAsia="宋体" w:cs="宋体"/>
          <w:b/>
          <w:bCs/>
          <w:color w:val="auto"/>
          <w:sz w:val="32"/>
          <w:szCs w:val="32"/>
          <w:highlight w:val="none"/>
          <w:u w:val="single"/>
        </w:rPr>
      </w:pPr>
      <w:r>
        <w:rPr>
          <w:rFonts w:hint="eastAsia" w:ascii="宋体" w:hAnsi="宋体" w:eastAsia="宋体" w:cs="宋体"/>
          <w:b/>
          <w:bCs/>
          <w:color w:val="auto"/>
          <w:sz w:val="32"/>
          <w:szCs w:val="32"/>
          <w:highlight w:val="none"/>
          <w:lang w:val="en-US" w:eastAsia="zh-CN"/>
        </w:rPr>
        <w:t>招标</w:t>
      </w:r>
      <w:r>
        <w:rPr>
          <w:rFonts w:hint="eastAsia" w:ascii="宋体" w:hAnsi="宋体" w:eastAsia="宋体" w:cs="宋体"/>
          <w:b/>
          <w:bCs/>
          <w:color w:val="auto"/>
          <w:sz w:val="32"/>
          <w:szCs w:val="32"/>
          <w:highlight w:val="none"/>
        </w:rPr>
        <w:t>单位：</w:t>
      </w:r>
      <w:r>
        <w:rPr>
          <w:rFonts w:hint="eastAsia" w:ascii="宋体" w:hAnsi="宋体" w:eastAsia="宋体" w:cs="宋体"/>
          <w:b/>
          <w:bCs/>
          <w:color w:val="auto"/>
          <w:sz w:val="32"/>
          <w:szCs w:val="32"/>
          <w:highlight w:val="none"/>
          <w:u w:val="single"/>
          <w:lang w:val="en-US" w:eastAsia="zh-CN"/>
        </w:rPr>
        <w:t xml:space="preserve">   </w:t>
      </w:r>
      <w:r>
        <w:rPr>
          <w:rFonts w:hint="eastAsia" w:ascii="宋体" w:hAnsi="宋体" w:cs="宋体"/>
          <w:b/>
          <w:color w:val="auto"/>
          <w:sz w:val="30"/>
          <w:szCs w:val="30"/>
          <w:highlight w:val="none"/>
          <w:u w:val="single"/>
        </w:rPr>
        <w:t xml:space="preserve"> </w:t>
      </w:r>
      <w:r>
        <w:rPr>
          <w:rFonts w:hint="eastAsia" w:ascii="宋体" w:hAnsi="宋体" w:eastAsia="宋体" w:cs="宋体"/>
          <w:b/>
          <w:bCs/>
          <w:color w:val="auto"/>
          <w:sz w:val="32"/>
          <w:szCs w:val="32"/>
          <w:highlight w:val="none"/>
          <w:u w:val="single"/>
          <w:lang w:val="en-US" w:eastAsia="zh-CN"/>
        </w:rPr>
        <w:t xml:space="preserve">滁州苏滁产城开发有限公司  </w:t>
      </w:r>
      <w:r>
        <w:rPr>
          <w:rFonts w:hint="eastAsia" w:ascii="宋体" w:hAnsi="宋体" w:eastAsia="宋体" w:cs="宋体"/>
          <w:b/>
          <w:bCs/>
          <w:color w:val="auto"/>
          <w:sz w:val="32"/>
          <w:szCs w:val="32"/>
          <w:highlight w:val="none"/>
          <w:u w:val="single"/>
        </w:rPr>
        <w:t>（盖单位章）</w:t>
      </w:r>
    </w:p>
    <w:p w14:paraId="01E57B7B">
      <w:pPr>
        <w:keepNext w:val="0"/>
        <w:keepLines w:val="0"/>
        <w:pageBreakBefore w:val="0"/>
        <w:widowControl w:val="0"/>
        <w:kinsoku/>
        <w:wordWrap/>
        <w:overflowPunct/>
        <w:topLinePunct w:val="0"/>
        <w:autoSpaceDE/>
        <w:autoSpaceDN/>
        <w:bidi w:val="0"/>
        <w:adjustRightInd/>
        <w:snapToGrid/>
        <w:spacing w:line="900" w:lineRule="exact"/>
        <w:ind w:firstLine="563" w:firstLineChars="200"/>
        <w:textAlignment w:val="auto"/>
        <w:rPr>
          <w:rFonts w:ascii="宋体" w:hAnsi="宋体" w:eastAsia="宋体" w:cs="宋体"/>
          <w:b/>
          <w:bCs/>
          <w:color w:val="auto"/>
          <w:spacing w:val="-20"/>
          <w:sz w:val="32"/>
          <w:szCs w:val="32"/>
          <w:highlight w:val="none"/>
          <w:u w:val="thick"/>
        </w:rPr>
      </w:pPr>
      <w:r>
        <w:rPr>
          <w:rFonts w:hint="eastAsia" w:ascii="宋体" w:hAnsi="宋体" w:eastAsia="宋体" w:cs="宋体"/>
          <w:b/>
          <w:bCs/>
          <w:color w:val="auto"/>
          <w:spacing w:val="-20"/>
          <w:sz w:val="32"/>
          <w:szCs w:val="32"/>
          <w:highlight w:val="none"/>
        </w:rPr>
        <w:t>招标代理机构</w:t>
      </w:r>
      <w:r>
        <w:rPr>
          <w:rFonts w:hint="eastAsia" w:ascii="宋体" w:hAnsi="宋体" w:eastAsia="宋体" w:cs="宋体"/>
          <w:b/>
          <w:bCs/>
          <w:color w:val="auto"/>
          <w:sz w:val="32"/>
          <w:szCs w:val="32"/>
          <w:highlight w:val="none"/>
        </w:rPr>
        <w:t>：</w:t>
      </w:r>
      <w:r>
        <w:rPr>
          <w:rFonts w:hint="eastAsia" w:ascii="宋体" w:hAnsi="宋体" w:eastAsia="宋体" w:cs="宋体"/>
          <w:b/>
          <w:bCs/>
          <w:color w:val="auto"/>
          <w:sz w:val="32"/>
          <w:szCs w:val="32"/>
          <w:highlight w:val="none"/>
          <w:u w:val="single"/>
          <w:lang w:val="en-US" w:eastAsia="zh-CN"/>
        </w:rPr>
        <w:t>滁州市城投工程咨询管理有限公司</w:t>
      </w:r>
      <w:r>
        <w:rPr>
          <w:rFonts w:hint="eastAsia" w:ascii="宋体" w:hAnsi="宋体" w:eastAsia="宋体" w:cs="宋体"/>
          <w:b/>
          <w:bCs/>
          <w:color w:val="auto"/>
          <w:sz w:val="32"/>
          <w:szCs w:val="32"/>
          <w:highlight w:val="none"/>
          <w:u w:val="single"/>
        </w:rPr>
        <w:t>（盖单位章）</w:t>
      </w:r>
    </w:p>
    <w:p w14:paraId="121777A2">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u w:val="single"/>
        </w:rPr>
        <w:t xml:space="preserve">  20</w:t>
      </w:r>
      <w:r>
        <w:rPr>
          <w:rFonts w:hint="eastAsia" w:ascii="宋体" w:hAnsi="宋体" w:eastAsia="宋体" w:cs="宋体"/>
          <w:b/>
          <w:color w:val="auto"/>
          <w:sz w:val="32"/>
          <w:szCs w:val="32"/>
          <w:highlight w:val="none"/>
          <w:u w:val="single"/>
          <w:lang w:val="en-US" w:eastAsia="zh-CN"/>
        </w:rPr>
        <w:t>26</w:t>
      </w:r>
      <w:r>
        <w:rPr>
          <w:rFonts w:hint="eastAsia" w:ascii="宋体" w:hAnsi="宋体" w:eastAsia="宋体" w:cs="宋体"/>
          <w:b/>
          <w:color w:val="auto"/>
          <w:sz w:val="32"/>
          <w:szCs w:val="32"/>
          <w:highlight w:val="none"/>
        </w:rPr>
        <w:t>年</w:t>
      </w:r>
      <w:r>
        <w:rPr>
          <w:rFonts w:hint="eastAsia" w:ascii="宋体" w:hAnsi="宋体" w:eastAsia="宋体" w:cs="宋体"/>
          <w:b/>
          <w:color w:val="auto"/>
          <w:sz w:val="32"/>
          <w:szCs w:val="32"/>
          <w:highlight w:val="none"/>
          <w:u w:val="single"/>
          <w:lang w:val="en-US" w:eastAsia="zh-CN"/>
        </w:rPr>
        <w:t xml:space="preserve"> 10</w:t>
      </w:r>
      <w:r>
        <w:rPr>
          <w:rFonts w:hint="eastAsia" w:ascii="宋体" w:hAnsi="宋体" w:eastAsia="宋体" w:cs="宋体"/>
          <w:b/>
          <w:color w:val="auto"/>
          <w:sz w:val="32"/>
          <w:szCs w:val="32"/>
          <w:highlight w:val="none"/>
        </w:rPr>
        <w:t>月</w:t>
      </w:r>
    </w:p>
    <w:p w14:paraId="49B6D0E2">
      <w:pPr>
        <w:rPr>
          <w:rFonts w:hint="eastAsia" w:ascii="宋体" w:hAnsi="宋体" w:eastAsia="宋体" w:cs="宋体"/>
          <w:b/>
          <w:color w:val="auto"/>
          <w:spacing w:val="20"/>
          <w:sz w:val="32"/>
          <w:szCs w:val="32"/>
          <w:highlight w:val="none"/>
          <w:lang w:val="en-US" w:eastAsia="zh-CN"/>
        </w:rPr>
      </w:pPr>
    </w:p>
    <w:p w14:paraId="09BD7044">
      <w:pPr>
        <w:spacing w:line="700" w:lineRule="exact"/>
        <w:jc w:val="center"/>
        <w:rPr>
          <w:color w:val="auto"/>
          <w:sz w:val="44"/>
          <w:szCs w:val="44"/>
          <w:highlight w:val="none"/>
        </w:rPr>
      </w:pPr>
      <w:r>
        <w:rPr>
          <w:rFonts w:hint="eastAsia"/>
          <w:color w:val="auto"/>
          <w:sz w:val="44"/>
          <w:szCs w:val="44"/>
          <w:highlight w:val="none"/>
        </w:rPr>
        <w:t>目</w:t>
      </w:r>
      <w:r>
        <w:rPr>
          <w:color w:val="auto"/>
          <w:sz w:val="44"/>
          <w:szCs w:val="44"/>
          <w:highlight w:val="none"/>
        </w:rPr>
        <w:t xml:space="preserve">   </w:t>
      </w:r>
      <w:r>
        <w:rPr>
          <w:rFonts w:hint="eastAsia"/>
          <w:color w:val="auto"/>
          <w:sz w:val="44"/>
          <w:szCs w:val="44"/>
          <w:highlight w:val="none"/>
        </w:rPr>
        <w:t>录</w:t>
      </w:r>
    </w:p>
    <w:p w14:paraId="4B3482C0">
      <w:pPr>
        <w:pStyle w:val="19"/>
        <w:tabs>
          <w:tab w:val="right" w:leader="dot" w:pos="9072"/>
        </w:tabs>
        <w:spacing w:line="700" w:lineRule="exact"/>
        <w:rPr>
          <w:rFonts w:ascii="宋体" w:cs="宋体"/>
          <w:color w:val="auto"/>
          <w:sz w:val="24"/>
          <w:szCs w:val="24"/>
          <w:highlight w:val="none"/>
        </w:rPr>
      </w:pPr>
      <w:r>
        <w:rPr>
          <w:rFonts w:hint="eastAsia" w:ascii="宋体" w:hAnsi="宋体" w:cs="宋体"/>
          <w:color w:val="auto"/>
          <w:sz w:val="24"/>
          <w:szCs w:val="24"/>
          <w:highlight w:val="none"/>
        </w:rPr>
        <w:t>第一章</w:t>
      </w:r>
      <w:r>
        <w:rPr>
          <w:rFonts w:hint="eastAsia" w:ascii="宋体" w:hAnsi="宋体" w:cs="宋体"/>
          <w:color w:val="auto"/>
          <w:sz w:val="24"/>
          <w:szCs w:val="24"/>
          <w:highlight w:val="none"/>
          <w:lang w:val="en-US" w:eastAsia="zh-CN"/>
        </w:rPr>
        <w:t xml:space="preserve">  </w:t>
      </w:r>
      <w:r>
        <w:rPr>
          <w:rFonts w:ascii="宋体" w:hAnsi="宋体" w:cs="宋体"/>
          <w:b w:val="0"/>
          <w:bCs w:val="0"/>
          <w:caps w:val="0"/>
          <w:color w:val="auto"/>
          <w:sz w:val="24"/>
          <w:szCs w:val="24"/>
          <w:highlight w:val="none"/>
        </w:rPr>
        <w:fldChar w:fldCharType="begin"/>
      </w:r>
      <w:r>
        <w:rPr>
          <w:rFonts w:ascii="宋体" w:hAnsi="宋体" w:cs="宋体"/>
          <w:b w:val="0"/>
          <w:bCs w:val="0"/>
          <w:caps w:val="0"/>
          <w:color w:val="auto"/>
          <w:sz w:val="24"/>
          <w:szCs w:val="24"/>
          <w:highlight w:val="none"/>
        </w:rPr>
        <w:instrText xml:space="preserve"> TOC \o "1-3" \h \z \u </w:instrText>
      </w:r>
      <w:r>
        <w:rPr>
          <w:rFonts w:ascii="宋体" w:hAnsi="宋体" w:cs="宋体"/>
          <w:b w:val="0"/>
          <w:bCs w:val="0"/>
          <w:caps w:val="0"/>
          <w:color w:val="auto"/>
          <w:sz w:val="24"/>
          <w:szCs w:val="24"/>
          <w:highlight w:val="none"/>
        </w:rPr>
        <w:fldChar w:fldCharType="separate"/>
      </w:r>
      <w:r>
        <w:rPr>
          <w:color w:val="auto"/>
          <w:highlight w:val="none"/>
        </w:rPr>
        <w:fldChar w:fldCharType="begin"/>
      </w:r>
      <w:r>
        <w:rPr>
          <w:color w:val="auto"/>
          <w:highlight w:val="none"/>
        </w:rPr>
        <w:instrText xml:space="preserve"> HYPERLINK \l "_Toc3705" </w:instrText>
      </w:r>
      <w:r>
        <w:rPr>
          <w:color w:val="auto"/>
          <w:highlight w:val="none"/>
        </w:rPr>
        <w:fldChar w:fldCharType="separate"/>
      </w:r>
      <w:r>
        <w:rPr>
          <w:rFonts w:hint="eastAsia" w:ascii="宋体" w:hAnsi="宋体" w:cs="宋体"/>
          <w:color w:val="auto"/>
          <w:sz w:val="24"/>
          <w:szCs w:val="24"/>
          <w:highlight w:val="none"/>
        </w:rPr>
        <w:t>招标公告信息</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1</w:t>
      </w:r>
      <w:r>
        <w:rPr>
          <w:rFonts w:ascii="宋体" w:hAnsi="宋体" w:cs="宋体"/>
          <w:color w:val="auto"/>
          <w:sz w:val="24"/>
          <w:szCs w:val="24"/>
          <w:highlight w:val="none"/>
        </w:rPr>
        <w:fldChar w:fldCharType="end"/>
      </w:r>
    </w:p>
    <w:p w14:paraId="3B0B25BB">
      <w:pPr>
        <w:pStyle w:val="19"/>
        <w:tabs>
          <w:tab w:val="right" w:leader="dot" w:pos="9072"/>
        </w:tabs>
        <w:spacing w:line="700" w:lineRule="exact"/>
        <w:rPr>
          <w:rFonts w:ascii="宋体" w:cs="宋体"/>
          <w:color w:val="auto"/>
          <w:sz w:val="24"/>
          <w:szCs w:val="24"/>
          <w:highlight w:val="none"/>
        </w:rPr>
      </w:pPr>
      <w:r>
        <w:rPr>
          <w:color w:val="auto"/>
          <w:highlight w:val="none"/>
        </w:rPr>
        <w:fldChar w:fldCharType="begin"/>
      </w:r>
      <w:r>
        <w:rPr>
          <w:color w:val="auto"/>
          <w:highlight w:val="none"/>
        </w:rPr>
        <w:instrText xml:space="preserve"> HYPERLINK \l "_Toc8504" </w:instrText>
      </w:r>
      <w:r>
        <w:rPr>
          <w:color w:val="auto"/>
          <w:highlight w:val="none"/>
        </w:rPr>
        <w:fldChar w:fldCharType="separate"/>
      </w:r>
      <w:r>
        <w:rPr>
          <w:rFonts w:hint="eastAsia" w:ascii="宋体" w:hAnsi="宋体" w:cs="宋体"/>
          <w:color w:val="auto"/>
          <w:sz w:val="24"/>
          <w:szCs w:val="24"/>
          <w:highlight w:val="none"/>
        </w:rPr>
        <w:t>第</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rPr>
        <w:t>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投标人须知</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6</w:t>
      </w:r>
      <w:r>
        <w:rPr>
          <w:rFonts w:ascii="宋体" w:hAnsi="宋体" w:cs="宋体"/>
          <w:color w:val="auto"/>
          <w:sz w:val="24"/>
          <w:szCs w:val="24"/>
          <w:highlight w:val="none"/>
        </w:rPr>
        <w:fldChar w:fldCharType="end"/>
      </w:r>
    </w:p>
    <w:p w14:paraId="4B10B56E">
      <w:pPr>
        <w:pStyle w:val="1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"_Toc24443" </w:instrText>
      </w:r>
      <w:r>
        <w:rPr>
          <w:color w:val="auto"/>
          <w:highlight w:val="none"/>
        </w:rPr>
        <w:fldChar w:fldCharType="separate"/>
      </w:r>
      <w:r>
        <w:rPr>
          <w:rFonts w:hint="eastAsia" w:ascii="宋体" w:hAnsi="宋体" w:cs="宋体"/>
          <w:color w:val="auto"/>
          <w:sz w:val="24"/>
          <w:szCs w:val="24"/>
          <w:highlight w:val="none"/>
        </w:rPr>
        <w:t>第三章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评标办法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1</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08E579FC">
      <w:pPr>
        <w:pStyle w:val="1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"_Toc16404" </w:instrText>
      </w:r>
      <w:r>
        <w:rPr>
          <w:color w:val="auto"/>
          <w:highlight w:val="none"/>
        </w:rPr>
        <w:fldChar w:fldCharType="separate"/>
      </w:r>
      <w:r>
        <w:rPr>
          <w:rFonts w:hint="eastAsia" w:ascii="宋体" w:hAnsi="宋体" w:cs="宋体"/>
          <w:color w:val="auto"/>
          <w:sz w:val="24"/>
          <w:szCs w:val="24"/>
          <w:highlight w:val="none"/>
        </w:rPr>
        <w:t>第四章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采购需求</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5</w:t>
      </w:r>
    </w:p>
    <w:p w14:paraId="3370256B">
      <w:pPr>
        <w:pStyle w:val="19"/>
        <w:tabs>
          <w:tab w:val="right" w:leader="dot" w:pos="9072"/>
        </w:tabs>
        <w:spacing w:line="700" w:lineRule="exact"/>
        <w:rPr>
          <w:rFonts w:hint="eastAsia" w:asci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第五章  </w:t>
      </w:r>
      <w:r>
        <w:rPr>
          <w:rFonts w:hint="eastAsia" w:ascii="宋体" w:hAnsi="宋体" w:cs="宋体"/>
          <w:color w:val="auto"/>
          <w:sz w:val="24"/>
          <w:szCs w:val="24"/>
          <w:highlight w:val="none"/>
          <w:lang w:val="en-US" w:eastAsia="zh-CN"/>
        </w:rPr>
        <w:t>合同条款</w:t>
      </w:r>
      <w:r>
        <w:rPr>
          <w:rFonts w:ascii="宋体" w:cs="宋体"/>
          <w:color w:val="auto"/>
          <w:sz w:val="24"/>
          <w:szCs w:val="24"/>
          <w:highlight w:val="none"/>
        </w:rPr>
        <w:tab/>
      </w:r>
      <w:r>
        <w:rPr>
          <w:rFonts w:hint="eastAsia" w:ascii="宋体" w:cs="宋体"/>
          <w:color w:val="auto"/>
          <w:sz w:val="24"/>
          <w:szCs w:val="24"/>
          <w:highlight w:val="none"/>
          <w:lang w:val="en-US" w:eastAsia="zh-CN"/>
        </w:rPr>
        <w:t>28</w:t>
      </w:r>
    </w:p>
    <w:p w14:paraId="06F9A577">
      <w:pPr>
        <w:pStyle w:val="1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"_Toc16786" </w:instrText>
      </w:r>
      <w:r>
        <w:rPr>
          <w:color w:val="auto"/>
          <w:highlight w:val="none"/>
        </w:rPr>
        <w:fldChar w:fldCharType="separate"/>
      </w:r>
      <w:r>
        <w:rPr>
          <w:rFonts w:hint="eastAsia" w:ascii="宋体" w:hAnsi="宋体" w:cs="宋体"/>
          <w:color w:val="auto"/>
          <w:sz w:val="24"/>
          <w:szCs w:val="24"/>
          <w:highlight w:val="none"/>
        </w:rPr>
        <w:t>第</w:t>
      </w:r>
      <w:r>
        <w:rPr>
          <w:rFonts w:hint="eastAsia" w:ascii="宋体" w:hAnsi="宋体" w:cs="宋体"/>
          <w:color w:val="auto"/>
          <w:sz w:val="24"/>
          <w:szCs w:val="24"/>
          <w:highlight w:val="none"/>
          <w:lang w:val="en-US" w:eastAsia="zh-CN"/>
        </w:rPr>
        <w:t>六</w:t>
      </w:r>
      <w:r>
        <w:rPr>
          <w:rFonts w:hint="eastAsia" w:ascii="宋体" w:hAnsi="宋体" w:cs="宋体"/>
          <w:color w:val="auto"/>
          <w:sz w:val="24"/>
          <w:szCs w:val="24"/>
          <w:highlight w:val="none"/>
        </w:rPr>
        <w:t>章</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投标文件格式</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3</w:t>
      </w:r>
    </w:p>
    <w:p w14:paraId="025201C5">
      <w:pPr>
        <w:adjustRightInd w:val="0"/>
        <w:snapToGrid w:val="0"/>
        <w:spacing w:before="156" w:beforeLines="50" w:after="156" w:afterLines="50" w:line="460" w:lineRule="exact"/>
        <w:ind w:left="0" w:leftChars="0" w:right="0" w:rightChars="0" w:firstLine="0" w:firstLineChars="0"/>
        <w:jc w:val="center"/>
        <w:rPr>
          <w:rFonts w:hint="eastAsia" w:ascii="宋体" w:hAnsi="宋体" w:eastAsia="宋体" w:cs="宋体"/>
          <w:b/>
          <w:color w:val="auto"/>
          <w:spacing w:val="20"/>
          <w:sz w:val="32"/>
          <w:szCs w:val="32"/>
          <w:highlight w:val="none"/>
          <w:lang w:val="en-US" w:eastAsia="zh-CN"/>
        </w:rPr>
        <w:sectPr>
          <w:pgSz w:w="11906" w:h="16838"/>
          <w:pgMar w:top="1417" w:right="1247" w:bottom="1417" w:left="1247" w:header="851" w:footer="992" w:gutter="0"/>
          <w:cols w:space="0" w:num="1"/>
          <w:rtlGutter w:val="0"/>
          <w:docGrid w:type="lines" w:linePitch="312" w:charSpace="0"/>
        </w:sectPr>
      </w:pPr>
      <w:r>
        <w:rPr>
          <w:rFonts w:hAnsi="宋体" w:cs="宋体"/>
          <w:b/>
          <w:bCs/>
          <w:caps/>
          <w:color w:val="auto"/>
          <w:sz w:val="24"/>
          <w:szCs w:val="24"/>
          <w:highlight w:val="none"/>
        </w:rPr>
        <w:fldChar w:fldCharType="end"/>
      </w:r>
    </w:p>
    <w:p w14:paraId="0F882B21">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default" w:ascii="宋体" w:eastAsia="宋体"/>
          <w:b/>
          <w:color w:val="auto"/>
          <w:sz w:val="32"/>
          <w:szCs w:val="32"/>
          <w:highlight w:val="none"/>
          <w:lang w:val="en-US" w:eastAsia="zh-CN"/>
        </w:rPr>
      </w:pPr>
      <w:r>
        <w:rPr>
          <w:rFonts w:hint="eastAsia" w:ascii="宋体" w:hAnsi="宋体" w:eastAsia="宋体" w:cs="宋体"/>
          <w:b/>
          <w:bCs/>
          <w:color w:val="auto"/>
          <w:kern w:val="2"/>
          <w:sz w:val="32"/>
          <w:szCs w:val="32"/>
          <w:highlight w:val="none"/>
          <w:lang w:val="en-US" w:eastAsia="zh-CN" w:bidi="ar-SA"/>
        </w:rPr>
        <w:t>第一章招标公告</w:t>
      </w:r>
    </w:p>
    <w:p w14:paraId="0F4F11D1">
      <w:pPr>
        <w:keepNext/>
        <w:keepLines/>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p>
    <w:p w14:paraId="72456A6A">
      <w:pPr>
        <w:keepNext/>
        <w:keepLines/>
        <w:pageBreakBefore w:val="0"/>
        <w:widowControl w:val="0"/>
        <w:kinsoku/>
        <w:wordWrap/>
        <w:overflowPunct/>
        <w:topLinePunct w:val="0"/>
        <w:autoSpaceDE/>
        <w:autoSpaceDN/>
        <w:bidi w:val="0"/>
        <w:adjustRightInd/>
        <w:snapToGrid/>
        <w:ind w:firstLine="560" w:firstLineChars="200"/>
        <w:jc w:val="left"/>
        <w:textAlignment w:val="auto"/>
        <w:rPr>
          <w:rFonts w:hint="eastAsia" w:ascii="黑体" w:hAnsi="黑体" w:cs="宋体"/>
          <w:color w:val="auto"/>
          <w:sz w:val="28"/>
          <w:szCs w:val="28"/>
          <w:highlight w:val="none"/>
        </w:rPr>
      </w:pPr>
      <w:r>
        <w:rPr>
          <w:rFonts w:hint="eastAsia" w:ascii="仿宋" w:hAnsi="仿宋" w:eastAsia="仿宋" w:cs="仿宋"/>
          <w:color w:val="auto"/>
          <w:sz w:val="28"/>
          <w:szCs w:val="28"/>
          <w:highlight w:val="none"/>
          <w:u w:val="single"/>
          <w:lang w:eastAsia="zh-CN"/>
        </w:rPr>
        <w:t>中新苏滁高新区（未来产业园）智能制造工业坊及中新苏滁高新区超级电容智能制造基地二期沉降观测服务项目</w:t>
      </w:r>
      <w:r>
        <w:rPr>
          <w:rFonts w:hint="eastAsia" w:ascii="仿宋" w:hAnsi="仿宋" w:eastAsia="仿宋" w:cs="仿宋"/>
          <w:color w:val="auto"/>
          <w:sz w:val="28"/>
          <w:szCs w:val="28"/>
          <w:highlight w:val="none"/>
          <w:u w:val="none"/>
        </w:rPr>
        <w:t>招标项目</w:t>
      </w:r>
      <w:r>
        <w:rPr>
          <w:rFonts w:hint="eastAsia" w:ascii="仿宋" w:hAnsi="仿宋" w:eastAsia="仿宋" w:cs="仿宋"/>
          <w:color w:val="auto"/>
          <w:sz w:val="28"/>
          <w:szCs w:val="28"/>
          <w:highlight w:val="none"/>
        </w:rPr>
        <w:t>的潜在投标人应在</w:t>
      </w:r>
      <w:r>
        <w:rPr>
          <w:rFonts w:hint="eastAsia" w:ascii="仿宋" w:hAnsi="仿宋" w:eastAsia="仿宋" w:cs="仿宋"/>
          <w:color w:val="auto"/>
          <w:sz w:val="28"/>
          <w:szCs w:val="28"/>
          <w:highlight w:val="none"/>
          <w:u w:val="single"/>
          <w:lang w:val="en-US" w:eastAsia="zh-CN"/>
        </w:rPr>
        <w:t>中新苏滁高新技术产业开发区（https://scp.chuzhou.gov.cn/index.html）、滁州市城投工程咨询管理有限公司网站（https://www.czctgczx.com/）</w:t>
      </w:r>
      <w:r>
        <w:rPr>
          <w:rFonts w:hint="eastAsia" w:ascii="仿宋" w:hAnsi="仿宋" w:eastAsia="仿宋" w:cs="仿宋"/>
          <w:color w:val="auto"/>
          <w:sz w:val="28"/>
          <w:szCs w:val="28"/>
          <w:highlight w:val="none"/>
        </w:rPr>
        <w:t>获取招标文件，并于</w:t>
      </w:r>
      <w:r>
        <w:rPr>
          <w:rFonts w:hint="eastAsia" w:ascii="仿宋" w:hAnsi="仿宋" w:eastAsia="仿宋" w:cs="仿宋"/>
          <w:color w:val="auto"/>
          <w:sz w:val="28"/>
          <w:szCs w:val="28"/>
          <w:highlight w:val="none"/>
          <w:u w:val="single"/>
        </w:rPr>
        <w:t>202</w:t>
      </w:r>
      <w:r>
        <w:rPr>
          <w:rFonts w:hint="eastAsia" w:ascii="仿宋" w:hAnsi="仿宋" w:eastAsia="仿宋" w:cs="仿宋"/>
          <w:color w:val="auto"/>
          <w:sz w:val="28"/>
          <w:szCs w:val="28"/>
          <w:highlight w:val="none"/>
          <w:u w:val="single"/>
          <w:lang w:val="en-US" w:eastAsia="zh-CN"/>
        </w:rPr>
        <w:t>6</w:t>
      </w:r>
      <w:r>
        <w:rPr>
          <w:rFonts w:hint="eastAsia" w:ascii="仿宋" w:hAnsi="仿宋" w:eastAsia="仿宋" w:cs="仿宋"/>
          <w:color w:val="auto"/>
          <w:sz w:val="28"/>
          <w:szCs w:val="28"/>
          <w:highlight w:val="none"/>
          <w:u w:val="single"/>
        </w:rPr>
        <w:t>年</w:t>
      </w:r>
      <w:r>
        <w:rPr>
          <w:rFonts w:hint="eastAsia" w:ascii="仿宋" w:hAnsi="仿宋" w:eastAsia="仿宋" w:cs="仿宋"/>
          <w:color w:val="auto"/>
          <w:sz w:val="28"/>
          <w:szCs w:val="28"/>
          <w:highlight w:val="none"/>
          <w:u w:val="single"/>
          <w:lang w:val="en-US" w:eastAsia="zh-CN"/>
        </w:rPr>
        <w:t>11</w:t>
      </w:r>
      <w:r>
        <w:rPr>
          <w:rFonts w:hint="eastAsia" w:ascii="仿宋" w:hAnsi="仿宋" w:eastAsia="仿宋" w:cs="仿宋"/>
          <w:color w:val="auto"/>
          <w:sz w:val="28"/>
          <w:szCs w:val="28"/>
          <w:highlight w:val="none"/>
          <w:u w:val="single"/>
        </w:rPr>
        <w:t>月</w:t>
      </w:r>
      <w:r>
        <w:rPr>
          <w:rFonts w:hint="eastAsia" w:ascii="仿宋" w:hAnsi="仿宋" w:eastAsia="仿宋" w:cs="仿宋"/>
          <w:color w:val="auto"/>
          <w:sz w:val="28"/>
          <w:szCs w:val="28"/>
          <w:highlight w:val="none"/>
          <w:u w:val="single"/>
          <w:lang w:val="en-US" w:eastAsia="zh-CN"/>
        </w:rPr>
        <w:t>3</w:t>
      </w:r>
      <w:r>
        <w:rPr>
          <w:rFonts w:hint="eastAsia" w:ascii="仿宋" w:hAnsi="仿宋" w:eastAsia="仿宋" w:cs="仿宋"/>
          <w:color w:val="auto"/>
          <w:sz w:val="28"/>
          <w:szCs w:val="28"/>
          <w:highlight w:val="none"/>
          <w:u w:val="single"/>
        </w:rPr>
        <w:t>日</w:t>
      </w:r>
      <w:r>
        <w:rPr>
          <w:rFonts w:hint="eastAsia" w:ascii="仿宋" w:hAnsi="仿宋" w:eastAsia="仿宋" w:cs="仿宋"/>
          <w:color w:val="auto"/>
          <w:sz w:val="28"/>
          <w:szCs w:val="28"/>
          <w:highlight w:val="none"/>
          <w:u w:val="single"/>
          <w:lang w:val="en-US" w:eastAsia="zh-CN"/>
        </w:rPr>
        <w:t>9</w:t>
      </w:r>
      <w:r>
        <w:rPr>
          <w:rFonts w:hint="eastAsia" w:ascii="仿宋" w:hAnsi="仿宋" w:eastAsia="仿宋" w:cs="仿宋"/>
          <w:color w:val="auto"/>
          <w:sz w:val="28"/>
          <w:szCs w:val="28"/>
          <w:highlight w:val="none"/>
          <w:u w:val="singl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分</w:t>
      </w:r>
      <w:r>
        <w:rPr>
          <w:rFonts w:hint="eastAsia" w:ascii="仿宋" w:hAnsi="仿宋" w:eastAsia="仿宋" w:cs="仿宋"/>
          <w:color w:val="auto"/>
          <w:sz w:val="28"/>
          <w:szCs w:val="28"/>
          <w:highlight w:val="none"/>
        </w:rPr>
        <w:t>（北京时间）前递交投标文件。</w:t>
      </w:r>
    </w:p>
    <w:p w14:paraId="595EE7AA">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一、项目基本情况</w:t>
      </w:r>
    </w:p>
    <w:p w14:paraId="5C4968EF">
      <w:pPr>
        <w:ind w:right="-313" w:rightChars="-149"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项目名称：</w:t>
      </w:r>
      <w:r>
        <w:rPr>
          <w:rFonts w:hint="eastAsia" w:ascii="仿宋" w:hAnsi="仿宋" w:eastAsia="仿宋" w:cs="仿宋"/>
          <w:color w:val="auto"/>
          <w:sz w:val="28"/>
          <w:szCs w:val="28"/>
          <w:highlight w:val="none"/>
          <w:shd w:val="clear" w:color="auto" w:fill="auto"/>
          <w:lang w:val="en-US" w:eastAsia="zh-CN"/>
        </w:rPr>
        <w:t>中新苏滁高新区（未来产业园）智能制造工业坊及中新苏滁高新区超级电容智能制造基地二期沉降观测服务项目</w:t>
      </w:r>
    </w:p>
    <w:p w14:paraId="6584659E">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预算金额：</w:t>
      </w:r>
      <w:r>
        <w:rPr>
          <w:rFonts w:hint="eastAsia" w:ascii="仿宋" w:hAnsi="仿宋" w:eastAsia="仿宋" w:cs="仿宋"/>
          <w:color w:val="auto"/>
          <w:sz w:val="28"/>
          <w:szCs w:val="28"/>
          <w:highlight w:val="none"/>
          <w:shd w:val="clear" w:color="auto" w:fill="auto"/>
          <w:lang w:val="en-US" w:eastAsia="zh-CN"/>
        </w:rPr>
        <w:t>40000.00元</w:t>
      </w:r>
    </w:p>
    <w:p w14:paraId="7A9ABCB7">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最高限价：</w:t>
      </w:r>
      <w:r>
        <w:rPr>
          <w:rFonts w:hint="eastAsia" w:ascii="仿宋" w:hAnsi="仿宋" w:eastAsia="仿宋" w:cs="仿宋"/>
          <w:color w:val="auto"/>
          <w:sz w:val="28"/>
          <w:szCs w:val="28"/>
          <w:highlight w:val="none"/>
          <w:shd w:val="clear" w:color="auto" w:fill="auto"/>
          <w:lang w:val="en-US" w:eastAsia="zh-CN"/>
        </w:rPr>
        <w:t>40000.00元</w:t>
      </w:r>
    </w:p>
    <w:p w14:paraId="7B5F725F">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采购需求：</w:t>
      </w:r>
      <w:r>
        <w:rPr>
          <w:rFonts w:hint="eastAsia" w:ascii="仿宋" w:hAnsi="仿宋" w:eastAsia="仿宋" w:cs="仿宋"/>
          <w:color w:val="auto"/>
          <w:sz w:val="28"/>
          <w:szCs w:val="28"/>
          <w:highlight w:val="none"/>
          <w:shd w:val="clear" w:color="auto" w:fill="auto"/>
          <w:lang w:val="en-US" w:eastAsia="zh-CN"/>
        </w:rPr>
        <w:t>对</w:t>
      </w:r>
      <w:r>
        <w:rPr>
          <w:rFonts w:hint="eastAsia" w:ascii="仿宋" w:hAnsi="仿宋" w:eastAsia="仿宋" w:cs="仿宋"/>
          <w:color w:val="auto"/>
          <w:sz w:val="28"/>
          <w:szCs w:val="28"/>
          <w:highlight w:val="none"/>
          <w:shd w:val="clear" w:color="auto" w:fill="auto"/>
        </w:rPr>
        <w:t>中新苏滁高新区（未来产业园）智能制造工业坊</w:t>
      </w:r>
      <w:r>
        <w:rPr>
          <w:rFonts w:hint="eastAsia" w:ascii="仿宋" w:hAnsi="仿宋" w:eastAsia="仿宋" w:cs="仿宋"/>
          <w:color w:val="auto"/>
          <w:sz w:val="28"/>
          <w:szCs w:val="28"/>
          <w:highlight w:val="none"/>
          <w:shd w:val="clear" w:color="auto" w:fill="auto"/>
          <w:lang w:val="en-US" w:eastAsia="zh-CN"/>
        </w:rPr>
        <w:t>项目的综合楼及中新苏滁高新区超级电容智能制造基地二期项目的厂房3和电芯库分别进行</w:t>
      </w:r>
      <w:r>
        <w:rPr>
          <w:rFonts w:hint="eastAsia" w:ascii="仿宋" w:hAnsi="仿宋" w:eastAsia="仿宋" w:cs="仿宋"/>
          <w:color w:val="auto"/>
          <w:sz w:val="28"/>
          <w:szCs w:val="28"/>
          <w:highlight w:val="none"/>
          <w:shd w:val="clear" w:color="auto" w:fill="auto"/>
          <w:lang w:eastAsia="zh-CN"/>
        </w:rPr>
        <w:t>沉降观测</w:t>
      </w:r>
      <w:r>
        <w:rPr>
          <w:rFonts w:hint="eastAsia" w:ascii="仿宋" w:hAnsi="仿宋" w:eastAsia="仿宋" w:cs="仿宋"/>
          <w:color w:val="auto"/>
          <w:sz w:val="28"/>
          <w:szCs w:val="28"/>
          <w:highlight w:val="none"/>
          <w:shd w:val="clear" w:color="auto" w:fill="auto"/>
          <w:lang w:val="en-US" w:eastAsia="zh-CN"/>
        </w:rPr>
        <w:t>服务</w:t>
      </w:r>
      <w:r>
        <w:rPr>
          <w:rFonts w:hint="eastAsia" w:ascii="仿宋" w:hAnsi="仿宋" w:eastAsia="仿宋" w:cs="仿宋"/>
          <w:color w:val="auto"/>
          <w:sz w:val="28"/>
          <w:szCs w:val="28"/>
          <w:highlight w:val="none"/>
          <w:shd w:val="clear" w:color="auto" w:fill="auto"/>
          <w:lang w:val="en-US" w:eastAsia="zh-CN"/>
        </w:rPr>
        <w:t>，具体详见招标文件第四章</w:t>
      </w:r>
    </w:p>
    <w:p w14:paraId="71903D99">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合同履行期限：从基础完工至主体工程竣工且沉降稳定为止</w:t>
      </w:r>
    </w:p>
    <w:p w14:paraId="3BC4CA86">
      <w:pPr>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本项目</w:t>
      </w:r>
      <w:r>
        <w:rPr>
          <w:rFonts w:hint="eastAsia" w:ascii="仿宋" w:hAnsi="仿宋" w:eastAsia="仿宋" w:cs="仿宋"/>
          <w:color w:val="auto"/>
          <w:sz w:val="28"/>
          <w:szCs w:val="28"/>
          <w:highlight w:val="none"/>
          <w:shd w:val="clear" w:color="auto" w:fill="auto"/>
          <w:lang w:val="en-US" w:eastAsia="zh-CN"/>
        </w:rPr>
        <w:t>不</w:t>
      </w:r>
      <w:r>
        <w:rPr>
          <w:rFonts w:hint="eastAsia" w:ascii="仿宋" w:hAnsi="仿宋" w:eastAsia="仿宋" w:cs="仿宋"/>
          <w:color w:val="auto"/>
          <w:sz w:val="28"/>
          <w:szCs w:val="28"/>
          <w:highlight w:val="none"/>
          <w:shd w:val="clear" w:color="auto" w:fill="auto"/>
        </w:rPr>
        <w:t>接受联合体投标</w:t>
      </w:r>
    </w:p>
    <w:p w14:paraId="2E2CF513">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0" w:name="_Toc28359080"/>
      <w:bookmarkStart w:id="1" w:name="_Toc35393622"/>
      <w:bookmarkStart w:id="2" w:name="_Toc28359003"/>
      <w:bookmarkStart w:id="3" w:name="_Toc35393791"/>
      <w:r>
        <w:rPr>
          <w:rFonts w:hint="eastAsia" w:ascii="黑体" w:hAnsi="黑体" w:eastAsia="黑体" w:cs="黑体"/>
          <w:color w:val="auto"/>
          <w:sz w:val="28"/>
          <w:szCs w:val="28"/>
          <w:highlight w:val="none"/>
        </w:rPr>
        <w:t>二、申请人的资格要求</w:t>
      </w:r>
      <w:bookmarkEnd w:id="0"/>
      <w:bookmarkEnd w:id="1"/>
      <w:bookmarkEnd w:id="2"/>
      <w:bookmarkEnd w:id="3"/>
    </w:p>
    <w:p w14:paraId="0D6E48A1">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bookmarkStart w:id="4" w:name="_Toc35393792"/>
      <w:bookmarkStart w:id="5" w:name="_Toc28359081"/>
      <w:bookmarkStart w:id="6" w:name="_Toc35393623"/>
      <w:bookmarkStart w:id="7" w:name="_Toc28359004"/>
      <w:r>
        <w:rPr>
          <w:rFonts w:hint="eastAsia" w:ascii="仿宋" w:hAnsi="仿宋" w:eastAsia="仿宋"/>
          <w:color w:val="auto"/>
          <w:sz w:val="28"/>
          <w:szCs w:val="28"/>
          <w:highlight w:val="none"/>
          <w:lang w:val="en-US" w:eastAsia="zh-CN"/>
        </w:rPr>
        <w:t>1.企业要求：具有独立承担民事责任能力且符合下列条件之一：</w:t>
      </w:r>
    </w:p>
    <w:p w14:paraId="7365B6DB">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①具有工程勘察综合资质；</w:t>
      </w:r>
    </w:p>
    <w:p w14:paraId="3F2C514A">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②具有工程勘察专业类（工程测量）乙级及以上资质；</w:t>
      </w:r>
    </w:p>
    <w:p w14:paraId="678BA25D">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③具有行政主管部门颁发的测绘乙级及以上资质（含工程测量）；</w:t>
      </w:r>
    </w:p>
    <w:p w14:paraId="75A799BC">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2.项目负责人要求：须具有工程测量相关专业中级（或以上）职称或具有国家注册测绘师资格。</w:t>
      </w:r>
    </w:p>
    <w:p w14:paraId="324ABF88">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3.投标人存在以下情形之一的，不得被确定为中标人：</w:t>
      </w:r>
    </w:p>
    <w:p w14:paraId="22DFECDB">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bookmarkStart w:id="8" w:name="OLE_LINK138"/>
      <w:bookmarkStart w:id="9" w:name="OLE_LINK131"/>
      <w:bookmarkStart w:id="10" w:name="OLE_LINK132"/>
      <w:bookmarkStart w:id="11" w:name="OLE_LINK135"/>
      <w:r>
        <w:rPr>
          <w:rFonts w:hint="eastAsia" w:ascii="仿宋" w:hAnsi="仿宋" w:eastAsia="仿宋"/>
          <w:color w:val="auto"/>
          <w:sz w:val="28"/>
          <w:szCs w:val="28"/>
          <w:highlight w:val="none"/>
          <w:lang w:val="en-US" w:eastAsia="zh-CN"/>
        </w:rPr>
        <w:t>①被列入“信用中国”网站（www.creditchina.gov.cn）“失信被执行人”的；</w:t>
      </w:r>
    </w:p>
    <w:p w14:paraId="3D41450B">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②被列入“信用中国”网站（www.creditchina.gov.cn）“重大税收违法失信主体”的；</w:t>
      </w:r>
    </w:p>
    <w:p w14:paraId="6C766D9C">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③被列入“信用中国”网站（www.creditchina.gov.cn）“拖欠农民工工资失信联合惩戒对象名单”的；</w:t>
      </w:r>
    </w:p>
    <w:p w14:paraId="428AB82C">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④被列入“信用中国”网站（www.creditchina.gov.cn） “安全生产严重失信主体名单”的；</w:t>
      </w:r>
    </w:p>
    <w:p w14:paraId="366054D8">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⑤</w:t>
      </w:r>
      <w:bookmarkStart w:id="12" w:name="OLE_LINK113"/>
      <w:bookmarkStart w:id="13" w:name="OLE_LINK114"/>
      <w:r>
        <w:rPr>
          <w:rFonts w:hint="eastAsia" w:ascii="仿宋" w:hAnsi="仿宋" w:eastAsia="仿宋"/>
          <w:color w:val="auto"/>
          <w:sz w:val="28"/>
          <w:szCs w:val="28"/>
          <w:highlight w:val="none"/>
          <w:lang w:val="en-US" w:eastAsia="zh-CN"/>
        </w:rPr>
        <w:t>被列入国家企业信用信息公示系统网站（</w:t>
      </w:r>
      <w:r>
        <w:rPr>
          <w:rFonts w:hint="eastAsia" w:ascii="仿宋" w:hAnsi="仿宋" w:eastAsia="仿宋"/>
          <w:color w:val="auto"/>
          <w:sz w:val="28"/>
          <w:szCs w:val="28"/>
          <w:highlight w:val="none"/>
          <w:lang w:val="en-US" w:eastAsia="zh-CN"/>
        </w:rPr>
        <w:fldChar w:fldCharType="begin"/>
      </w:r>
      <w:r>
        <w:rPr>
          <w:rFonts w:hint="eastAsia" w:ascii="仿宋" w:hAnsi="仿宋" w:eastAsia="仿宋"/>
          <w:color w:val="auto"/>
          <w:sz w:val="28"/>
          <w:szCs w:val="28"/>
          <w:highlight w:val="none"/>
          <w:lang w:val="en-US" w:eastAsia="zh-CN"/>
        </w:rPr>
        <w:instrText xml:space="preserve"> HYPERLINK "http://www.gsxt.gov.cn）查询" </w:instrText>
      </w:r>
      <w:r>
        <w:rPr>
          <w:rFonts w:hint="eastAsia" w:ascii="仿宋" w:hAnsi="仿宋" w:eastAsia="仿宋"/>
          <w:color w:val="auto"/>
          <w:sz w:val="28"/>
          <w:szCs w:val="28"/>
          <w:highlight w:val="none"/>
          <w:lang w:val="en-US" w:eastAsia="zh-CN"/>
        </w:rPr>
        <w:fldChar w:fldCharType="separate"/>
      </w:r>
      <w:r>
        <w:rPr>
          <w:rFonts w:hint="eastAsia" w:ascii="仿宋" w:hAnsi="仿宋" w:eastAsia="仿宋"/>
          <w:color w:val="auto"/>
          <w:sz w:val="28"/>
          <w:szCs w:val="28"/>
          <w:highlight w:val="none"/>
          <w:lang w:val="en-US" w:eastAsia="zh-CN"/>
        </w:rPr>
        <w:t>www.gsxt.gov.cn）</w:t>
      </w:r>
      <w:r>
        <w:rPr>
          <w:rFonts w:hint="eastAsia" w:ascii="仿宋" w:hAnsi="仿宋" w:eastAsia="仿宋"/>
          <w:color w:val="auto"/>
          <w:sz w:val="28"/>
          <w:szCs w:val="28"/>
          <w:highlight w:val="none"/>
          <w:lang w:val="en-US" w:eastAsia="zh-CN"/>
        </w:rPr>
        <w:fldChar w:fldCharType="end"/>
      </w:r>
      <w:r>
        <w:rPr>
          <w:rFonts w:hint="eastAsia" w:ascii="仿宋" w:hAnsi="仿宋" w:eastAsia="仿宋"/>
          <w:color w:val="auto"/>
          <w:sz w:val="28"/>
          <w:szCs w:val="28"/>
          <w:highlight w:val="none"/>
          <w:lang w:val="en-US" w:eastAsia="zh-CN"/>
        </w:rPr>
        <w:t>“严重违法失信名单”的</w:t>
      </w:r>
      <w:bookmarkEnd w:id="12"/>
      <w:bookmarkEnd w:id="13"/>
      <w:r>
        <w:rPr>
          <w:rFonts w:hint="eastAsia" w:ascii="仿宋" w:hAnsi="仿宋" w:eastAsia="仿宋"/>
          <w:color w:val="auto"/>
          <w:sz w:val="28"/>
          <w:szCs w:val="28"/>
          <w:highlight w:val="none"/>
          <w:lang w:val="en-US" w:eastAsia="zh-CN"/>
        </w:rPr>
        <w:t>。</w:t>
      </w:r>
    </w:p>
    <w:bookmarkEnd w:id="8"/>
    <w:bookmarkEnd w:id="9"/>
    <w:bookmarkEnd w:id="10"/>
    <w:bookmarkEnd w:id="11"/>
    <w:p w14:paraId="63E9E8DF">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4.投标人所属分公司、办事处等分支机构存在第3条信誉要求①-⑤项情形之一的， 接受其被确定为中标人。</w:t>
      </w:r>
    </w:p>
    <w:p w14:paraId="1A58BE01">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三、获取招标文件</w:t>
      </w:r>
      <w:bookmarkEnd w:id="4"/>
      <w:bookmarkEnd w:id="5"/>
      <w:bookmarkEnd w:id="6"/>
      <w:bookmarkEnd w:id="7"/>
    </w:p>
    <w:p w14:paraId="38B5F5FB">
      <w:pPr>
        <w:ind w:firstLine="540"/>
        <w:rPr>
          <w:rFonts w:hint="eastAsia" w:ascii="仿宋" w:hAnsi="仿宋" w:eastAsia="仿宋" w:cs="宋体"/>
          <w:iCs/>
          <w:color w:val="auto"/>
          <w:sz w:val="28"/>
          <w:szCs w:val="28"/>
          <w:highlight w:val="none"/>
          <w:lang w:eastAsia="zh-CN"/>
        </w:rPr>
      </w:pPr>
      <w:r>
        <w:rPr>
          <w:rFonts w:hint="eastAsia" w:ascii="仿宋" w:hAnsi="仿宋" w:eastAsia="仿宋" w:cs="宋体"/>
          <w:color w:val="auto"/>
          <w:sz w:val="28"/>
          <w:szCs w:val="28"/>
          <w:highlight w:val="none"/>
        </w:rPr>
        <w:t>时间：</w:t>
      </w:r>
      <w:r>
        <w:rPr>
          <w:rFonts w:ascii="仿宋" w:hAnsi="仿宋" w:eastAsia="仿宋" w:cs="宋体"/>
          <w:color w:val="auto"/>
          <w:sz w:val="28"/>
          <w:szCs w:val="28"/>
          <w:highlight w:val="none"/>
          <w:u w:val="single"/>
        </w:rPr>
        <w:t xml:space="preserve"> </w:t>
      </w:r>
      <w:r>
        <w:rPr>
          <w:rFonts w:hint="eastAsia" w:ascii="仿宋" w:hAnsi="仿宋" w:eastAsia="仿宋" w:cs="宋体"/>
          <w:color w:val="auto"/>
          <w:sz w:val="28"/>
          <w:szCs w:val="28"/>
          <w:highlight w:val="none"/>
          <w:u w:val="single"/>
        </w:rPr>
        <w:t>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u w:val="single"/>
        </w:rPr>
        <w:t>年</w:t>
      </w:r>
      <w:r>
        <w:rPr>
          <w:rFonts w:hint="eastAsia" w:ascii="仿宋" w:hAnsi="仿宋" w:eastAsia="仿宋" w:cs="宋体"/>
          <w:color w:val="auto"/>
          <w:sz w:val="28"/>
          <w:szCs w:val="28"/>
          <w:highlight w:val="none"/>
          <w:u w:val="single"/>
          <w:lang w:val="en-US" w:eastAsia="zh-CN"/>
        </w:rPr>
        <w:t>10</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26</w:t>
      </w:r>
      <w:r>
        <w:rPr>
          <w:rFonts w:hint="eastAsia" w:ascii="仿宋" w:hAnsi="仿宋" w:eastAsia="仿宋" w:cs="宋体"/>
          <w:color w:val="auto"/>
          <w:sz w:val="28"/>
          <w:szCs w:val="28"/>
          <w:highlight w:val="none"/>
          <w:u w:val="single"/>
        </w:rPr>
        <w:t>日</w:t>
      </w:r>
      <w:r>
        <w:rPr>
          <w:rFonts w:hint="eastAsia" w:ascii="仿宋" w:hAnsi="仿宋" w:eastAsia="仿宋" w:cs="宋体"/>
          <w:color w:val="auto"/>
          <w:sz w:val="28"/>
          <w:szCs w:val="28"/>
          <w:highlight w:val="none"/>
        </w:rPr>
        <w:t>至</w:t>
      </w:r>
      <w:r>
        <w:rPr>
          <w:rFonts w:hint="eastAsia" w:ascii="仿宋" w:hAnsi="仿宋" w:eastAsia="仿宋" w:cs="宋体"/>
          <w:color w:val="auto"/>
          <w:sz w:val="28"/>
          <w:szCs w:val="28"/>
          <w:highlight w:val="none"/>
          <w:u w:val="single"/>
        </w:rPr>
        <w:t xml:space="preserve"> 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u w:val="single"/>
        </w:rPr>
        <w:t>年</w:t>
      </w:r>
      <w:r>
        <w:rPr>
          <w:rFonts w:hint="eastAsia" w:ascii="仿宋" w:hAnsi="仿宋" w:eastAsia="仿宋" w:cs="宋体"/>
          <w:color w:val="auto"/>
          <w:sz w:val="28"/>
          <w:szCs w:val="28"/>
          <w:highlight w:val="none"/>
          <w:u w:val="single"/>
          <w:lang w:val="en-US" w:eastAsia="zh-CN"/>
        </w:rPr>
        <w:t>11</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3</w:t>
      </w:r>
      <w:r>
        <w:rPr>
          <w:rFonts w:hint="eastAsia" w:ascii="仿宋" w:hAnsi="仿宋" w:eastAsia="仿宋" w:cs="宋体"/>
          <w:color w:val="auto"/>
          <w:sz w:val="28"/>
          <w:szCs w:val="28"/>
          <w:highlight w:val="none"/>
          <w:u w:val="single"/>
        </w:rPr>
        <w:t>日</w:t>
      </w:r>
    </w:p>
    <w:p w14:paraId="5D38E8FA">
      <w:pPr>
        <w:keepNext w:val="0"/>
        <w:keepLines w:val="0"/>
        <w:pageBreakBefore w:val="0"/>
        <w:widowControl w:val="0"/>
        <w:kinsoku/>
        <w:wordWrap/>
        <w:overflowPunct/>
        <w:topLinePunct w:val="0"/>
        <w:autoSpaceDE/>
        <w:autoSpaceDN/>
        <w:bidi w:val="0"/>
        <w:adjustRightInd/>
        <w:snapToGrid/>
        <w:ind w:firstLine="539"/>
        <w:jc w:val="left"/>
        <w:textAlignment w:val="auto"/>
        <w:rPr>
          <w:rFonts w:hint="default" w:ascii="仿宋" w:hAnsi="仿宋" w:eastAsia="仿宋" w:cs="宋体"/>
          <w:color w:val="auto"/>
          <w:sz w:val="28"/>
          <w:szCs w:val="28"/>
          <w:highlight w:val="none"/>
          <w:u w:val="none"/>
          <w:lang w:val="en-US"/>
        </w:rPr>
      </w:pPr>
      <w:bookmarkStart w:id="14" w:name="_Toc28359005"/>
      <w:bookmarkStart w:id="15" w:name="_Toc28359082"/>
      <w:bookmarkStart w:id="16" w:name="_Toc35393793"/>
      <w:bookmarkStart w:id="17" w:name="_Toc35393624"/>
      <w:r>
        <w:rPr>
          <w:rFonts w:hint="eastAsia" w:ascii="仿宋" w:hAnsi="仿宋" w:eastAsia="仿宋" w:cs="宋体"/>
          <w:color w:val="auto"/>
          <w:sz w:val="28"/>
          <w:szCs w:val="28"/>
          <w:highlight w:val="none"/>
        </w:rPr>
        <w:t>地点：</w:t>
      </w:r>
      <w:r>
        <w:rPr>
          <w:rFonts w:hint="eastAsia" w:ascii="仿宋" w:hAnsi="仿宋" w:eastAsia="仿宋" w:cs="宋体"/>
          <w:color w:val="auto"/>
          <w:sz w:val="28"/>
          <w:szCs w:val="28"/>
          <w:highlight w:val="none"/>
          <w:u w:val="none"/>
          <w:lang w:val="en-US" w:eastAsia="zh-CN"/>
        </w:rPr>
        <w:t>中新苏滁高新技术产业开发区（https://scp.chuzhou.gov.cn/index.html）、滁州市城投工程咨询管理有限公司网站（https://www.czctgczx.com/）</w:t>
      </w:r>
    </w:p>
    <w:p w14:paraId="479FE4AE">
      <w:pPr>
        <w:keepNext w:val="0"/>
        <w:keepLines w:val="0"/>
        <w:pageBreakBefore w:val="0"/>
        <w:widowControl w:val="0"/>
        <w:kinsoku/>
        <w:wordWrap/>
        <w:overflowPunct/>
        <w:topLinePunct w:val="0"/>
        <w:autoSpaceDE/>
        <w:autoSpaceDN/>
        <w:bidi w:val="0"/>
        <w:adjustRightInd/>
        <w:snapToGrid/>
        <w:ind w:firstLine="539"/>
        <w:jc w:val="left"/>
        <w:textAlignment w:val="auto"/>
        <w:rPr>
          <w:rFonts w:hint="eastAsia" w:ascii="仿宋" w:hAnsi="仿宋" w:eastAsia="仿宋" w:cs="宋体"/>
          <w:color w:val="auto"/>
          <w:sz w:val="28"/>
          <w:szCs w:val="28"/>
          <w:highlight w:val="none"/>
          <w:u w:val="single"/>
          <w:lang w:eastAsia="zh-CN"/>
        </w:rPr>
      </w:pPr>
      <w:r>
        <w:rPr>
          <w:rFonts w:hint="eastAsia" w:ascii="仿宋" w:hAnsi="仿宋" w:eastAsia="仿宋" w:cs="宋体"/>
          <w:color w:val="auto"/>
          <w:sz w:val="28"/>
          <w:szCs w:val="28"/>
          <w:highlight w:val="none"/>
        </w:rPr>
        <w:t>方式：网上下载</w:t>
      </w:r>
    </w:p>
    <w:p w14:paraId="7045C97B">
      <w:pPr>
        <w:keepNext w:val="0"/>
        <w:keepLines w:val="0"/>
        <w:pageBreakBefore w:val="0"/>
        <w:widowControl w:val="0"/>
        <w:kinsoku/>
        <w:overflowPunct/>
        <w:autoSpaceDE/>
        <w:autoSpaceDN/>
        <w:bidi w:val="0"/>
        <w:adjustRightInd/>
        <w:snapToGrid/>
        <w:spacing w:line="5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售价：0元</w:t>
      </w:r>
    </w:p>
    <w:p w14:paraId="1A1D6EC0">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四、提交投标文件</w:t>
      </w:r>
      <w:bookmarkEnd w:id="14"/>
      <w:bookmarkEnd w:id="15"/>
      <w:r>
        <w:rPr>
          <w:rFonts w:hint="eastAsia" w:ascii="黑体" w:hAnsi="黑体" w:eastAsia="黑体" w:cs="黑体"/>
          <w:color w:val="auto"/>
          <w:sz w:val="28"/>
          <w:szCs w:val="28"/>
          <w:highlight w:val="none"/>
        </w:rPr>
        <w:t>截止时间、开标时间和地点</w:t>
      </w:r>
      <w:bookmarkEnd w:id="16"/>
      <w:bookmarkEnd w:id="17"/>
    </w:p>
    <w:p w14:paraId="28270077">
      <w:pPr>
        <w:ind w:firstLine="560" w:firstLineChars="200"/>
        <w:rPr>
          <w:rFonts w:hint="eastAsia" w:ascii="仿宋" w:hAnsi="仿宋" w:eastAsia="仿宋"/>
          <w:bCs/>
          <w:iCs/>
          <w:color w:val="auto"/>
          <w:sz w:val="28"/>
          <w:szCs w:val="28"/>
          <w:highlight w:val="none"/>
          <w:lang w:eastAsia="zh-CN"/>
        </w:rPr>
      </w:pPr>
      <w:r>
        <w:rPr>
          <w:rFonts w:hint="eastAsia" w:ascii="仿宋" w:hAnsi="仿宋" w:eastAsia="仿宋"/>
          <w:bCs/>
          <w:color w:val="auto"/>
          <w:sz w:val="28"/>
          <w:szCs w:val="28"/>
          <w:highlight w:val="none"/>
          <w:u w:val="none"/>
          <w:lang w:val="en-US" w:eastAsia="zh-CN"/>
        </w:rPr>
        <w:t>时间：</w:t>
      </w:r>
      <w:r>
        <w:rPr>
          <w:rFonts w:hint="eastAsia" w:ascii="仿宋" w:hAnsi="仿宋" w:eastAsia="仿宋"/>
          <w:bCs/>
          <w:color w:val="auto"/>
          <w:sz w:val="28"/>
          <w:szCs w:val="28"/>
          <w:highlight w:val="none"/>
          <w:u w:val="none"/>
        </w:rPr>
        <w:t>202</w:t>
      </w:r>
      <w:r>
        <w:rPr>
          <w:rFonts w:hint="eastAsia" w:ascii="仿宋" w:hAnsi="仿宋" w:eastAsia="仿宋"/>
          <w:bCs/>
          <w:color w:val="auto"/>
          <w:sz w:val="28"/>
          <w:szCs w:val="28"/>
          <w:highlight w:val="none"/>
          <w:u w:val="none"/>
          <w:lang w:val="en-US" w:eastAsia="zh-CN"/>
        </w:rPr>
        <w:t>6</w:t>
      </w:r>
      <w:r>
        <w:rPr>
          <w:rFonts w:hint="eastAsia" w:ascii="仿宋" w:hAnsi="仿宋" w:eastAsia="仿宋"/>
          <w:bCs/>
          <w:color w:val="auto"/>
          <w:sz w:val="28"/>
          <w:szCs w:val="28"/>
          <w:highlight w:val="none"/>
          <w:u w:val="none"/>
        </w:rPr>
        <w:t>年</w:t>
      </w:r>
      <w:r>
        <w:rPr>
          <w:rFonts w:hint="eastAsia" w:ascii="仿宋" w:hAnsi="仿宋" w:eastAsia="仿宋"/>
          <w:bCs/>
          <w:color w:val="auto"/>
          <w:sz w:val="28"/>
          <w:szCs w:val="28"/>
          <w:highlight w:val="none"/>
          <w:u w:val="none"/>
          <w:lang w:val="en-US" w:eastAsia="zh-CN"/>
        </w:rPr>
        <w:t>11</w:t>
      </w:r>
      <w:r>
        <w:rPr>
          <w:rFonts w:hint="eastAsia" w:ascii="仿宋" w:hAnsi="仿宋" w:eastAsia="仿宋"/>
          <w:bCs/>
          <w:color w:val="auto"/>
          <w:sz w:val="28"/>
          <w:szCs w:val="28"/>
          <w:highlight w:val="none"/>
          <w:u w:val="none"/>
        </w:rPr>
        <w:t>月</w:t>
      </w:r>
      <w:r>
        <w:rPr>
          <w:rFonts w:hint="eastAsia" w:ascii="仿宋" w:hAnsi="仿宋" w:eastAsia="仿宋"/>
          <w:bCs/>
          <w:color w:val="auto"/>
          <w:sz w:val="28"/>
          <w:szCs w:val="28"/>
          <w:highlight w:val="none"/>
          <w:u w:val="none"/>
          <w:lang w:val="en-US" w:eastAsia="zh-CN"/>
        </w:rPr>
        <w:t>3</w:t>
      </w:r>
      <w:r>
        <w:rPr>
          <w:rFonts w:hint="eastAsia" w:ascii="仿宋" w:hAnsi="仿宋" w:eastAsia="仿宋"/>
          <w:bCs/>
          <w:color w:val="auto"/>
          <w:sz w:val="28"/>
          <w:szCs w:val="28"/>
          <w:highlight w:val="none"/>
          <w:u w:val="none"/>
        </w:rPr>
        <w:t>日</w:t>
      </w:r>
      <w:r>
        <w:rPr>
          <w:rFonts w:hint="eastAsia" w:ascii="仿宋" w:hAnsi="仿宋" w:eastAsia="仿宋"/>
          <w:bCs/>
          <w:color w:val="auto"/>
          <w:sz w:val="28"/>
          <w:szCs w:val="28"/>
          <w:highlight w:val="none"/>
          <w:u w:val="none"/>
          <w:lang w:val="en-US" w:eastAsia="zh-CN"/>
        </w:rPr>
        <w:t>9</w:t>
      </w:r>
      <w:r>
        <w:rPr>
          <w:rFonts w:hint="eastAsia" w:ascii="仿宋" w:hAnsi="仿宋" w:eastAsia="仿宋"/>
          <w:bCs/>
          <w:color w:val="auto"/>
          <w:sz w:val="28"/>
          <w:szCs w:val="28"/>
          <w:highlight w:val="none"/>
          <w:u w:val="none"/>
        </w:rPr>
        <w:t>点</w:t>
      </w:r>
      <w:r>
        <w:rPr>
          <w:rFonts w:hint="eastAsia" w:ascii="仿宋" w:hAnsi="仿宋" w:eastAsia="仿宋"/>
          <w:bCs/>
          <w:color w:val="auto"/>
          <w:sz w:val="28"/>
          <w:szCs w:val="28"/>
          <w:highlight w:val="none"/>
          <w:u w:val="none"/>
          <w:lang w:val="en-US" w:eastAsia="zh-CN"/>
        </w:rPr>
        <w:t>00</w:t>
      </w:r>
      <w:r>
        <w:rPr>
          <w:rFonts w:hint="eastAsia" w:ascii="仿宋" w:hAnsi="仿宋" w:eastAsia="仿宋"/>
          <w:bCs/>
          <w:color w:val="auto"/>
          <w:sz w:val="28"/>
          <w:szCs w:val="28"/>
          <w:highlight w:val="none"/>
          <w:u w:val="none"/>
        </w:rPr>
        <w:t>分</w:t>
      </w:r>
      <w:r>
        <w:rPr>
          <w:rFonts w:hint="eastAsia" w:ascii="仿宋" w:hAnsi="仿宋" w:eastAsia="仿宋"/>
          <w:bCs/>
          <w:color w:val="auto"/>
          <w:sz w:val="28"/>
          <w:szCs w:val="28"/>
          <w:highlight w:val="none"/>
        </w:rPr>
        <w:t>（北京时间）</w:t>
      </w:r>
    </w:p>
    <w:p w14:paraId="1D05D871">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地点：新点电子交易平台【滁州专区】</w:t>
      </w:r>
    </w:p>
    <w:p w14:paraId="44750454">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rPr>
        <w:t>、投标保证金金额及缴纳账户</w:t>
      </w:r>
    </w:p>
    <w:p w14:paraId="7418DF68">
      <w:pPr>
        <w:pStyle w:val="64"/>
        <w:rPr>
          <w:color w:val="auto"/>
          <w:highlight w:val="none"/>
        </w:rPr>
      </w:pPr>
      <w:bookmarkStart w:id="18" w:name="_Toc35393795"/>
      <w:bookmarkStart w:id="19" w:name="_Toc35393626"/>
      <w:r>
        <w:rPr>
          <w:color w:val="auto"/>
          <w:highlight w:val="none"/>
        </w:rPr>
        <w:t>窗体顶端</w:t>
      </w:r>
    </w:p>
    <w:p w14:paraId="4429B058">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不要求投标人提交投标保证金。</w:t>
      </w:r>
    </w:p>
    <w:p w14:paraId="095F0570">
      <w:pPr>
        <w:pStyle w:val="65"/>
        <w:rPr>
          <w:color w:val="auto"/>
          <w:highlight w:val="none"/>
        </w:rPr>
      </w:pPr>
      <w:r>
        <w:rPr>
          <w:color w:val="auto"/>
          <w:highlight w:val="none"/>
        </w:rPr>
        <w:t>窗体底端</w:t>
      </w:r>
    </w:p>
    <w:bookmarkEnd w:id="18"/>
    <w:bookmarkEnd w:id="19"/>
    <w:p w14:paraId="2CC4B022">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六、其他补充事宜</w:t>
      </w:r>
    </w:p>
    <w:p w14:paraId="01CCE56B">
      <w:pPr>
        <w:keepNext w:val="0"/>
        <w:keepLines w:val="0"/>
        <w:pageBreakBefore w:val="0"/>
        <w:widowControl w:val="0"/>
        <w:kinsoku/>
        <w:wordWrap/>
        <w:overflowPunct/>
        <w:topLinePunct w:val="0"/>
        <w:autoSpaceDE/>
        <w:autoSpaceDN/>
        <w:bidi w:val="0"/>
        <w:adjustRightInd/>
        <w:snapToGrid/>
        <w:jc w:val="left"/>
        <w:textAlignment w:val="auto"/>
        <w:rPr>
          <w:rFonts w:hint="eastAsia" w:ascii="仿宋" w:hAnsi="仿宋" w:eastAsia="仿宋" w:cs="Times New Roman"/>
          <w:color w:val="auto"/>
          <w:sz w:val="28"/>
          <w:szCs w:val="28"/>
          <w:highlight w:val="none"/>
        </w:rPr>
      </w:pPr>
      <w:r>
        <w:rPr>
          <w:rFonts w:hint="eastAsia" w:ascii="黑体" w:hAnsi="黑体" w:eastAsia="黑体" w:cs="黑体"/>
          <w:color w:val="auto"/>
          <w:sz w:val="28"/>
          <w:szCs w:val="28"/>
          <w:highlight w:val="none"/>
          <w:lang w:val="en-US" w:eastAsia="zh-CN"/>
        </w:rPr>
        <w:t xml:space="preserve">   </w:t>
      </w:r>
      <w:r>
        <w:rPr>
          <w:rFonts w:hint="eastAsia" w:ascii="仿宋" w:hAnsi="仿宋" w:eastAsia="仿宋" w:cs="Times New Roman"/>
          <w:color w:val="auto"/>
          <w:sz w:val="28"/>
          <w:szCs w:val="28"/>
          <w:highlight w:val="none"/>
          <w:lang w:val="en-US" w:eastAsia="zh-CN"/>
        </w:rPr>
        <w:t>1.投标人从滁州市城投工程咨询管理有限公司（https://www.czctgczx.com/）下载。投标人自行承担因未按要求获取招标文件导致无法上传电子投标文件的风险。</w:t>
      </w:r>
    </w:p>
    <w:p w14:paraId="2D09852F">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2C03FC26">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2）投标人登录新点电子交易平台【滁州专区】获取询价文件及其它资料（含澄清和补充说明等）。如在招标文件获取过程中遇到系统问题，请拨打技术支持服务热线0512-58151515（工作日）5或者网站首页在线客服。</w:t>
      </w:r>
    </w:p>
    <w:p w14:paraId="4B619FEE">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2.招标文件及相关资料售价：人民币0元/套。</w:t>
      </w:r>
    </w:p>
    <w:p w14:paraId="3CCE39B7">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2D069E1D">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4.本项目采用不见面开标，投标人登录滁州市城投工程咨询管理有限公司不见面开标系统参与网上开标（网址：http://js.etrading.cn/EpointBidOpening/bidopeninghallaction/hall/login）。</w:t>
      </w:r>
    </w:p>
    <w:p w14:paraId="3DCEE880">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投标人应在投标截止时间之前，登录新点电子交易平台【滁州专区】上传投标文件</w:t>
      </w:r>
    </w:p>
    <w:p w14:paraId="515EDEFE">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5.本项目仅接受加密电子投标文件投标人在投标截止时间前通过新点电子交易平台后在【滁州专区】</w:t>
      </w:r>
    </w:p>
    <w:p w14:paraId="602D7B64">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(https://www.etrading.cn/BREpointSSO/login/oauth2login?regioncode=DQ_ChuZhou）交易系统递交电子投标文件。</w:t>
      </w:r>
    </w:p>
    <w:p w14:paraId="3A791640">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rPr>
        <w:t>、对本次招标提出询问，请按以下方式联系</w:t>
      </w:r>
    </w:p>
    <w:p w14:paraId="434569DA">
      <w:pPr>
        <w:pStyle w:val="7"/>
        <w:pageBreakBefore w:val="0"/>
        <w:widowControl w:val="0"/>
        <w:numPr>
          <w:ilvl w:val="0"/>
          <w:numId w:val="0"/>
        </w:numPr>
        <w:kinsoku/>
        <w:wordWrap/>
        <w:overflowPunct/>
        <w:topLinePunct w:val="0"/>
        <w:autoSpaceDE/>
        <w:autoSpaceDN/>
        <w:bidi w:val="0"/>
        <w:adjustRightInd/>
        <w:snapToGrid/>
        <w:spacing w:before="0" w:after="0" w:line="240" w:lineRule="auto"/>
        <w:ind w:left="-199" w:leftChars="-95" w:firstLine="560" w:firstLineChars="2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　1.招标人信息</w:t>
      </w:r>
    </w:p>
    <w:p w14:paraId="4D5067C1">
      <w:pPr>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名    称：滁州苏滁产城开发有限公司</w:t>
      </w:r>
    </w:p>
    <w:p w14:paraId="7E2D92CF">
      <w:pPr>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地    址：滁州市徽州南路1999号苏滁商务中心8楼</w:t>
      </w:r>
    </w:p>
    <w:p w14:paraId="14E42651">
      <w:pPr>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hint="default"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联系方式：0550-3026900</w:t>
      </w:r>
    </w:p>
    <w:p w14:paraId="04048C27">
      <w:pPr>
        <w:pStyle w:val="7"/>
        <w:pageBreakBefore w:val="0"/>
        <w:widowControl w:val="0"/>
        <w:numPr>
          <w:ilvl w:val="0"/>
          <w:numId w:val="0"/>
        </w:numPr>
        <w:kinsoku/>
        <w:wordWrap/>
        <w:overflowPunct/>
        <w:topLinePunct w:val="0"/>
        <w:autoSpaceDE/>
        <w:autoSpaceDN/>
        <w:bidi w:val="0"/>
        <w:adjustRightInd/>
        <w:snapToGrid/>
        <w:spacing w:before="0" w:after="0"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2.代理机构信息</w:t>
      </w:r>
    </w:p>
    <w:p w14:paraId="26A6B1DA">
      <w:pPr>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名    称：滁州市城投工程咨询管理有限公司</w:t>
      </w:r>
    </w:p>
    <w:p w14:paraId="7FAA96F0">
      <w:pPr>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地　　址：滁州市龙蟠大道109号房产大厦6楼</w:t>
      </w:r>
    </w:p>
    <w:p w14:paraId="4E95D77D">
      <w:pPr>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联系方式：0550-3519590、18005501210</w:t>
      </w:r>
    </w:p>
    <w:p w14:paraId="1FC1649B">
      <w:pPr>
        <w:pStyle w:val="7"/>
        <w:pageBreakBefore w:val="0"/>
        <w:widowControl w:val="0"/>
        <w:numPr>
          <w:ilvl w:val="0"/>
          <w:numId w:val="0"/>
        </w:numPr>
        <w:kinsoku/>
        <w:wordWrap/>
        <w:overflowPunct/>
        <w:topLinePunct w:val="0"/>
        <w:autoSpaceDE/>
        <w:autoSpaceDN/>
        <w:bidi w:val="0"/>
        <w:adjustRightInd/>
        <w:snapToGrid/>
        <w:spacing w:before="0" w:after="0"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3.项目联系方式</w:t>
      </w:r>
    </w:p>
    <w:p w14:paraId="2E672996">
      <w:pPr>
        <w:pStyle w:val="14"/>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项目联系人：李工、杨韦</w:t>
      </w:r>
    </w:p>
    <w:p w14:paraId="1599FE0B">
      <w:pPr>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电　　 话：0550-3026900、0550-3519590</w:t>
      </w:r>
    </w:p>
    <w:p w14:paraId="0E14CF63">
      <w:pPr>
        <w:rPr>
          <w:color w:val="auto"/>
          <w:highlight w:val="none"/>
        </w:rPr>
      </w:pPr>
      <w:r>
        <w:rPr>
          <w:color w:val="auto"/>
          <w:highlight w:val="none"/>
        </w:rPr>
        <w:br w:type="page"/>
      </w:r>
    </w:p>
    <w:p w14:paraId="4CAF701A">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eastAsia" w:ascii="宋体" w:hAnsi="宋体" w:eastAsia="宋体" w:cs="宋体"/>
          <w:b/>
          <w:bCs/>
          <w:color w:val="auto"/>
          <w:kern w:val="2"/>
          <w:sz w:val="32"/>
          <w:szCs w:val="32"/>
          <w:highlight w:val="none"/>
          <w:lang w:val="en-US" w:eastAsia="zh-CN" w:bidi="ar-SA"/>
        </w:rPr>
      </w:pPr>
      <w:bookmarkStart w:id="20" w:name="_Toc25340"/>
      <w:r>
        <w:rPr>
          <w:rFonts w:hint="eastAsia" w:ascii="宋体" w:hAnsi="宋体" w:eastAsia="宋体" w:cs="宋体"/>
          <w:b/>
          <w:bCs/>
          <w:color w:val="auto"/>
          <w:kern w:val="2"/>
          <w:sz w:val="32"/>
          <w:szCs w:val="32"/>
          <w:highlight w:val="none"/>
          <w:lang w:val="en-US" w:eastAsia="zh-CN" w:bidi="ar-SA"/>
        </w:rPr>
        <w:t>第二章投标须知</w:t>
      </w:r>
      <w:bookmarkEnd w:id="20"/>
    </w:p>
    <w:p w14:paraId="039CDAF8">
      <w:pPr>
        <w:keepNext w:val="0"/>
        <w:keepLines w:val="0"/>
        <w:pageBreakBefore w:val="0"/>
        <w:widowControl w:val="0"/>
        <w:kinsoku/>
        <w:wordWrap/>
        <w:overflowPunct/>
        <w:topLinePunct w:val="0"/>
        <w:autoSpaceDE/>
        <w:autoSpaceDN/>
        <w:bidi w:val="0"/>
        <w:adjustRightInd/>
        <w:snapToGrid/>
        <w:spacing w:before="157" w:beforeLines="50" w:after="157" w:afterLines="50" w:line="520" w:lineRule="exact"/>
        <w:jc w:val="center"/>
        <w:textAlignment w:val="auto"/>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投标须知前附表</w:t>
      </w:r>
    </w:p>
    <w:tbl>
      <w:tblPr>
        <w:tblStyle w:val="21"/>
        <w:tblW w:w="9987" w:type="dxa"/>
        <w:jc w:val="center"/>
        <w:tblLayout w:type="fixed"/>
        <w:tblCellMar>
          <w:top w:w="0" w:type="dxa"/>
          <w:left w:w="0" w:type="dxa"/>
          <w:bottom w:w="0" w:type="dxa"/>
          <w:right w:w="0" w:type="dxa"/>
        </w:tblCellMar>
      </w:tblPr>
      <w:tblGrid>
        <w:gridCol w:w="831"/>
        <w:gridCol w:w="1881"/>
        <w:gridCol w:w="7275"/>
      </w:tblGrid>
      <w:tr w14:paraId="6742FC8C">
        <w:tblPrEx>
          <w:tblCellMar>
            <w:top w:w="0" w:type="dxa"/>
            <w:left w:w="0" w:type="dxa"/>
            <w:bottom w:w="0" w:type="dxa"/>
            <w:right w:w="0" w:type="dxa"/>
          </w:tblCellMar>
        </w:tblPrEx>
        <w:trPr>
          <w:trHeight w:val="580"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7B07C89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编号</w:t>
            </w:r>
          </w:p>
        </w:tc>
        <w:tc>
          <w:tcPr>
            <w:tcW w:w="1881" w:type="dxa"/>
            <w:tcBorders>
              <w:top w:val="single" w:color="auto" w:sz="8" w:space="0"/>
              <w:left w:val="single" w:color="auto" w:sz="4" w:space="0"/>
              <w:bottom w:val="single" w:color="auto" w:sz="8" w:space="0"/>
              <w:right w:val="single" w:color="auto" w:sz="4" w:space="0"/>
            </w:tcBorders>
            <w:vAlign w:val="center"/>
          </w:tcPr>
          <w:p w14:paraId="0A75FA00">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内容</w:t>
            </w:r>
          </w:p>
        </w:tc>
        <w:tc>
          <w:tcPr>
            <w:tcW w:w="7275" w:type="dxa"/>
            <w:tcBorders>
              <w:top w:val="single" w:color="auto" w:sz="8" w:space="0"/>
              <w:left w:val="single" w:color="auto" w:sz="4" w:space="0"/>
              <w:bottom w:val="single" w:color="auto" w:sz="8" w:space="0"/>
              <w:right w:val="single" w:color="auto" w:sz="8" w:space="0"/>
            </w:tcBorders>
            <w:vAlign w:val="center"/>
          </w:tcPr>
          <w:p w14:paraId="105B31DB">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说明与要求</w:t>
            </w:r>
          </w:p>
        </w:tc>
      </w:tr>
      <w:tr w14:paraId="2738A5CC">
        <w:tblPrEx>
          <w:tblCellMar>
            <w:top w:w="0" w:type="dxa"/>
            <w:left w:w="0" w:type="dxa"/>
            <w:bottom w:w="0" w:type="dxa"/>
            <w:right w:w="0" w:type="dxa"/>
          </w:tblCellMar>
        </w:tblPrEx>
        <w:trPr>
          <w:trHeight w:val="287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50D4A4E4">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881" w:type="dxa"/>
            <w:tcBorders>
              <w:top w:val="single" w:color="auto" w:sz="8" w:space="0"/>
              <w:left w:val="single" w:color="auto" w:sz="4" w:space="0"/>
              <w:bottom w:val="single" w:color="auto" w:sz="8" w:space="0"/>
              <w:right w:val="single" w:color="auto" w:sz="4" w:space="0"/>
            </w:tcBorders>
            <w:vAlign w:val="center"/>
          </w:tcPr>
          <w:p w14:paraId="3BCFBD70">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p>
        </w:tc>
        <w:tc>
          <w:tcPr>
            <w:tcW w:w="7275" w:type="dxa"/>
            <w:tcBorders>
              <w:top w:val="single" w:color="auto" w:sz="8" w:space="0"/>
              <w:left w:val="single" w:color="auto" w:sz="4" w:space="0"/>
              <w:bottom w:val="single" w:color="auto" w:sz="8" w:space="0"/>
              <w:right w:val="single" w:color="auto" w:sz="8" w:space="0"/>
            </w:tcBorders>
            <w:vAlign w:val="center"/>
          </w:tcPr>
          <w:p w14:paraId="4030C585">
            <w:pPr>
              <w:keepNext w:val="0"/>
              <w:keepLines w:val="0"/>
              <w:pageBreakBefore w:val="0"/>
              <w:numPr>
                <w:ilvl w:val="0"/>
                <w:numId w:val="0"/>
              </w:numPr>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Cs/>
                <w:color w:val="auto"/>
                <w:kern w:val="1"/>
                <w:sz w:val="21"/>
                <w:szCs w:val="21"/>
                <w:highlight w:val="none"/>
                <w:lang w:val="en-US" w:eastAsia="zh-CN"/>
              </w:rPr>
              <w:t>1.中新苏滁高新区（未来产业园）智能制造工业坊项目位于</w:t>
            </w:r>
            <w:r>
              <w:rPr>
                <w:rFonts w:hint="eastAsia" w:ascii="宋体" w:hAnsi="宋体" w:eastAsia="宋体" w:cs="宋体"/>
                <w:color w:val="auto"/>
                <w:sz w:val="21"/>
                <w:szCs w:val="21"/>
                <w:highlight w:val="none"/>
              </w:rPr>
              <w:t>安徽省滁州市东至白塔街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南至滁中路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西至滁州大道</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北至滨河南路</w:t>
            </w:r>
            <w:r>
              <w:rPr>
                <w:rFonts w:hint="eastAsia" w:ascii="宋体" w:hAnsi="宋体" w:eastAsia="宋体" w:cs="宋体"/>
                <w:color w:val="auto"/>
                <w:sz w:val="21"/>
                <w:szCs w:val="21"/>
                <w:highlight w:val="none"/>
                <w:lang w:eastAsia="zh-CN"/>
              </w:rPr>
              <w:t>，28#综合楼，地下一层，地上八层，钢筋混凝土框架结构，建筑面积为34011.39</w:t>
            </w:r>
            <w:r>
              <w:rPr>
                <w:rFonts w:hint="eastAsia"/>
                <w:color w:val="auto"/>
                <w:lang w:val="en-US" w:eastAsia="zh-CN"/>
              </w:rPr>
              <w:t>㎡</w:t>
            </w:r>
            <w:r>
              <w:rPr>
                <w:rFonts w:hint="eastAsia" w:ascii="宋体" w:hAnsi="宋体" w:eastAsia="宋体" w:cs="宋体"/>
                <w:color w:val="auto"/>
                <w:sz w:val="21"/>
                <w:szCs w:val="21"/>
                <w:highlight w:val="none"/>
                <w:lang w:eastAsia="zh-CN"/>
              </w:rPr>
              <w:t>。</w:t>
            </w:r>
          </w:p>
          <w:p w14:paraId="5D058EDB">
            <w:pPr>
              <w:pStyle w:val="2"/>
              <w:numPr>
                <w:ilvl w:val="0"/>
                <w:numId w:val="0"/>
              </w:numPr>
              <w:rPr>
                <w:rFonts w:hint="default"/>
                <w:color w:val="auto"/>
                <w:lang w:val="en-US" w:eastAsia="zh-CN"/>
              </w:rPr>
            </w:pPr>
            <w:r>
              <w:rPr>
                <w:rFonts w:hint="eastAsia"/>
                <w:color w:val="auto"/>
                <w:lang w:val="en-US" w:eastAsia="zh-CN"/>
              </w:rPr>
              <w:t>2.中新苏滁高新区超级电容智能制造基地二期项目位于滁州市滨河北路与滁州大道交叉口东北侧，主要内容包括：厂房3、电芯库、厂区道路等主体，项目总建筑面积约3.23万㎡。</w:t>
            </w:r>
          </w:p>
        </w:tc>
      </w:tr>
      <w:tr w14:paraId="6B7F61D0">
        <w:tblPrEx>
          <w:tblCellMar>
            <w:top w:w="0" w:type="dxa"/>
            <w:left w:w="0" w:type="dxa"/>
            <w:bottom w:w="0" w:type="dxa"/>
            <w:right w:w="0" w:type="dxa"/>
          </w:tblCellMar>
        </w:tblPrEx>
        <w:trPr>
          <w:trHeight w:val="570"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34C21294">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881" w:type="dxa"/>
            <w:tcBorders>
              <w:top w:val="single" w:color="auto" w:sz="8" w:space="0"/>
              <w:left w:val="single" w:color="auto" w:sz="4" w:space="0"/>
              <w:bottom w:val="single" w:color="auto" w:sz="8" w:space="0"/>
              <w:right w:val="single" w:color="auto" w:sz="4" w:space="0"/>
            </w:tcBorders>
            <w:vAlign w:val="center"/>
          </w:tcPr>
          <w:p w14:paraId="1A282500">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275" w:type="dxa"/>
            <w:tcBorders>
              <w:top w:val="single" w:color="auto" w:sz="8" w:space="0"/>
              <w:left w:val="single" w:color="auto" w:sz="4" w:space="0"/>
              <w:bottom w:val="single" w:color="auto" w:sz="8" w:space="0"/>
              <w:right w:val="single" w:color="auto" w:sz="8" w:space="0"/>
            </w:tcBorders>
            <w:vAlign w:val="center"/>
          </w:tcPr>
          <w:p w14:paraId="07107E89">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详见招标文件第四章</w:t>
            </w:r>
          </w:p>
        </w:tc>
      </w:tr>
      <w:tr w14:paraId="72C77F30">
        <w:tblPrEx>
          <w:tblCellMar>
            <w:top w:w="0" w:type="dxa"/>
            <w:left w:w="0" w:type="dxa"/>
            <w:bottom w:w="0" w:type="dxa"/>
            <w:right w:w="0" w:type="dxa"/>
          </w:tblCellMar>
        </w:tblPrEx>
        <w:trPr>
          <w:trHeight w:val="535"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1EE586AB">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881" w:type="dxa"/>
            <w:tcBorders>
              <w:top w:val="single" w:color="auto" w:sz="8" w:space="0"/>
              <w:left w:val="single" w:color="auto" w:sz="4" w:space="0"/>
              <w:bottom w:val="single" w:color="auto" w:sz="8" w:space="0"/>
              <w:right w:val="single" w:color="auto" w:sz="4" w:space="0"/>
            </w:tcBorders>
            <w:vAlign w:val="center"/>
          </w:tcPr>
          <w:p w14:paraId="5DAF1112">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服务期限</w:t>
            </w:r>
          </w:p>
        </w:tc>
        <w:tc>
          <w:tcPr>
            <w:tcW w:w="7275" w:type="dxa"/>
            <w:tcBorders>
              <w:top w:val="single" w:color="auto" w:sz="8" w:space="0"/>
              <w:left w:val="single" w:color="auto" w:sz="4" w:space="0"/>
              <w:bottom w:val="single" w:color="auto" w:sz="8" w:space="0"/>
              <w:right w:val="single" w:color="auto" w:sz="8" w:space="0"/>
            </w:tcBorders>
            <w:vAlign w:val="center"/>
          </w:tcPr>
          <w:p w14:paraId="2FDA79BA">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从基础完工至主体工程</w:t>
            </w:r>
            <w:r>
              <w:rPr>
                <w:rFonts w:hint="eastAsia" w:ascii="宋体" w:hAnsi="宋体" w:eastAsia="宋体" w:cs="宋体"/>
                <w:color w:val="auto"/>
                <w:sz w:val="21"/>
                <w:szCs w:val="21"/>
                <w:highlight w:val="none"/>
                <w:lang w:val="en-US" w:eastAsia="zh-CN"/>
              </w:rPr>
              <w:t>竣工</w:t>
            </w:r>
            <w:r>
              <w:rPr>
                <w:rFonts w:hint="eastAsia" w:ascii="宋体" w:hAnsi="宋体" w:eastAsia="宋体" w:cs="宋体"/>
                <w:color w:val="auto"/>
                <w:sz w:val="21"/>
                <w:szCs w:val="21"/>
                <w:highlight w:val="none"/>
                <w:lang w:val="en-US"/>
              </w:rPr>
              <w:t>且沉降稳定为止。</w:t>
            </w:r>
          </w:p>
        </w:tc>
      </w:tr>
      <w:tr w14:paraId="636F10D8">
        <w:tblPrEx>
          <w:tblCellMar>
            <w:top w:w="0" w:type="dxa"/>
            <w:left w:w="0" w:type="dxa"/>
            <w:bottom w:w="0" w:type="dxa"/>
            <w:right w:w="0" w:type="dxa"/>
          </w:tblCellMar>
        </w:tblPrEx>
        <w:trPr>
          <w:trHeight w:val="425"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4E0C1EA8">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881" w:type="dxa"/>
            <w:tcBorders>
              <w:top w:val="single" w:color="auto" w:sz="8" w:space="0"/>
              <w:left w:val="single" w:color="auto" w:sz="4" w:space="0"/>
              <w:bottom w:val="single" w:color="auto" w:sz="8" w:space="0"/>
              <w:right w:val="single" w:color="auto" w:sz="4" w:space="0"/>
            </w:tcBorders>
            <w:vAlign w:val="center"/>
          </w:tcPr>
          <w:p w14:paraId="2D1685A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质量标准</w:t>
            </w:r>
          </w:p>
        </w:tc>
        <w:tc>
          <w:tcPr>
            <w:tcW w:w="7275" w:type="dxa"/>
            <w:tcBorders>
              <w:top w:val="single" w:color="auto" w:sz="8" w:space="0"/>
              <w:left w:val="single" w:color="auto" w:sz="4" w:space="0"/>
              <w:bottom w:val="single" w:color="auto" w:sz="8" w:space="0"/>
              <w:right w:val="single" w:color="auto" w:sz="8" w:space="0"/>
            </w:tcBorders>
            <w:vAlign w:val="top"/>
          </w:tcPr>
          <w:p w14:paraId="6A6C99FB">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1.投标人应按照国家行业标准《建筑变形测量规范》（JGJ8-2016）和安徽省有关规定强制性标准及施工图设计要求进行沉降观测工作。</w:t>
            </w:r>
          </w:p>
          <w:p w14:paraId="62FD8CB0">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2.投标人的测量成果须同时满足国家、省市标准、行业标准及招标人技术要求，当上述标准要求不一致时，以要求高者为准。</w:t>
            </w:r>
          </w:p>
          <w:p w14:paraId="3AF95126">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3.投标人须保证测量完成后按时出具完整的建筑物沉降观测报告，并保证报告符合规范的要求及建设行政主管部门验收要求，确保竣工验收备案通过。</w:t>
            </w:r>
          </w:p>
        </w:tc>
      </w:tr>
      <w:tr w14:paraId="4F3B082F">
        <w:tblPrEx>
          <w:tblCellMar>
            <w:top w:w="0" w:type="dxa"/>
            <w:left w:w="0" w:type="dxa"/>
            <w:bottom w:w="0" w:type="dxa"/>
            <w:right w:w="0" w:type="dxa"/>
          </w:tblCellMar>
        </w:tblPrEx>
        <w:trPr>
          <w:trHeight w:val="721"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4AD9B754">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881" w:type="dxa"/>
            <w:tcBorders>
              <w:top w:val="single" w:color="auto" w:sz="8" w:space="0"/>
              <w:left w:val="single" w:color="auto" w:sz="4" w:space="0"/>
              <w:bottom w:val="single" w:color="auto" w:sz="8" w:space="0"/>
              <w:right w:val="single" w:color="auto" w:sz="4" w:space="0"/>
            </w:tcBorders>
            <w:vAlign w:val="center"/>
          </w:tcPr>
          <w:p w14:paraId="310319C2">
            <w:pPr>
              <w:keepNext w:val="0"/>
              <w:keepLines w:val="0"/>
              <w:pageBreakBefore w:val="0"/>
              <w:numPr>
                <w:ilvl w:val="0"/>
                <w:numId w:val="0"/>
              </w:numPr>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投标人资质要求</w:t>
            </w:r>
          </w:p>
        </w:tc>
        <w:tc>
          <w:tcPr>
            <w:tcW w:w="7275" w:type="dxa"/>
            <w:tcBorders>
              <w:top w:val="single" w:color="auto" w:sz="8" w:space="0"/>
              <w:left w:val="single" w:color="auto" w:sz="4" w:space="0"/>
              <w:bottom w:val="single" w:color="auto" w:sz="8" w:space="0"/>
              <w:right w:val="single" w:color="auto" w:sz="8" w:space="0"/>
            </w:tcBorders>
            <w:vAlign w:val="center"/>
          </w:tcPr>
          <w:p w14:paraId="319D18A5">
            <w:pPr>
              <w:pStyle w:val="2"/>
              <w:keepNext w:val="0"/>
              <w:keepLines w:val="0"/>
              <w:pageBreakBefore w:val="0"/>
              <w:kinsoku/>
              <w:wordWrap/>
              <w:overflowPunct/>
              <w:autoSpaceDE/>
              <w:autoSpaceDN/>
              <w:bidi w:val="0"/>
              <w:spacing w:after="0" w:line="52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见招标公告</w:t>
            </w:r>
          </w:p>
        </w:tc>
      </w:tr>
      <w:tr w14:paraId="1327C97C">
        <w:tblPrEx>
          <w:tblCellMar>
            <w:top w:w="0" w:type="dxa"/>
            <w:left w:w="0" w:type="dxa"/>
            <w:bottom w:w="0" w:type="dxa"/>
            <w:right w:w="0" w:type="dxa"/>
          </w:tblCellMar>
        </w:tblPrEx>
        <w:trPr>
          <w:trHeight w:val="656"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6DE2678C">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1881" w:type="dxa"/>
            <w:tcBorders>
              <w:top w:val="single" w:color="auto" w:sz="8" w:space="0"/>
              <w:left w:val="single" w:color="auto" w:sz="4" w:space="0"/>
              <w:bottom w:val="single" w:color="auto" w:sz="8" w:space="0"/>
              <w:right w:val="single" w:color="auto" w:sz="4" w:space="0"/>
            </w:tcBorders>
            <w:vAlign w:val="center"/>
          </w:tcPr>
          <w:p w14:paraId="7D2E3ACC">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勘查现场</w:t>
            </w:r>
          </w:p>
        </w:tc>
        <w:tc>
          <w:tcPr>
            <w:tcW w:w="7275" w:type="dxa"/>
            <w:tcBorders>
              <w:top w:val="single" w:color="auto" w:sz="8" w:space="0"/>
              <w:left w:val="single" w:color="auto" w:sz="4" w:space="0"/>
              <w:bottom w:val="single" w:color="auto" w:sz="8" w:space="0"/>
              <w:right w:val="single" w:color="auto" w:sz="8" w:space="0"/>
            </w:tcBorders>
            <w:vAlign w:val="center"/>
          </w:tcPr>
          <w:p w14:paraId="598D0BBD">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不再集中召开</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投标人自行组织勘察现场。</w:t>
            </w:r>
          </w:p>
        </w:tc>
      </w:tr>
      <w:tr w14:paraId="77D6F486">
        <w:tblPrEx>
          <w:tblCellMar>
            <w:top w:w="0" w:type="dxa"/>
            <w:left w:w="0" w:type="dxa"/>
            <w:bottom w:w="0" w:type="dxa"/>
            <w:right w:w="0" w:type="dxa"/>
          </w:tblCellMar>
        </w:tblPrEx>
        <w:trPr>
          <w:trHeight w:val="656"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26107C5D">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w:t>
            </w:r>
          </w:p>
        </w:tc>
        <w:tc>
          <w:tcPr>
            <w:tcW w:w="1881" w:type="dxa"/>
            <w:tcBorders>
              <w:top w:val="single" w:color="auto" w:sz="8" w:space="0"/>
              <w:left w:val="single" w:color="auto" w:sz="4" w:space="0"/>
              <w:bottom w:val="single" w:color="auto" w:sz="8" w:space="0"/>
              <w:right w:val="single" w:color="auto" w:sz="4" w:space="0"/>
            </w:tcBorders>
            <w:vAlign w:val="center"/>
          </w:tcPr>
          <w:p w14:paraId="10EA23A5">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质疑与答疑</w:t>
            </w:r>
          </w:p>
        </w:tc>
        <w:tc>
          <w:tcPr>
            <w:tcW w:w="7275" w:type="dxa"/>
            <w:tcBorders>
              <w:top w:val="single" w:color="auto" w:sz="8" w:space="0"/>
              <w:left w:val="single" w:color="auto" w:sz="4" w:space="0"/>
              <w:bottom w:val="single" w:color="auto" w:sz="8" w:space="0"/>
              <w:right w:val="single" w:color="auto" w:sz="8" w:space="0"/>
            </w:tcBorders>
            <w:vAlign w:val="center"/>
          </w:tcPr>
          <w:p w14:paraId="4C4D65A1">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文件有质疑，可以</w:t>
            </w:r>
            <w:r>
              <w:rPr>
                <w:rFonts w:hint="eastAsia" w:ascii="宋体" w:hAnsi="宋体" w:eastAsia="宋体" w:cs="宋体"/>
                <w:b w:val="0"/>
                <w:bCs w:val="0"/>
                <w:color w:val="auto"/>
                <w:sz w:val="21"/>
                <w:szCs w:val="21"/>
                <w:highlight w:val="none"/>
              </w:rPr>
              <w:t>于</w:t>
            </w:r>
            <w:r>
              <w:rPr>
                <w:rFonts w:hint="eastAsia" w:ascii="宋体" w:hAnsi="宋体" w:eastAsia="宋体" w:cs="宋体"/>
                <w:b/>
                <w:bCs/>
                <w:color w:val="auto"/>
                <w:sz w:val="21"/>
                <w:szCs w:val="21"/>
                <w:highlight w:val="none"/>
                <w:lang w:val="en-US" w:eastAsia="zh-CN"/>
              </w:rPr>
              <w:t>2026年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29</w:t>
            </w:r>
            <w:r>
              <w:rPr>
                <w:rFonts w:hint="eastAsia" w:ascii="宋体" w:hAnsi="宋体" w:eastAsia="宋体" w:cs="宋体"/>
                <w:b/>
                <w:bCs/>
                <w:color w:val="auto"/>
                <w:sz w:val="21"/>
                <w:szCs w:val="21"/>
                <w:highlight w:val="none"/>
                <w:lang w:val="en-US" w:eastAsia="zh-CN"/>
              </w:rPr>
              <w:t>日17时前</w:t>
            </w:r>
            <w:r>
              <w:rPr>
                <w:rFonts w:hint="eastAsia" w:ascii="宋体" w:hAnsi="宋体" w:eastAsia="宋体" w:cs="宋体"/>
                <w:color w:val="auto"/>
                <w:sz w:val="21"/>
                <w:szCs w:val="21"/>
                <w:highlight w:val="none"/>
                <w:lang w:val="en-US" w:eastAsia="zh-CN"/>
              </w:rPr>
              <w:t>通过登录新点电子交易平台【滁州专区】线上提出异议</w:t>
            </w:r>
          </w:p>
          <w:p w14:paraId="789859A6">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2026年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lang w:val="en-US" w:eastAsia="zh-CN"/>
              </w:rPr>
              <w:t>日17时前</w:t>
            </w:r>
            <w:r>
              <w:rPr>
                <w:rFonts w:hint="eastAsia" w:ascii="宋体" w:hAnsi="宋体" w:eastAsia="宋体" w:cs="宋体"/>
                <w:color w:val="auto"/>
                <w:sz w:val="21"/>
                <w:szCs w:val="21"/>
                <w:highlight w:val="none"/>
              </w:rPr>
              <w:t>以澄清公告形式在中新苏滁高新技术产业开发区（https://scp.chuzhou.gov.cn/index.html）、滁州市城投工程咨询管理有限公司网站（https://www.czctgczx.com/）予以公告。</w:t>
            </w:r>
          </w:p>
        </w:tc>
      </w:tr>
      <w:tr w14:paraId="1A6F4220">
        <w:tblPrEx>
          <w:tblCellMar>
            <w:top w:w="0" w:type="dxa"/>
            <w:left w:w="0" w:type="dxa"/>
            <w:bottom w:w="0" w:type="dxa"/>
            <w:right w:w="0" w:type="dxa"/>
          </w:tblCellMar>
        </w:tblPrEx>
        <w:trPr>
          <w:trHeight w:val="435"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2A71792F">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8</w:t>
            </w:r>
          </w:p>
        </w:tc>
        <w:tc>
          <w:tcPr>
            <w:tcW w:w="1881" w:type="dxa"/>
            <w:tcBorders>
              <w:top w:val="single" w:color="auto" w:sz="8" w:space="0"/>
              <w:left w:val="single" w:color="auto" w:sz="4" w:space="0"/>
              <w:bottom w:val="single" w:color="auto" w:sz="8" w:space="0"/>
              <w:right w:val="single" w:color="auto" w:sz="4" w:space="0"/>
            </w:tcBorders>
            <w:vAlign w:val="center"/>
          </w:tcPr>
          <w:p w14:paraId="16C0C732">
            <w:pPr>
              <w:pStyle w:val="15"/>
              <w:keepNext w:val="0"/>
              <w:keepLines w:val="0"/>
              <w:pageBreakBefore w:val="0"/>
              <w:kinsoku/>
              <w:wordWrap/>
              <w:overflowPunct/>
              <w:topLinePunct w:val="0"/>
              <w:autoSpaceDE/>
              <w:autoSpaceDN/>
              <w:bidi w:val="0"/>
              <w:adjustRightInd/>
              <w:snapToGrid/>
              <w:spacing w:line="520" w:lineRule="exact"/>
              <w:ind w:left="6503" w:leftChars="104" w:hanging="6285" w:hangingChars="2993"/>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投标文件份数</w:t>
            </w:r>
          </w:p>
        </w:tc>
        <w:tc>
          <w:tcPr>
            <w:tcW w:w="7275" w:type="dxa"/>
            <w:tcBorders>
              <w:top w:val="single" w:color="auto" w:sz="8" w:space="0"/>
              <w:left w:val="single" w:color="auto" w:sz="4" w:space="0"/>
              <w:bottom w:val="single" w:color="auto" w:sz="8" w:space="0"/>
              <w:right w:val="single" w:color="auto" w:sz="8" w:space="0"/>
            </w:tcBorders>
            <w:vAlign w:val="center"/>
          </w:tcPr>
          <w:p w14:paraId="2758992D">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加密电子</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文件应在</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截止时间前通过</w:t>
            </w:r>
            <w:r>
              <w:rPr>
                <w:rFonts w:hint="eastAsia" w:ascii="宋体" w:hAnsi="宋体" w:eastAsia="宋体" w:cs="宋体"/>
                <w:b/>
                <w:bCs/>
                <w:color w:val="auto"/>
                <w:sz w:val="21"/>
                <w:szCs w:val="21"/>
                <w:highlight w:val="none"/>
                <w:lang w:val="en-US" w:eastAsia="zh-CN"/>
              </w:rPr>
              <w:t>登录新点电子交易平台【滁州专区】上传投标文件</w:t>
            </w:r>
            <w:r>
              <w:rPr>
                <w:rFonts w:hint="eastAsia" w:ascii="宋体" w:hAnsi="宋体" w:eastAsia="宋体" w:cs="宋体"/>
                <w:b/>
                <w:bCs/>
                <w:color w:val="auto"/>
                <w:sz w:val="21"/>
                <w:szCs w:val="21"/>
                <w:highlight w:val="none"/>
              </w:rPr>
              <w:t>。</w:t>
            </w:r>
          </w:p>
          <w:p w14:paraId="39503417">
            <w:pPr>
              <w:pStyle w:val="15"/>
              <w:keepNext w:val="0"/>
              <w:keepLines w:val="0"/>
              <w:pageBreakBefore w:val="0"/>
              <w:kinsoku/>
              <w:wordWrap/>
              <w:overflowPunct/>
              <w:topLinePunct w:val="0"/>
              <w:autoSpaceDE/>
              <w:autoSpaceDN/>
              <w:bidi w:val="0"/>
              <w:adjustRightInd/>
              <w:snapToGrid/>
              <w:spacing w:line="520" w:lineRule="exact"/>
              <w:ind w:left="0" w:leftChars="0" w:firstLine="0" w:firstLineChars="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投标人中标</w:t>
            </w:r>
            <w:r>
              <w:rPr>
                <w:rFonts w:hint="eastAsia" w:ascii="宋体" w:hAnsi="宋体" w:eastAsia="宋体" w:cs="宋体"/>
                <w:b/>
                <w:bCs/>
                <w:color w:val="auto"/>
                <w:sz w:val="21"/>
                <w:szCs w:val="21"/>
                <w:highlight w:val="none"/>
              </w:rPr>
              <w:t>后须递交与网上电子</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文件完全一致的纸质版</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文件，并按要求加盖单位</w:t>
            </w:r>
            <w:r>
              <w:rPr>
                <w:rFonts w:hint="eastAsia" w:ascii="宋体" w:hAnsi="宋体" w:eastAsia="宋体" w:cs="宋体"/>
                <w:b/>
                <w:bCs/>
                <w:color w:val="auto"/>
                <w:sz w:val="21"/>
                <w:szCs w:val="21"/>
                <w:highlight w:val="none"/>
                <w:lang w:val="en-US" w:eastAsia="zh-CN"/>
              </w:rPr>
              <w:t>公</w:t>
            </w:r>
            <w:r>
              <w:rPr>
                <w:rFonts w:hint="eastAsia" w:ascii="宋体" w:hAnsi="宋体" w:eastAsia="宋体" w:cs="宋体"/>
                <w:b/>
                <w:bCs/>
                <w:color w:val="auto"/>
                <w:sz w:val="21"/>
                <w:szCs w:val="21"/>
                <w:highlight w:val="none"/>
              </w:rPr>
              <w:t xml:space="preserve">章；份数：正本 </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 xml:space="preserve"> 份，副本</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份；</w:t>
            </w:r>
            <w:r>
              <w:rPr>
                <w:rFonts w:hint="eastAsia" w:ascii="宋体" w:hAnsi="宋体" w:eastAsia="宋体" w:cs="宋体"/>
                <w:b/>
                <w:bCs/>
                <w:color w:val="auto"/>
                <w:sz w:val="21"/>
                <w:szCs w:val="21"/>
                <w:highlight w:val="none"/>
                <w:lang w:val="en-US" w:eastAsia="zh-CN"/>
              </w:rPr>
              <w:t>中标人领</w:t>
            </w:r>
            <w:r>
              <w:rPr>
                <w:rFonts w:hint="eastAsia" w:ascii="宋体" w:hAnsi="宋体" w:eastAsia="宋体" w:cs="宋体"/>
                <w:b/>
                <w:bCs/>
                <w:color w:val="auto"/>
                <w:sz w:val="21"/>
                <w:szCs w:val="21"/>
                <w:highlight w:val="none"/>
              </w:rPr>
              <w:t>取</w:t>
            </w:r>
            <w:r>
              <w:rPr>
                <w:rFonts w:hint="eastAsia" w:ascii="宋体" w:hAnsi="宋体" w:eastAsia="宋体" w:cs="宋体"/>
                <w:b/>
                <w:bCs/>
                <w:color w:val="auto"/>
                <w:sz w:val="21"/>
                <w:szCs w:val="21"/>
                <w:highlight w:val="none"/>
                <w:lang w:val="en-US" w:eastAsia="zh-CN"/>
              </w:rPr>
              <w:t>中标</w:t>
            </w:r>
            <w:r>
              <w:rPr>
                <w:rFonts w:hint="eastAsia" w:ascii="宋体" w:hAnsi="宋体" w:eastAsia="宋体" w:cs="宋体"/>
                <w:b/>
                <w:bCs/>
                <w:color w:val="auto"/>
                <w:sz w:val="21"/>
                <w:szCs w:val="21"/>
                <w:highlight w:val="none"/>
              </w:rPr>
              <w:t>通知书时，一并递交给代理机构）。</w:t>
            </w:r>
          </w:p>
        </w:tc>
      </w:tr>
      <w:tr w14:paraId="7CD48083">
        <w:tblPrEx>
          <w:tblCellMar>
            <w:top w:w="0" w:type="dxa"/>
            <w:left w:w="0" w:type="dxa"/>
            <w:bottom w:w="0" w:type="dxa"/>
            <w:right w:w="0" w:type="dxa"/>
          </w:tblCellMar>
        </w:tblPrEx>
        <w:trPr>
          <w:trHeight w:val="662"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4D0DB56C">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9</w:t>
            </w:r>
          </w:p>
        </w:tc>
        <w:tc>
          <w:tcPr>
            <w:tcW w:w="1881" w:type="dxa"/>
            <w:tcBorders>
              <w:top w:val="single" w:color="auto" w:sz="8" w:space="0"/>
              <w:left w:val="single" w:color="auto" w:sz="4" w:space="0"/>
              <w:bottom w:val="single" w:color="auto" w:sz="8" w:space="0"/>
              <w:right w:val="single" w:color="auto" w:sz="4" w:space="0"/>
            </w:tcBorders>
            <w:vAlign w:val="center"/>
          </w:tcPr>
          <w:p w14:paraId="3DC452B1">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投标保证金</w:t>
            </w:r>
          </w:p>
        </w:tc>
        <w:tc>
          <w:tcPr>
            <w:tcW w:w="7275" w:type="dxa"/>
            <w:tcBorders>
              <w:top w:val="single" w:color="auto" w:sz="8" w:space="0"/>
              <w:left w:val="single" w:color="auto" w:sz="4" w:space="0"/>
              <w:bottom w:val="single" w:color="auto" w:sz="8" w:space="0"/>
              <w:right w:val="single" w:color="auto" w:sz="8" w:space="0"/>
            </w:tcBorders>
            <w:vAlign w:val="center"/>
          </w:tcPr>
          <w:p w14:paraId="550BF174">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lang w:val="en-US" w:eastAsia="zh-CN"/>
              </w:rPr>
              <w:t>本项目无投标保证金</w:t>
            </w:r>
          </w:p>
        </w:tc>
      </w:tr>
      <w:tr w14:paraId="64A792F5">
        <w:tblPrEx>
          <w:tblCellMar>
            <w:top w:w="0" w:type="dxa"/>
            <w:left w:w="0" w:type="dxa"/>
            <w:bottom w:w="0" w:type="dxa"/>
            <w:right w:w="0" w:type="dxa"/>
          </w:tblCellMar>
        </w:tblPrEx>
        <w:trPr>
          <w:trHeight w:val="637" w:hRule="atLeast"/>
          <w:jc w:val="center"/>
        </w:trPr>
        <w:tc>
          <w:tcPr>
            <w:tcW w:w="831" w:type="dxa"/>
            <w:tcBorders>
              <w:top w:val="single" w:color="auto" w:sz="8" w:space="0"/>
              <w:left w:val="single" w:color="auto" w:sz="8" w:space="0"/>
              <w:bottom w:val="single" w:color="auto" w:sz="8" w:space="0"/>
              <w:right w:val="single" w:color="auto" w:sz="8" w:space="0"/>
            </w:tcBorders>
            <w:shd w:val="clear" w:color="auto" w:fill="auto"/>
            <w:vAlign w:val="center"/>
          </w:tcPr>
          <w:p w14:paraId="47E47A11">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10</w:t>
            </w:r>
          </w:p>
        </w:tc>
        <w:tc>
          <w:tcPr>
            <w:tcW w:w="1881" w:type="dxa"/>
            <w:tcBorders>
              <w:top w:val="single" w:color="auto" w:sz="8" w:space="0"/>
              <w:left w:val="single" w:color="auto" w:sz="4" w:space="0"/>
              <w:bottom w:val="single" w:color="auto" w:sz="8" w:space="0"/>
              <w:right w:val="single" w:color="auto" w:sz="4" w:space="0"/>
            </w:tcBorders>
            <w:shd w:val="clear" w:color="auto" w:fill="auto"/>
            <w:vAlign w:val="center"/>
          </w:tcPr>
          <w:p w14:paraId="0058762A">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最高限价</w:t>
            </w:r>
          </w:p>
        </w:tc>
        <w:tc>
          <w:tcPr>
            <w:tcW w:w="7275" w:type="dxa"/>
            <w:tcBorders>
              <w:top w:val="single" w:color="auto" w:sz="8" w:space="0"/>
              <w:left w:val="single" w:color="auto" w:sz="4" w:space="0"/>
              <w:bottom w:val="single" w:color="auto" w:sz="8" w:space="0"/>
              <w:right w:val="single" w:color="auto" w:sz="8" w:space="0"/>
            </w:tcBorders>
            <w:shd w:val="clear" w:color="auto" w:fill="auto"/>
            <w:vAlign w:val="center"/>
          </w:tcPr>
          <w:p w14:paraId="29D4EEA7">
            <w:pPr>
              <w:pStyle w:val="2"/>
              <w:keepNext w:val="0"/>
              <w:keepLines w:val="0"/>
              <w:pageBreakBefore w:val="0"/>
              <w:kinsoku/>
              <w:wordWrap/>
              <w:overflowPunct/>
              <w:autoSpaceDE/>
              <w:autoSpaceDN/>
              <w:bidi w:val="0"/>
              <w:spacing w:after="0" w:line="520" w:lineRule="exact"/>
              <w:ind w:left="0" w:leftChars="0" w:firstLine="0" w:firstLineChars="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本项目最高限价为</w:t>
            </w:r>
            <w:r>
              <w:rPr>
                <w:rFonts w:hint="eastAsia" w:hAnsi="宋体" w:eastAsia="宋体" w:cs="宋体"/>
                <w:b/>
                <w:bCs/>
                <w:color w:val="auto"/>
                <w:sz w:val="21"/>
                <w:szCs w:val="21"/>
                <w:highlight w:val="none"/>
                <w:lang w:val="en-US" w:eastAsia="zh-CN"/>
              </w:rPr>
              <w:t>肆万元整</w:t>
            </w:r>
            <w:r>
              <w:rPr>
                <w:rFonts w:hint="eastAsia" w:ascii="宋体" w:hAnsi="宋体" w:eastAsia="宋体" w:cs="宋体"/>
                <w:b/>
                <w:bCs/>
                <w:color w:val="auto"/>
                <w:sz w:val="21"/>
                <w:szCs w:val="21"/>
                <w:highlight w:val="none"/>
                <w:lang w:val="en-US" w:eastAsia="zh-CN"/>
              </w:rPr>
              <w:t>（</w:t>
            </w:r>
            <w:r>
              <w:rPr>
                <w:rFonts w:hint="eastAsia" w:hAnsi="宋体" w:eastAsia="宋体" w:cs="宋体"/>
                <w:b/>
                <w:bCs/>
                <w:color w:val="auto"/>
                <w:sz w:val="21"/>
                <w:szCs w:val="21"/>
                <w:highlight w:val="none"/>
                <w:lang w:val="en-US" w:eastAsia="zh-CN"/>
              </w:rPr>
              <w:t>40000.00</w:t>
            </w:r>
            <w:r>
              <w:rPr>
                <w:rFonts w:hint="eastAsia" w:ascii="宋体" w:hAnsi="宋体" w:eastAsia="宋体" w:cs="宋体"/>
                <w:b/>
                <w:bCs/>
                <w:color w:val="auto"/>
                <w:sz w:val="21"/>
                <w:szCs w:val="21"/>
                <w:highlight w:val="none"/>
                <w:lang w:val="en-US" w:eastAsia="zh-CN"/>
              </w:rPr>
              <w:t>元</w:t>
            </w:r>
            <w:r>
              <w:rPr>
                <w:rFonts w:hint="eastAsia" w:hAnsi="宋体" w:eastAsia="宋体" w:cs="宋体"/>
                <w:b/>
                <w:bCs/>
                <w:color w:val="auto"/>
                <w:sz w:val="21"/>
                <w:szCs w:val="21"/>
                <w:highlight w:val="none"/>
                <w:lang w:val="en-US" w:eastAsia="zh-CN"/>
              </w:rPr>
              <w:t>，其</w:t>
            </w:r>
            <w:r>
              <w:rPr>
                <w:rFonts w:hint="eastAsia"/>
                <w:b/>
                <w:bCs/>
                <w:color w:val="auto"/>
                <w:lang w:val="en-US" w:eastAsia="zh-CN"/>
              </w:rPr>
              <w:t>中中新苏滁高新区（未来产业园）智能制造工业坊项目最高限价为25000.00元，中新苏滁高新区超级电容智能制造基地二期项目最高限价为15000.00元）</w:t>
            </w:r>
            <w:r>
              <w:rPr>
                <w:rFonts w:hint="eastAsia" w:ascii="宋体" w:hAnsi="宋体" w:eastAsia="宋体" w:cs="宋体"/>
                <w:b/>
                <w:bCs/>
                <w:color w:val="auto"/>
                <w:sz w:val="21"/>
                <w:szCs w:val="21"/>
                <w:highlight w:val="none"/>
                <w:lang w:val="en-US" w:eastAsia="zh-CN"/>
              </w:rPr>
              <w:t>，高于最高投标限价的按无效标处理。</w:t>
            </w:r>
          </w:p>
        </w:tc>
      </w:tr>
      <w:tr w14:paraId="7246DDE6">
        <w:tblPrEx>
          <w:tblCellMar>
            <w:top w:w="0" w:type="dxa"/>
            <w:left w:w="0" w:type="dxa"/>
            <w:bottom w:w="0" w:type="dxa"/>
            <w:right w:w="0" w:type="dxa"/>
          </w:tblCellMar>
        </w:tblPrEx>
        <w:trPr>
          <w:trHeight w:val="611"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44A0C6BF">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w:t>
            </w:r>
          </w:p>
        </w:tc>
        <w:tc>
          <w:tcPr>
            <w:tcW w:w="1881" w:type="dxa"/>
            <w:tcBorders>
              <w:top w:val="single" w:color="auto" w:sz="8" w:space="0"/>
              <w:left w:val="single" w:color="auto" w:sz="4" w:space="0"/>
              <w:bottom w:val="single" w:color="auto" w:sz="8" w:space="0"/>
              <w:right w:val="single" w:color="auto" w:sz="4" w:space="0"/>
            </w:tcBorders>
            <w:shd w:val="clear" w:color="auto" w:fill="auto"/>
            <w:vAlign w:val="center"/>
          </w:tcPr>
          <w:p w14:paraId="3253F87D">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投标有效期</w:t>
            </w:r>
          </w:p>
        </w:tc>
        <w:tc>
          <w:tcPr>
            <w:tcW w:w="7275" w:type="dxa"/>
            <w:tcBorders>
              <w:top w:val="single" w:color="auto" w:sz="8" w:space="0"/>
              <w:left w:val="single" w:color="auto" w:sz="4" w:space="0"/>
              <w:bottom w:val="single" w:color="auto" w:sz="8" w:space="0"/>
              <w:right w:val="single" w:color="auto" w:sz="8" w:space="0"/>
            </w:tcBorders>
            <w:shd w:val="clear" w:color="auto" w:fill="auto"/>
            <w:vAlign w:val="center"/>
          </w:tcPr>
          <w:p w14:paraId="265EA630">
            <w:pPr>
              <w:keepNext w:val="0"/>
              <w:keepLines w:val="0"/>
              <w:pageBreakBefore w:val="0"/>
              <w:kinsoku/>
              <w:wordWrap/>
              <w:overflowPunct/>
              <w:autoSpaceDE/>
              <w:autoSpaceDN/>
              <w:bidi w:val="0"/>
              <w:spacing w:line="52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1DF888CB">
        <w:tblPrEx>
          <w:tblCellMar>
            <w:top w:w="0" w:type="dxa"/>
            <w:left w:w="0" w:type="dxa"/>
            <w:bottom w:w="0" w:type="dxa"/>
            <w:right w:w="0" w:type="dxa"/>
          </w:tblCellMar>
        </w:tblPrEx>
        <w:trPr>
          <w:trHeight w:val="559"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6EE18CEF">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w:t>
            </w:r>
          </w:p>
        </w:tc>
        <w:tc>
          <w:tcPr>
            <w:tcW w:w="1881" w:type="dxa"/>
            <w:tcBorders>
              <w:top w:val="single" w:color="auto" w:sz="8" w:space="0"/>
              <w:left w:val="single" w:color="auto" w:sz="4" w:space="0"/>
              <w:bottom w:val="single" w:color="auto" w:sz="8" w:space="0"/>
              <w:right w:val="single" w:color="auto" w:sz="4" w:space="0"/>
            </w:tcBorders>
            <w:vAlign w:val="center"/>
          </w:tcPr>
          <w:p w14:paraId="7A2D5162">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开标时间</w:t>
            </w:r>
          </w:p>
        </w:tc>
        <w:tc>
          <w:tcPr>
            <w:tcW w:w="7275" w:type="dxa"/>
            <w:tcBorders>
              <w:top w:val="single" w:color="auto" w:sz="8" w:space="0"/>
              <w:left w:val="single" w:color="auto" w:sz="4" w:space="0"/>
              <w:bottom w:val="single" w:color="auto" w:sz="8" w:space="0"/>
              <w:right w:val="single" w:color="auto" w:sz="8" w:space="0"/>
            </w:tcBorders>
            <w:vAlign w:val="center"/>
          </w:tcPr>
          <w:p w14:paraId="1FB017A2">
            <w:pPr>
              <w:keepNext w:val="0"/>
              <w:keepLines w:val="0"/>
              <w:pageBreakBefore w:val="0"/>
              <w:widowControl/>
              <w:kinsoku/>
              <w:wordWrap/>
              <w:overflowPunct/>
              <w:topLinePunct w:val="0"/>
              <w:autoSpaceDE/>
              <w:autoSpaceDN/>
              <w:bidi w:val="0"/>
              <w:adjustRightInd/>
              <w:spacing w:line="520" w:lineRule="exact"/>
              <w:jc w:val="left"/>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lang w:val="en-US" w:eastAsia="zh-CN"/>
              </w:rPr>
              <w:t>开标时间：</w:t>
            </w:r>
            <w:r>
              <w:rPr>
                <w:rFonts w:hint="eastAsia" w:ascii="宋体" w:hAnsi="宋体" w:eastAsia="宋体" w:cs="宋体"/>
                <w:b/>
                <w:bCs/>
                <w:color w:val="auto"/>
                <w:sz w:val="21"/>
                <w:szCs w:val="21"/>
                <w:highlight w:val="none"/>
                <w:u w:val="none"/>
              </w:rPr>
              <w:t>202</w:t>
            </w:r>
            <w:r>
              <w:rPr>
                <w:rFonts w:hint="eastAsia" w:ascii="宋体" w:hAnsi="宋体" w:eastAsia="宋体" w:cs="宋体"/>
                <w:b/>
                <w:bCs/>
                <w:color w:val="auto"/>
                <w:sz w:val="21"/>
                <w:szCs w:val="21"/>
                <w:highlight w:val="none"/>
                <w:u w:val="none"/>
                <w:lang w:val="en-US" w:eastAsia="zh-CN"/>
              </w:rPr>
              <w:t>6</w:t>
            </w:r>
            <w:r>
              <w:rPr>
                <w:rFonts w:hint="eastAsia" w:ascii="宋体" w:hAnsi="宋体" w:eastAsia="宋体" w:cs="宋体"/>
                <w:b/>
                <w:bCs/>
                <w:color w:val="auto"/>
                <w:sz w:val="21"/>
                <w:szCs w:val="21"/>
                <w:highlight w:val="none"/>
                <w:u w:val="none"/>
              </w:rPr>
              <w:t>年</w:t>
            </w:r>
            <w:r>
              <w:rPr>
                <w:rFonts w:hint="eastAsia" w:ascii="宋体" w:hAnsi="宋体" w:eastAsia="宋体" w:cs="宋体"/>
                <w:b/>
                <w:bCs/>
                <w:color w:val="auto"/>
                <w:sz w:val="21"/>
                <w:szCs w:val="21"/>
                <w:highlight w:val="none"/>
                <w:u w:val="none"/>
                <w:lang w:val="en-US" w:eastAsia="zh-CN"/>
              </w:rPr>
              <w:t>11</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none"/>
                <w:lang w:val="en-US" w:eastAsia="zh-CN"/>
              </w:rPr>
              <w:t>3</w:t>
            </w:r>
            <w:r>
              <w:rPr>
                <w:rFonts w:hint="eastAsia" w:ascii="宋体" w:hAnsi="宋体" w:eastAsia="宋体" w:cs="宋体"/>
                <w:b/>
                <w:bCs/>
                <w:color w:val="auto"/>
                <w:sz w:val="21"/>
                <w:szCs w:val="21"/>
                <w:highlight w:val="none"/>
                <w:u w:val="none"/>
              </w:rPr>
              <w:t>日</w:t>
            </w:r>
            <w:r>
              <w:rPr>
                <w:rFonts w:hint="eastAsia" w:ascii="宋体" w:hAnsi="宋体" w:eastAsia="宋体" w:cs="宋体"/>
                <w:b/>
                <w:bCs/>
                <w:color w:val="auto"/>
                <w:sz w:val="21"/>
                <w:szCs w:val="21"/>
                <w:highlight w:val="none"/>
                <w:u w:val="none"/>
                <w:lang w:val="en-US" w:eastAsia="zh-CN"/>
              </w:rPr>
              <w:t>9</w:t>
            </w:r>
            <w:r>
              <w:rPr>
                <w:rFonts w:hint="eastAsia" w:ascii="宋体" w:hAnsi="宋体" w:eastAsia="宋体" w:cs="宋体"/>
                <w:b/>
                <w:bCs/>
                <w:color w:val="auto"/>
                <w:sz w:val="21"/>
                <w:szCs w:val="21"/>
                <w:highlight w:val="none"/>
                <w:u w:val="none"/>
              </w:rPr>
              <w:t>时</w:t>
            </w:r>
            <w:r>
              <w:rPr>
                <w:rFonts w:hint="eastAsia" w:ascii="宋体" w:hAnsi="宋体" w:eastAsia="宋体" w:cs="宋体"/>
                <w:b/>
                <w:bCs/>
                <w:color w:val="auto"/>
                <w:sz w:val="21"/>
                <w:szCs w:val="21"/>
                <w:highlight w:val="none"/>
                <w:u w:val="none"/>
                <w:lang w:val="en-US" w:eastAsia="zh-CN"/>
              </w:rPr>
              <w:t>00</w:t>
            </w:r>
            <w:r>
              <w:rPr>
                <w:rFonts w:hint="eastAsia" w:ascii="宋体" w:hAnsi="宋体" w:eastAsia="宋体" w:cs="宋体"/>
                <w:b/>
                <w:bCs/>
                <w:color w:val="auto"/>
                <w:sz w:val="21"/>
                <w:szCs w:val="21"/>
                <w:highlight w:val="none"/>
                <w:u w:val="none"/>
              </w:rPr>
              <w:t>分</w:t>
            </w:r>
          </w:p>
          <w:p w14:paraId="5CF7210A">
            <w:pPr>
              <w:keepNext w:val="0"/>
              <w:keepLines w:val="0"/>
              <w:pageBreakBefore w:val="0"/>
              <w:widowControl/>
              <w:kinsoku/>
              <w:wordWrap/>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解密时间：</w:t>
            </w:r>
            <w:r>
              <w:rPr>
                <w:rFonts w:hint="eastAsia" w:ascii="宋体" w:hAnsi="宋体" w:eastAsia="宋体" w:cs="宋体"/>
                <w:color w:val="auto"/>
                <w:sz w:val="21"/>
                <w:szCs w:val="21"/>
                <w:highlight w:val="none"/>
              </w:rPr>
              <w:t>解密程序开始后</w:t>
            </w:r>
            <w:r>
              <w:rPr>
                <w:rFonts w:hint="eastAsia" w:ascii="宋体" w:hAnsi="宋体" w:eastAsia="宋体" w:cs="宋体"/>
                <w:color w:val="auto"/>
                <w:sz w:val="21"/>
                <w:szCs w:val="21"/>
                <w:highlight w:val="none"/>
                <w:u w:val="none"/>
                <w:lang w:val="en-US" w:eastAsia="zh-CN"/>
              </w:rPr>
              <w:t>30</w:t>
            </w:r>
            <w:r>
              <w:rPr>
                <w:rFonts w:hint="eastAsia" w:ascii="宋体" w:hAnsi="宋体" w:eastAsia="宋体" w:cs="宋体"/>
                <w:color w:val="auto"/>
                <w:sz w:val="21"/>
                <w:szCs w:val="21"/>
                <w:highlight w:val="none"/>
              </w:rPr>
              <w:t>分钟内</w:t>
            </w:r>
            <w:r>
              <w:rPr>
                <w:rFonts w:hint="eastAsia" w:ascii="宋体" w:hAnsi="宋体" w:eastAsia="宋体" w:cs="宋体"/>
                <w:bCs/>
                <w:snapToGrid w:val="0"/>
                <w:color w:val="auto"/>
                <w:kern w:val="0"/>
                <w:sz w:val="21"/>
                <w:szCs w:val="21"/>
                <w:highlight w:val="none"/>
              </w:rPr>
              <w:t>，</w:t>
            </w:r>
            <w:r>
              <w:rPr>
                <w:rFonts w:hint="eastAsia" w:ascii="宋体" w:hAnsi="宋体" w:eastAsia="宋体" w:cs="宋体"/>
                <w:b/>
                <w:bCs/>
                <w:color w:val="auto"/>
                <w:sz w:val="21"/>
                <w:szCs w:val="21"/>
                <w:highlight w:val="none"/>
              </w:rPr>
              <w:t>解密时间为</w:t>
            </w:r>
            <w:r>
              <w:rPr>
                <w:rFonts w:hint="eastAsia" w:ascii="宋体" w:hAnsi="宋体" w:eastAsia="宋体" w:cs="宋体"/>
                <w:b/>
                <w:bCs/>
                <w:color w:val="auto"/>
                <w:sz w:val="21"/>
                <w:szCs w:val="21"/>
                <w:highlight w:val="none"/>
                <w:u w:val="single"/>
                <w:lang w:val="en-US" w:eastAsia="zh-CN"/>
              </w:rPr>
              <w:t>2026</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u w:val="single"/>
                <w:lang w:val="en-US" w:eastAsia="zh-CN"/>
              </w:rPr>
              <w:t>11</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u w:val="single"/>
                <w:lang w:val="en-US" w:eastAsia="zh-CN"/>
              </w:rPr>
              <w:t>3</w:t>
            </w:r>
            <w:r>
              <w:rPr>
                <w:rFonts w:hint="eastAsia" w:ascii="宋体" w:hAnsi="宋体" w:eastAsia="宋体" w:cs="宋体"/>
                <w:b/>
                <w:bCs/>
                <w:color w:val="auto"/>
                <w:sz w:val="21"/>
                <w:szCs w:val="21"/>
                <w:highlight w:val="none"/>
              </w:rPr>
              <w:t>日</w:t>
            </w:r>
            <w:r>
              <w:rPr>
                <w:rFonts w:hint="eastAsia" w:ascii="宋体" w:hAnsi="宋体" w:eastAsia="宋体"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u w:val="single"/>
                <w:lang w:val="en-US" w:eastAsia="zh-CN"/>
              </w:rPr>
              <w:t>00</w:t>
            </w:r>
            <w:r>
              <w:rPr>
                <w:rFonts w:hint="eastAsia" w:ascii="宋体" w:hAnsi="宋体" w:eastAsia="宋体" w:cs="宋体"/>
                <w:b/>
                <w:bCs/>
                <w:color w:val="auto"/>
                <w:sz w:val="21"/>
                <w:szCs w:val="21"/>
                <w:highlight w:val="none"/>
              </w:rPr>
              <w:t>分至</w:t>
            </w:r>
            <w:r>
              <w:rPr>
                <w:rFonts w:hint="eastAsia" w:ascii="宋体" w:hAnsi="宋体" w:eastAsia="宋体" w:cs="宋体"/>
                <w:b/>
                <w:bCs/>
                <w:color w:val="auto"/>
                <w:sz w:val="21"/>
                <w:szCs w:val="21"/>
                <w:highlight w:val="none"/>
                <w:u w:val="single"/>
                <w:lang w:val="en-US" w:eastAsia="zh-CN"/>
              </w:rPr>
              <w:t>2026</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u w:val="single"/>
                <w:lang w:val="en-US" w:eastAsia="zh-CN"/>
              </w:rPr>
              <w:t>11</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u w:val="single"/>
                <w:lang w:val="en-US" w:eastAsia="zh-CN"/>
              </w:rPr>
              <w:t>3</w:t>
            </w:r>
            <w:r>
              <w:rPr>
                <w:rFonts w:hint="eastAsia" w:ascii="宋体" w:hAnsi="宋体" w:eastAsia="宋体" w:cs="宋体"/>
                <w:b/>
                <w:bCs/>
                <w:color w:val="auto"/>
                <w:sz w:val="21"/>
                <w:szCs w:val="21"/>
                <w:highlight w:val="none"/>
              </w:rPr>
              <w:t>日</w:t>
            </w:r>
            <w:r>
              <w:rPr>
                <w:rFonts w:hint="eastAsia" w:ascii="宋体" w:hAnsi="宋体" w:eastAsia="宋体"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u w:val="single"/>
                <w:lang w:val="en-US" w:eastAsia="zh-CN"/>
              </w:rPr>
              <w:t>30</w:t>
            </w:r>
            <w:r>
              <w:rPr>
                <w:rFonts w:hint="eastAsia" w:ascii="宋体" w:hAnsi="宋体" w:eastAsia="宋体" w:cs="宋体"/>
                <w:b/>
                <w:bCs/>
                <w:color w:val="auto"/>
                <w:sz w:val="21"/>
                <w:szCs w:val="21"/>
                <w:highlight w:val="none"/>
              </w:rPr>
              <w:t>分</w:t>
            </w:r>
            <w:r>
              <w:rPr>
                <w:rFonts w:hint="eastAsia" w:ascii="宋体" w:hAnsi="宋体" w:eastAsia="宋体" w:cs="宋体"/>
                <w:bCs/>
                <w:snapToGrid w:val="0"/>
                <w:color w:val="auto"/>
                <w:kern w:val="0"/>
                <w:sz w:val="21"/>
                <w:szCs w:val="21"/>
                <w:highlight w:val="none"/>
              </w:rPr>
              <w:t>（以电子交易系统解密倒计时为准）</w:t>
            </w:r>
          </w:p>
        </w:tc>
      </w:tr>
      <w:tr w14:paraId="22AC8A55">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6C518AAA">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w:t>
            </w:r>
          </w:p>
        </w:tc>
        <w:tc>
          <w:tcPr>
            <w:tcW w:w="1881" w:type="dxa"/>
            <w:tcBorders>
              <w:top w:val="single" w:color="auto" w:sz="8" w:space="0"/>
              <w:left w:val="single" w:color="auto" w:sz="4" w:space="0"/>
              <w:bottom w:val="single" w:color="auto" w:sz="8" w:space="0"/>
              <w:right w:val="single" w:color="auto" w:sz="4" w:space="0"/>
            </w:tcBorders>
            <w:vAlign w:val="center"/>
          </w:tcPr>
          <w:p w14:paraId="1E2A3C6B">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投标文件提交截止时间及地点</w:t>
            </w:r>
          </w:p>
        </w:tc>
        <w:tc>
          <w:tcPr>
            <w:tcW w:w="7275" w:type="dxa"/>
            <w:tcBorders>
              <w:top w:val="single" w:color="auto" w:sz="8" w:space="0"/>
              <w:left w:val="single" w:color="auto" w:sz="4" w:space="0"/>
              <w:bottom w:val="single" w:color="auto" w:sz="8" w:space="0"/>
              <w:right w:val="single" w:color="auto" w:sz="8" w:space="0"/>
            </w:tcBorders>
            <w:vAlign w:val="center"/>
          </w:tcPr>
          <w:p w14:paraId="133AD02D">
            <w:pPr>
              <w:keepNext w:val="0"/>
              <w:keepLines w:val="0"/>
              <w:pageBreakBefore w:val="0"/>
              <w:widowControl/>
              <w:kinsoku/>
              <w:wordWrap/>
              <w:overflowPunct/>
              <w:topLinePunct w:val="0"/>
              <w:autoSpaceDE/>
              <w:autoSpaceDN/>
              <w:bidi w:val="0"/>
              <w:adjustRightIn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时间：</w:t>
            </w:r>
            <w:r>
              <w:rPr>
                <w:rFonts w:hint="eastAsia" w:ascii="宋体" w:hAnsi="宋体" w:eastAsia="宋体" w:cs="宋体"/>
                <w:b/>
                <w:bCs/>
                <w:color w:val="auto"/>
                <w:sz w:val="21"/>
                <w:szCs w:val="21"/>
                <w:highlight w:val="none"/>
                <w:u w:val="none"/>
              </w:rPr>
              <w:t>202</w:t>
            </w:r>
            <w:r>
              <w:rPr>
                <w:rFonts w:hint="eastAsia" w:ascii="宋体" w:hAnsi="宋体" w:eastAsia="宋体" w:cs="宋体"/>
                <w:b/>
                <w:bCs/>
                <w:color w:val="auto"/>
                <w:sz w:val="21"/>
                <w:szCs w:val="21"/>
                <w:highlight w:val="none"/>
                <w:u w:val="none"/>
                <w:lang w:val="en-US" w:eastAsia="zh-CN"/>
              </w:rPr>
              <w:t>6</w:t>
            </w:r>
            <w:r>
              <w:rPr>
                <w:rFonts w:hint="eastAsia" w:ascii="宋体" w:hAnsi="宋体" w:eastAsia="宋体" w:cs="宋体"/>
                <w:b/>
                <w:bCs/>
                <w:color w:val="auto"/>
                <w:sz w:val="21"/>
                <w:szCs w:val="21"/>
                <w:highlight w:val="none"/>
                <w:u w:val="none"/>
              </w:rPr>
              <w:t>年</w:t>
            </w:r>
            <w:r>
              <w:rPr>
                <w:rFonts w:hint="eastAsia" w:ascii="宋体" w:hAnsi="宋体" w:eastAsia="宋体" w:cs="宋体"/>
                <w:b/>
                <w:bCs/>
                <w:color w:val="auto"/>
                <w:sz w:val="21"/>
                <w:szCs w:val="21"/>
                <w:highlight w:val="none"/>
                <w:u w:val="none"/>
                <w:lang w:val="en-US" w:eastAsia="zh-CN"/>
              </w:rPr>
              <w:t>11</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none"/>
                <w:lang w:val="en-US" w:eastAsia="zh-CN"/>
              </w:rPr>
              <w:t>3</w:t>
            </w:r>
            <w:r>
              <w:rPr>
                <w:rFonts w:hint="eastAsia" w:ascii="宋体" w:hAnsi="宋体" w:eastAsia="宋体" w:cs="宋体"/>
                <w:b/>
                <w:bCs/>
                <w:color w:val="auto"/>
                <w:sz w:val="21"/>
                <w:szCs w:val="21"/>
                <w:highlight w:val="none"/>
                <w:u w:val="none"/>
              </w:rPr>
              <w:t>日</w:t>
            </w:r>
            <w:r>
              <w:rPr>
                <w:rFonts w:hint="eastAsia" w:ascii="宋体" w:hAnsi="宋体" w:eastAsia="宋体" w:cs="宋体"/>
                <w:b/>
                <w:bCs/>
                <w:color w:val="auto"/>
                <w:sz w:val="21"/>
                <w:szCs w:val="21"/>
                <w:highlight w:val="none"/>
                <w:u w:val="none"/>
                <w:lang w:val="en-US" w:eastAsia="zh-CN"/>
              </w:rPr>
              <w:t>9</w:t>
            </w:r>
            <w:r>
              <w:rPr>
                <w:rFonts w:hint="eastAsia" w:ascii="宋体" w:hAnsi="宋体" w:eastAsia="宋体" w:cs="宋体"/>
                <w:b/>
                <w:bCs/>
                <w:color w:val="auto"/>
                <w:sz w:val="21"/>
                <w:szCs w:val="21"/>
                <w:highlight w:val="none"/>
                <w:u w:val="none"/>
              </w:rPr>
              <w:t>时</w:t>
            </w:r>
            <w:r>
              <w:rPr>
                <w:rFonts w:hint="eastAsia" w:ascii="宋体" w:hAnsi="宋体" w:eastAsia="宋体" w:cs="宋体"/>
                <w:b/>
                <w:bCs/>
                <w:color w:val="auto"/>
                <w:sz w:val="21"/>
                <w:szCs w:val="21"/>
                <w:highlight w:val="none"/>
                <w:u w:val="none"/>
                <w:lang w:val="en-US" w:eastAsia="zh-CN"/>
              </w:rPr>
              <w:t>00</w:t>
            </w:r>
            <w:r>
              <w:rPr>
                <w:rFonts w:hint="eastAsia" w:ascii="宋体" w:hAnsi="宋体" w:eastAsia="宋体" w:cs="宋体"/>
                <w:b/>
                <w:bCs/>
                <w:color w:val="auto"/>
                <w:sz w:val="21"/>
                <w:szCs w:val="21"/>
                <w:highlight w:val="none"/>
                <w:u w:val="none"/>
              </w:rPr>
              <w:t>分</w:t>
            </w:r>
          </w:p>
          <w:p w14:paraId="11617161">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地点：</w:t>
            </w:r>
            <w:r>
              <w:rPr>
                <w:rFonts w:hint="eastAsia" w:ascii="宋体" w:hAnsi="宋体" w:eastAsia="宋体" w:cs="宋体"/>
                <w:color w:val="auto"/>
                <w:kern w:val="0"/>
                <w:sz w:val="21"/>
                <w:szCs w:val="21"/>
                <w:highlight w:val="none"/>
                <w:lang w:val="en-US" w:eastAsia="zh-CN"/>
              </w:rPr>
              <w:t>本项目仅接受加密电子投标文件，投标人在投标截止时间前通过新点电子交易平台后在【滁州专区】（https://www.etrading.cn/BREpointSSO/login/oauth2login?regioncode=DQ_ChuZhou）交易系统递交电子投标文件。</w:t>
            </w:r>
          </w:p>
        </w:tc>
      </w:tr>
      <w:tr w14:paraId="49AB4189">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6BFF2FCD">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w:t>
            </w:r>
          </w:p>
        </w:tc>
        <w:tc>
          <w:tcPr>
            <w:tcW w:w="1881" w:type="dxa"/>
            <w:tcBorders>
              <w:top w:val="single" w:color="auto" w:sz="8" w:space="0"/>
              <w:left w:val="single" w:color="auto" w:sz="4" w:space="0"/>
              <w:bottom w:val="single" w:color="auto" w:sz="8" w:space="0"/>
              <w:right w:val="single" w:color="auto" w:sz="4" w:space="0"/>
            </w:tcBorders>
            <w:vAlign w:val="center"/>
          </w:tcPr>
          <w:p w14:paraId="72607938">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是否退还</w:t>
            </w:r>
            <w:r>
              <w:rPr>
                <w:rFonts w:hint="eastAsia" w:ascii="宋体" w:hAnsi="宋体" w:eastAsia="宋体" w:cs="宋体"/>
                <w:bCs/>
                <w:color w:val="auto"/>
                <w:sz w:val="21"/>
                <w:szCs w:val="21"/>
                <w:highlight w:val="none"/>
                <w:lang w:val="en-US" w:eastAsia="zh-CN"/>
              </w:rPr>
              <w:t>投标文件</w:t>
            </w:r>
          </w:p>
        </w:tc>
        <w:tc>
          <w:tcPr>
            <w:tcW w:w="7275" w:type="dxa"/>
            <w:tcBorders>
              <w:top w:val="single" w:color="auto" w:sz="8" w:space="0"/>
              <w:left w:val="single" w:color="auto" w:sz="4" w:space="0"/>
              <w:bottom w:val="single" w:color="auto" w:sz="8" w:space="0"/>
              <w:right w:val="single" w:color="auto" w:sz="8" w:space="0"/>
            </w:tcBorders>
            <w:vAlign w:val="center"/>
          </w:tcPr>
          <w:p w14:paraId="6882F73B">
            <w:pPr>
              <w:pStyle w:val="12"/>
              <w:keepNext w:val="0"/>
              <w:keepLines w:val="0"/>
              <w:pageBreakBefore w:val="0"/>
              <w:kinsoku/>
              <w:wordWrap/>
              <w:overflowPunct/>
              <w:topLinePunct/>
              <w:autoSpaceDE/>
              <w:autoSpaceDN/>
              <w:bidi w:val="0"/>
              <w:spacing w:line="5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否</w:t>
            </w:r>
          </w:p>
        </w:tc>
      </w:tr>
      <w:tr w14:paraId="0D44FCE2">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0201AA15">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w:t>
            </w:r>
          </w:p>
        </w:tc>
        <w:tc>
          <w:tcPr>
            <w:tcW w:w="1881" w:type="dxa"/>
            <w:tcBorders>
              <w:top w:val="single" w:color="auto" w:sz="8" w:space="0"/>
              <w:left w:val="single" w:color="auto" w:sz="4" w:space="0"/>
              <w:bottom w:val="single" w:color="auto" w:sz="8" w:space="0"/>
              <w:right w:val="single" w:color="auto" w:sz="4" w:space="0"/>
            </w:tcBorders>
            <w:shd w:val="clear" w:color="auto" w:fill="auto"/>
            <w:vAlign w:val="center"/>
          </w:tcPr>
          <w:p w14:paraId="3E0FAA16">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开标程序</w:t>
            </w:r>
          </w:p>
        </w:tc>
        <w:tc>
          <w:tcPr>
            <w:tcW w:w="7275" w:type="dxa"/>
            <w:tcBorders>
              <w:top w:val="single" w:color="auto" w:sz="8" w:space="0"/>
              <w:left w:val="single" w:color="auto" w:sz="4" w:space="0"/>
              <w:bottom w:val="single" w:color="auto" w:sz="8" w:space="0"/>
              <w:right w:val="single" w:color="auto" w:sz="8" w:space="0"/>
            </w:tcBorders>
            <w:shd w:val="clear" w:color="auto" w:fill="auto"/>
            <w:vAlign w:val="center"/>
          </w:tcPr>
          <w:p w14:paraId="655498FA">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先资格审查</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再进行评审。</w:t>
            </w:r>
          </w:p>
        </w:tc>
      </w:tr>
      <w:tr w14:paraId="05319246">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17479927">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w:t>
            </w:r>
          </w:p>
        </w:tc>
        <w:tc>
          <w:tcPr>
            <w:tcW w:w="1881" w:type="dxa"/>
            <w:tcBorders>
              <w:top w:val="single" w:color="auto" w:sz="8" w:space="0"/>
              <w:left w:val="single" w:color="auto" w:sz="4" w:space="0"/>
              <w:bottom w:val="single" w:color="auto" w:sz="8" w:space="0"/>
              <w:right w:val="single" w:color="auto" w:sz="4" w:space="0"/>
            </w:tcBorders>
            <w:vAlign w:val="center"/>
          </w:tcPr>
          <w:p w14:paraId="1D0CC42A">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评标委员会的组建</w:t>
            </w:r>
          </w:p>
        </w:tc>
        <w:tc>
          <w:tcPr>
            <w:tcW w:w="7275" w:type="dxa"/>
            <w:tcBorders>
              <w:top w:val="single" w:color="auto" w:sz="8" w:space="0"/>
              <w:left w:val="single" w:color="auto" w:sz="4" w:space="0"/>
              <w:bottom w:val="single" w:color="auto" w:sz="8" w:space="0"/>
              <w:right w:val="single" w:color="auto" w:sz="8" w:space="0"/>
            </w:tcBorders>
            <w:vAlign w:val="center"/>
          </w:tcPr>
          <w:p w14:paraId="53C1C48C">
            <w:pPr>
              <w:pStyle w:val="14"/>
              <w:keepNext w:val="0"/>
              <w:keepLines w:val="0"/>
              <w:pageBreakBefore w:val="0"/>
              <w:kinsoku/>
              <w:wordWrap/>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人，其中招标人代表</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人，评标专家</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人。</w:t>
            </w:r>
          </w:p>
          <w:p w14:paraId="68975185">
            <w:pPr>
              <w:keepNext w:val="0"/>
              <w:keepLines w:val="0"/>
              <w:pageBreakBefore w:val="0"/>
              <w:kinsoku/>
              <w:wordWrap/>
              <w:overflowPunct/>
              <w:autoSpaceDE/>
              <w:autoSpaceDN/>
              <w:bidi w:val="0"/>
              <w:spacing w:line="5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评标专家确定方式：评标专家由招标人在评标活动开始前24小时内，通过抽取终端从专家库中随机抽取。</w:t>
            </w:r>
          </w:p>
        </w:tc>
      </w:tr>
      <w:tr w14:paraId="6E9C6D4C">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0D2B4113">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w:t>
            </w:r>
          </w:p>
        </w:tc>
        <w:tc>
          <w:tcPr>
            <w:tcW w:w="1881" w:type="dxa"/>
            <w:tcBorders>
              <w:top w:val="single" w:color="auto" w:sz="8" w:space="0"/>
              <w:left w:val="single" w:color="auto" w:sz="4" w:space="0"/>
              <w:bottom w:val="single" w:color="auto" w:sz="8" w:space="0"/>
              <w:right w:val="single" w:color="auto" w:sz="4" w:space="0"/>
            </w:tcBorders>
            <w:vAlign w:val="center"/>
          </w:tcPr>
          <w:p w14:paraId="7DE89038">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是否授权评标委员会确定中标候选人</w:t>
            </w:r>
          </w:p>
        </w:tc>
        <w:tc>
          <w:tcPr>
            <w:tcW w:w="7275" w:type="dxa"/>
            <w:tcBorders>
              <w:top w:val="single" w:color="auto" w:sz="8" w:space="0"/>
              <w:left w:val="single" w:color="auto" w:sz="4" w:space="0"/>
              <w:bottom w:val="single" w:color="auto" w:sz="8" w:space="0"/>
              <w:right w:val="single" w:color="auto" w:sz="8" w:space="0"/>
            </w:tcBorders>
            <w:vAlign w:val="center"/>
          </w:tcPr>
          <w:p w14:paraId="27788F93">
            <w:pPr>
              <w:keepNext w:val="0"/>
              <w:keepLines w:val="0"/>
              <w:pageBreakBefore w:val="0"/>
              <w:kinsoku/>
              <w:wordWrap/>
              <w:overflowPunct/>
              <w:autoSpaceDE/>
              <w:autoSpaceDN/>
              <w:bidi w:val="0"/>
              <w:spacing w:line="5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是，推荐的中标候选人数：</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名，并标明排序。</w:t>
            </w:r>
          </w:p>
        </w:tc>
      </w:tr>
      <w:tr w14:paraId="63FFD8E3">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694955CF">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18</w:t>
            </w:r>
          </w:p>
        </w:tc>
        <w:tc>
          <w:tcPr>
            <w:tcW w:w="1881" w:type="dxa"/>
            <w:tcBorders>
              <w:top w:val="single" w:color="auto" w:sz="8" w:space="0"/>
              <w:left w:val="single" w:color="auto" w:sz="4" w:space="0"/>
              <w:bottom w:val="single" w:color="auto" w:sz="8" w:space="0"/>
              <w:right w:val="single" w:color="auto" w:sz="4" w:space="0"/>
            </w:tcBorders>
            <w:vAlign w:val="center"/>
          </w:tcPr>
          <w:p w14:paraId="3F070DB9">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中标候选人公示媒介</w:t>
            </w:r>
          </w:p>
        </w:tc>
        <w:tc>
          <w:tcPr>
            <w:tcW w:w="7275" w:type="dxa"/>
            <w:tcBorders>
              <w:top w:val="single" w:color="auto" w:sz="8" w:space="0"/>
              <w:left w:val="single" w:color="auto" w:sz="4" w:space="0"/>
              <w:bottom w:val="single" w:color="auto" w:sz="8" w:space="0"/>
              <w:right w:val="single" w:color="auto" w:sz="8" w:space="0"/>
            </w:tcBorders>
            <w:vAlign w:val="center"/>
          </w:tcPr>
          <w:p w14:paraId="54B03474">
            <w:pPr>
              <w:keepNext w:val="0"/>
              <w:keepLines w:val="0"/>
              <w:pageBreakBefore w:val="0"/>
              <w:kinsoku/>
              <w:wordWrap/>
              <w:overflowPunct/>
              <w:autoSpaceDE/>
              <w:autoSpaceDN/>
              <w:bidi w:val="0"/>
              <w:spacing w:line="5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中新苏滁高新技术产业开发区（https://scp.chuzhou.gov.cn/index.html）、滁州市城投工程咨询管理有限公司网站（https://www.czctgczx.com/）</w:t>
            </w:r>
          </w:p>
        </w:tc>
      </w:tr>
      <w:tr w14:paraId="03896BD0">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519BE318">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19</w:t>
            </w:r>
          </w:p>
        </w:tc>
        <w:tc>
          <w:tcPr>
            <w:tcW w:w="1881" w:type="dxa"/>
            <w:tcBorders>
              <w:top w:val="single" w:color="auto" w:sz="8" w:space="0"/>
              <w:left w:val="single" w:color="auto" w:sz="4" w:space="0"/>
              <w:bottom w:val="single" w:color="auto" w:sz="8" w:space="0"/>
              <w:right w:val="single" w:color="auto" w:sz="4" w:space="0"/>
            </w:tcBorders>
            <w:vAlign w:val="center"/>
          </w:tcPr>
          <w:p w14:paraId="4351D9F9">
            <w:pPr>
              <w:keepNext w:val="0"/>
              <w:keepLines w:val="0"/>
              <w:pageBreakBefore w:val="0"/>
              <w:kinsoku/>
              <w:wordWrap/>
              <w:overflowPunct/>
              <w:autoSpaceDE/>
              <w:autoSpaceDN/>
              <w:bidi w:val="0"/>
              <w:adjustRightInd w:val="0"/>
              <w:snapToGrid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中标通知书发出形式</w:t>
            </w:r>
          </w:p>
        </w:tc>
        <w:tc>
          <w:tcPr>
            <w:tcW w:w="7275" w:type="dxa"/>
            <w:tcBorders>
              <w:top w:val="single" w:color="auto" w:sz="8" w:space="0"/>
              <w:left w:val="single" w:color="auto" w:sz="4" w:space="0"/>
              <w:bottom w:val="single" w:color="auto" w:sz="8" w:space="0"/>
              <w:right w:val="single" w:color="auto" w:sz="8" w:space="0"/>
            </w:tcBorders>
            <w:vAlign w:val="center"/>
          </w:tcPr>
          <w:p w14:paraId="66381F0D">
            <w:pPr>
              <w:keepNext w:val="0"/>
              <w:keepLines w:val="0"/>
              <w:pageBreakBefore w:val="0"/>
              <w:widowControl/>
              <w:kinsoku/>
              <w:wordWrap/>
              <w:overflowPunct/>
              <w:autoSpaceDE/>
              <w:autoSpaceDN/>
              <w:bidi w:val="0"/>
              <w:adjustRightInd w:val="0"/>
              <w:snapToGrid w:val="0"/>
              <w:spacing w:line="520" w:lineRule="exact"/>
              <w:textAlignment w:val="auto"/>
              <w:rPr>
                <w:rFonts w:hint="eastAsia" w:ascii="宋体" w:hAnsi="宋体" w:eastAsia="宋体" w:cs="宋体"/>
                <w:color w:val="auto"/>
                <w:kern w:val="0"/>
                <w:sz w:val="21"/>
                <w:szCs w:val="21"/>
                <w:highlight w:val="none"/>
                <w:lang w:val="en-US"/>
              </w:rPr>
            </w:pPr>
            <w:r>
              <w:rPr>
                <w:rFonts w:hint="eastAsia" w:ascii="宋体" w:hAnsi="宋体" w:eastAsia="宋体" w:cs="宋体"/>
                <w:color w:val="auto"/>
                <w:sz w:val="21"/>
                <w:szCs w:val="21"/>
                <w:highlight w:val="none"/>
                <w:lang w:val="en-US" w:eastAsia="zh-CN"/>
              </w:rPr>
              <w:t>纸质形式</w:t>
            </w:r>
          </w:p>
        </w:tc>
      </w:tr>
      <w:tr w14:paraId="4C8BDDC0">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7ED2CC3C">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w:t>
            </w:r>
          </w:p>
        </w:tc>
        <w:tc>
          <w:tcPr>
            <w:tcW w:w="1881" w:type="dxa"/>
            <w:tcBorders>
              <w:top w:val="single" w:color="auto" w:sz="8" w:space="0"/>
              <w:left w:val="single" w:color="auto" w:sz="4" w:space="0"/>
              <w:bottom w:val="single" w:color="auto" w:sz="8" w:space="0"/>
              <w:right w:val="single" w:color="auto" w:sz="4" w:space="0"/>
            </w:tcBorders>
            <w:vAlign w:val="center"/>
          </w:tcPr>
          <w:p w14:paraId="01B86132">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履约担保</w:t>
            </w:r>
          </w:p>
        </w:tc>
        <w:tc>
          <w:tcPr>
            <w:tcW w:w="7275" w:type="dxa"/>
            <w:tcBorders>
              <w:top w:val="single" w:color="auto" w:sz="8" w:space="0"/>
              <w:left w:val="single" w:color="auto" w:sz="4" w:space="0"/>
              <w:bottom w:val="single" w:color="auto" w:sz="8" w:space="0"/>
              <w:right w:val="single" w:color="auto" w:sz="8" w:space="0"/>
            </w:tcBorders>
            <w:vAlign w:val="center"/>
          </w:tcPr>
          <w:p w14:paraId="5990ED2B">
            <w:pPr>
              <w:keepNext w:val="0"/>
              <w:keepLines w:val="0"/>
              <w:pageBreakBefore w:val="0"/>
              <w:kinsoku/>
              <w:wordWrap/>
              <w:overflowPunct/>
              <w:autoSpaceDE/>
              <w:autoSpaceDN/>
              <w:bidi w:val="0"/>
              <w:spacing w:line="5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不要求中标人提交履约保证金。</w:t>
            </w:r>
          </w:p>
        </w:tc>
      </w:tr>
      <w:tr w14:paraId="70D24E35">
        <w:tblPrEx>
          <w:tblCellMar>
            <w:top w:w="0" w:type="dxa"/>
            <w:left w:w="0" w:type="dxa"/>
            <w:bottom w:w="0" w:type="dxa"/>
            <w:right w:w="0" w:type="dxa"/>
          </w:tblCellMar>
        </w:tblPrEx>
        <w:trPr>
          <w:trHeight w:val="381"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4109AB12">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21</w:t>
            </w:r>
          </w:p>
        </w:tc>
        <w:tc>
          <w:tcPr>
            <w:tcW w:w="1881" w:type="dxa"/>
            <w:tcBorders>
              <w:top w:val="single" w:color="auto" w:sz="8" w:space="0"/>
              <w:left w:val="single" w:color="auto" w:sz="4" w:space="0"/>
              <w:bottom w:val="single" w:color="auto" w:sz="8" w:space="0"/>
              <w:right w:val="single" w:color="auto" w:sz="4" w:space="0"/>
            </w:tcBorders>
            <w:vAlign w:val="center"/>
          </w:tcPr>
          <w:p w14:paraId="507B5A7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招标代理费</w:t>
            </w:r>
          </w:p>
        </w:tc>
        <w:tc>
          <w:tcPr>
            <w:tcW w:w="7275" w:type="dxa"/>
            <w:tcBorders>
              <w:top w:val="single" w:color="auto" w:sz="8" w:space="0"/>
              <w:left w:val="single" w:color="auto" w:sz="4" w:space="0"/>
              <w:bottom w:val="single" w:color="auto" w:sz="8" w:space="0"/>
              <w:right w:val="single" w:color="auto" w:sz="8" w:space="0"/>
            </w:tcBorders>
            <w:vAlign w:val="center"/>
          </w:tcPr>
          <w:p w14:paraId="6C66FEB2">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代理服务具体金额：</w:t>
            </w:r>
            <w:r>
              <w:rPr>
                <w:rFonts w:hint="eastAsia" w:ascii="宋体" w:hAnsi="宋体" w:eastAsia="宋体" w:cs="宋体"/>
                <w:color w:val="auto"/>
                <w:kern w:val="0"/>
                <w:sz w:val="21"/>
                <w:szCs w:val="21"/>
                <w:highlight w:val="none"/>
                <w:lang w:val="en-US" w:eastAsia="zh-CN"/>
              </w:rPr>
              <w:t>1000</w:t>
            </w:r>
            <w:r>
              <w:rPr>
                <w:rFonts w:hint="eastAsia" w:ascii="宋体" w:hAnsi="宋体" w:eastAsia="宋体" w:cs="宋体"/>
                <w:color w:val="auto"/>
                <w:kern w:val="0"/>
                <w:sz w:val="21"/>
                <w:szCs w:val="21"/>
                <w:highlight w:val="none"/>
              </w:rPr>
              <w:t>元，专家评审费按实计算。</w:t>
            </w:r>
          </w:p>
          <w:p w14:paraId="6CB6DCCD">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代理服务费及专家费支付主体：中标单位在领取中标通知书前</w:t>
            </w:r>
            <w:r>
              <w:rPr>
                <w:rFonts w:hint="eastAsia" w:ascii="宋体" w:hAnsi="宋体" w:eastAsia="宋体" w:cs="宋体"/>
                <w:color w:val="auto"/>
                <w:kern w:val="0"/>
                <w:sz w:val="21"/>
                <w:szCs w:val="21"/>
                <w:highlight w:val="none"/>
                <w:lang w:eastAsia="zh-CN"/>
              </w:rPr>
              <w:t>一次性支付</w:t>
            </w:r>
            <w:r>
              <w:rPr>
                <w:rFonts w:hint="eastAsia" w:ascii="宋体" w:hAnsi="宋体" w:eastAsia="宋体" w:cs="宋体"/>
                <w:color w:val="auto"/>
                <w:kern w:val="0"/>
                <w:sz w:val="21"/>
                <w:szCs w:val="21"/>
                <w:highlight w:val="none"/>
              </w:rPr>
              <w:t>代理公司</w:t>
            </w:r>
            <w:r>
              <w:rPr>
                <w:rFonts w:hint="eastAsia" w:ascii="宋体" w:hAnsi="宋体" w:eastAsia="宋体" w:cs="宋体"/>
                <w:color w:val="auto"/>
                <w:kern w:val="0"/>
                <w:sz w:val="21"/>
                <w:szCs w:val="21"/>
                <w:highlight w:val="none"/>
                <w:lang w:eastAsia="zh-CN"/>
              </w:rPr>
              <w:t>，包</w:t>
            </w:r>
            <w:r>
              <w:rPr>
                <w:rFonts w:hint="eastAsia" w:ascii="宋体" w:hAnsi="宋体" w:eastAsia="宋体" w:cs="宋体"/>
                <w:color w:val="auto"/>
                <w:kern w:val="0"/>
                <w:sz w:val="21"/>
                <w:szCs w:val="21"/>
                <w:highlight w:val="none"/>
              </w:rPr>
              <w:t>含在投标报价让利中。</w:t>
            </w:r>
          </w:p>
        </w:tc>
      </w:tr>
      <w:tr w14:paraId="6A6024A0">
        <w:tblPrEx>
          <w:tblCellMar>
            <w:top w:w="0" w:type="dxa"/>
            <w:left w:w="0" w:type="dxa"/>
            <w:bottom w:w="0" w:type="dxa"/>
            <w:right w:w="0" w:type="dxa"/>
          </w:tblCellMar>
        </w:tblPrEx>
        <w:trPr>
          <w:trHeight w:val="381"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2FC24E9E">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22</w:t>
            </w:r>
          </w:p>
        </w:tc>
        <w:tc>
          <w:tcPr>
            <w:tcW w:w="1881" w:type="dxa"/>
            <w:tcBorders>
              <w:top w:val="single" w:color="auto" w:sz="8" w:space="0"/>
              <w:left w:val="single" w:color="auto" w:sz="4" w:space="0"/>
              <w:bottom w:val="single" w:color="auto" w:sz="8" w:space="0"/>
              <w:right w:val="single" w:color="auto" w:sz="4" w:space="0"/>
            </w:tcBorders>
            <w:vAlign w:val="center"/>
          </w:tcPr>
          <w:p w14:paraId="136F510D">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解释权</w:t>
            </w:r>
          </w:p>
        </w:tc>
        <w:tc>
          <w:tcPr>
            <w:tcW w:w="7275" w:type="dxa"/>
            <w:tcBorders>
              <w:top w:val="single" w:color="auto" w:sz="8" w:space="0"/>
              <w:left w:val="single" w:color="auto" w:sz="4" w:space="0"/>
              <w:bottom w:val="single" w:color="auto" w:sz="8" w:space="0"/>
              <w:right w:val="single" w:color="auto" w:sz="8" w:space="0"/>
            </w:tcBorders>
            <w:vAlign w:val="center"/>
          </w:tcPr>
          <w:p w14:paraId="13EA2CD7">
            <w:pPr>
              <w:pStyle w:val="67"/>
              <w:keepNext w:val="0"/>
              <w:keepLines w:val="0"/>
              <w:pageBreakBefore w:val="0"/>
              <w:kinsoku/>
              <w:wordWrap/>
              <w:overflowPunct/>
              <w:autoSpaceDE/>
              <w:autoSpaceDN/>
              <w:bidi w:val="0"/>
              <w:adjustRightInd w:val="0"/>
              <w:snapToGrid w:val="0"/>
              <w:spacing w:line="52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1.构成本招标文件的各个组成文件应互为解释，互为说明；</w:t>
            </w:r>
          </w:p>
          <w:p w14:paraId="177E4D2E">
            <w:pPr>
              <w:pStyle w:val="67"/>
              <w:keepNext w:val="0"/>
              <w:keepLines w:val="0"/>
              <w:pageBreakBefore w:val="0"/>
              <w:kinsoku/>
              <w:wordWrap/>
              <w:overflowPunct/>
              <w:autoSpaceDE/>
              <w:autoSpaceDN/>
              <w:bidi w:val="0"/>
              <w:adjustRightInd w:val="0"/>
              <w:snapToGrid w:val="0"/>
              <w:spacing w:line="52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2.同一组成文件中就同一事项的规定或约定不一致的，以编排顺序在后者为准；</w:t>
            </w:r>
          </w:p>
          <w:p w14:paraId="37A8D32D">
            <w:pPr>
              <w:pStyle w:val="67"/>
              <w:keepNext w:val="0"/>
              <w:keepLines w:val="0"/>
              <w:pageBreakBefore w:val="0"/>
              <w:tabs>
                <w:tab w:val="left" w:pos="351"/>
              </w:tabs>
              <w:kinsoku/>
              <w:wordWrap/>
              <w:overflowPunct/>
              <w:autoSpaceDE/>
              <w:autoSpaceDN/>
              <w:bidi w:val="0"/>
              <w:adjustRightInd w:val="0"/>
              <w:snapToGrid w:val="0"/>
              <w:spacing w:line="52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3.如有不明确或不一致，构成合同文件组成内容的，以合同文件约定内容为准，且以专用合同条款约定的合同文件优先顺序解释；</w:t>
            </w:r>
          </w:p>
          <w:p w14:paraId="1C8C24AC">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kern w:val="2"/>
                <w:sz w:val="21"/>
                <w:szCs w:val="21"/>
                <w:highlight w:val="none"/>
                <w:lang w:val="en-US" w:eastAsia="zh-CN" w:bidi="ar-SA"/>
              </w:rPr>
              <w:t>4.按本款前述规定仍不能形成结论的，由招标人委托的招标代理机构负责解释。</w:t>
            </w:r>
          </w:p>
        </w:tc>
      </w:tr>
      <w:tr w14:paraId="7D7EFDB3">
        <w:tblPrEx>
          <w:tblCellMar>
            <w:top w:w="0" w:type="dxa"/>
            <w:left w:w="0" w:type="dxa"/>
            <w:bottom w:w="0" w:type="dxa"/>
            <w:right w:w="0" w:type="dxa"/>
          </w:tblCellMar>
        </w:tblPrEx>
        <w:trPr>
          <w:trHeight w:val="381"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5E620667">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w:t>
            </w:r>
          </w:p>
        </w:tc>
        <w:tc>
          <w:tcPr>
            <w:tcW w:w="1881" w:type="dxa"/>
            <w:tcBorders>
              <w:top w:val="single" w:color="auto" w:sz="8" w:space="0"/>
              <w:left w:val="single" w:color="auto" w:sz="4" w:space="0"/>
              <w:bottom w:val="single" w:color="auto" w:sz="8" w:space="0"/>
              <w:right w:val="single" w:color="auto" w:sz="4" w:space="0"/>
            </w:tcBorders>
            <w:vAlign w:val="center"/>
          </w:tcPr>
          <w:p w14:paraId="091CC24F">
            <w:pPr>
              <w:keepNext w:val="0"/>
              <w:keepLines w:val="0"/>
              <w:pageBreakBefore w:val="0"/>
              <w:shd w:val="clear" w:color="auto" w:fill="auto"/>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7275" w:type="dxa"/>
            <w:tcBorders>
              <w:top w:val="single" w:color="auto" w:sz="8" w:space="0"/>
              <w:left w:val="single" w:color="auto" w:sz="4" w:space="0"/>
              <w:bottom w:val="single" w:color="auto" w:sz="8" w:space="0"/>
              <w:right w:val="single" w:color="auto" w:sz="8" w:space="0"/>
            </w:tcBorders>
            <w:vAlign w:val="top"/>
          </w:tcPr>
          <w:p w14:paraId="618F201E">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主管部门如有其他备案（登记）要求的，如外省检测机构入皖备案，中标人须在中标后15日内按照规定进行备案（登记），如无法进行备案登记或不能按招标人要求期限备案登记而影响施工进度的，招标人有权给予按违约或取消中标资格等处理，并根据中标候选人排序依次选择中标人或重新招标。</w:t>
            </w:r>
          </w:p>
          <w:p w14:paraId="3C77A827">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2.中标单位在承担本项目的检测工作前，如安徽省和滁州市建设行政主管部门有相关规定须获得各项批准等手续的，中标人需无条件办理，且相关费用由中标人自理，中标后投标报价不再调整。</w:t>
            </w:r>
          </w:p>
          <w:p w14:paraId="29B81E66">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3.合同履约过程中如遇中标人自身能力无法完成的项目，经招标人事先书面同意，可委托具有相应资质和能力的单位承担，但中标人须对总成果负责，费用含在投标报价中，招标人不再另行支付其他任何费用。</w:t>
            </w:r>
          </w:p>
        </w:tc>
      </w:tr>
    </w:tbl>
    <w:p w14:paraId="200EDB0B">
      <w:pPr>
        <w:spacing w:line="420" w:lineRule="exact"/>
        <w:rPr>
          <w:rFonts w:ascii="仿宋" w:hAnsi="仿宋" w:eastAsia="仿宋" w:cs="仿宋"/>
          <w:color w:val="auto"/>
          <w:sz w:val="32"/>
          <w:szCs w:val="32"/>
          <w:highlight w:val="none"/>
        </w:rPr>
      </w:pPr>
    </w:p>
    <w:p w14:paraId="256F21DD">
      <w:pPr>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4A1E10B2">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1" w:name="_Toc515"/>
      <w:r>
        <w:rPr>
          <w:rFonts w:hint="eastAsia" w:ascii="宋体" w:hAnsi="宋体" w:eastAsia="宋体" w:cs="宋体"/>
          <w:b/>
          <w:bCs/>
          <w:color w:val="auto"/>
          <w:sz w:val="30"/>
          <w:szCs w:val="30"/>
          <w:highlight w:val="none"/>
        </w:rPr>
        <w:t>一、总  则</w:t>
      </w:r>
      <w:bookmarkEnd w:id="21"/>
    </w:p>
    <w:p w14:paraId="40C19BA9">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1.工程概况</w:t>
      </w:r>
    </w:p>
    <w:p w14:paraId="54D66AD3">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1.1本次招标工程名称：</w:t>
      </w:r>
      <w:r>
        <w:rPr>
          <w:rFonts w:hint="eastAsia" w:ascii="宋体" w:hAnsi="宋体" w:eastAsia="宋体" w:cs="宋体"/>
          <w:color w:val="auto"/>
          <w:sz w:val="21"/>
          <w:szCs w:val="21"/>
          <w:highlight w:val="none"/>
          <w:u w:val="none"/>
          <w:lang w:val="en-US" w:eastAsia="zh-CN"/>
        </w:rPr>
        <w:t>中新苏滁高新区（未来产业园）智能制造工业坊及中新苏滁高新区超级电容智能制造基地二期沉降观测服务项目</w:t>
      </w:r>
    </w:p>
    <w:p w14:paraId="2D6F0A3B">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工程地址：见投标须知前附表</w:t>
      </w:r>
    </w:p>
    <w:p w14:paraId="074D2573">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 xml:space="preserve">建设单位：滁州苏滁产城开发有限公司  </w:t>
      </w:r>
    </w:p>
    <w:p w14:paraId="3EC3E43C">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1.2本工程建设规模：</w:t>
      </w:r>
      <w:r>
        <w:rPr>
          <w:rFonts w:hint="eastAsia" w:ascii="宋体" w:hAnsi="宋体" w:eastAsia="宋体" w:cs="宋体"/>
          <w:color w:val="auto"/>
          <w:sz w:val="21"/>
          <w:szCs w:val="21"/>
          <w:highlight w:val="none"/>
          <w:u w:val="none"/>
          <w:lang w:val="en-US" w:eastAsia="zh-CN"/>
        </w:rPr>
        <w:t>见投标须知前附表</w:t>
      </w:r>
    </w:p>
    <w:p w14:paraId="50EB95ED">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招标范围</w:t>
      </w:r>
    </w:p>
    <w:p w14:paraId="3C2DD4B8">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u w:val="none"/>
          <w:lang w:val="en-US" w:eastAsia="zh-CN"/>
        </w:rPr>
        <w:t>2.1</w:t>
      </w:r>
      <w:r>
        <w:rPr>
          <w:rFonts w:hint="eastAsia" w:ascii="宋体" w:hAnsi="宋体" w:eastAsia="宋体" w:cs="宋体"/>
          <w:color w:val="auto"/>
          <w:kern w:val="0"/>
          <w:sz w:val="21"/>
          <w:szCs w:val="21"/>
          <w:highlight w:val="none"/>
          <w:lang w:val="en-US" w:eastAsia="zh-CN"/>
        </w:rPr>
        <w:t>详见第四章采购需求。</w:t>
      </w:r>
    </w:p>
    <w:p w14:paraId="12152144">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3.承包方式</w:t>
      </w:r>
    </w:p>
    <w:p w14:paraId="447724A0">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3.1承包方式：</w:t>
      </w:r>
      <w:r>
        <w:rPr>
          <w:rFonts w:hint="eastAsia" w:ascii="宋体" w:hAnsi="宋体" w:eastAsia="宋体" w:cs="宋体"/>
          <w:color w:val="auto"/>
          <w:sz w:val="21"/>
          <w:szCs w:val="21"/>
          <w:highlight w:val="none"/>
          <w:u w:val="none"/>
          <w:lang w:val="en-US" w:eastAsia="zh-CN"/>
        </w:rPr>
        <w:t>本次招标的</w:t>
      </w:r>
      <w:r>
        <w:rPr>
          <w:rFonts w:hint="eastAsia" w:ascii="宋体" w:hAnsi="宋体" w:eastAsia="宋体" w:cs="宋体"/>
          <w:color w:val="auto"/>
          <w:sz w:val="21"/>
          <w:szCs w:val="21"/>
          <w:highlight w:val="none"/>
          <w:u w:val="none"/>
        </w:rPr>
        <w:t>全部服务</w:t>
      </w:r>
      <w:r>
        <w:rPr>
          <w:rFonts w:hint="eastAsia" w:ascii="宋体" w:hAnsi="宋体" w:eastAsia="宋体" w:cs="宋体"/>
          <w:color w:val="auto"/>
          <w:sz w:val="21"/>
          <w:szCs w:val="21"/>
          <w:highlight w:val="none"/>
          <w:u w:val="none"/>
          <w:lang w:val="en-US" w:eastAsia="zh-CN"/>
        </w:rPr>
        <w:t>内容</w:t>
      </w:r>
      <w:r>
        <w:rPr>
          <w:rFonts w:hint="eastAsia" w:ascii="宋体" w:hAnsi="宋体" w:eastAsia="宋体" w:cs="宋体"/>
          <w:color w:val="auto"/>
          <w:sz w:val="21"/>
          <w:szCs w:val="21"/>
          <w:highlight w:val="none"/>
          <w:u w:val="none"/>
        </w:rPr>
        <w:t>。</w:t>
      </w:r>
    </w:p>
    <w:p w14:paraId="16DB8788">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4.</w:t>
      </w:r>
      <w:r>
        <w:rPr>
          <w:rFonts w:hint="eastAsia" w:ascii="宋体" w:hAnsi="宋体" w:eastAsia="宋体" w:cs="宋体"/>
          <w:b/>
          <w:bCs/>
          <w:color w:val="auto"/>
          <w:sz w:val="21"/>
          <w:szCs w:val="21"/>
          <w:highlight w:val="none"/>
          <w:lang w:val="en-US" w:eastAsia="zh-CN"/>
        </w:rPr>
        <w:t>服务期限</w:t>
      </w:r>
    </w:p>
    <w:p w14:paraId="49DD3BD4">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4.1从基础完工至主体工程竣工且沉降稳定为止。</w:t>
      </w:r>
    </w:p>
    <w:p w14:paraId="0225AFFF">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5.质量要求</w:t>
      </w:r>
    </w:p>
    <w:p w14:paraId="24FFB211">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5.1投标人应按照国家行业标准《建筑变形测量规范》（JGJ8-2016）和安徽省有关规定强制性标准及施工图设计要求进行沉降观测工作。</w:t>
      </w:r>
    </w:p>
    <w:p w14:paraId="2F2310EA">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5.2投标人的测量成果须同时满足国家、省市标准、行业标准及招标人技术要求，当上述标准要求不一致时，以要求高者为准。</w:t>
      </w:r>
    </w:p>
    <w:p w14:paraId="57C06E19">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5.3投标人须保证测量完成后按时出具完整的建筑物沉降观测报告，并保证报告符合规范的要求及建设行政主管部门验收要求，确保竣工验收备案通过。</w:t>
      </w:r>
    </w:p>
    <w:p w14:paraId="3A1AC69C">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6.投标人资质等级要求</w:t>
      </w:r>
    </w:p>
    <w:p w14:paraId="03B062E4">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详见投标须知前附表。</w:t>
      </w:r>
    </w:p>
    <w:p w14:paraId="2DCA3CA1">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7.资金来源</w:t>
      </w:r>
    </w:p>
    <w:p w14:paraId="0EDE19C8">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7.1资金来源：</w:t>
      </w:r>
      <w:r>
        <w:rPr>
          <w:rFonts w:hint="eastAsia" w:ascii="宋体" w:hAnsi="宋体" w:eastAsia="宋体" w:cs="宋体"/>
          <w:color w:val="auto"/>
          <w:sz w:val="21"/>
          <w:szCs w:val="21"/>
          <w:highlight w:val="none"/>
          <w:u w:val="single"/>
        </w:rPr>
        <w:t>自筹资金</w:t>
      </w:r>
      <w:r>
        <w:rPr>
          <w:rFonts w:hint="eastAsia" w:ascii="宋体" w:hAnsi="宋体" w:eastAsia="宋体" w:cs="宋体"/>
          <w:color w:val="auto"/>
          <w:sz w:val="21"/>
          <w:szCs w:val="21"/>
          <w:highlight w:val="none"/>
        </w:rPr>
        <w:t>；资金已落实。</w:t>
      </w:r>
    </w:p>
    <w:p w14:paraId="0BA36258">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8.标段划分</w:t>
      </w:r>
    </w:p>
    <w:p w14:paraId="0179827C">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8.1该工程划分：</w:t>
      </w:r>
      <w:r>
        <w:rPr>
          <w:rFonts w:hint="eastAsia" w:ascii="宋体" w:hAnsi="宋体" w:eastAsia="宋体" w:cs="宋体"/>
          <w:color w:val="auto"/>
          <w:sz w:val="21"/>
          <w:szCs w:val="21"/>
          <w:highlight w:val="none"/>
          <w:u w:val="single"/>
        </w:rPr>
        <w:t>一</w:t>
      </w:r>
      <w:r>
        <w:rPr>
          <w:rFonts w:hint="eastAsia" w:ascii="宋体" w:hAnsi="宋体" w:eastAsia="宋体" w:cs="宋体"/>
          <w:color w:val="auto"/>
          <w:sz w:val="21"/>
          <w:szCs w:val="21"/>
          <w:highlight w:val="none"/>
        </w:rPr>
        <w:t xml:space="preserve">个标段  </w:t>
      </w:r>
    </w:p>
    <w:p w14:paraId="1FA7EF0C">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9.招标方式</w:t>
      </w:r>
    </w:p>
    <w:p w14:paraId="50AC84A1">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9.1本工程招标方式：</w:t>
      </w:r>
      <w:r>
        <w:rPr>
          <w:rFonts w:hint="eastAsia" w:ascii="宋体" w:hAnsi="宋体" w:eastAsia="宋体" w:cs="宋体"/>
          <w:color w:val="auto"/>
          <w:sz w:val="21"/>
          <w:szCs w:val="21"/>
          <w:highlight w:val="none"/>
          <w:u w:val="single"/>
          <w:lang w:val="en-US" w:eastAsia="zh-CN"/>
        </w:rPr>
        <w:t>公开招标</w:t>
      </w:r>
      <w:r>
        <w:rPr>
          <w:rFonts w:hint="eastAsia" w:ascii="宋体" w:hAnsi="宋体" w:eastAsia="宋体" w:cs="宋体"/>
          <w:color w:val="auto"/>
          <w:sz w:val="21"/>
          <w:szCs w:val="21"/>
          <w:highlight w:val="none"/>
        </w:rPr>
        <w:t>。</w:t>
      </w:r>
    </w:p>
    <w:p w14:paraId="231C7398">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10.计价方式</w:t>
      </w:r>
    </w:p>
    <w:p w14:paraId="2EB87E5D">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10.1本工程合同计价方式：</w:t>
      </w:r>
      <w:r>
        <w:rPr>
          <w:rFonts w:hint="eastAsia" w:ascii="宋体" w:hAnsi="宋体" w:eastAsia="宋体" w:cs="宋体"/>
          <w:color w:val="auto"/>
          <w:sz w:val="21"/>
          <w:szCs w:val="21"/>
          <w:highlight w:val="none"/>
          <w:u w:val="single"/>
          <w:lang w:val="en-US" w:eastAsia="zh-CN"/>
        </w:rPr>
        <w:t>总价合同</w:t>
      </w:r>
      <w:r>
        <w:rPr>
          <w:rFonts w:hint="eastAsia" w:ascii="宋体" w:hAnsi="宋体" w:eastAsia="宋体" w:cs="宋体"/>
          <w:color w:val="auto"/>
          <w:sz w:val="21"/>
          <w:szCs w:val="21"/>
          <w:highlight w:val="none"/>
        </w:rPr>
        <w:t>。</w:t>
      </w:r>
    </w:p>
    <w:p w14:paraId="5F9D4EF9">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11.评标办法</w:t>
      </w:r>
    </w:p>
    <w:p w14:paraId="12098E46">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11.1本工程评标办法：</w:t>
      </w:r>
      <w:r>
        <w:rPr>
          <w:rFonts w:hint="eastAsia" w:ascii="宋体" w:hAnsi="宋体" w:eastAsia="宋体" w:cs="宋体"/>
          <w:color w:val="auto"/>
          <w:sz w:val="21"/>
          <w:szCs w:val="21"/>
          <w:highlight w:val="none"/>
          <w:u w:val="single"/>
          <w:lang w:val="en-US" w:eastAsia="zh-CN"/>
        </w:rPr>
        <w:t>综合评分法</w:t>
      </w:r>
      <w:r>
        <w:rPr>
          <w:rFonts w:hint="eastAsia" w:ascii="宋体" w:hAnsi="宋体" w:eastAsia="宋体" w:cs="宋体"/>
          <w:color w:val="auto"/>
          <w:sz w:val="21"/>
          <w:szCs w:val="21"/>
          <w:highlight w:val="none"/>
        </w:rPr>
        <w:t>。</w:t>
      </w:r>
    </w:p>
    <w:p w14:paraId="746720C3">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2" w:name="_Toc29988"/>
      <w:r>
        <w:rPr>
          <w:rFonts w:hint="eastAsia" w:ascii="宋体" w:hAnsi="宋体" w:eastAsia="宋体" w:cs="宋体"/>
          <w:b/>
          <w:bCs/>
          <w:color w:val="auto"/>
          <w:sz w:val="30"/>
          <w:szCs w:val="30"/>
          <w:highlight w:val="none"/>
        </w:rPr>
        <w:t>二、招标文件</w:t>
      </w:r>
      <w:bookmarkEnd w:id="22"/>
    </w:p>
    <w:p w14:paraId="37714F4C">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 招标文件的编制依据</w:t>
      </w:r>
    </w:p>
    <w:p w14:paraId="29DE76C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12.1根据相关法律法规和规章及部、省、市级规范性文件的规定，编制本招标文件。</w:t>
      </w:r>
    </w:p>
    <w:p w14:paraId="709762F4">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13.招标文件的组成</w:t>
      </w:r>
    </w:p>
    <w:p w14:paraId="1BEED89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  招标文件包括内容：</w:t>
      </w:r>
    </w:p>
    <w:p w14:paraId="7ED1899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第一章  </w:t>
      </w:r>
      <w:r>
        <w:rPr>
          <w:rFonts w:hint="eastAsia" w:ascii="宋体" w:hAnsi="宋体" w:eastAsia="宋体" w:cs="宋体"/>
          <w:color w:val="auto"/>
          <w:sz w:val="21"/>
          <w:szCs w:val="21"/>
          <w:highlight w:val="none"/>
          <w:lang w:val="en-US" w:eastAsia="zh-CN"/>
        </w:rPr>
        <w:t>招标公告</w:t>
      </w:r>
    </w:p>
    <w:p w14:paraId="33D120E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  投标须知</w:t>
      </w:r>
    </w:p>
    <w:p w14:paraId="2BF3254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第三章  评标办法</w:t>
      </w:r>
    </w:p>
    <w:p w14:paraId="153082E3">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 xml:space="preserve">章  </w:t>
      </w:r>
      <w:r>
        <w:rPr>
          <w:rFonts w:hint="eastAsia" w:ascii="宋体" w:hAnsi="宋体" w:eastAsia="宋体" w:cs="宋体"/>
          <w:color w:val="auto"/>
          <w:sz w:val="21"/>
          <w:szCs w:val="21"/>
          <w:highlight w:val="none"/>
          <w:lang w:val="en-US" w:eastAsia="zh-CN"/>
        </w:rPr>
        <w:t>采购需求</w:t>
      </w:r>
    </w:p>
    <w:p w14:paraId="4C336A83">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第五章  合同条款</w:t>
      </w:r>
    </w:p>
    <w:p w14:paraId="1149017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章  投标文件格式</w:t>
      </w:r>
    </w:p>
    <w:p w14:paraId="4453370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13.2除13.1内容外，招标答疑亦为招标文件的组成部分，对招标人和投标人起约束作用。</w:t>
      </w:r>
    </w:p>
    <w:p w14:paraId="5FCE699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13.3</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应仔细阅读和检查招标文件的全部内容。如发现缺页或附件不全，应及时向</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提出，以便补齐。如有疑问，</w:t>
      </w:r>
      <w:r>
        <w:rPr>
          <w:rFonts w:hint="eastAsia" w:ascii="宋体" w:hAnsi="宋体" w:eastAsia="宋体" w:cs="宋体"/>
          <w:color w:val="auto"/>
          <w:sz w:val="21"/>
          <w:szCs w:val="21"/>
          <w:highlight w:val="none"/>
          <w:lang w:val="en-US" w:eastAsia="zh-CN"/>
        </w:rPr>
        <w:t>通过登录新点电子交易平台【滁州专区】线上提出</w:t>
      </w:r>
      <w:r>
        <w:rPr>
          <w:rFonts w:hint="eastAsia" w:ascii="宋体" w:hAnsi="宋体" w:eastAsia="宋体" w:cs="宋体"/>
          <w:color w:val="auto"/>
          <w:sz w:val="21"/>
          <w:szCs w:val="21"/>
          <w:highlight w:val="none"/>
        </w:rPr>
        <w:t>，要</w:t>
      </w:r>
      <w:r>
        <w:rPr>
          <w:rFonts w:hint="eastAsia" w:ascii="宋体" w:hAnsi="宋体" w:eastAsia="宋体" w:cs="宋体"/>
          <w:color w:val="auto"/>
          <w:sz w:val="21"/>
          <w:szCs w:val="21"/>
          <w:highlight w:val="none"/>
          <w:lang w:eastAsia="zh-CN"/>
        </w:rPr>
        <w:t>求招标人对招标文件予以澄清。</w:t>
      </w:r>
    </w:p>
    <w:p w14:paraId="161C97D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13.4</w:t>
      </w:r>
      <w:r>
        <w:rPr>
          <w:rFonts w:hint="eastAsia" w:ascii="宋体" w:hAnsi="宋体" w:eastAsia="宋体" w:cs="宋体"/>
          <w:b w:val="0"/>
          <w:bCs w:val="0"/>
          <w:color w:val="auto"/>
          <w:sz w:val="21"/>
          <w:szCs w:val="21"/>
          <w:highlight w:val="none"/>
        </w:rPr>
        <w:t>招标</w:t>
      </w:r>
      <w:r>
        <w:rPr>
          <w:rFonts w:hint="eastAsia" w:ascii="宋体" w:hAnsi="宋体" w:eastAsia="宋体" w:cs="宋体"/>
          <w:color w:val="auto"/>
          <w:sz w:val="21"/>
          <w:szCs w:val="21"/>
          <w:highlight w:val="none"/>
        </w:rPr>
        <w:t>文件的澄清将在中新苏滁高新技术产业开发区（https://scp.chuzhou.gov.cn/index.html）、滁州市城投工程咨询管理有限公司网站（https://www.czctgczx.com/）予以发布，但不指明澄清问题的来源。如果澄清内容影响投标文件编制的，将相应延长投标截止时间。</w:t>
      </w:r>
    </w:p>
    <w:p w14:paraId="03C41698">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14.招标文件的澄清、修改、补充、解释</w:t>
      </w:r>
    </w:p>
    <w:p w14:paraId="70BD83F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发出后，</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在规定的投标截止时间前可对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进行必要的修改和补充，并以澄清公告形式在</w:t>
      </w:r>
      <w:r>
        <w:rPr>
          <w:rFonts w:hint="eastAsia" w:ascii="宋体" w:hAnsi="宋体" w:eastAsia="宋体" w:cs="宋体"/>
          <w:color w:val="auto"/>
          <w:sz w:val="21"/>
          <w:szCs w:val="21"/>
          <w:highlight w:val="none"/>
          <w:lang w:val="en-US" w:eastAsia="zh-CN"/>
        </w:rPr>
        <w:t>中新苏滁高新技术产业开发区（https://scp.chuzhou.gov.cn/index.html）、滁州市城投工程咨询管理有限公司网站（https://www.czctgczx.com/）</w:t>
      </w:r>
      <w:r>
        <w:rPr>
          <w:rFonts w:hint="eastAsia" w:ascii="宋体" w:hAnsi="宋体" w:eastAsia="宋体" w:cs="宋体"/>
          <w:color w:val="auto"/>
          <w:sz w:val="21"/>
          <w:szCs w:val="21"/>
          <w:highlight w:val="none"/>
        </w:rPr>
        <w:t>予以公告</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请各位</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注意查看有关澄清内容，如不及时查看造成后果由</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自负。</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的修改、补充等内容作为</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的组成部分，具有约束作用。</w:t>
      </w:r>
    </w:p>
    <w:p w14:paraId="15D14641">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15.踏勘现场及投标预备会</w:t>
      </w:r>
    </w:p>
    <w:p w14:paraId="7AF5D2B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15.1踏勘现场</w:t>
      </w:r>
    </w:p>
    <w:p w14:paraId="461916D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15.1.1</w:t>
      </w:r>
      <w:r>
        <w:rPr>
          <w:rFonts w:hint="eastAsia" w:ascii="宋体" w:hAnsi="宋体" w:eastAsia="宋体" w:cs="宋体"/>
          <w:color w:val="auto"/>
          <w:kern w:val="0"/>
          <w:sz w:val="21"/>
          <w:szCs w:val="21"/>
          <w:highlight w:val="none"/>
        </w:rPr>
        <w:t>不再集中召开招标答疑会；投标人自行组织勘察现场。</w:t>
      </w:r>
    </w:p>
    <w:p w14:paraId="1FEA34B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15.2投标预备会</w:t>
      </w:r>
    </w:p>
    <w:p w14:paraId="6EEED26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15.2.1</w:t>
      </w:r>
      <w:r>
        <w:rPr>
          <w:rFonts w:hint="eastAsia" w:ascii="宋体" w:hAnsi="宋体" w:eastAsia="宋体" w:cs="宋体"/>
          <w:color w:val="auto"/>
          <w:sz w:val="21"/>
          <w:szCs w:val="21"/>
          <w:highlight w:val="none"/>
          <w:lang w:val="en-US" w:eastAsia="zh-CN"/>
        </w:rPr>
        <w:t>不组织投标预备会。</w:t>
      </w:r>
    </w:p>
    <w:p w14:paraId="6CDEA621">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16.招标文件的发出</w:t>
      </w:r>
    </w:p>
    <w:p w14:paraId="107DEE4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16.1招标文件、招标文件的澄清、修改、补充及招标答疑等均应报招标人备案后，方可发出。</w:t>
      </w:r>
    </w:p>
    <w:p w14:paraId="5CA33E16">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17.</w:t>
      </w:r>
      <w:r>
        <w:rPr>
          <w:rFonts w:hint="eastAsia" w:ascii="宋体" w:hAnsi="宋体" w:eastAsia="宋体" w:cs="宋体"/>
          <w:b/>
          <w:bCs/>
          <w:color w:val="auto"/>
          <w:sz w:val="21"/>
          <w:szCs w:val="21"/>
          <w:highlight w:val="none"/>
          <w:lang w:val="en-US" w:eastAsia="zh-CN"/>
        </w:rPr>
        <w:t>最高限价</w:t>
      </w:r>
    </w:p>
    <w:p w14:paraId="5A825D2A">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lang w:val="en-US" w:eastAsia="zh-CN"/>
        </w:rPr>
      </w:pPr>
      <w:bookmarkStart w:id="23" w:name="_Toc24852"/>
      <w:r>
        <w:rPr>
          <w:rFonts w:hint="eastAsia" w:ascii="宋体" w:hAnsi="宋体" w:eastAsia="宋体" w:cs="宋体"/>
          <w:b/>
          <w:bCs/>
          <w:color w:val="auto"/>
          <w:sz w:val="21"/>
          <w:szCs w:val="21"/>
          <w:highlight w:val="none"/>
          <w:lang w:val="en-US" w:eastAsia="zh-CN"/>
        </w:rPr>
        <w:t>17.1</w:t>
      </w:r>
      <w:r>
        <w:rPr>
          <w:rFonts w:hint="eastAsia" w:ascii="宋体" w:hAnsi="宋体" w:eastAsia="宋体" w:cs="宋体"/>
          <w:b/>
          <w:bCs/>
          <w:color w:val="auto"/>
          <w:highlight w:val="none"/>
          <w:lang w:val="en-US" w:eastAsia="zh-CN"/>
        </w:rPr>
        <w:t>本项目最高限价为</w:t>
      </w:r>
      <w:r>
        <w:rPr>
          <w:rFonts w:hint="eastAsia" w:hAnsi="宋体" w:eastAsia="宋体" w:cs="宋体"/>
          <w:b/>
          <w:bCs/>
          <w:color w:val="auto"/>
          <w:sz w:val="21"/>
          <w:szCs w:val="21"/>
          <w:highlight w:val="none"/>
          <w:lang w:val="en-US" w:eastAsia="zh-CN"/>
        </w:rPr>
        <w:t>肆万元整</w:t>
      </w:r>
      <w:r>
        <w:rPr>
          <w:rFonts w:hint="eastAsia" w:ascii="宋体" w:hAnsi="宋体" w:eastAsia="宋体" w:cs="宋体"/>
          <w:b/>
          <w:bCs/>
          <w:color w:val="auto"/>
          <w:sz w:val="21"/>
          <w:szCs w:val="21"/>
          <w:highlight w:val="none"/>
          <w:lang w:val="en-US" w:eastAsia="zh-CN"/>
        </w:rPr>
        <w:t>（</w:t>
      </w:r>
      <w:r>
        <w:rPr>
          <w:rFonts w:hint="eastAsia" w:hAnsi="宋体" w:eastAsia="宋体" w:cs="宋体"/>
          <w:b/>
          <w:bCs/>
          <w:color w:val="auto"/>
          <w:sz w:val="21"/>
          <w:szCs w:val="21"/>
          <w:highlight w:val="none"/>
          <w:lang w:val="en-US" w:eastAsia="zh-CN"/>
        </w:rPr>
        <w:t>40000.00</w:t>
      </w:r>
      <w:r>
        <w:rPr>
          <w:rFonts w:hint="eastAsia" w:ascii="宋体" w:hAnsi="宋体" w:eastAsia="宋体" w:cs="宋体"/>
          <w:b/>
          <w:bCs/>
          <w:color w:val="auto"/>
          <w:sz w:val="21"/>
          <w:szCs w:val="21"/>
          <w:highlight w:val="none"/>
          <w:lang w:val="en-US" w:eastAsia="zh-CN"/>
        </w:rPr>
        <w:t>元</w:t>
      </w:r>
      <w:r>
        <w:rPr>
          <w:rFonts w:hint="eastAsia" w:hAnsi="宋体" w:eastAsia="宋体" w:cs="宋体"/>
          <w:b/>
          <w:bCs/>
          <w:color w:val="auto"/>
          <w:sz w:val="21"/>
          <w:szCs w:val="21"/>
          <w:highlight w:val="none"/>
          <w:lang w:val="en-US" w:eastAsia="zh-CN"/>
        </w:rPr>
        <w:t>，其</w:t>
      </w:r>
      <w:r>
        <w:rPr>
          <w:rFonts w:hint="eastAsia"/>
          <w:b/>
          <w:bCs/>
          <w:color w:val="auto"/>
          <w:lang w:val="en-US" w:eastAsia="zh-CN"/>
        </w:rPr>
        <w:t>中中新苏滁高新区（未来产业园）智能制造工业坊项目最高限价为25000.00元，中新苏滁高新区超级电容智能制造基地二期项目最高限价为15000.00元）</w:t>
      </w:r>
      <w:r>
        <w:rPr>
          <w:rFonts w:hint="eastAsia" w:ascii="宋体" w:hAnsi="宋体" w:eastAsia="宋体" w:cs="宋体"/>
          <w:b/>
          <w:bCs/>
          <w:color w:val="auto"/>
          <w:highlight w:val="none"/>
          <w:lang w:val="en-US" w:eastAsia="zh-CN"/>
        </w:rPr>
        <w:t>，高于最高投标限价的按无效标处理。</w:t>
      </w:r>
    </w:p>
    <w:p w14:paraId="1B74F362">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三、投标文件的编制</w:t>
      </w:r>
      <w:bookmarkEnd w:id="23"/>
    </w:p>
    <w:p w14:paraId="11D7F055">
      <w:pPr>
        <w:pStyle w:val="7"/>
        <w:keepNext/>
        <w:keepLines/>
        <w:pageBreakBefore w:val="0"/>
        <w:widowControl w:val="0"/>
        <w:kinsoku/>
        <w:wordWrap/>
        <w:overflowPunct/>
        <w:topLinePunct w:val="0"/>
        <w:autoSpaceDE/>
        <w:autoSpaceDN/>
        <w:bidi w:val="0"/>
        <w:adjustRightInd/>
        <w:snapToGrid/>
        <w:spacing w:before="0" w:after="0" w:line="520" w:lineRule="exact"/>
        <w:ind w:firstLine="422"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18</w:t>
      </w:r>
      <w:r>
        <w:rPr>
          <w:rFonts w:hint="eastAsia" w:ascii="宋体" w:hAnsi="宋体" w:eastAsia="宋体" w:cs="宋体"/>
          <w:color w:val="auto"/>
          <w:sz w:val="21"/>
          <w:szCs w:val="21"/>
          <w:highlight w:val="none"/>
        </w:rPr>
        <w:t>. 投标文件的组成</w:t>
      </w:r>
    </w:p>
    <w:p w14:paraId="46815182">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18.1详见第六章投标文件格式</w:t>
      </w:r>
    </w:p>
    <w:p w14:paraId="08D8DA6C">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18.2投标文件的编制</w:t>
      </w:r>
    </w:p>
    <w:p w14:paraId="328CB334">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文件应按第六章“投标文件格式”进行编写，如有必要，可以增加附页，作为投标文件的组成部分。其中，投标函在满足招标文件实质性要求的基础上，可以提出比招标文件要求更有利于招标人的承诺。</w:t>
      </w:r>
    </w:p>
    <w:p w14:paraId="3151410A">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（2）本次投标不需要提供纸质投标文件，投标人应按照电子招标投标的要求，在投标人的电子系统中制作、签章、上传加密的电子投标文件。</w:t>
      </w:r>
    </w:p>
    <w:p w14:paraId="19596C07">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（3）投标文件应当对招标文件有关服务期、投标有效期、质量要求、技术标准和要求、招标范围等实质性内容作出响应。</w:t>
      </w:r>
    </w:p>
    <w:p w14:paraId="446B0610">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（4）投标人须知前附表规定接受联合体投标的，资格审查资料应包括联合体各方相关情况。</w:t>
      </w:r>
    </w:p>
    <w:p w14:paraId="75B643BB">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（5）招标人有权核查投标人在投标文件中提供的资料，若发现投标人以他人名义投标或者以其他方式弄虚作假骗取中标的，中标无效；如果签订合同后发现中标人提供了虚假材料，招标人有权解除合同。</w:t>
      </w:r>
    </w:p>
    <w:p w14:paraId="2B9816F3">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（6）投标文件的制作应满足以下规定：</w:t>
      </w:r>
    </w:p>
    <w:p w14:paraId="23C48DDE">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a.投标文件由投标人使用电子交易系统提供的“投标文件制作软件”制作生成。“投标文件制作软件”可以通过电子交易系统下载。</w:t>
      </w:r>
    </w:p>
    <w:p w14:paraId="3D9B96AC">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b.招标文件中“签章”是指签字或盖章。在第六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04A490A0">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c.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0EA5A10D">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（7）因投标人自身原因而导致投标文件无法导入电子交易系统电子开标、评标系统，该投标视为无效投标，投标人自行承担由此导致的全部责任。</w:t>
      </w:r>
    </w:p>
    <w:p w14:paraId="6233FBAD">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（8）投标人中标后须递交与网上电子投标文件完全一致的纸质版投标文件，在领取中标通知书时，一并递交给招标代理机构。</w:t>
      </w:r>
    </w:p>
    <w:p w14:paraId="6E6B0B9A">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19.</w:t>
      </w:r>
      <w:r>
        <w:rPr>
          <w:rFonts w:hint="eastAsia" w:ascii="宋体" w:hAnsi="宋体" w:eastAsia="宋体" w:cs="宋体"/>
          <w:b/>
          <w:bCs/>
          <w:color w:val="auto"/>
          <w:sz w:val="21"/>
          <w:szCs w:val="21"/>
          <w:highlight w:val="none"/>
        </w:rPr>
        <w:t>投标报价</w:t>
      </w:r>
    </w:p>
    <w:p w14:paraId="13AE8873">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.1投标报价的价格是完成项目全部内容（包括后期的相关服务）交付验收的价格，若合同履行期间工作内容发生调整的，中标人须无条件响应招标人要求，且其投标</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不作任何调整。投标</w:t>
      </w:r>
      <w:r>
        <w:rPr>
          <w:rFonts w:hint="eastAsia" w:ascii="宋体" w:hAnsi="宋体" w:eastAsia="宋体" w:cs="宋体"/>
          <w:color w:val="auto"/>
          <w:sz w:val="21"/>
          <w:szCs w:val="21"/>
          <w:highlight w:val="none"/>
          <w:lang w:val="en-US" w:eastAsia="zh-CN"/>
        </w:rPr>
        <w:t>报价包含不限于完成本次招标全部内容所需发生的成本、控制测量、沉降观测、观测点设置费、利润、税金、开办费、管理费、技术施工措施费、大型机械进出场费、人工费、机械设备费、风险费、政策性文件规定费用等观测现场的所有配合费用（观测单位必须独立完成作业）</w:t>
      </w:r>
      <w:r>
        <w:rPr>
          <w:rFonts w:hint="eastAsia" w:ascii="宋体" w:hAnsi="宋体" w:eastAsia="宋体" w:cs="宋体"/>
          <w:color w:val="auto"/>
          <w:sz w:val="21"/>
          <w:szCs w:val="21"/>
          <w:highlight w:val="none"/>
        </w:rPr>
        <w:t>、后期服务及国家对中标单位征收的各种税费等所有一切费用，中标后投标总价不予调整。</w:t>
      </w:r>
    </w:p>
    <w:p w14:paraId="38F0694C">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.2投标报价</w:t>
      </w:r>
      <w:r>
        <w:rPr>
          <w:rFonts w:hint="eastAsia" w:ascii="宋体" w:hAnsi="宋体" w:eastAsia="宋体" w:cs="宋体"/>
          <w:color w:val="auto"/>
          <w:sz w:val="21"/>
          <w:szCs w:val="21"/>
          <w:highlight w:val="none"/>
          <w:lang w:val="en-US" w:eastAsia="zh-CN"/>
        </w:rPr>
        <w:t>高于最高限价的</w:t>
      </w:r>
      <w:r>
        <w:rPr>
          <w:rFonts w:hint="eastAsia" w:ascii="宋体" w:hAnsi="宋体" w:eastAsia="宋体" w:cs="宋体"/>
          <w:color w:val="auto"/>
          <w:sz w:val="21"/>
          <w:szCs w:val="21"/>
          <w:highlight w:val="none"/>
        </w:rPr>
        <w:t>，其投标文件按无效标处理。</w:t>
      </w:r>
    </w:p>
    <w:p w14:paraId="55280B73">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.投标有效期</w:t>
      </w:r>
    </w:p>
    <w:p w14:paraId="2B566C93">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.1投标有效期为</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p w14:paraId="309170AD">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.2在特殊情况下，招标人在原定投标有效期内，可以根据需要以书面形式向投标人提出延长投标有效期的要求，对此要求投标人须以书面形式予以答复。投标人可以拒绝招标人这种要求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同意延长投标有效期的投标人既不能要求也不允许修改其投标文件，但需要相应的延长投标担保的有效期。</w:t>
      </w:r>
    </w:p>
    <w:p w14:paraId="3AF0B6DA">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.投标保证金</w:t>
      </w:r>
    </w:p>
    <w:p w14:paraId="7A67868C">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本项目无投标保证金。</w:t>
      </w:r>
    </w:p>
    <w:p w14:paraId="56A43C93">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4" w:name="_Toc27519"/>
      <w:r>
        <w:rPr>
          <w:rFonts w:hint="eastAsia" w:ascii="宋体" w:hAnsi="宋体" w:eastAsia="宋体" w:cs="宋体"/>
          <w:b/>
          <w:bCs/>
          <w:color w:val="auto"/>
          <w:sz w:val="30"/>
          <w:szCs w:val="30"/>
          <w:highlight w:val="none"/>
        </w:rPr>
        <w:t>四、</w:t>
      </w:r>
      <w:bookmarkEnd w:id="24"/>
      <w:r>
        <w:rPr>
          <w:rFonts w:hint="eastAsia" w:ascii="宋体" w:hAnsi="宋体" w:eastAsia="宋体" w:cs="宋体"/>
          <w:b/>
          <w:bCs/>
          <w:color w:val="auto"/>
          <w:sz w:val="30"/>
          <w:szCs w:val="30"/>
          <w:highlight w:val="none"/>
        </w:rPr>
        <w:t>投标文件的递交</w:t>
      </w:r>
    </w:p>
    <w:p w14:paraId="032F97B9">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.投标文件的份数和签署</w:t>
      </w:r>
    </w:p>
    <w:p w14:paraId="47F6FCD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2</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1加密电子投标文件应在投标截止时间前通过登录新点电子交易平台【滁州专区】上传投标文件。</w:t>
      </w:r>
    </w:p>
    <w:p w14:paraId="5FD9B5DC">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pacing w:val="-4"/>
          <w:sz w:val="21"/>
          <w:szCs w:val="21"/>
          <w:highlight w:val="none"/>
        </w:rPr>
      </w:pPr>
      <w:r>
        <w:rPr>
          <w:rFonts w:hint="eastAsia" w:ascii="宋体" w:hAnsi="宋体" w:eastAsia="宋体" w:cs="宋体"/>
          <w:b w:val="0"/>
          <w:bCs w:val="0"/>
          <w:color w:val="auto"/>
          <w:sz w:val="21"/>
          <w:szCs w:val="21"/>
          <w:highlight w:val="none"/>
          <w:lang w:val="en-US" w:eastAsia="zh-CN"/>
        </w:rPr>
        <w:t>（投标人中标后须递交与网上电子投标文件完全一致的纸质版投标文件，并按要求加盖单位公章；份数：正本1份，副本1份；中标人领取中标通知书时，一并递交给代理机构）。</w:t>
      </w:r>
    </w:p>
    <w:p w14:paraId="473FDF9E">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文件的提交</w:t>
      </w:r>
    </w:p>
    <w:p w14:paraId="1EA2278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.1投标人应当在第一章“招标公告”规定的投标截止时间前，将加密投标文件上传至电子交易系统。</w:t>
      </w:r>
    </w:p>
    <w:p w14:paraId="319A6CE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23.2</w:t>
      </w:r>
      <w:r>
        <w:rPr>
          <w:rFonts w:hint="eastAsia" w:ascii="宋体" w:hAnsi="宋体" w:eastAsia="宋体" w:cs="宋体"/>
          <w:b w:val="0"/>
          <w:bCs w:val="0"/>
          <w:color w:val="auto"/>
          <w:sz w:val="21"/>
          <w:szCs w:val="21"/>
          <w:highlight w:val="none"/>
        </w:rPr>
        <w:t>除投标人须知前附表另有规定外，投标人所递交的投标文件不予退还。</w:t>
      </w:r>
    </w:p>
    <w:p w14:paraId="5697ABD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23.3</w:t>
      </w:r>
      <w:r>
        <w:rPr>
          <w:rFonts w:hint="eastAsia" w:ascii="宋体" w:hAnsi="宋体" w:eastAsia="宋体" w:cs="宋体"/>
          <w:b w:val="0"/>
          <w:bCs w:val="0"/>
          <w:color w:val="auto"/>
          <w:sz w:val="21"/>
          <w:szCs w:val="21"/>
          <w:highlight w:val="none"/>
        </w:rPr>
        <w:t>投标人应当在投标截止时间前完成投标文件的网上递交，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07861614">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bookmarkStart w:id="25" w:name="_Toc18173"/>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.投标文件的补充、修改与撤回</w:t>
      </w:r>
    </w:p>
    <w:p w14:paraId="539F679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.1投标人在提交投标文件以后，在规定的投标截止时间之前，可以书面形式补充、修改或撤回已提交的投标文件，并以书面形式通知招标人。补充、修改的内容为投标文件的组成部分。</w:t>
      </w:r>
    </w:p>
    <w:p w14:paraId="331C816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.2投标人对投标文件的补充、修改，应按本须知第</w:t>
      </w:r>
      <w:r>
        <w:rPr>
          <w:rFonts w:hint="eastAsia" w:ascii="宋体" w:hAnsi="宋体" w:eastAsia="宋体" w:cs="宋体"/>
          <w:color w:val="auto"/>
          <w:sz w:val="21"/>
          <w:szCs w:val="21"/>
          <w:highlight w:val="none"/>
          <w:lang w:val="en-US" w:eastAsia="zh-CN"/>
        </w:rPr>
        <w:t>23.3条</w:t>
      </w:r>
      <w:r>
        <w:rPr>
          <w:rFonts w:hint="eastAsia" w:ascii="宋体" w:hAnsi="宋体" w:eastAsia="宋体" w:cs="宋体"/>
          <w:color w:val="auto"/>
          <w:sz w:val="21"/>
          <w:szCs w:val="21"/>
          <w:highlight w:val="none"/>
        </w:rPr>
        <w:t>规定。</w:t>
      </w:r>
    </w:p>
    <w:p w14:paraId="0901D740">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.3在投标截止时间之后，投标人不得补充、修改投标文件。</w:t>
      </w:r>
    </w:p>
    <w:p w14:paraId="74A8D23A">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五、开标、评标和定标</w:t>
      </w:r>
      <w:bookmarkEnd w:id="25"/>
    </w:p>
    <w:p w14:paraId="56E3D432">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bookmarkStart w:id="26" w:name="_Toc21491"/>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.开标</w:t>
      </w:r>
    </w:p>
    <w:p w14:paraId="6EED411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.1开标的时间和地点</w:t>
      </w:r>
    </w:p>
    <w:p w14:paraId="56E8F43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招标人在第一章“招标公告”规定的投标截止时间前（开标时间）和地点通过电子交易系统公开开标。</w:t>
      </w:r>
    </w:p>
    <w:p w14:paraId="3036A2A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开标程序</w:t>
      </w:r>
    </w:p>
    <w:p w14:paraId="280C899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主持人按下列程序进行开标：</w:t>
      </w:r>
    </w:p>
    <w:p w14:paraId="372DAFC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（1）公布在投标截止时间前通过电子交易系统完成投标文件递交的投标人名称；</w:t>
      </w:r>
    </w:p>
    <w:p w14:paraId="6DFF6A4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（2）投标人在投标截止时间后在投标人须知前附表规定的解密时间内完成投标文件的解密工作；</w:t>
      </w:r>
    </w:p>
    <w:p w14:paraId="08B058C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（3）招标人或招标代理机构完成解密工作，导入并读取所有成功解密的投标文件；</w:t>
      </w:r>
    </w:p>
    <w:p w14:paraId="13CEBEB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（4）按投标人须知前附表规定公布投标人名称、标段名称、投标报价、工期及其他内容；</w:t>
      </w:r>
    </w:p>
    <w:p w14:paraId="1DEF146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（5）开标结束。</w:t>
      </w:r>
    </w:p>
    <w:p w14:paraId="3CF180D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 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开标异议</w:t>
      </w:r>
    </w:p>
    <w:p w14:paraId="3B51978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投标人对开标有异议的，应当在开标过程中提出，招标人在开标过程中作出答复，并制作记录。异议与答复应通过电子交易系统进行。</w:t>
      </w:r>
    </w:p>
    <w:p w14:paraId="3A72668D">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26.</w:t>
      </w:r>
      <w:r>
        <w:rPr>
          <w:rFonts w:hint="eastAsia" w:ascii="宋体" w:hAnsi="宋体" w:eastAsia="宋体" w:cs="宋体"/>
          <w:b/>
          <w:bCs/>
          <w:color w:val="auto"/>
          <w:sz w:val="21"/>
          <w:szCs w:val="21"/>
          <w:highlight w:val="none"/>
        </w:rPr>
        <w:t>评标委员会</w:t>
      </w:r>
    </w:p>
    <w:p w14:paraId="72582DBF">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.1评标由</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依法组建的评标委员会负责。评标委员会由</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或其委托的招标代理机构熟悉相关业务的代表，以及有关技术、经济等方面的专家组成。评标委员会成员人数以及技术、经济等方面专家的确定方式见</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须知前附表。</w:t>
      </w:r>
    </w:p>
    <w:p w14:paraId="72334D38">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.2 评标委员会成员有下列情形之一的，应当回避：</w:t>
      </w:r>
    </w:p>
    <w:p w14:paraId="0EDD968D">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（1）项目主管部门或行政监督管理部门，项目属地的公共资源交易综合管理部门、交易中心的工作人员； </w:t>
      </w:r>
    </w:p>
    <w:p w14:paraId="21F7F6C2">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（2）与竞争主体主要负责人或者授权参与交易的代理人有近亲属关系的人员； </w:t>
      </w:r>
    </w:p>
    <w:p w14:paraId="23E6C674">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（3）竞争主体的工作人员或者退休人员； </w:t>
      </w:r>
    </w:p>
    <w:p w14:paraId="7CDE3A1C">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（4）竞争主体的上级主管、控股或者被控股单位等相关利害关系的人员，或任职单位与竞争主体单位为同一法定代表人的； </w:t>
      </w:r>
    </w:p>
    <w:p w14:paraId="3F76BC28">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（5）存在其他法定回避情形的。</w:t>
      </w:r>
    </w:p>
    <w:p w14:paraId="4A440051">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项目实施主体及其子公司、下属单位、上级主管部门或者控股公司的工作人员或者退休人员不得以专家身份参与本单位或者代理项目的评标评审。 </w:t>
      </w:r>
    </w:p>
    <w:p w14:paraId="4A01BC59">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评标委员会或评审机构成员有前两款规定情形的，应当主动提出回避；已经进入的应当更换，被更换的成员评标评审意见无效。</w:t>
      </w:r>
    </w:p>
    <w:p w14:paraId="6ABA5FC3">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 xml:space="preserve">.3评标过程中，评标委员会成员有回避事由、擅离职守或因健康等原因不能继续评标的， </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有权更换。被更换的评标委员会成员作出的评审结论无效，由更换后的评标委员会成员重新进行评审。</w:t>
      </w:r>
    </w:p>
    <w:p w14:paraId="00E02041">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27</w:t>
      </w:r>
      <w:r>
        <w:rPr>
          <w:rFonts w:hint="eastAsia" w:ascii="宋体" w:hAnsi="宋体" w:eastAsia="宋体" w:cs="宋体"/>
          <w:b/>
          <w:bCs/>
          <w:color w:val="auto"/>
          <w:sz w:val="21"/>
          <w:szCs w:val="21"/>
          <w:highlight w:val="none"/>
        </w:rPr>
        <w:t>.评标</w:t>
      </w:r>
    </w:p>
    <w:p w14:paraId="70BEEED7">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.1评标委员会按照第三章“评标办法”规定的方法、评审因素、标准和程序对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进行评审。第三章“评标办法”没有规定的方法、评审因素和标准，不作为评标依据。</w:t>
      </w:r>
    </w:p>
    <w:p w14:paraId="26922152">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.2评标完成后，评标委员会应向</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提交书面评标报告和中标候选人名单。评标委员会推荐中标候选人的人数见</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须知前附表。</w:t>
      </w:r>
    </w:p>
    <w:p w14:paraId="260E0B5A">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.3评标原则：遵循公平、公正、科学和择优的原则。</w:t>
      </w:r>
    </w:p>
    <w:p w14:paraId="3865BCA0">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的澄清</w:t>
      </w:r>
    </w:p>
    <w:p w14:paraId="2BE859A2">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.4.1在评标过程中，评标委员会认为需要，可要求</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中的有关问题进行澄清或提供补充说明及有关资料，</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应做出书面答复。</w:t>
      </w:r>
    </w:p>
    <w:p w14:paraId="1AFB7AB9">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.4.2书面答复须经</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法定代表人或其委托代理人签字或盖章，签字或盖章的书面答复将被视为</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的组成部分。</w:t>
      </w:r>
    </w:p>
    <w:p w14:paraId="49E336EA">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.5报价合理性的判断</w:t>
      </w:r>
    </w:p>
    <w:p w14:paraId="7A2C5D0C">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评标委员会认为</w:t>
      </w:r>
      <w:r>
        <w:rPr>
          <w:rFonts w:hint="eastAsia" w:ascii="宋体" w:hAnsi="宋体" w:eastAsia="宋体" w:cs="宋体"/>
          <w:b w:val="0"/>
          <w:bCs w:val="0"/>
          <w:color w:val="auto"/>
          <w:sz w:val="21"/>
          <w:szCs w:val="21"/>
          <w:highlight w:val="none"/>
          <w:lang w:eastAsia="zh-CN"/>
        </w:rPr>
        <w:t>投标人</w:t>
      </w:r>
      <w:r>
        <w:rPr>
          <w:rFonts w:hint="eastAsia" w:ascii="宋体" w:hAnsi="宋体" w:eastAsia="宋体" w:cs="宋体"/>
          <w:b w:val="0"/>
          <w:bCs w:val="0"/>
          <w:color w:val="auto"/>
          <w:sz w:val="21"/>
          <w:szCs w:val="21"/>
          <w:highlight w:val="none"/>
        </w:rPr>
        <w:t>的报价明显低于其他通过符合性审查</w:t>
      </w:r>
      <w:r>
        <w:rPr>
          <w:rFonts w:hint="eastAsia" w:ascii="宋体" w:hAnsi="宋体" w:eastAsia="宋体" w:cs="宋体"/>
          <w:b w:val="0"/>
          <w:bCs w:val="0"/>
          <w:color w:val="auto"/>
          <w:sz w:val="21"/>
          <w:szCs w:val="21"/>
          <w:highlight w:val="none"/>
          <w:lang w:eastAsia="zh-CN"/>
        </w:rPr>
        <w:t>投标人</w:t>
      </w:r>
      <w:r>
        <w:rPr>
          <w:rFonts w:hint="eastAsia" w:ascii="宋体" w:hAnsi="宋体" w:eastAsia="宋体" w:cs="宋体"/>
          <w:b w:val="0"/>
          <w:bCs w:val="0"/>
          <w:color w:val="auto"/>
          <w:sz w:val="21"/>
          <w:szCs w:val="21"/>
          <w:highlight w:val="none"/>
        </w:rPr>
        <w:t>的报价，有可能影响产品质量或者不能诚信履约的，应当要求其在评标现场合理的时间内提供书面说明，必要时提交相关证明材料；</w:t>
      </w:r>
      <w:r>
        <w:rPr>
          <w:rFonts w:hint="eastAsia" w:ascii="宋体" w:hAnsi="宋体" w:eastAsia="宋体" w:cs="宋体"/>
          <w:b w:val="0"/>
          <w:bCs w:val="0"/>
          <w:color w:val="auto"/>
          <w:sz w:val="21"/>
          <w:szCs w:val="21"/>
          <w:highlight w:val="none"/>
          <w:lang w:eastAsia="zh-CN"/>
        </w:rPr>
        <w:t>投标人</w:t>
      </w:r>
      <w:r>
        <w:rPr>
          <w:rFonts w:hint="eastAsia" w:ascii="宋体" w:hAnsi="宋体" w:eastAsia="宋体" w:cs="宋体"/>
          <w:b w:val="0"/>
          <w:bCs w:val="0"/>
          <w:color w:val="auto"/>
          <w:sz w:val="21"/>
          <w:szCs w:val="21"/>
          <w:highlight w:val="none"/>
        </w:rPr>
        <w:t>不能证明其报价合理性的，评标委员会应当将其作为无效投标处理。</w:t>
      </w:r>
    </w:p>
    <w:p w14:paraId="38CAE898">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.6评审意见分歧的处理办法</w:t>
      </w:r>
    </w:p>
    <w:p w14:paraId="737D7BB3">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（1）评标委员会应当对</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提供的报告、证明材料及详细说明认真研究。对存在意见分歧的，可采用投票方式表决决定（按多数评委意见为准）；</w:t>
      </w:r>
    </w:p>
    <w:p w14:paraId="761DA600">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.7评标报告的签署</w:t>
      </w:r>
    </w:p>
    <w:p w14:paraId="29ADB630">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.7.1评标委员会应当编制书面评标报告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所有成员应签字确认。对评标结论持有异议的评标委员会成员可以书面方式阐述其不同意见和理由。评标委员会成员拒绝在评标报告上签字且不陈述其不同意见和理由的，视为同意评标结论。</w:t>
      </w:r>
    </w:p>
    <w:p w14:paraId="385207F7">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.8评标过程的保密</w:t>
      </w:r>
    </w:p>
    <w:p w14:paraId="4067CB7B">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评标委员会成员和与评标活动有关的工作人员不得透露对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的评审和比较、中标人的推荐情况以及与评标有关的其他情况。</w:t>
      </w:r>
    </w:p>
    <w:p w14:paraId="42677946">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.9评标结果公告</w:t>
      </w:r>
    </w:p>
    <w:p w14:paraId="2FF9952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应将中标人的情况在中新苏滁高新技术产业开发区（https://scp.chuzhou.gov.cn/index.html）、滁州市城投工程咨询管理有限公司网站（https://www.czctgczx.com/）予以公告，公告期为3日。</w:t>
      </w:r>
      <w:r>
        <w:rPr>
          <w:rFonts w:hint="eastAsia" w:ascii="宋体" w:hAnsi="宋体" w:eastAsia="宋体" w:cs="宋体"/>
          <w:b/>
          <w:bCs/>
          <w:color w:val="auto"/>
          <w:sz w:val="21"/>
          <w:szCs w:val="21"/>
          <w:highlight w:val="none"/>
        </w:rPr>
        <w:t xml:space="preserve">  </w:t>
      </w:r>
    </w:p>
    <w:p w14:paraId="5E533DB3">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.定标</w:t>
      </w:r>
    </w:p>
    <w:p w14:paraId="56DDC8F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.1招标人</w:t>
      </w:r>
      <w:r>
        <w:rPr>
          <w:rFonts w:hint="eastAsia" w:ascii="宋体" w:hAnsi="宋体" w:eastAsia="宋体" w:cs="宋体"/>
          <w:color w:val="auto"/>
          <w:sz w:val="21"/>
          <w:szCs w:val="21"/>
          <w:highlight w:val="none"/>
          <w:lang w:val="en-US" w:eastAsia="zh-CN"/>
        </w:rPr>
        <w:t>确定第一中标候选人为本项目中标人</w:t>
      </w:r>
      <w:r>
        <w:rPr>
          <w:rFonts w:hint="eastAsia" w:ascii="宋体" w:hAnsi="宋体" w:eastAsia="宋体" w:cs="宋体"/>
          <w:color w:val="auto"/>
          <w:sz w:val="21"/>
          <w:szCs w:val="21"/>
          <w:highlight w:val="none"/>
        </w:rPr>
        <w:t>。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0953F54">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29.开评标异常情况处理</w:t>
      </w:r>
    </w:p>
    <w:p w14:paraId="0348926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29.1废标（重新招标）</w:t>
      </w:r>
    </w:p>
    <w:p w14:paraId="45A4E48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有下列情形之一的，招标人将废标（重新招标）：</w:t>
      </w:r>
    </w:p>
    <w:p w14:paraId="2B4A84D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 出现影响采购公正的违法、违规行为的；</w:t>
      </w:r>
    </w:p>
    <w:p w14:paraId="5E083CC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（2）投标人的报价均脱离实际且无充分证据的；</w:t>
      </w:r>
    </w:p>
    <w:p w14:paraId="3C00AD8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（3）因重大变故，采购任务取消的。</w:t>
      </w:r>
    </w:p>
    <w:p w14:paraId="7438AA4B">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29.2变更采购方式</w:t>
      </w:r>
    </w:p>
    <w:p w14:paraId="6A11AE90">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按照相关规定执行。</w:t>
      </w:r>
    </w:p>
    <w:p w14:paraId="6E202337">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六、合同的授予</w:t>
      </w:r>
      <w:bookmarkEnd w:id="26"/>
    </w:p>
    <w:p w14:paraId="70C8022D">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.合同授予标准</w:t>
      </w:r>
    </w:p>
    <w:p w14:paraId="5577BFF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.1本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的合同授予按本须知第</w:t>
      </w: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条规定所确定的中标人。</w:t>
      </w:r>
    </w:p>
    <w:p w14:paraId="1A58F8BC">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 合同协议书的签订</w:t>
      </w:r>
    </w:p>
    <w:p w14:paraId="19FE8CFB">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31.1中标通知书发放后30日内，按照招标文件和中标人的投标文件订立书面合同。招标人和中标人不得再行订立背离合同实质性内容的其他协议。</w:t>
      </w:r>
    </w:p>
    <w:p w14:paraId="2799782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31.2招标人如不按本投标须知第31.1条的规定与中标人订立合同，或者招标人、中标人订立背离合同实质性内容的协议，招标人应当按给投标人造成的损失予以赔偿，同时依法承担相应法律责任。</w:t>
      </w:r>
    </w:p>
    <w:p w14:paraId="1363568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31.3中标人如不按本投标须知第31.1条的规定与招标人订立合同，则招标人将取消其中标资格，给招标人造成的损失予以赔偿，同时依法承担相应法律责任。</w:t>
      </w:r>
    </w:p>
    <w:p w14:paraId="31113C7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31.4中标人应当按照合同约定履行义务，完成中标项目的实施，不得将中标项目转让（转包）给他人。</w:t>
      </w:r>
    </w:p>
    <w:p w14:paraId="38E9C6F9">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7" w:name="_Toc449028874"/>
      <w:r>
        <w:rPr>
          <w:rFonts w:hint="eastAsia" w:ascii="宋体" w:hAnsi="宋体" w:eastAsia="宋体" w:cs="宋体"/>
          <w:b/>
          <w:bCs/>
          <w:color w:val="auto"/>
          <w:sz w:val="30"/>
          <w:szCs w:val="30"/>
          <w:highlight w:val="none"/>
        </w:rPr>
        <w:t>（七）纪律和监督</w:t>
      </w:r>
      <w:bookmarkEnd w:id="27"/>
    </w:p>
    <w:p w14:paraId="26553498">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 对</w:t>
      </w:r>
      <w:r>
        <w:rPr>
          <w:rFonts w:hint="eastAsia" w:ascii="宋体" w:hAnsi="宋体" w:eastAsia="宋体" w:cs="宋体"/>
          <w:b/>
          <w:color w:val="auto"/>
          <w:sz w:val="21"/>
          <w:szCs w:val="21"/>
          <w:highlight w:val="none"/>
          <w:lang w:eastAsia="zh-CN"/>
        </w:rPr>
        <w:t>招标人</w:t>
      </w:r>
      <w:r>
        <w:rPr>
          <w:rFonts w:hint="eastAsia" w:ascii="宋体" w:hAnsi="宋体" w:eastAsia="宋体" w:cs="宋体"/>
          <w:b/>
          <w:color w:val="auto"/>
          <w:sz w:val="21"/>
          <w:szCs w:val="21"/>
          <w:highlight w:val="none"/>
        </w:rPr>
        <w:t xml:space="preserve">的纪律要求 </w:t>
      </w:r>
    </w:p>
    <w:p w14:paraId="05EEEA0D">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2</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eastAsia="zh-CN"/>
        </w:rPr>
        <w:t>招标人不得泄露</w:t>
      </w:r>
      <w:r>
        <w:rPr>
          <w:rFonts w:hint="eastAsia" w:ascii="宋体" w:hAnsi="宋体" w:eastAsia="宋体" w:cs="宋体"/>
          <w:color w:val="auto"/>
          <w:kern w:val="10"/>
          <w:sz w:val="21"/>
          <w:szCs w:val="21"/>
          <w:highlight w:val="none"/>
        </w:rPr>
        <w:t>招标投标活动中应当保密的情况和资料，不得与</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 xml:space="preserve">串通损害国家利益，社会公共利益或者他人合法权益。 </w:t>
      </w:r>
    </w:p>
    <w:p w14:paraId="7B232892">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 对</w:t>
      </w:r>
      <w:r>
        <w:rPr>
          <w:rFonts w:hint="eastAsia" w:ascii="宋体" w:hAnsi="宋体" w:eastAsia="宋体" w:cs="宋体"/>
          <w:b/>
          <w:color w:val="auto"/>
          <w:sz w:val="21"/>
          <w:szCs w:val="21"/>
          <w:highlight w:val="none"/>
          <w:lang w:eastAsia="zh-CN"/>
        </w:rPr>
        <w:t>投标人</w:t>
      </w:r>
      <w:r>
        <w:rPr>
          <w:rFonts w:hint="eastAsia" w:ascii="宋体" w:hAnsi="宋体" w:eastAsia="宋体" w:cs="宋体"/>
          <w:b/>
          <w:color w:val="auto"/>
          <w:sz w:val="21"/>
          <w:szCs w:val="21"/>
          <w:highlight w:val="none"/>
        </w:rPr>
        <w:t xml:space="preserve">的纪律要求 </w:t>
      </w:r>
    </w:p>
    <w:p w14:paraId="3090510F">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3</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不得相互串通投标或者与</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串通投标，不得向</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或者评标委员会成员行贿谋取中标，不得以他人名义投标或者以其他方式弄虚作假骗取中标；</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不得以任何方式干扰、影响评标工作。</w:t>
      </w:r>
    </w:p>
    <w:p w14:paraId="46E99431">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 xml:space="preserve">.对评标委员会成员的纪律要求 </w:t>
      </w:r>
    </w:p>
    <w:p w14:paraId="65471E57">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.1评标委员会成员不得收受他人的财物或者其他好处，不得向他人</w:t>
      </w:r>
      <w:r>
        <w:rPr>
          <w:rFonts w:hint="eastAsia" w:ascii="宋体" w:hAnsi="宋体" w:eastAsia="宋体" w:cs="宋体"/>
          <w:color w:val="auto"/>
          <w:kern w:val="10"/>
          <w:sz w:val="21"/>
          <w:szCs w:val="21"/>
          <w:highlight w:val="none"/>
          <w:lang w:eastAsia="zh-CN"/>
        </w:rPr>
        <w:t>透露</w:t>
      </w:r>
      <w:r>
        <w:rPr>
          <w:rFonts w:hint="eastAsia" w:ascii="宋体" w:hAnsi="宋体" w:eastAsia="宋体" w:cs="宋体"/>
          <w:color w:val="auto"/>
          <w:kern w:val="10"/>
          <w:sz w:val="21"/>
          <w:szCs w:val="21"/>
          <w:highlight w:val="none"/>
        </w:rPr>
        <w:t>对</w:t>
      </w:r>
      <w:r>
        <w:rPr>
          <w:rFonts w:hint="eastAsia" w:ascii="宋体" w:hAnsi="宋体" w:eastAsia="宋体" w:cs="宋体"/>
          <w:color w:val="auto"/>
          <w:kern w:val="10"/>
          <w:sz w:val="21"/>
          <w:szCs w:val="21"/>
          <w:highlight w:val="none"/>
          <w:lang w:eastAsia="zh-CN"/>
        </w:rPr>
        <w:t>招标文件</w:t>
      </w:r>
      <w:r>
        <w:rPr>
          <w:rFonts w:hint="eastAsia" w:ascii="宋体" w:hAnsi="宋体" w:eastAsia="宋体" w:cs="宋体"/>
          <w:color w:val="auto"/>
          <w:kern w:val="10"/>
          <w:sz w:val="21"/>
          <w:szCs w:val="21"/>
          <w:highlight w:val="none"/>
        </w:rPr>
        <w:t>的评审和比较、中标候选人的推荐情况以及评标有关的其他情况。</w:t>
      </w:r>
    </w:p>
    <w:p w14:paraId="3EE85A00">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 xml:space="preserve">.2在评标活动中，评标委员会成员不得擅离职守，影响评标程序正常进行，不得使用第三章“评标办法”没有规定的评审因素和标准进行评标。 </w:t>
      </w:r>
    </w:p>
    <w:p w14:paraId="684E0BD7">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rPr>
        <w:t xml:space="preserve">.对与评标活动有关的工作人员的纪律要求 </w:t>
      </w:r>
    </w:p>
    <w:p w14:paraId="31F13EA7">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5</w:t>
      </w:r>
      <w:r>
        <w:rPr>
          <w:rFonts w:hint="eastAsia" w:ascii="宋体" w:hAnsi="宋体" w:eastAsia="宋体" w:cs="宋体"/>
          <w:color w:val="auto"/>
          <w:kern w:val="10"/>
          <w:sz w:val="21"/>
          <w:szCs w:val="21"/>
          <w:highlight w:val="none"/>
        </w:rPr>
        <w:t>.1与评标活动有关的工作人员不得收受他人的财物或者其他好处，不得向他人</w:t>
      </w:r>
      <w:r>
        <w:rPr>
          <w:rFonts w:hint="eastAsia" w:ascii="宋体" w:hAnsi="宋体" w:eastAsia="宋体" w:cs="宋体"/>
          <w:color w:val="auto"/>
          <w:kern w:val="10"/>
          <w:sz w:val="21"/>
          <w:szCs w:val="21"/>
          <w:highlight w:val="none"/>
          <w:lang w:eastAsia="zh-CN"/>
        </w:rPr>
        <w:t>透露</w:t>
      </w:r>
      <w:r>
        <w:rPr>
          <w:rFonts w:hint="eastAsia" w:ascii="宋体" w:hAnsi="宋体" w:eastAsia="宋体" w:cs="宋体"/>
          <w:color w:val="auto"/>
          <w:kern w:val="10"/>
          <w:sz w:val="21"/>
          <w:szCs w:val="21"/>
          <w:highlight w:val="none"/>
        </w:rPr>
        <w:t>对</w:t>
      </w:r>
      <w:r>
        <w:rPr>
          <w:rFonts w:hint="eastAsia" w:ascii="宋体" w:hAnsi="宋体" w:eastAsia="宋体" w:cs="宋体"/>
          <w:color w:val="auto"/>
          <w:kern w:val="10"/>
          <w:sz w:val="21"/>
          <w:szCs w:val="21"/>
          <w:highlight w:val="none"/>
          <w:lang w:eastAsia="zh-CN"/>
        </w:rPr>
        <w:t>招标文件</w:t>
      </w:r>
      <w:r>
        <w:rPr>
          <w:rFonts w:hint="eastAsia" w:ascii="宋体" w:hAnsi="宋体" w:eastAsia="宋体" w:cs="宋体"/>
          <w:color w:val="auto"/>
          <w:kern w:val="10"/>
          <w:sz w:val="21"/>
          <w:szCs w:val="21"/>
          <w:highlight w:val="none"/>
        </w:rPr>
        <w:t>的评审和比较、中标候选人的推荐情况以及评标有关的其他情况。在评标活动中，与评标活动有关的工作人员不得擅离职守，影响评标程序正常进行。</w:t>
      </w:r>
    </w:p>
    <w:p w14:paraId="35A25735">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8" w:name="_Toc449028875"/>
      <w:r>
        <w:rPr>
          <w:rFonts w:hint="eastAsia" w:ascii="宋体" w:hAnsi="宋体" w:eastAsia="宋体" w:cs="宋体"/>
          <w:b/>
          <w:bCs/>
          <w:color w:val="auto"/>
          <w:sz w:val="30"/>
          <w:szCs w:val="30"/>
          <w:highlight w:val="none"/>
        </w:rPr>
        <w:t>（八）质疑与投诉</w:t>
      </w:r>
      <w:bookmarkEnd w:id="28"/>
    </w:p>
    <w:p w14:paraId="77D3D939">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36</w:t>
      </w:r>
      <w:r>
        <w:rPr>
          <w:rFonts w:hint="eastAsia" w:ascii="宋体" w:hAnsi="宋体" w:eastAsia="宋体" w:cs="宋体"/>
          <w:b/>
          <w:color w:val="auto"/>
          <w:sz w:val="21"/>
          <w:szCs w:val="21"/>
          <w:highlight w:val="none"/>
        </w:rPr>
        <w:t>.投诉</w:t>
      </w:r>
    </w:p>
    <w:p w14:paraId="7B2D3B5F">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lang w:val="en-US" w:eastAsia="zh-CN"/>
        </w:rPr>
        <w:t>36</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或者其他利害关系人认为招标投标活动违反</w:t>
      </w:r>
      <w:r>
        <w:rPr>
          <w:rFonts w:hint="eastAsia" w:ascii="宋体" w:hAnsi="宋体" w:eastAsia="宋体" w:cs="宋体"/>
          <w:color w:val="auto"/>
          <w:kern w:val="10"/>
          <w:sz w:val="21"/>
          <w:szCs w:val="21"/>
          <w:highlight w:val="none"/>
          <w:lang w:eastAsia="zh-CN"/>
        </w:rPr>
        <w:t>法律法规</w:t>
      </w:r>
      <w:r>
        <w:rPr>
          <w:rFonts w:hint="eastAsia" w:ascii="宋体" w:hAnsi="宋体" w:eastAsia="宋体" w:cs="宋体"/>
          <w:color w:val="auto"/>
          <w:kern w:val="10"/>
          <w:sz w:val="21"/>
          <w:szCs w:val="21"/>
          <w:highlight w:val="none"/>
        </w:rPr>
        <w:t>和规章规定的，有权向相关行政监督部门投诉。投诉应当有明确的请求和必要的证明材料。</w:t>
      </w:r>
    </w:p>
    <w:p w14:paraId="433CA35D">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黑体" w:eastAsia="黑体"/>
          <w:color w:val="auto"/>
          <w:sz w:val="30"/>
          <w:szCs w:val="30"/>
          <w:highlight w:val="none"/>
        </w:rPr>
      </w:pPr>
      <w:r>
        <w:rPr>
          <w:rFonts w:hint="eastAsia" w:ascii="宋体" w:hAnsi="宋体" w:eastAsia="宋体" w:cs="宋体"/>
          <w:color w:val="auto"/>
          <w:kern w:val="10"/>
          <w:sz w:val="21"/>
          <w:szCs w:val="21"/>
          <w:highlight w:val="none"/>
          <w:lang w:val="en-US" w:eastAsia="zh-CN"/>
        </w:rPr>
        <w:t>36</w:t>
      </w:r>
      <w:r>
        <w:rPr>
          <w:rFonts w:hint="eastAsia" w:ascii="宋体" w:hAnsi="宋体" w:eastAsia="宋体" w:cs="宋体"/>
          <w:color w:val="auto"/>
          <w:kern w:val="10"/>
          <w:sz w:val="21"/>
          <w:szCs w:val="21"/>
          <w:highlight w:val="none"/>
        </w:rPr>
        <w:t>.2</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和其他利害关系人对</w:t>
      </w:r>
      <w:r>
        <w:rPr>
          <w:rFonts w:hint="eastAsia" w:ascii="宋体" w:hAnsi="宋体" w:eastAsia="宋体" w:cs="宋体"/>
          <w:color w:val="auto"/>
          <w:kern w:val="10"/>
          <w:sz w:val="21"/>
          <w:szCs w:val="21"/>
          <w:highlight w:val="none"/>
          <w:lang w:eastAsia="zh-CN"/>
        </w:rPr>
        <w:t>招标文件</w:t>
      </w:r>
      <w:r>
        <w:rPr>
          <w:rFonts w:hint="eastAsia" w:ascii="宋体" w:hAnsi="宋体" w:eastAsia="宋体" w:cs="宋体"/>
          <w:color w:val="auto"/>
          <w:kern w:val="10"/>
          <w:sz w:val="21"/>
          <w:szCs w:val="21"/>
          <w:highlight w:val="none"/>
        </w:rPr>
        <w:t>、开标和评标结果事项投诉的，应当按照</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须知的规定先向</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提出异议。异议答复期间不计算在规定的期限内。</w:t>
      </w:r>
    </w:p>
    <w:p w14:paraId="5368DD7A">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eastAsia" w:ascii="宋体"/>
          <w:b/>
          <w:color w:val="auto"/>
          <w:sz w:val="32"/>
          <w:szCs w:val="32"/>
          <w:highlight w:val="none"/>
        </w:rPr>
      </w:pPr>
      <w:r>
        <w:rPr>
          <w:color w:val="auto"/>
          <w:highlight w:val="none"/>
        </w:rPr>
        <w:br w:type="page"/>
      </w:r>
      <w:r>
        <w:rPr>
          <w:rFonts w:hint="eastAsia" w:ascii="宋体" w:hAnsi="宋体" w:eastAsia="宋体" w:cs="宋体"/>
          <w:b/>
          <w:bCs/>
          <w:color w:val="auto"/>
          <w:kern w:val="2"/>
          <w:sz w:val="32"/>
          <w:szCs w:val="32"/>
          <w:highlight w:val="none"/>
          <w:lang w:val="en-US" w:eastAsia="zh-CN" w:bidi="ar-SA"/>
        </w:rPr>
        <w:t>第三章 评标办法</w:t>
      </w:r>
    </w:p>
    <w:p w14:paraId="77B91577">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9" w:name="_Toc58430317"/>
      <w:bookmarkStart w:id="30" w:name="_Toc449028877"/>
      <w:bookmarkStart w:id="31" w:name="_Toc362983801"/>
      <w:bookmarkStart w:id="32" w:name="_Toc267320058"/>
      <w:r>
        <w:rPr>
          <w:rFonts w:hint="eastAsia" w:ascii="宋体" w:hAnsi="宋体" w:eastAsia="宋体" w:cs="宋体"/>
          <w:b/>
          <w:bCs/>
          <w:color w:val="auto"/>
          <w:sz w:val="30"/>
          <w:szCs w:val="30"/>
          <w:highlight w:val="none"/>
        </w:rPr>
        <w:t>一、总则</w:t>
      </w:r>
      <w:bookmarkEnd w:id="29"/>
      <w:bookmarkEnd w:id="30"/>
      <w:bookmarkEnd w:id="31"/>
    </w:p>
    <w:p w14:paraId="4DA06D06">
      <w:pPr>
        <w:keepNext w:val="0"/>
        <w:keepLines w:val="0"/>
        <w:pageBreakBefore w:val="0"/>
        <w:widowControl w:val="0"/>
        <w:kinsoku/>
        <w:wordWrap/>
        <w:overflowPunct/>
        <w:topLinePunct w:val="0"/>
        <w:autoSpaceDE/>
        <w:autoSpaceDN/>
        <w:bidi w:val="0"/>
        <w:adjustRightInd/>
        <w:snapToGrid/>
        <w:spacing w:line="500" w:lineRule="exact"/>
        <w:ind w:firstLine="316" w:firstLineChars="150"/>
        <w:jc w:val="left"/>
        <w:textAlignment w:val="auto"/>
        <w:rPr>
          <w:rFonts w:hint="eastAsia" w:ascii="宋体"/>
          <w:b/>
          <w:color w:val="auto"/>
          <w:szCs w:val="21"/>
          <w:highlight w:val="none"/>
        </w:rPr>
      </w:pPr>
      <w:bookmarkStart w:id="33" w:name="_Toc58430318"/>
      <w:bookmarkStart w:id="34" w:name="_Toc449028878"/>
      <w:bookmarkStart w:id="35" w:name="_Toc362983802"/>
      <w:r>
        <w:rPr>
          <w:rFonts w:hint="eastAsia" w:ascii="宋体"/>
          <w:b/>
          <w:color w:val="auto"/>
          <w:szCs w:val="21"/>
          <w:highlight w:val="none"/>
        </w:rPr>
        <w:t xml:space="preserve"> 1. 本次评标采用综合评分法</w:t>
      </w:r>
    </w:p>
    <w:p w14:paraId="5DD2B3C0">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color w:val="auto"/>
          <w:szCs w:val="21"/>
          <w:highlight w:val="none"/>
        </w:rPr>
      </w:pPr>
      <w:r>
        <w:rPr>
          <w:rFonts w:hint="eastAsia" w:ascii="宋体"/>
          <w:color w:val="auto"/>
          <w:szCs w:val="21"/>
          <w:highlight w:val="none"/>
        </w:rPr>
        <w:t>1.1综合评分法是指投标文件满足招标文件全部实质性要求且按照评审因素的量化指标评审总得分从高到低的供应商为中标候选人的评标方法。</w:t>
      </w:r>
    </w:p>
    <w:p w14:paraId="0594B1C6">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1.2综合评分法一般适用于较为复杂、评价指标难以量化且价格为非主要因素的非标准定制商品和非通用服务项目的项目评审。</w:t>
      </w:r>
    </w:p>
    <w:p w14:paraId="7C53964E">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left"/>
        <w:textAlignment w:val="auto"/>
        <w:rPr>
          <w:rFonts w:hint="eastAsia" w:ascii="宋体"/>
          <w:b/>
          <w:color w:val="auto"/>
          <w:szCs w:val="21"/>
          <w:highlight w:val="none"/>
        </w:rPr>
      </w:pPr>
      <w:r>
        <w:rPr>
          <w:rFonts w:hint="eastAsia" w:ascii="宋体"/>
          <w:b/>
          <w:color w:val="auto"/>
          <w:szCs w:val="21"/>
          <w:highlight w:val="none"/>
          <w:lang w:eastAsia="zh-CN"/>
        </w:rPr>
        <w:t>2.</w:t>
      </w:r>
      <w:r>
        <w:rPr>
          <w:rFonts w:hint="eastAsia" w:ascii="宋体"/>
          <w:b/>
          <w:color w:val="auto"/>
          <w:szCs w:val="21"/>
          <w:highlight w:val="none"/>
        </w:rPr>
        <w:t>评标程序</w:t>
      </w:r>
    </w:p>
    <w:p w14:paraId="26AB7B8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2.1投标文件的初审</w:t>
      </w:r>
    </w:p>
    <w:p w14:paraId="0CD1CC5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2.2投标文件的澄清</w:t>
      </w:r>
    </w:p>
    <w:p w14:paraId="5665DDDD">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2.2.1在评标过程中，评标委员会认为需要，可要求投标人对投标文件中的有关问题进行澄清或提供补充说明及有关资料，投标人应做出书面答复。书面答复中不得变更价格、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w:t>
      </w:r>
      <w:r>
        <w:rPr>
          <w:rFonts w:hint="eastAsia" w:ascii="宋体"/>
          <w:color w:val="auto"/>
          <w:szCs w:val="21"/>
          <w:highlight w:val="none"/>
          <w:lang w:eastAsia="zh-CN"/>
        </w:rPr>
        <w:t>其他</w:t>
      </w:r>
      <w:r>
        <w:rPr>
          <w:rFonts w:hint="eastAsia" w:ascii="宋体"/>
          <w:color w:val="auto"/>
          <w:szCs w:val="21"/>
          <w:highlight w:val="none"/>
        </w:rPr>
        <w:t>实质性内容修正的函件和增加的任何优惠条件，一律不得作为评标、定标的依据。</w:t>
      </w:r>
    </w:p>
    <w:p w14:paraId="266809A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2.3比较与评价</w:t>
      </w:r>
    </w:p>
    <w:p w14:paraId="5BD7217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2.4推荐中标候选人名单</w:t>
      </w:r>
    </w:p>
    <w:p w14:paraId="110BD1D5">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二、投标文件初审</w:t>
      </w:r>
      <w:bookmarkEnd w:id="33"/>
      <w:bookmarkEnd w:id="34"/>
      <w:bookmarkEnd w:id="35"/>
    </w:p>
    <w:p w14:paraId="51BB9995">
      <w:pPr>
        <w:keepNext w:val="0"/>
        <w:keepLines w:val="0"/>
        <w:pageBreakBefore w:val="0"/>
        <w:widowControl w:val="0"/>
        <w:kinsoku/>
        <w:wordWrap/>
        <w:overflowPunct/>
        <w:topLinePunct w:val="0"/>
        <w:autoSpaceDE/>
        <w:autoSpaceDN/>
        <w:bidi w:val="0"/>
        <w:adjustRightInd/>
        <w:snapToGrid/>
        <w:spacing w:line="500" w:lineRule="exact"/>
        <w:ind w:firstLine="310" w:firstLineChars="147"/>
        <w:textAlignment w:val="auto"/>
        <w:rPr>
          <w:rFonts w:hint="eastAsia" w:ascii="宋体" w:hAnsi="宋体" w:cs="宋体"/>
          <w:b/>
          <w:color w:val="auto"/>
          <w:szCs w:val="21"/>
          <w:highlight w:val="none"/>
        </w:rPr>
      </w:pPr>
      <w:r>
        <w:rPr>
          <w:rFonts w:hint="eastAsia" w:ascii="宋体" w:hAnsi="宋体" w:cs="宋体"/>
          <w:b/>
          <w:color w:val="auto"/>
          <w:szCs w:val="21"/>
          <w:highlight w:val="none"/>
        </w:rPr>
        <w:t>3.资格性审查</w:t>
      </w:r>
      <w:r>
        <w:rPr>
          <w:rFonts w:hint="eastAsia" w:ascii="宋体" w:hAnsi="宋体" w:cs="宋体"/>
          <w:b/>
          <w:color w:val="auto"/>
          <w:szCs w:val="21"/>
          <w:highlight w:val="none"/>
          <w:lang w:eastAsia="zh-CN"/>
        </w:rPr>
        <w:t>：</w:t>
      </w:r>
    </w:p>
    <w:p w14:paraId="6A45A2E7">
      <w:pPr>
        <w:keepNext w:val="0"/>
        <w:keepLines w:val="0"/>
        <w:pageBreakBefore w:val="0"/>
        <w:widowControl w:val="0"/>
        <w:kinsoku/>
        <w:wordWrap/>
        <w:overflowPunct/>
        <w:topLinePunct w:val="0"/>
        <w:autoSpaceDE/>
        <w:autoSpaceDN/>
        <w:bidi w:val="0"/>
        <w:adjustRightInd/>
        <w:snapToGrid/>
        <w:spacing w:line="500" w:lineRule="exact"/>
        <w:ind w:firstLine="308" w:firstLineChars="147"/>
        <w:textAlignment w:val="auto"/>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21"/>
        <w:tblW w:w="9854"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66"/>
        <w:gridCol w:w="5699"/>
        <w:gridCol w:w="2085"/>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5" w:hRule="atLeast"/>
        </w:trPr>
        <w:tc>
          <w:tcPr>
            <w:tcW w:w="704" w:type="dxa"/>
            <w:noWrap w:val="0"/>
            <w:vAlign w:val="center"/>
          </w:tcPr>
          <w:p w14:paraId="256B2D8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7065" w:type="dxa"/>
            <w:gridSpan w:val="2"/>
            <w:noWrap w:val="0"/>
            <w:vAlign w:val="center"/>
          </w:tcPr>
          <w:p w14:paraId="317DFDD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2085" w:type="dxa"/>
            <w:noWrap w:val="0"/>
            <w:vAlign w:val="center"/>
          </w:tcPr>
          <w:p w14:paraId="12EF048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04" w:type="dxa"/>
            <w:noWrap w:val="0"/>
            <w:vAlign w:val="center"/>
          </w:tcPr>
          <w:p w14:paraId="1285CBF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366" w:type="dxa"/>
            <w:noWrap w:val="0"/>
            <w:vAlign w:val="center"/>
          </w:tcPr>
          <w:p w14:paraId="3C5C535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5699" w:type="dxa"/>
            <w:noWrap w:val="0"/>
            <w:vAlign w:val="center"/>
          </w:tcPr>
          <w:p w14:paraId="308A1E87">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p>
        </w:tc>
        <w:tc>
          <w:tcPr>
            <w:tcW w:w="2085" w:type="dxa"/>
            <w:noWrap w:val="0"/>
            <w:vAlign w:val="center"/>
          </w:tcPr>
          <w:p w14:paraId="4B0BE00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restart"/>
            <w:noWrap w:val="0"/>
            <w:vAlign w:val="center"/>
          </w:tcPr>
          <w:p w14:paraId="16220CB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2</w:t>
            </w:r>
          </w:p>
        </w:tc>
        <w:tc>
          <w:tcPr>
            <w:tcW w:w="1366" w:type="dxa"/>
            <w:vMerge w:val="restart"/>
            <w:noWrap w:val="0"/>
            <w:vAlign w:val="center"/>
          </w:tcPr>
          <w:p w14:paraId="4C55880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5699" w:type="dxa"/>
            <w:noWrap w:val="0"/>
            <w:vAlign w:val="center"/>
          </w:tcPr>
          <w:p w14:paraId="0F7F3050">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宋体" w:hAnsi="宋体" w:cs="宋体"/>
                <w:color w:val="auto"/>
                <w:szCs w:val="21"/>
                <w:highlight w:val="none"/>
                <w:lang w:val="en-US"/>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企业资质证书</w:t>
            </w:r>
          </w:p>
        </w:tc>
        <w:tc>
          <w:tcPr>
            <w:tcW w:w="2085" w:type="dxa"/>
            <w:noWrap w:val="0"/>
            <w:vAlign w:val="center"/>
          </w:tcPr>
          <w:p w14:paraId="70F38C35">
            <w:pPr>
              <w:keepNext w:val="0"/>
              <w:keepLines w:val="0"/>
              <w:pageBreakBefore w:val="0"/>
              <w:widowControl w:val="0"/>
              <w:tabs>
                <w:tab w:val="left" w:pos="1890"/>
              </w:tabs>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有效的营业执照</w:t>
            </w:r>
            <w:r>
              <w:rPr>
                <w:rFonts w:hint="eastAsia" w:ascii="宋体" w:hAnsi="宋体" w:cs="宋体"/>
                <w:color w:val="auto"/>
                <w:szCs w:val="21"/>
                <w:highlight w:val="none"/>
                <w:lang w:val="en-US" w:eastAsia="zh-CN"/>
              </w:rPr>
              <w:t>及企业资质证书</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525A079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366" w:type="dxa"/>
            <w:vMerge w:val="continue"/>
            <w:noWrap w:val="0"/>
            <w:vAlign w:val="center"/>
          </w:tcPr>
          <w:p w14:paraId="788A23E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5699" w:type="dxa"/>
            <w:noWrap w:val="0"/>
            <w:vAlign w:val="center"/>
          </w:tcPr>
          <w:p w14:paraId="60066964">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）诚信投标承诺书</w:t>
            </w:r>
          </w:p>
        </w:tc>
        <w:tc>
          <w:tcPr>
            <w:tcW w:w="2085" w:type="dxa"/>
            <w:noWrap w:val="0"/>
            <w:vAlign w:val="center"/>
          </w:tcPr>
          <w:p w14:paraId="6212B80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格式见附件</w:t>
            </w:r>
          </w:p>
          <w:p w14:paraId="3EDC332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检验</w:t>
            </w:r>
            <w:r>
              <w:rPr>
                <w:rFonts w:hint="eastAsia" w:ascii="宋体" w:hAnsi="宋体" w:eastAsia="宋体" w:cs="宋体"/>
                <w:color w:val="auto"/>
                <w:szCs w:val="21"/>
                <w:highlight w:val="none"/>
                <w:lang w:val="en-US" w:eastAsia="zh-CN"/>
              </w:rPr>
              <w:t>投标文件</w:t>
            </w:r>
          </w:p>
        </w:tc>
      </w:tr>
      <w:tr w14:paraId="37D4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31E851B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366" w:type="dxa"/>
            <w:vMerge w:val="continue"/>
            <w:noWrap w:val="0"/>
            <w:vAlign w:val="center"/>
          </w:tcPr>
          <w:p w14:paraId="15EF957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5699" w:type="dxa"/>
            <w:noWrap w:val="0"/>
            <w:vAlign w:val="center"/>
          </w:tcPr>
          <w:p w14:paraId="0D2626BE">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4）拟派项目负责人有效身份证和对应证书</w:t>
            </w:r>
          </w:p>
        </w:tc>
        <w:tc>
          <w:tcPr>
            <w:tcW w:w="2085" w:type="dxa"/>
            <w:noWrap w:val="0"/>
            <w:vAlign w:val="center"/>
          </w:tcPr>
          <w:p w14:paraId="609D103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提供有效的身份证及</w:t>
            </w:r>
            <w:r>
              <w:rPr>
                <w:rFonts w:hint="eastAsia" w:ascii="宋体" w:hAnsi="宋体" w:cs="宋体"/>
                <w:color w:val="auto"/>
                <w:szCs w:val="21"/>
                <w:highlight w:val="none"/>
                <w:lang w:val="en-US" w:eastAsia="zh-CN"/>
              </w:rPr>
              <w:t>证书</w:t>
            </w:r>
          </w:p>
        </w:tc>
      </w:tr>
      <w:tr w14:paraId="3BDB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3DC61C9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366" w:type="dxa"/>
            <w:vMerge w:val="continue"/>
            <w:noWrap w:val="0"/>
            <w:vAlign w:val="center"/>
          </w:tcPr>
          <w:p w14:paraId="5860AC1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5699" w:type="dxa"/>
            <w:noWrap w:val="0"/>
            <w:vAlign w:val="top"/>
          </w:tcPr>
          <w:p w14:paraId="79311B5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5）拟任项目负责人须持有社保部门出具的本单位为其缴纳的2026年5月至2026年9月范围内</w:t>
            </w:r>
            <w:r>
              <w:rPr>
                <w:rFonts w:hint="eastAsia" w:ascii="宋体" w:hAnsi="宋体" w:cs="宋体"/>
                <w:color w:val="auto"/>
                <w:szCs w:val="21"/>
                <w:highlight w:val="none"/>
                <w:lang w:val="en-US" w:eastAsia="zh-CN"/>
              </w:rPr>
              <w:t>任意连续三个月的养老保险证明。</w:t>
            </w:r>
          </w:p>
          <w:p w14:paraId="5AC3A2FA">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注：1、投标人是事业单位的，暂未缴纳养老保险的，须由其主管部门出具证明。</w:t>
            </w:r>
          </w:p>
        </w:tc>
        <w:tc>
          <w:tcPr>
            <w:tcW w:w="2085" w:type="dxa"/>
            <w:noWrap w:val="0"/>
            <w:vAlign w:val="center"/>
          </w:tcPr>
          <w:p w14:paraId="4E13C2F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提供养老保险证明材料</w:t>
            </w:r>
          </w:p>
        </w:tc>
      </w:tr>
    </w:tbl>
    <w:p w14:paraId="4BC832D8">
      <w:pPr>
        <w:keepNext w:val="0"/>
        <w:keepLines w:val="0"/>
        <w:pageBreakBefore w:val="0"/>
        <w:widowControl w:val="0"/>
        <w:kinsoku/>
        <w:wordWrap/>
        <w:overflowPunct/>
        <w:topLinePunct w:val="0"/>
        <w:autoSpaceDE/>
        <w:autoSpaceDN/>
        <w:bidi w:val="0"/>
        <w:adjustRightInd/>
        <w:snapToGrid/>
        <w:spacing w:line="500" w:lineRule="exact"/>
        <w:ind w:firstLine="508" w:firstLineChars="241"/>
        <w:textAlignment w:val="auto"/>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keepNext w:val="0"/>
        <w:keepLines w:val="0"/>
        <w:pageBreakBefore w:val="0"/>
        <w:widowControl w:val="0"/>
        <w:kinsoku/>
        <w:wordWrap/>
        <w:overflowPunct/>
        <w:topLinePunct w:val="0"/>
        <w:autoSpaceDE/>
        <w:autoSpaceDN/>
        <w:bidi w:val="0"/>
        <w:adjustRightInd/>
        <w:snapToGrid/>
        <w:spacing w:line="500" w:lineRule="exact"/>
        <w:ind w:firstLine="310" w:firstLineChars="147"/>
        <w:textAlignment w:val="auto"/>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keepNext w:val="0"/>
        <w:keepLines w:val="0"/>
        <w:pageBreakBefore w:val="0"/>
        <w:widowControl w:val="0"/>
        <w:kinsoku/>
        <w:wordWrap/>
        <w:overflowPunct/>
        <w:topLinePunct w:val="0"/>
        <w:autoSpaceDE/>
        <w:autoSpaceDN/>
        <w:bidi w:val="0"/>
        <w:adjustRightInd/>
        <w:snapToGrid/>
        <w:spacing w:line="500" w:lineRule="exact"/>
        <w:ind w:firstLine="315" w:firstLineChars="150"/>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1评审细则</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（1）投标文件签署</w:t>
            </w:r>
          </w:p>
        </w:tc>
        <w:tc>
          <w:tcPr>
            <w:tcW w:w="4173" w:type="dxa"/>
            <w:noWrap w:val="0"/>
            <w:vAlign w:val="center"/>
          </w:tcPr>
          <w:p w14:paraId="70C044A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1204" w:type="dxa"/>
            <w:vMerge w:val="continue"/>
            <w:noWrap w:val="0"/>
            <w:vAlign w:val="center"/>
          </w:tcPr>
          <w:p w14:paraId="14A5088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2931" w:type="dxa"/>
            <w:noWrap w:val="0"/>
            <w:vAlign w:val="center"/>
          </w:tcPr>
          <w:p w14:paraId="0999086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（2）投标方案</w:t>
            </w:r>
          </w:p>
        </w:tc>
        <w:tc>
          <w:tcPr>
            <w:tcW w:w="4173" w:type="dxa"/>
            <w:noWrap w:val="0"/>
            <w:vAlign w:val="center"/>
          </w:tcPr>
          <w:p w14:paraId="4EC3E49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1204" w:type="dxa"/>
            <w:vMerge w:val="continue"/>
            <w:noWrap w:val="0"/>
            <w:vAlign w:val="center"/>
          </w:tcPr>
          <w:p w14:paraId="06E85D3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2931" w:type="dxa"/>
            <w:noWrap w:val="0"/>
            <w:vAlign w:val="center"/>
          </w:tcPr>
          <w:p w14:paraId="26DCF9F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rPr>
              <w:t>（3）报价唯一</w:t>
            </w:r>
          </w:p>
        </w:tc>
        <w:tc>
          <w:tcPr>
            <w:tcW w:w="4173" w:type="dxa"/>
            <w:noWrap w:val="0"/>
            <w:vAlign w:val="center"/>
          </w:tcPr>
          <w:p w14:paraId="22B2587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1204" w:type="dxa"/>
            <w:vMerge w:val="continue"/>
            <w:noWrap w:val="0"/>
            <w:vAlign w:val="center"/>
          </w:tcPr>
          <w:p w14:paraId="5F18136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2931" w:type="dxa"/>
            <w:noWrap w:val="0"/>
            <w:vAlign w:val="center"/>
          </w:tcPr>
          <w:p w14:paraId="4F2754B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 xml:space="preserve"> 投标文件的有效期</w:t>
            </w:r>
          </w:p>
        </w:tc>
        <w:tc>
          <w:tcPr>
            <w:tcW w:w="4173" w:type="dxa"/>
            <w:noWrap w:val="0"/>
            <w:vAlign w:val="center"/>
          </w:tcPr>
          <w:p w14:paraId="3AEEF67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zh-CN"/>
              </w:rPr>
              <w:t>（5）投标文件份数</w:t>
            </w:r>
          </w:p>
        </w:tc>
        <w:tc>
          <w:tcPr>
            <w:tcW w:w="4173" w:type="dxa"/>
            <w:noWrap w:val="0"/>
            <w:vAlign w:val="center"/>
          </w:tcPr>
          <w:p w14:paraId="3F3AC3A5">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满足招标文件要求</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1204" w:type="dxa"/>
            <w:vMerge w:val="continue"/>
            <w:noWrap w:val="0"/>
            <w:vAlign w:val="center"/>
          </w:tcPr>
          <w:p w14:paraId="6A942C3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2931" w:type="dxa"/>
            <w:noWrap w:val="0"/>
            <w:vAlign w:val="center"/>
          </w:tcPr>
          <w:p w14:paraId="6F3AA6E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（6）投标文件形式内容</w:t>
            </w:r>
          </w:p>
        </w:tc>
        <w:tc>
          <w:tcPr>
            <w:tcW w:w="4173" w:type="dxa"/>
            <w:noWrap w:val="0"/>
            <w:vAlign w:val="center"/>
          </w:tcPr>
          <w:p w14:paraId="5F49F39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（7）采购需求响应程度</w:t>
            </w:r>
          </w:p>
        </w:tc>
        <w:tc>
          <w:tcPr>
            <w:tcW w:w="4173" w:type="dxa"/>
            <w:noWrap w:val="0"/>
            <w:vAlign w:val="center"/>
          </w:tcPr>
          <w:p w14:paraId="4ABF455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1204" w:type="dxa"/>
            <w:vMerge w:val="continue"/>
            <w:noWrap w:val="0"/>
            <w:vAlign w:val="center"/>
          </w:tcPr>
          <w:p w14:paraId="6258B2F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2931" w:type="dxa"/>
            <w:noWrap w:val="0"/>
            <w:vAlign w:val="center"/>
          </w:tcPr>
          <w:p w14:paraId="5998BA8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（8）商务条款响应程度（包括</w:t>
            </w:r>
            <w:r>
              <w:rPr>
                <w:rFonts w:hint="eastAsia" w:ascii="宋体" w:hAnsi="宋体" w:cs="宋体"/>
                <w:color w:val="auto"/>
                <w:szCs w:val="21"/>
                <w:highlight w:val="none"/>
                <w:lang w:val="en-US" w:eastAsia="zh-CN"/>
              </w:rPr>
              <w:t>服务期</w:t>
            </w:r>
            <w:r>
              <w:rPr>
                <w:rFonts w:hint="eastAsia" w:ascii="宋体" w:hAnsi="宋体" w:cs="宋体"/>
                <w:color w:val="auto"/>
                <w:szCs w:val="21"/>
                <w:highlight w:val="none"/>
                <w:lang w:val="zh-CN"/>
              </w:rPr>
              <w:t>、技术</w:t>
            </w:r>
            <w:r>
              <w:rPr>
                <w:rFonts w:hint="eastAsia" w:ascii="宋体" w:hAnsi="宋体" w:cs="宋体"/>
                <w:color w:val="auto"/>
                <w:szCs w:val="21"/>
                <w:highlight w:val="none"/>
                <w:lang w:val="en-US" w:eastAsia="zh-CN"/>
              </w:rPr>
              <w:t>要求</w:t>
            </w:r>
            <w:r>
              <w:rPr>
                <w:rFonts w:hint="eastAsia" w:ascii="宋体" w:hAnsi="宋体" w:cs="宋体"/>
                <w:color w:val="auto"/>
                <w:szCs w:val="21"/>
                <w:highlight w:val="none"/>
                <w:lang w:val="zh-CN"/>
              </w:rPr>
              <w:t>等）</w:t>
            </w:r>
          </w:p>
        </w:tc>
        <w:tc>
          <w:tcPr>
            <w:tcW w:w="4173" w:type="dxa"/>
            <w:noWrap w:val="0"/>
            <w:vAlign w:val="center"/>
          </w:tcPr>
          <w:p w14:paraId="3D5CC60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keepNext w:val="0"/>
        <w:keepLines w:val="0"/>
        <w:pageBreakBefore w:val="0"/>
        <w:widowControl w:val="0"/>
        <w:kinsoku/>
        <w:wordWrap/>
        <w:overflowPunct/>
        <w:topLinePunct w:val="0"/>
        <w:autoSpaceDE/>
        <w:autoSpaceDN/>
        <w:bidi w:val="0"/>
        <w:adjustRightInd/>
        <w:snapToGrid/>
        <w:spacing w:line="500" w:lineRule="exact"/>
        <w:ind w:firstLine="506" w:firstLineChars="241"/>
        <w:textAlignment w:val="auto"/>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keepNext w:val="0"/>
        <w:keepLines w:val="0"/>
        <w:pageBreakBefore w:val="0"/>
        <w:widowControl w:val="0"/>
        <w:kinsoku/>
        <w:wordWrap/>
        <w:overflowPunct/>
        <w:topLinePunct w:val="0"/>
        <w:autoSpaceDE/>
        <w:autoSpaceDN/>
        <w:bidi w:val="0"/>
        <w:adjustRightInd/>
        <w:snapToGrid/>
        <w:spacing w:line="500" w:lineRule="exact"/>
        <w:ind w:firstLine="506" w:firstLineChars="241"/>
        <w:textAlignment w:val="auto"/>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keepNext w:val="0"/>
        <w:keepLines w:val="0"/>
        <w:pageBreakBefore w:val="0"/>
        <w:widowControl w:val="0"/>
        <w:kinsoku/>
        <w:wordWrap/>
        <w:overflowPunct/>
        <w:topLinePunct w:val="0"/>
        <w:autoSpaceDE/>
        <w:autoSpaceDN/>
        <w:bidi w:val="0"/>
        <w:adjustRightInd/>
        <w:snapToGrid/>
        <w:spacing w:line="500" w:lineRule="exact"/>
        <w:ind w:firstLine="506" w:firstLineChars="241"/>
        <w:textAlignment w:val="auto"/>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36" w:name="_Toc362983803"/>
      <w:bookmarkStart w:id="37" w:name="_Toc58430319"/>
      <w:bookmarkStart w:id="38" w:name="_Toc449028879"/>
      <w:r>
        <w:rPr>
          <w:rFonts w:hint="eastAsia" w:ascii="宋体" w:hAnsi="宋体" w:eastAsia="宋体" w:cs="宋体"/>
          <w:b/>
          <w:bCs/>
          <w:color w:val="auto"/>
          <w:sz w:val="30"/>
          <w:szCs w:val="30"/>
          <w:highlight w:val="none"/>
        </w:rPr>
        <w:t>三、投标文件的澄清和补正</w:t>
      </w:r>
      <w:bookmarkEnd w:id="36"/>
      <w:bookmarkEnd w:id="37"/>
      <w:bookmarkEnd w:id="38"/>
    </w:p>
    <w:p w14:paraId="3228516B">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color w:val="auto"/>
          <w:szCs w:val="21"/>
          <w:highlight w:val="none"/>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3F8B2EC5">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color w:val="auto"/>
          <w:szCs w:val="21"/>
          <w:highlight w:val="none"/>
        </w:rPr>
      </w:pPr>
      <w:r>
        <w:rPr>
          <w:rFonts w:hint="eastAsia" w:ascii="宋体"/>
          <w:color w:val="auto"/>
          <w:szCs w:val="21"/>
          <w:highlight w:val="none"/>
        </w:rPr>
        <w:t>5.3评委会修正错误的原则：</w:t>
      </w:r>
    </w:p>
    <w:p w14:paraId="4125A76F">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keepNext w:val="0"/>
        <w:keepLines w:val="0"/>
        <w:pageBreakBefore w:val="0"/>
        <w:widowControl w:val="0"/>
        <w:kinsoku/>
        <w:wordWrap/>
        <w:overflowPunct/>
        <w:topLinePunct w:val="0"/>
        <w:autoSpaceDE/>
        <w:autoSpaceDN/>
        <w:bidi w:val="0"/>
        <w:adjustRightInd/>
        <w:snapToGrid/>
        <w:spacing w:line="500" w:lineRule="exact"/>
        <w:ind w:firstLine="403" w:firstLineChars="192"/>
        <w:jc w:val="left"/>
        <w:textAlignment w:val="auto"/>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39" w:name="_Toc449028880"/>
      <w:bookmarkStart w:id="40" w:name="_Toc58430320"/>
    </w:p>
    <w:p w14:paraId="4E078817">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四、比较与评价</w:t>
      </w:r>
      <w:bookmarkEnd w:id="39"/>
      <w:bookmarkEnd w:id="40"/>
    </w:p>
    <w:p w14:paraId="117055AF">
      <w:pPr>
        <w:keepNext w:val="0"/>
        <w:keepLines w:val="0"/>
        <w:pageBreakBefore w:val="0"/>
        <w:kinsoku/>
        <w:wordWrap/>
        <w:overflowPunct/>
        <w:topLinePunct w:val="0"/>
        <w:autoSpaceDE/>
        <w:autoSpaceDN/>
        <w:bidi w:val="0"/>
        <w:spacing w:line="500" w:lineRule="exact"/>
        <w:ind w:right="36" w:rightChars="17" w:firstLine="417" w:firstLineChars="198"/>
        <w:jc w:val="left"/>
        <w:textAlignment w:val="auto"/>
        <w:rPr>
          <w:rFonts w:ascii="宋体" w:hAnsi="宋体" w:cs="宋体"/>
          <w:b/>
          <w:color w:val="auto"/>
          <w:szCs w:val="21"/>
          <w:highlight w:val="none"/>
        </w:rPr>
      </w:pPr>
      <w:r>
        <w:rPr>
          <w:rFonts w:hint="eastAsia" w:ascii="宋体" w:hAnsi="宋体" w:eastAsia="宋体" w:cs="宋体"/>
          <w:b/>
          <w:color w:val="auto"/>
          <w:sz w:val="21"/>
          <w:szCs w:val="21"/>
          <w:highlight w:val="none"/>
        </w:rPr>
        <w:t xml:space="preserve"> </w:t>
      </w:r>
      <w:bookmarkStart w:id="41" w:name="_Toc362983805"/>
      <w:bookmarkStart w:id="42" w:name="_Toc449028881"/>
      <w:r>
        <w:rPr>
          <w:rFonts w:hint="eastAsia" w:ascii="宋体" w:hAnsi="宋体" w:cs="宋体"/>
          <w:b/>
          <w:color w:val="auto"/>
          <w:szCs w:val="21"/>
          <w:highlight w:val="none"/>
        </w:rPr>
        <w:t>6.详细评审即按招标文件中规定的评标方法和标准，评标委员会将对通过初审的投标文件，进行综合比较与评价。</w:t>
      </w:r>
    </w:p>
    <w:tbl>
      <w:tblPr>
        <w:tblStyle w:val="21"/>
        <w:tblW w:w="9887" w:type="dxa"/>
        <w:tblInd w:w="-2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078"/>
        <w:gridCol w:w="840"/>
        <w:gridCol w:w="7217"/>
      </w:tblGrid>
      <w:tr w14:paraId="11A4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52" w:type="dxa"/>
            <w:shd w:val="clear" w:color="auto" w:fill="auto"/>
            <w:noWrap/>
            <w:vAlign w:val="center"/>
          </w:tcPr>
          <w:p w14:paraId="2984BB7B">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bookmarkStart w:id="43" w:name="_Toc58430321"/>
            <w:r>
              <w:rPr>
                <w:rFonts w:hint="eastAsia" w:ascii="宋体" w:hAnsi="宋体" w:eastAsia="宋体" w:cs="宋体"/>
                <w:b/>
                <w:bCs/>
                <w:color w:val="auto"/>
                <w:sz w:val="21"/>
                <w:szCs w:val="21"/>
                <w:highlight w:val="none"/>
              </w:rPr>
              <w:t>序号</w:t>
            </w:r>
          </w:p>
        </w:tc>
        <w:tc>
          <w:tcPr>
            <w:tcW w:w="1078" w:type="dxa"/>
            <w:shd w:val="clear" w:color="auto" w:fill="auto"/>
            <w:noWrap/>
            <w:vAlign w:val="center"/>
          </w:tcPr>
          <w:p w14:paraId="6D65D728">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评分因素</w:t>
            </w:r>
          </w:p>
        </w:tc>
        <w:tc>
          <w:tcPr>
            <w:tcW w:w="840" w:type="dxa"/>
            <w:shd w:val="clear" w:color="auto" w:fill="auto"/>
            <w:noWrap/>
            <w:vAlign w:val="center"/>
          </w:tcPr>
          <w:p w14:paraId="70D6E3F2">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分值</w:t>
            </w:r>
          </w:p>
        </w:tc>
        <w:tc>
          <w:tcPr>
            <w:tcW w:w="7217" w:type="dxa"/>
            <w:shd w:val="clear" w:color="auto" w:fill="auto"/>
            <w:noWrap/>
            <w:vAlign w:val="center"/>
          </w:tcPr>
          <w:p w14:paraId="08548695">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评审细则</w:t>
            </w:r>
          </w:p>
        </w:tc>
      </w:tr>
      <w:tr w14:paraId="2D34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52" w:type="dxa"/>
            <w:shd w:val="clear" w:color="auto" w:fill="auto"/>
            <w:noWrap/>
            <w:vAlign w:val="center"/>
          </w:tcPr>
          <w:p w14:paraId="4A06C773">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1078" w:type="dxa"/>
            <w:shd w:val="clear" w:color="auto" w:fill="auto"/>
            <w:noWrap/>
            <w:vAlign w:val="center"/>
          </w:tcPr>
          <w:p w14:paraId="37BB57DD">
            <w:pPr>
              <w:keepNext w:val="0"/>
              <w:keepLines w:val="0"/>
              <w:pageBreakBefore w:val="0"/>
              <w:kinsoku/>
              <w:wordWrap/>
              <w:overflowPunct/>
              <w:topLinePunct w:val="0"/>
              <w:autoSpaceDE/>
              <w:autoSpaceDN/>
              <w:bidi w:val="0"/>
              <w:adjustRightInd/>
              <w:spacing w:line="50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企业</w:t>
            </w:r>
            <w:r>
              <w:rPr>
                <w:rFonts w:hint="eastAsia" w:ascii="宋体" w:hAnsi="宋体" w:eastAsia="宋体" w:cs="宋体"/>
                <w:b w:val="0"/>
                <w:bCs w:val="0"/>
                <w:color w:val="auto"/>
                <w:sz w:val="21"/>
                <w:szCs w:val="21"/>
                <w:highlight w:val="none"/>
                <w:lang w:val="zh-CN"/>
              </w:rPr>
              <w:t>业绩</w:t>
            </w:r>
          </w:p>
        </w:tc>
        <w:tc>
          <w:tcPr>
            <w:tcW w:w="840" w:type="dxa"/>
            <w:shd w:val="clear" w:color="auto" w:fill="auto"/>
            <w:noWrap/>
            <w:vAlign w:val="center"/>
          </w:tcPr>
          <w:p w14:paraId="5497C07C">
            <w:pPr>
              <w:keepNext w:val="0"/>
              <w:keepLines w:val="0"/>
              <w:pageBreakBefore w:val="0"/>
              <w:kinsoku/>
              <w:wordWrap/>
              <w:overflowPunct/>
              <w:topLinePunct w:val="0"/>
              <w:autoSpaceDE/>
              <w:autoSpaceDN/>
              <w:bidi w:val="0"/>
              <w:adjustRightInd/>
              <w:spacing w:line="50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10分</w:t>
            </w:r>
          </w:p>
        </w:tc>
        <w:tc>
          <w:tcPr>
            <w:tcW w:w="7217" w:type="dxa"/>
            <w:shd w:val="clear" w:color="auto" w:fill="auto"/>
            <w:noWrap/>
            <w:vAlign w:val="center"/>
          </w:tcPr>
          <w:p w14:paraId="4FF3E4B2">
            <w:pPr>
              <w:pStyle w:val="66"/>
              <w:keepNext w:val="0"/>
              <w:keepLines w:val="0"/>
              <w:pageBreakBefore w:val="0"/>
              <w:numPr>
                <w:ilvl w:val="0"/>
                <w:numId w:val="0"/>
              </w:numPr>
              <w:tabs>
                <w:tab w:val="left" w:pos="1800"/>
                <w:tab w:val="left" w:pos="2340"/>
                <w:tab w:val="left" w:pos="2700"/>
              </w:tabs>
              <w:kinsoku/>
              <w:wordWrap/>
              <w:overflowPunct/>
              <w:topLinePunct w:val="0"/>
              <w:autoSpaceDE/>
              <w:autoSpaceDN/>
              <w:bidi w:val="0"/>
              <w:adjustRightInd w:val="0"/>
              <w:snapToGrid w:val="0"/>
              <w:spacing w:before="0" w:beforeAutospacing="0" w:after="0" w:afterAutospacing="0" w:line="500" w:lineRule="exact"/>
              <w:jc w:val="left"/>
              <w:textAlignment w:val="auto"/>
              <w:rPr>
                <w:rFonts w:hint="eastAsia" w:ascii="宋体" w:hAnsi="宋体" w:cs="Times New Roman"/>
                <w:b w:val="0"/>
                <w:bCs w:val="0"/>
                <w:color w:val="auto"/>
                <w:kern w:val="2"/>
                <w:sz w:val="21"/>
                <w:szCs w:val="21"/>
                <w:highlight w:val="none"/>
                <w:u w:val="none"/>
                <w:lang w:val="en-US" w:eastAsia="zh-CN"/>
              </w:rPr>
            </w:pPr>
            <w:r>
              <w:rPr>
                <w:rFonts w:hint="eastAsia" w:ascii="宋体" w:hAnsi="宋体" w:cs="Times New Roman"/>
                <w:b w:val="0"/>
                <w:bCs w:val="0"/>
                <w:color w:val="auto"/>
                <w:kern w:val="2"/>
                <w:sz w:val="21"/>
                <w:szCs w:val="21"/>
                <w:highlight w:val="none"/>
                <w:u w:val="none"/>
                <w:lang w:val="en-US" w:eastAsia="zh-CN"/>
              </w:rPr>
              <w:t>自2023年1月1日至投标截止日（以合同签订时间为准），投标人具有沉降观测服务业绩，每提供一个得5分，满分10分。</w:t>
            </w:r>
          </w:p>
          <w:p w14:paraId="30D52D68">
            <w:pPr>
              <w:pStyle w:val="66"/>
              <w:keepNext w:val="0"/>
              <w:keepLines w:val="0"/>
              <w:pageBreakBefore w:val="0"/>
              <w:numPr>
                <w:ilvl w:val="0"/>
                <w:numId w:val="0"/>
              </w:numPr>
              <w:tabs>
                <w:tab w:val="left" w:pos="1800"/>
                <w:tab w:val="left" w:pos="2340"/>
                <w:tab w:val="left" w:pos="2700"/>
              </w:tabs>
              <w:kinsoku/>
              <w:wordWrap/>
              <w:overflowPunct/>
              <w:topLinePunct w:val="0"/>
              <w:autoSpaceDE/>
              <w:autoSpaceDN/>
              <w:bidi w:val="0"/>
              <w:adjustRightInd w:val="0"/>
              <w:snapToGrid w:val="0"/>
              <w:spacing w:before="0" w:beforeAutospacing="0" w:after="0" w:afterAutospacing="0" w:line="500" w:lineRule="exact"/>
              <w:jc w:val="left"/>
              <w:textAlignment w:val="auto"/>
              <w:rPr>
                <w:rFonts w:hint="default" w:ascii="宋体" w:hAnsi="宋体" w:eastAsia="宋体" w:cs="Times New Roman"/>
                <w:color w:val="auto"/>
                <w:kern w:val="2"/>
                <w:sz w:val="21"/>
                <w:szCs w:val="21"/>
                <w:highlight w:val="none"/>
                <w:u w:val="none"/>
                <w:lang w:val="en-US" w:eastAsia="zh-CN"/>
              </w:rPr>
            </w:pPr>
            <w:r>
              <w:rPr>
                <w:rFonts w:hint="eastAsia" w:ascii="宋体" w:hAnsi="宋体" w:eastAsia="宋体" w:cs="宋体"/>
                <w:b/>
                <w:bCs/>
                <w:color w:val="auto"/>
                <w:sz w:val="21"/>
                <w:szCs w:val="21"/>
                <w:highlight w:val="none"/>
                <w:lang w:val="en-US" w:eastAsia="zh-CN"/>
              </w:rPr>
              <w:t>【须提供</w:t>
            </w:r>
            <w:r>
              <w:rPr>
                <w:rFonts w:hint="eastAsia" w:ascii="宋体" w:hAnsi="宋体" w:cs="宋体"/>
                <w:b/>
                <w:bCs/>
                <w:color w:val="auto"/>
                <w:sz w:val="21"/>
                <w:szCs w:val="21"/>
                <w:highlight w:val="none"/>
                <w:lang w:val="en-US" w:eastAsia="zh-CN"/>
              </w:rPr>
              <w:t>合同</w:t>
            </w:r>
            <w:r>
              <w:rPr>
                <w:rFonts w:hint="eastAsia" w:ascii="宋体" w:hAnsi="宋体" w:eastAsia="宋体" w:cs="宋体"/>
                <w:b/>
                <w:bCs/>
                <w:color w:val="auto"/>
                <w:sz w:val="21"/>
                <w:szCs w:val="21"/>
                <w:highlight w:val="none"/>
                <w:lang w:val="en-US" w:eastAsia="zh-CN"/>
              </w:rPr>
              <w:t>扫描件，如</w:t>
            </w:r>
            <w:r>
              <w:rPr>
                <w:rFonts w:hint="eastAsia" w:ascii="宋体" w:hAnsi="宋体" w:cs="宋体"/>
                <w:b/>
                <w:bCs/>
                <w:color w:val="auto"/>
                <w:sz w:val="21"/>
                <w:szCs w:val="21"/>
                <w:highlight w:val="none"/>
                <w:lang w:val="en-US" w:eastAsia="zh-CN"/>
              </w:rPr>
              <w:t>合同</w:t>
            </w:r>
            <w:r>
              <w:rPr>
                <w:rFonts w:hint="eastAsia" w:ascii="宋体" w:hAnsi="宋体" w:eastAsia="宋体" w:cs="宋体"/>
                <w:b/>
                <w:bCs/>
                <w:color w:val="auto"/>
                <w:sz w:val="21"/>
                <w:szCs w:val="21"/>
                <w:highlight w:val="none"/>
                <w:lang w:val="en-US" w:eastAsia="zh-CN"/>
              </w:rPr>
              <w:t>不能够充分有效证明该业绩的评审因素的，则须提供建设单位出具的加盖建设单位公章的证明材料】</w:t>
            </w:r>
          </w:p>
        </w:tc>
      </w:tr>
      <w:tr w14:paraId="3F33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52" w:type="dxa"/>
            <w:shd w:val="clear" w:color="auto" w:fill="auto"/>
            <w:noWrap/>
            <w:vAlign w:val="center"/>
          </w:tcPr>
          <w:p w14:paraId="3DDE33A7">
            <w:pPr>
              <w:keepNext w:val="0"/>
              <w:keepLines w:val="0"/>
              <w:pageBreakBefore w:val="0"/>
              <w:kinsoku/>
              <w:wordWrap/>
              <w:overflowPunct/>
              <w:topLinePunct w:val="0"/>
              <w:autoSpaceDE/>
              <w:autoSpaceDN/>
              <w:bidi w:val="0"/>
              <w:adjustRightInd/>
              <w:spacing w:line="500" w:lineRule="exact"/>
              <w:jc w:val="center"/>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w:t>
            </w:r>
          </w:p>
        </w:tc>
        <w:tc>
          <w:tcPr>
            <w:tcW w:w="1078" w:type="dxa"/>
            <w:shd w:val="clear" w:color="auto" w:fill="auto"/>
            <w:noWrap/>
            <w:vAlign w:val="center"/>
          </w:tcPr>
          <w:p w14:paraId="71981CC3">
            <w:pPr>
              <w:keepNext w:val="0"/>
              <w:keepLines w:val="0"/>
              <w:pageBreakBefore w:val="0"/>
              <w:kinsoku/>
              <w:wordWrap/>
              <w:overflowPunct/>
              <w:topLinePunct w:val="0"/>
              <w:autoSpaceDE/>
              <w:autoSpaceDN/>
              <w:bidi w:val="0"/>
              <w:adjustRightInd/>
              <w:spacing w:line="50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报价</w:t>
            </w:r>
          </w:p>
        </w:tc>
        <w:tc>
          <w:tcPr>
            <w:tcW w:w="840" w:type="dxa"/>
            <w:shd w:val="clear" w:color="auto" w:fill="auto"/>
            <w:noWrap/>
            <w:vAlign w:val="center"/>
          </w:tcPr>
          <w:p w14:paraId="1628F88E">
            <w:pPr>
              <w:keepNext w:val="0"/>
              <w:keepLines w:val="0"/>
              <w:pageBreakBefore w:val="0"/>
              <w:kinsoku/>
              <w:wordWrap/>
              <w:overflowPunct/>
              <w:topLinePunct w:val="0"/>
              <w:autoSpaceDE/>
              <w:autoSpaceDN/>
              <w:bidi w:val="0"/>
              <w:adjustRightInd/>
              <w:spacing w:line="50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90分</w:t>
            </w:r>
          </w:p>
        </w:tc>
        <w:tc>
          <w:tcPr>
            <w:tcW w:w="7217" w:type="dxa"/>
            <w:shd w:val="clear" w:color="auto" w:fill="auto"/>
            <w:noWrap/>
            <w:vAlign w:val="center"/>
          </w:tcPr>
          <w:p w14:paraId="564B630B">
            <w:pPr>
              <w:keepNext w:val="0"/>
              <w:keepLines w:val="0"/>
              <w:pageBreakBefore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商务标评分按下列步骤计算：</w:t>
            </w:r>
          </w:p>
          <w:p w14:paraId="0ED533D8">
            <w:pPr>
              <w:keepNext w:val="0"/>
              <w:keepLines w:val="0"/>
              <w:pageBreakBefore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第一步：计算评标基准价F值。</w:t>
            </w:r>
          </w:p>
          <w:p w14:paraId="1A4914B5">
            <w:pPr>
              <w:keepNext w:val="0"/>
              <w:keepLines w:val="0"/>
              <w:pageBreakBefore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①</w:t>
            </w:r>
            <w:r>
              <w:rPr>
                <w:rFonts w:hint="eastAsia" w:ascii="宋体" w:hAnsi="宋体" w:cs="宋体"/>
                <w:color w:val="auto"/>
                <w:sz w:val="21"/>
                <w:szCs w:val="21"/>
                <w:highlight w:val="none"/>
                <w:lang w:val="en-US" w:eastAsia="zh-CN"/>
              </w:rPr>
              <w:t>F值为计算范围内有效投标人报价的算术平均值。</w:t>
            </w:r>
          </w:p>
          <w:p w14:paraId="7C72F95D">
            <w:pPr>
              <w:keepNext w:val="0"/>
              <w:keepLines w:val="0"/>
              <w:pageBreakBefore w:val="0"/>
              <w:kinsoku/>
              <w:wordWrap/>
              <w:overflowPunct/>
              <w:topLinePunct w:val="0"/>
              <w:autoSpaceDE/>
              <w:autoSpaceDN/>
              <w:bidi w:val="0"/>
              <w:spacing w:line="520" w:lineRule="exact"/>
              <w:textAlignment w:val="auto"/>
              <w:rPr>
                <w:rFonts w:hint="eastAsia"/>
                <w:color w:val="auto"/>
                <w:highlight w:val="none"/>
                <w:lang w:val="en-US" w:eastAsia="zh-CN"/>
              </w:rPr>
            </w:pP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值的计算方法：计算范围内有效投标人等于或超过5家时，</w:t>
            </w: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值为通过符合性审查的M个投标人投标报价中去除</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M*20%）个最高价和</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M*20%）个最低价后的算术平均值（如去高去低存在报价相同的，仅去除规定数量的投标报价），若（M*20%）为非整数，则直接取整。如M为7，则扣除1个最高价和1个最低价。如M为9，则扣除1个最高价和1个最低价。如果计算范围内有效投标人少于5家时，则计算评标价平均值时不去掉最高值和最低值，评标价平均值即为</w:t>
            </w: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 xml:space="preserve">值。 </w:t>
            </w:r>
          </w:p>
          <w:p w14:paraId="669AF516">
            <w:pPr>
              <w:keepNext w:val="0"/>
              <w:keepLines w:val="0"/>
              <w:pageBreakBefore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步：计算报价偏差率。</w:t>
            </w:r>
          </w:p>
          <w:p w14:paraId="3B2C4994">
            <w:pPr>
              <w:keepNext w:val="0"/>
              <w:keepLines w:val="0"/>
              <w:pageBreakBefore w:val="0"/>
              <w:kinsoku/>
              <w:wordWrap/>
              <w:overflowPunct/>
              <w:topLinePunct w:val="0"/>
              <w:autoSpaceDE/>
              <w:autoSpaceDN/>
              <w:bidi w:val="0"/>
              <w:spacing w:line="500" w:lineRule="exact"/>
              <w:textAlignment w:val="auto"/>
              <w:rPr>
                <w:rFonts w:ascii="宋体" w:hAnsi="宋体" w:cs="宋体"/>
                <w:color w:val="auto"/>
                <w:sz w:val="21"/>
                <w:szCs w:val="21"/>
                <w:highlight w:val="none"/>
              </w:rPr>
            </w:pPr>
            <w:r>
              <w:rPr>
                <w:rFonts w:hint="eastAsia" w:ascii="宋体" w:hAnsi="宋体" w:cs="宋体"/>
                <w:color w:val="auto"/>
                <w:sz w:val="21"/>
                <w:szCs w:val="21"/>
                <w:highlight w:val="none"/>
              </w:rPr>
              <w:t>①偏差率=|（投标报价-评标基准价）/评标基准价|×100%</w:t>
            </w:r>
          </w:p>
          <w:p w14:paraId="584F15F8">
            <w:pPr>
              <w:keepNext w:val="0"/>
              <w:keepLines w:val="0"/>
              <w:pageBreakBefore w:val="0"/>
              <w:kinsoku/>
              <w:wordWrap/>
              <w:overflowPunct/>
              <w:topLinePunct w:val="0"/>
              <w:autoSpaceDE/>
              <w:autoSpaceDN/>
              <w:bidi w:val="0"/>
              <w:spacing w:line="500" w:lineRule="exact"/>
              <w:textAlignment w:val="auto"/>
              <w:rPr>
                <w:rFonts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三</w:t>
            </w:r>
            <w:r>
              <w:rPr>
                <w:rFonts w:hint="eastAsia" w:ascii="宋体" w:hAnsi="宋体" w:cs="宋体"/>
                <w:color w:val="auto"/>
                <w:sz w:val="21"/>
                <w:szCs w:val="21"/>
                <w:highlight w:val="none"/>
              </w:rPr>
              <w:t>步：计算报价得分</w:t>
            </w:r>
          </w:p>
          <w:p w14:paraId="05C6F096">
            <w:pPr>
              <w:keepNext w:val="0"/>
              <w:keepLines w:val="0"/>
              <w:pageBreakBefore w:val="0"/>
              <w:kinsoku/>
              <w:wordWrap/>
              <w:overflowPunct/>
              <w:topLinePunct w:val="0"/>
              <w:autoSpaceDE/>
              <w:autoSpaceDN/>
              <w:bidi w:val="0"/>
              <w:spacing w:line="500" w:lineRule="exact"/>
              <w:textAlignment w:val="auto"/>
              <w:rPr>
                <w:rFonts w:ascii="宋体" w:hAnsi="宋体" w:cs="宋体"/>
                <w:color w:val="auto"/>
                <w:sz w:val="21"/>
                <w:szCs w:val="21"/>
                <w:highlight w:val="none"/>
              </w:rPr>
            </w:pPr>
            <w:r>
              <w:rPr>
                <w:rFonts w:hint="eastAsia" w:ascii="宋体" w:hAnsi="宋体" w:cs="宋体"/>
                <w:color w:val="auto"/>
                <w:sz w:val="21"/>
                <w:szCs w:val="21"/>
                <w:highlight w:val="none"/>
              </w:rPr>
              <w:t>①投标报价等于评标基准价的得满分。</w:t>
            </w:r>
          </w:p>
          <w:p w14:paraId="095A04CB">
            <w:pPr>
              <w:keepNext w:val="0"/>
              <w:keepLines w:val="0"/>
              <w:pageBreakBefore w:val="0"/>
              <w:kinsoku/>
              <w:wordWrap/>
              <w:overflowPunct/>
              <w:topLinePunct w:val="0"/>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②投标报价高于评标基准价的，投标报价得分=报价满分值-偏差率×</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1</w:t>
            </w:r>
          </w:p>
          <w:p w14:paraId="5EABE125">
            <w:pPr>
              <w:keepNext w:val="0"/>
              <w:keepLines w:val="0"/>
              <w:pageBreakBefore w:val="0"/>
              <w:kinsoku/>
              <w:wordWrap/>
              <w:overflowPunct/>
              <w:topLinePunct w:val="0"/>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③投标报价低于评标基准价的，投标报价得分=报价满分值-偏差率×</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0.5</w:t>
            </w:r>
          </w:p>
          <w:p w14:paraId="2CB41156">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color w:val="auto"/>
                <w:sz w:val="21"/>
                <w:szCs w:val="21"/>
                <w:highlight w:val="none"/>
              </w:rPr>
              <w:t>注：计算过程中，评标基准价F值、偏差率、报价得分均保留两位小数，小数点后第三位四舍五入。</w:t>
            </w:r>
          </w:p>
        </w:tc>
      </w:tr>
    </w:tbl>
    <w:p w14:paraId="3800892F">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五、推荐中标候选人</w:t>
      </w:r>
      <w:bookmarkEnd w:id="41"/>
      <w:bookmarkEnd w:id="42"/>
      <w:bookmarkEnd w:id="43"/>
    </w:p>
    <w:bookmarkEnd w:id="32"/>
    <w:p w14:paraId="52C6FAEB">
      <w:pPr>
        <w:keepNext w:val="0"/>
        <w:keepLines w:val="0"/>
        <w:pageBreakBefore w:val="0"/>
        <w:kinsoku/>
        <w:wordWrap/>
        <w:overflowPunct/>
        <w:topLinePunct w:val="0"/>
        <w:autoSpaceDE/>
        <w:autoSpaceDN/>
        <w:bidi w:val="0"/>
        <w:snapToGrid w:val="0"/>
        <w:spacing w:line="520" w:lineRule="exact"/>
        <w:ind w:right="-212" w:rightChars="-10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7.评标委员会按得分之和从高到低按顺序，推荐3名中标候选人。 </w:t>
      </w:r>
    </w:p>
    <w:p w14:paraId="43A0F922">
      <w:pPr>
        <w:keepNext w:val="0"/>
        <w:keepLines w:val="0"/>
        <w:pageBreakBefore w:val="0"/>
        <w:kinsoku/>
        <w:wordWrap/>
        <w:overflowPunct/>
        <w:topLinePunct w:val="0"/>
        <w:autoSpaceDE/>
        <w:autoSpaceDN/>
        <w:bidi w:val="0"/>
        <w:snapToGrid w:val="0"/>
        <w:spacing w:line="520" w:lineRule="exact"/>
        <w:ind w:right="-212" w:rightChars="-10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7.1总得分相同的，按报价由低到高顺序排列。总得分且报价相同的并列，由</w:t>
      </w:r>
      <w:r>
        <w:rPr>
          <w:rFonts w:hint="eastAsia" w:ascii="宋体" w:hAnsi="宋体" w:cs="宋体"/>
          <w:color w:val="auto"/>
          <w:szCs w:val="21"/>
          <w:highlight w:val="none"/>
          <w:lang w:val="en-US" w:eastAsia="zh-CN"/>
        </w:rPr>
        <w:t>招标人</w:t>
      </w:r>
      <w:r>
        <w:rPr>
          <w:rFonts w:hint="eastAsia" w:ascii="宋体" w:hAnsi="宋体" w:cs="宋体"/>
          <w:color w:val="auto"/>
          <w:kern w:val="0"/>
          <w:sz w:val="21"/>
          <w:szCs w:val="21"/>
          <w:highlight w:val="none"/>
          <w:lang w:val="en-US" w:eastAsia="zh-CN" w:bidi="ar-SA"/>
        </w:rPr>
        <w:t>或评标委员会主任</w:t>
      </w:r>
      <w:r>
        <w:rPr>
          <w:rFonts w:hint="eastAsia" w:ascii="宋体" w:hAnsi="宋体" w:cs="宋体"/>
          <w:color w:val="auto"/>
          <w:szCs w:val="21"/>
          <w:highlight w:val="none"/>
        </w:rPr>
        <w:t>现场采取随机摇号的方式确定中标候选人。</w:t>
      </w:r>
    </w:p>
    <w:p w14:paraId="0DC95E8C">
      <w:pPr>
        <w:keepNext w:val="0"/>
        <w:keepLines w:val="0"/>
        <w:pageBreakBefore w:val="0"/>
        <w:kinsoku/>
        <w:wordWrap/>
        <w:overflowPunct/>
        <w:topLinePunct w:val="0"/>
        <w:autoSpaceDE/>
        <w:autoSpaceDN/>
        <w:bidi w:val="0"/>
        <w:snapToGrid w:val="0"/>
        <w:spacing w:line="520" w:lineRule="exact"/>
        <w:ind w:right="-212" w:rightChars="-101"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7.2招标人确定第一中标候选人为本项目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2237244F">
      <w:pPr>
        <w:keepNext w:val="0"/>
        <w:keepLines w:val="0"/>
        <w:pageBreakBefore w:val="0"/>
        <w:widowControl w:val="0"/>
        <w:kinsoku/>
        <w:wordWrap/>
        <w:overflowPunct/>
        <w:topLinePunct w:val="0"/>
        <w:autoSpaceDE/>
        <w:autoSpaceDN/>
        <w:bidi w:val="0"/>
        <w:adjustRightInd/>
        <w:snapToGrid w:val="0"/>
        <w:spacing w:line="500" w:lineRule="exact"/>
        <w:ind w:right="-212" w:rightChars="-101" w:firstLine="420" w:firstLineChars="200"/>
        <w:jc w:val="lef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rPr>
        <w:t>根据评标委员会评审初步结论，项目单位（代理机构）对预中标候选人是否存在招标文件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存在信誉问题，则组织评标委员会重新启动复核程序。核查结果不改变原评标基准价。</w:t>
      </w:r>
    </w:p>
    <w:p w14:paraId="6DFDF3F9">
      <w:pPr>
        <w:keepNext w:val="0"/>
        <w:keepLines w:val="0"/>
        <w:pageBreakBefore w:val="0"/>
        <w:widowControl w:val="0"/>
        <w:kinsoku/>
        <w:wordWrap/>
        <w:overflowPunct/>
        <w:topLinePunct w:val="0"/>
        <w:autoSpaceDE/>
        <w:autoSpaceDN/>
        <w:bidi w:val="0"/>
        <w:adjustRightInd/>
        <w:snapToGrid w:val="0"/>
        <w:spacing w:line="500" w:lineRule="exact"/>
        <w:ind w:left="0" w:leftChars="0"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44" w:name="_Hlk61815781"/>
      <w:r>
        <w:rPr>
          <w:rFonts w:hint="eastAsia" w:ascii="宋体" w:hAnsi="宋体" w:cs="宋体"/>
          <w:b/>
          <w:color w:val="auto"/>
          <w:szCs w:val="21"/>
          <w:highlight w:val="none"/>
        </w:rPr>
        <w:t>无效投标条款</w:t>
      </w:r>
    </w:p>
    <w:bookmarkEnd w:id="44"/>
    <w:p w14:paraId="0BAB27FE">
      <w:pPr>
        <w:keepNext w:val="0"/>
        <w:keepLines w:val="0"/>
        <w:pageBreakBefore w:val="0"/>
        <w:kinsoku/>
        <w:wordWrap/>
        <w:overflowPunct/>
        <w:topLinePunct w:val="0"/>
        <w:autoSpaceDE/>
        <w:autoSpaceDN/>
        <w:bidi w:val="0"/>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其投标文件拒收</w:t>
      </w:r>
      <w:r>
        <w:rPr>
          <w:rFonts w:hint="eastAsia" w:ascii="宋体" w:hAnsi="宋体" w:cs="宋体"/>
          <w:color w:val="auto"/>
          <w:szCs w:val="21"/>
          <w:highlight w:val="none"/>
          <w:lang w:eastAsia="zh-CN"/>
        </w:rPr>
        <w:t>：</w:t>
      </w:r>
    </w:p>
    <w:p w14:paraId="655033CD">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 xml:space="preserve"> 未在开标截止时间前通过网上招标投标系统递交有效电子投标文件的，开标系统不予接收，投标将被拒绝</w:t>
      </w:r>
      <w:r>
        <w:rPr>
          <w:rFonts w:hint="eastAsia" w:ascii="宋体" w:hAnsi="宋体" w:cs="宋体"/>
          <w:color w:val="auto"/>
          <w:szCs w:val="21"/>
          <w:highlight w:val="none"/>
          <w:lang w:eastAsia="zh-CN"/>
        </w:rPr>
        <w:t>。</w:t>
      </w:r>
    </w:p>
    <w:p w14:paraId="1B302EC7">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投标企业接到远程解密指令后，须在规定时间内解密。因投标人自身原因导致投标文件在规定时间内未能解密、解密失败或解密超时，投标文件无效；解密时间：从本项目网上招投标系统解密倒计时开始，至完成投标文件解密时间，不得超过</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分钟，否则投标文件将被拒绝。</w:t>
      </w:r>
    </w:p>
    <w:p w14:paraId="2453625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8.2</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资格审查后其投标作无效投标处理：</w:t>
      </w:r>
    </w:p>
    <w:p w14:paraId="1D91AF56">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（1）投标人</w:t>
      </w:r>
      <w:r>
        <w:rPr>
          <w:rFonts w:hint="eastAsia" w:ascii="宋体" w:hAnsi="宋体" w:cs="宋体"/>
          <w:color w:val="auto"/>
          <w:szCs w:val="21"/>
          <w:highlight w:val="none"/>
        </w:rPr>
        <w:t>为本项目提供招标代理服务的；</w:t>
      </w:r>
    </w:p>
    <w:p w14:paraId="08467CF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（2）投标人</w:t>
      </w:r>
      <w:r>
        <w:rPr>
          <w:rFonts w:hint="eastAsia" w:ascii="宋体" w:hAnsi="宋体" w:cs="宋体"/>
          <w:color w:val="auto"/>
          <w:szCs w:val="21"/>
          <w:highlight w:val="none"/>
        </w:rPr>
        <w:t>与在本项目代理机构存在相互任职或工作的；</w:t>
      </w:r>
    </w:p>
    <w:p w14:paraId="6EB96CB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rPr>
        <w:t xml:space="preserve"> 评标专家无法查看并检验</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中相关资料的；</w:t>
      </w:r>
    </w:p>
    <w:p w14:paraId="189DF9CB">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被暂停营业的；</w:t>
      </w:r>
    </w:p>
    <w:p w14:paraId="55D011AC">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被暂停或取消投标资格的；</w:t>
      </w:r>
    </w:p>
    <w:p w14:paraId="768FF611">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（6）投标人</w:t>
      </w:r>
      <w:r>
        <w:rPr>
          <w:rFonts w:hint="eastAsia" w:ascii="宋体" w:hAnsi="宋体" w:cs="宋体"/>
          <w:color w:val="auto"/>
          <w:szCs w:val="21"/>
          <w:highlight w:val="none"/>
        </w:rPr>
        <w:t>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1A8F0C53">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（7）投标人</w:t>
      </w:r>
      <w:r>
        <w:rPr>
          <w:rFonts w:hint="eastAsia" w:ascii="宋体" w:hAnsi="宋体" w:cs="宋体"/>
          <w:color w:val="auto"/>
          <w:szCs w:val="21"/>
          <w:highlight w:val="none"/>
        </w:rPr>
        <w:t>基本资格条件和特定资格条件中有一项及以上不符合要求的；</w:t>
      </w:r>
    </w:p>
    <w:p w14:paraId="24069BC9">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（8）其他情形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145E5271">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p>
    <w:p w14:paraId="50856FB3">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8.3 </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符合性审查后其投标按无效投标处理：</w:t>
      </w:r>
    </w:p>
    <w:p w14:paraId="049A30C3">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签字、盖章不全，经评标委员会一致认定对开评标内容有实质性影响的；</w:t>
      </w:r>
    </w:p>
    <w:p w14:paraId="53D3D90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color w:val="auto"/>
          <w:szCs w:val="21"/>
          <w:highlight w:val="none"/>
        </w:rPr>
      </w:pPr>
      <w:r>
        <w:rPr>
          <w:rFonts w:hint="eastAsia" w:ascii="宋体" w:hAnsi="宋体" w:cs="宋体"/>
          <w:color w:val="auto"/>
          <w:szCs w:val="21"/>
          <w:highlight w:val="none"/>
          <w:lang w:eastAsia="zh-CN"/>
        </w:rPr>
        <w:t>（2）</w:t>
      </w:r>
      <w:r>
        <w:rPr>
          <w:rFonts w:hint="eastAsia" w:ascii="宋体"/>
          <w:color w:val="auto"/>
          <w:szCs w:val="21"/>
          <w:highlight w:val="none"/>
        </w:rPr>
        <w:t>未按规定的格式填写导致实质性内容不全以及实质上不响应，或者关键字迹模糊、无法辨认；</w:t>
      </w:r>
    </w:p>
    <w:p w14:paraId="52200C7D">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rPr>
        <w:t>同一</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提交两个以上不同的</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或者投标报价，但</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规定提交备选方案的除外；</w:t>
      </w:r>
    </w:p>
    <w:p w14:paraId="0BBD4EB6">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没有对</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的实质性要求和条件作出响应</w:t>
      </w:r>
      <w:r>
        <w:rPr>
          <w:rFonts w:hint="eastAsia" w:ascii="宋体" w:hAnsi="宋体" w:cs="宋体"/>
          <w:color w:val="auto"/>
          <w:szCs w:val="21"/>
          <w:highlight w:val="none"/>
          <w:lang w:eastAsia="zh-CN"/>
        </w:rPr>
        <w:t>；</w:t>
      </w:r>
    </w:p>
    <w:p w14:paraId="789D207F">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投标报价超出规定的投标限价或公布的采购预算的；</w:t>
      </w:r>
    </w:p>
    <w:p w14:paraId="3A3AF7C9">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（6）</w:t>
      </w:r>
      <w:r>
        <w:rPr>
          <w:rFonts w:hint="eastAsia" w:ascii="宋体" w:hAnsi="宋体" w:cs="宋体"/>
          <w:color w:val="auto"/>
          <w:szCs w:val="21"/>
          <w:highlight w:val="none"/>
        </w:rPr>
        <w:t>不按评标委员会要求澄清、说明或补正的，或者评标委员会根据</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的规定对</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的计算错误进行修正后，</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不接受修正的投标报价的。</w:t>
      </w:r>
    </w:p>
    <w:p w14:paraId="2EE8AAE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（7）其他情形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7FA82881">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（8）</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01441677">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（9）招标文件</w:t>
      </w:r>
      <w:r>
        <w:rPr>
          <w:rFonts w:hint="eastAsia" w:ascii="宋体" w:hAnsi="宋体" w:cs="宋体"/>
          <w:color w:val="auto"/>
          <w:szCs w:val="21"/>
          <w:highlight w:val="none"/>
        </w:rPr>
        <w:t>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p>
    <w:p w14:paraId="13919599">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8.4 </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详细评审后其投标按无效投标处理：</w:t>
      </w:r>
    </w:p>
    <w:p w14:paraId="543ED6A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投标产品不符合必须强制执行的国家标准的；</w:t>
      </w:r>
    </w:p>
    <w:p w14:paraId="54CB7D72">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（2）投标人</w:t>
      </w:r>
      <w:r>
        <w:rPr>
          <w:rFonts w:hint="eastAsia" w:ascii="宋体" w:hAnsi="宋体" w:cs="宋体"/>
          <w:color w:val="auto"/>
          <w:szCs w:val="21"/>
          <w:highlight w:val="none"/>
        </w:rPr>
        <w:t>有串通投标、弄虚作假、行贿等违法行为；</w:t>
      </w:r>
    </w:p>
    <w:p w14:paraId="67AD2738">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含有违反国家</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7B7FD85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报价明显低于其他</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，且不能证明报价合理性的投标无效；</w:t>
      </w:r>
    </w:p>
    <w:p w14:paraId="40D5C19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拒不确认评标委员会评审修正的投标无效；</w:t>
      </w:r>
    </w:p>
    <w:p w14:paraId="48AC5EB5">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（6）其他情形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151EE36E">
      <w:pPr>
        <w:keepNext w:val="0"/>
        <w:keepLines w:val="0"/>
        <w:pageBreakBefore w:val="0"/>
        <w:kinsoku/>
        <w:wordWrap/>
        <w:overflowPunct/>
        <w:topLinePunct w:val="0"/>
        <w:autoSpaceDE/>
        <w:autoSpaceDN/>
        <w:bidi w:val="0"/>
        <w:snapToGrid w:val="0"/>
        <w:spacing w:line="520" w:lineRule="exact"/>
        <w:ind w:left="0" w:leftChars="0" w:firstLine="420" w:firstLineChars="200"/>
        <w:jc w:val="both"/>
        <w:textAlignment w:val="auto"/>
        <w:rPr>
          <w:rFonts w:hint="eastAsia" w:ascii="仿宋" w:hAnsi="仿宋" w:eastAsia="宋体" w:cs="仿宋"/>
          <w:b/>
          <w:bCs/>
          <w:i w:val="0"/>
          <w:iCs w:val="0"/>
          <w:color w:val="auto"/>
          <w:kern w:val="0"/>
          <w:sz w:val="22"/>
          <w:szCs w:val="22"/>
          <w:highlight w:val="none"/>
          <w:u w:val="none"/>
          <w:lang w:val="en-US" w:eastAsia="zh-CN" w:bidi="ar"/>
        </w:rPr>
        <w:sectPr>
          <w:footerReference r:id="rId3" w:type="default"/>
          <w:pgSz w:w="11906" w:h="16838"/>
          <w:pgMar w:top="1417" w:right="1247" w:bottom="1417" w:left="1247" w:header="851" w:footer="992" w:gutter="0"/>
          <w:pgNumType w:fmt="numberInDash" w:start="1"/>
          <w:cols w:space="720" w:num="1"/>
          <w:rtlGutter w:val="0"/>
          <w:docGrid w:type="lines" w:linePitch="312" w:charSpace="0"/>
        </w:sectPr>
      </w:pPr>
      <w:r>
        <w:rPr>
          <w:rFonts w:hint="eastAsia" w:ascii="宋体" w:hAnsi="宋体" w:cs="宋体"/>
          <w:color w:val="auto"/>
          <w:szCs w:val="21"/>
          <w:highlight w:val="none"/>
          <w:lang w:eastAsia="zh-CN"/>
        </w:rPr>
        <w:t>（7）招标文件</w:t>
      </w:r>
      <w:r>
        <w:rPr>
          <w:rFonts w:hint="eastAsia" w:ascii="宋体" w:hAnsi="宋体" w:cs="宋体"/>
          <w:color w:val="auto"/>
          <w:szCs w:val="21"/>
          <w:highlight w:val="none"/>
        </w:rPr>
        <w:t>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r>
        <w:rPr>
          <w:rFonts w:hint="eastAsia" w:ascii="宋体" w:hAnsi="宋体" w:cs="宋体"/>
          <w:color w:val="auto"/>
          <w:szCs w:val="21"/>
          <w:highlight w:val="none"/>
          <w:lang w:eastAsia="zh-CN"/>
        </w:rPr>
        <w:t>。</w:t>
      </w:r>
    </w:p>
    <w:p w14:paraId="11E9CBDE">
      <w:pPr>
        <w:rPr>
          <w:color w:val="auto"/>
          <w:highlight w:val="none"/>
        </w:rPr>
      </w:pPr>
    </w:p>
    <w:p w14:paraId="49BB0102">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第四章 采购需求</w:t>
      </w:r>
    </w:p>
    <w:p w14:paraId="7C551865">
      <w:pPr>
        <w:keepNext/>
        <w:keepLines/>
        <w:pageBreakBefore w:val="0"/>
        <w:widowControl w:val="0"/>
        <w:numPr>
          <w:ilvl w:val="0"/>
          <w:numId w:val="0"/>
        </w:numPr>
        <w:kinsoku/>
        <w:wordWrap/>
        <w:overflowPunct/>
        <w:topLinePunct w:val="0"/>
        <w:autoSpaceDE/>
        <w:autoSpaceDN/>
        <w:bidi w:val="0"/>
        <w:adjustRightInd w:val="0"/>
        <w:snapToGrid w:val="0"/>
        <w:spacing w:before="156" w:beforeLines="50" w:after="156" w:afterLines="50" w:line="500" w:lineRule="exact"/>
        <w:jc w:val="both"/>
        <w:textAlignment w:val="auto"/>
        <w:outlineLvl w:val="1"/>
        <w:rPr>
          <w:rFonts w:hint="default" w:ascii="宋体" w:hAnsi="宋体" w:eastAsia="宋体" w:cs="Times New Roman"/>
          <w:b/>
          <w:bCs/>
          <w:color w:val="auto"/>
          <w:szCs w:val="21"/>
          <w:highlight w:val="none"/>
          <w:u w:color="000000"/>
          <w:lang w:val="en-US" w:eastAsia="zh-CN"/>
        </w:rPr>
      </w:pPr>
      <w:r>
        <w:rPr>
          <w:rFonts w:hint="eastAsia" w:ascii="宋体" w:hAnsi="宋体" w:eastAsia="宋体" w:cs="Times New Roman"/>
          <w:b/>
          <w:bCs/>
          <w:color w:val="auto"/>
          <w:szCs w:val="21"/>
          <w:highlight w:val="none"/>
          <w:u w:color="000000"/>
          <w:lang w:val="en-US" w:eastAsia="zh-CN"/>
        </w:rPr>
        <w:t>一、项目基本情况</w:t>
      </w:r>
    </w:p>
    <w:p w14:paraId="3DB2B914">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宋体"/>
          <w:bCs/>
          <w:color w:val="auto"/>
          <w:kern w:val="1"/>
          <w:sz w:val="21"/>
          <w:szCs w:val="21"/>
          <w:highlight w:val="none"/>
          <w:lang w:val="en-US" w:eastAsia="zh-CN"/>
        </w:rPr>
      </w:pPr>
      <w:r>
        <w:rPr>
          <w:rFonts w:hint="eastAsia" w:ascii="宋体" w:hAnsi="宋体" w:eastAsia="宋体" w:cs="宋体"/>
          <w:bCs/>
          <w:color w:val="auto"/>
          <w:kern w:val="1"/>
          <w:sz w:val="21"/>
          <w:szCs w:val="21"/>
          <w:highlight w:val="none"/>
          <w:lang w:val="en-US" w:eastAsia="zh-CN"/>
        </w:rPr>
        <w:t>1.中新苏滁高新区（未来产业园）智能制造工业坊项目位于</w:t>
      </w:r>
      <w:r>
        <w:rPr>
          <w:rFonts w:hint="eastAsia" w:ascii="宋体" w:hAnsi="宋体" w:eastAsia="宋体" w:cs="宋体"/>
          <w:color w:val="auto"/>
          <w:sz w:val="21"/>
          <w:szCs w:val="21"/>
          <w:highlight w:val="none"/>
        </w:rPr>
        <w:t>安徽省滁州市东至白塔街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南至滁中路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西至滁州大道</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北至滨河南路</w:t>
      </w:r>
      <w:r>
        <w:rPr>
          <w:rFonts w:hint="eastAsia" w:ascii="宋体" w:hAnsi="宋体" w:eastAsia="宋体" w:cs="宋体"/>
          <w:color w:val="auto"/>
          <w:sz w:val="21"/>
          <w:szCs w:val="21"/>
          <w:highlight w:val="none"/>
          <w:lang w:eastAsia="zh-CN"/>
        </w:rPr>
        <w:t>，28#综合楼，地下一层，地上八层，钢筋混凝土框架结构，建筑面积为</w:t>
      </w:r>
      <w:r>
        <w:rPr>
          <w:rFonts w:hint="eastAsia" w:ascii="宋体" w:hAnsi="宋体" w:eastAsia="宋体" w:cs="宋体"/>
          <w:bCs/>
          <w:color w:val="auto"/>
          <w:kern w:val="1"/>
          <w:sz w:val="21"/>
          <w:szCs w:val="21"/>
          <w:highlight w:val="none"/>
          <w:lang w:val="en-US" w:eastAsia="zh-CN"/>
        </w:rPr>
        <w:t>34011.39m2。</w:t>
      </w:r>
    </w:p>
    <w:p w14:paraId="64485D9C">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default" w:ascii="宋体" w:hAnsi="宋体" w:eastAsia="宋体" w:cs="宋体"/>
          <w:bCs/>
          <w:color w:val="auto"/>
          <w:kern w:val="1"/>
          <w:sz w:val="21"/>
          <w:szCs w:val="21"/>
          <w:highlight w:val="none"/>
          <w:lang w:val="en-US" w:eastAsia="zh-CN"/>
        </w:rPr>
      </w:pPr>
      <w:r>
        <w:rPr>
          <w:rFonts w:hint="eastAsia" w:ascii="宋体" w:hAnsi="宋体" w:eastAsia="宋体" w:cs="宋体"/>
          <w:bCs/>
          <w:color w:val="auto"/>
          <w:kern w:val="1"/>
          <w:sz w:val="21"/>
          <w:szCs w:val="21"/>
          <w:highlight w:val="none"/>
          <w:lang w:val="en-US" w:eastAsia="zh-CN"/>
        </w:rPr>
        <w:t>2.中新苏滁高新区超级电容智能制造基地二期项目位于滁州市滨河北路与滁州大道交叉口东北侧，主要内容包括：厂房3、电芯库、厂区道路等主体，项目总建筑面积约3.23万㎡。</w:t>
      </w:r>
    </w:p>
    <w:p w14:paraId="5C66AFB8">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宋体"/>
          <w:bCs/>
          <w:color w:val="auto"/>
          <w:kern w:val="1"/>
          <w:sz w:val="21"/>
          <w:szCs w:val="21"/>
          <w:highlight w:val="none"/>
          <w:lang w:val="en-US" w:eastAsia="zh-CN"/>
        </w:rPr>
      </w:pPr>
      <w:bookmarkStart w:id="45" w:name="_Toc468884887"/>
      <w:bookmarkStart w:id="46" w:name="_Toc11687021"/>
      <w:bookmarkStart w:id="47" w:name="_Toc350506046"/>
      <w:r>
        <w:rPr>
          <w:rFonts w:hint="eastAsia" w:ascii="宋体" w:hAnsi="宋体" w:eastAsia="宋体" w:cs="宋体"/>
          <w:bCs/>
          <w:color w:val="auto"/>
          <w:kern w:val="1"/>
          <w:sz w:val="21"/>
          <w:szCs w:val="21"/>
          <w:highlight w:val="none"/>
          <w:lang w:val="en-US" w:eastAsia="zh-CN"/>
        </w:rPr>
        <w:t>3.采购需求分别对中新苏滁高新区（未来产业园）智能制造工业坊项目的综合楼及中新苏滁高新区超级电容智能制造基地二期项目的厂房3和电芯库进行沉降观测服务</w:t>
      </w:r>
    </w:p>
    <w:p w14:paraId="2EC648C7">
      <w:pPr>
        <w:keepNext/>
        <w:keepLines/>
        <w:pageBreakBefore w:val="0"/>
        <w:widowControl w:val="0"/>
        <w:numPr>
          <w:ilvl w:val="0"/>
          <w:numId w:val="0"/>
        </w:numPr>
        <w:kinsoku/>
        <w:wordWrap/>
        <w:overflowPunct/>
        <w:topLinePunct w:val="0"/>
        <w:autoSpaceDE/>
        <w:autoSpaceDN/>
        <w:bidi w:val="0"/>
        <w:adjustRightInd w:val="0"/>
        <w:snapToGrid w:val="0"/>
        <w:spacing w:before="156" w:beforeLines="50" w:after="156" w:afterLines="50" w:line="500" w:lineRule="exact"/>
        <w:jc w:val="both"/>
        <w:textAlignment w:val="auto"/>
        <w:outlineLvl w:val="1"/>
        <w:rPr>
          <w:rFonts w:hint="eastAsia" w:ascii="宋体" w:hAnsi="宋体" w:eastAsia="宋体" w:cs="Times New Roman"/>
          <w:b/>
          <w:bCs/>
          <w:color w:val="auto"/>
          <w:szCs w:val="21"/>
          <w:highlight w:val="none"/>
          <w:u w:color="000000"/>
          <w:lang w:val="en-US" w:eastAsia="zh-CN"/>
        </w:rPr>
      </w:pPr>
      <w:r>
        <w:rPr>
          <w:rFonts w:hint="eastAsia" w:ascii="宋体" w:hAnsi="宋体" w:eastAsia="宋体" w:cs="Times New Roman"/>
          <w:b/>
          <w:bCs/>
          <w:color w:val="auto"/>
          <w:szCs w:val="21"/>
          <w:highlight w:val="none"/>
          <w:u w:color="000000"/>
          <w:lang w:val="en-US" w:eastAsia="zh-CN"/>
        </w:rPr>
        <w:t xml:space="preserve">二 </w:t>
      </w:r>
      <w:bookmarkEnd w:id="45"/>
      <w:bookmarkEnd w:id="46"/>
      <w:bookmarkEnd w:id="47"/>
      <w:r>
        <w:rPr>
          <w:rFonts w:hint="eastAsia" w:ascii="宋体" w:hAnsi="宋体" w:eastAsia="宋体" w:cs="Times New Roman"/>
          <w:b/>
          <w:bCs/>
          <w:color w:val="auto"/>
          <w:szCs w:val="21"/>
          <w:highlight w:val="none"/>
          <w:u w:color="000000"/>
          <w:lang w:val="en-US" w:eastAsia="zh-CN"/>
        </w:rPr>
        <w:t>、招标要求及规范</w:t>
      </w:r>
    </w:p>
    <w:p w14:paraId="00377B8B">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lang w:val="en-US" w:eastAsia="zh-CN"/>
        </w:rPr>
        <w:t>一）</w:t>
      </w:r>
      <w:r>
        <w:rPr>
          <w:rFonts w:hint="eastAsia" w:ascii="宋体" w:hAnsi="宋体" w:eastAsia="宋体" w:cs="Times New Roman"/>
          <w:color w:val="auto"/>
          <w:szCs w:val="21"/>
          <w:highlight w:val="none"/>
          <w:u w:color="000000"/>
        </w:rPr>
        <w:t>规范标准</w:t>
      </w:r>
    </w:p>
    <w:p w14:paraId="575F5DC4">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yellow"/>
          <w:u w:color="000000"/>
        </w:rPr>
      </w:pPr>
      <w:r>
        <w:rPr>
          <w:rFonts w:hint="eastAsia" w:ascii="宋体" w:hAnsi="宋体" w:eastAsia="宋体" w:cs="Times New Roman"/>
          <w:color w:val="auto"/>
          <w:szCs w:val="21"/>
          <w:highlight w:val="none"/>
          <w:u w:color="000000"/>
        </w:rPr>
        <w:t>1</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《建筑地基基础设计规范》GB 50007-2011</w:t>
      </w:r>
    </w:p>
    <w:p w14:paraId="0AAACEBF">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2</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 xml:space="preserve">《工程测量规范》GB50026-2020 </w:t>
      </w:r>
    </w:p>
    <w:p w14:paraId="5F59D3C5">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3</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《建筑变形测量规范》JGJ8-2016</w:t>
      </w:r>
    </w:p>
    <w:p w14:paraId="54958467">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4</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现行的国家及省市相关法律法规和标准规范</w:t>
      </w:r>
    </w:p>
    <w:p w14:paraId="249A48B8">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lang w:val="en-US" w:eastAsia="zh-CN"/>
        </w:rPr>
        <w:t>二）</w:t>
      </w:r>
      <w:r>
        <w:rPr>
          <w:rFonts w:hint="eastAsia" w:ascii="宋体" w:hAnsi="宋体" w:eastAsia="宋体" w:cs="Times New Roman"/>
          <w:color w:val="auto"/>
          <w:szCs w:val="21"/>
          <w:highlight w:val="none"/>
          <w:u w:color="000000"/>
        </w:rPr>
        <w:t>作业要求</w:t>
      </w:r>
    </w:p>
    <w:p w14:paraId="43B6BA50">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1</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仪器设备、人员素质的要求</w:t>
      </w:r>
    </w:p>
    <w:p w14:paraId="3DC45E80">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根据沉降观测精度要求高的特点，为能精确地反映出建（构）筑物在不断加荷下的沉降情况，规定测量的误差应小于变形值的1/10—1/20，沉降观测应使用精密水准仪</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S1或S05级</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，水准尺也应使用受环境及温差变化影响小的高精度铟合金水准尺，观测标志采用主管部门规定的标准件。</w:t>
      </w:r>
    </w:p>
    <w:p w14:paraId="25B2A2C2">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作业人员必须接受专业学习及技能培训取得相关技术岗位资格证书，对实施过程中出现的问题能分析原因并正确运用误差理论进行平差计算，按时、快速、精确地完成每次观测任务。</w:t>
      </w:r>
    </w:p>
    <w:p w14:paraId="00F89300">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2</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观测时间的要求</w:t>
      </w:r>
    </w:p>
    <w:p w14:paraId="7C9D8173">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宋体"/>
          <w:bCs/>
          <w:color w:val="auto"/>
          <w:kern w:val="1"/>
          <w:sz w:val="21"/>
          <w:szCs w:val="21"/>
          <w:highlight w:val="none"/>
          <w:lang w:val="en-US" w:eastAsia="zh-CN"/>
        </w:rPr>
        <w:t>2.1中新苏滁高新区（未来产业园）智能制造工业坊项目观测要求：</w:t>
      </w:r>
      <w:r>
        <w:rPr>
          <w:rFonts w:hint="eastAsia" w:ascii="宋体" w:hAnsi="宋体" w:eastAsia="宋体" w:cs="Times New Roman"/>
          <w:color w:val="auto"/>
          <w:szCs w:val="21"/>
          <w:highlight w:val="none"/>
          <w:u w:color="000000"/>
        </w:rPr>
        <w:t>沉降观测应从基础完工后开始</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施工期观测可根据施工进度确定</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至少每施工完2~3层观测一次</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主体结构封顶后每隔1~2个月观测一次</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后浇带封闭时应观测一次</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竣工后</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第一年每隔3个月观测一次。第二年每隔6个月观测一次</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以后每年观测一次</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直至沉降稳定</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连续两次半年沉降量不超过2mm</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为止。如在测量中发现沉降异常、应及时通知相关单位</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同时缩短监测周期。</w:t>
      </w:r>
    </w:p>
    <w:p w14:paraId="0A13B13D">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default" w:ascii="宋体" w:hAnsi="宋体" w:eastAsia="宋体" w:cs="Times New Roman"/>
          <w:color w:val="auto"/>
          <w:szCs w:val="21"/>
          <w:highlight w:val="none"/>
          <w:u w:color="000000"/>
          <w:lang w:val="en-US" w:eastAsia="zh-CN"/>
        </w:rPr>
      </w:pPr>
      <w:r>
        <w:rPr>
          <w:rFonts w:hint="eastAsia" w:ascii="宋体" w:hAnsi="宋体" w:eastAsia="宋体" w:cs="Times New Roman"/>
          <w:color w:val="auto"/>
          <w:szCs w:val="21"/>
          <w:highlight w:val="none"/>
          <w:u w:color="000000"/>
          <w:lang w:val="en-US" w:eastAsia="zh-CN"/>
        </w:rPr>
        <w:t>2.2</w:t>
      </w:r>
      <w:r>
        <w:rPr>
          <w:rFonts w:hint="eastAsia" w:ascii="宋体" w:hAnsi="宋体" w:eastAsia="宋体" w:cs="宋体"/>
          <w:bCs/>
          <w:color w:val="auto"/>
          <w:kern w:val="1"/>
          <w:sz w:val="21"/>
          <w:szCs w:val="21"/>
          <w:highlight w:val="none"/>
          <w:lang w:val="en-US" w:eastAsia="zh-CN"/>
        </w:rPr>
        <w:t>中新苏滁高新区超级电容智能制造基地二期项目观测要求：沉降观测要求从基础垫层完成后开始，整个施工期内和使用期间对建筑物进行的沉降观测。建筑物施工期的观测日期和次数，应根据施工进度确定,在建筑物竣工后的第一年内，每隔2—3月观测一次，以后适当延长至4-6月，直至达到沉降变形稳定标准为止。施工单位应充分配合检测单位的工作，并负责沉降观测点的埋置和保护工作。</w:t>
      </w:r>
    </w:p>
    <w:p w14:paraId="2A3D27B0">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default" w:ascii="宋体" w:hAnsi="宋体" w:eastAsia="宋体" w:cs="Times New Roman"/>
          <w:color w:val="auto"/>
          <w:szCs w:val="21"/>
          <w:highlight w:val="none"/>
          <w:u w:color="000000"/>
          <w:lang w:val="en-US" w:eastAsia="zh-CN"/>
        </w:rPr>
      </w:pPr>
      <w:r>
        <w:rPr>
          <w:rFonts w:hint="eastAsia" w:ascii="宋体" w:hAnsi="宋体" w:eastAsia="宋体" w:cs="Times New Roman"/>
          <w:color w:val="auto"/>
          <w:szCs w:val="21"/>
          <w:highlight w:val="none"/>
          <w:u w:color="000000"/>
          <w:lang w:val="en-US" w:eastAsia="zh-CN"/>
        </w:rPr>
        <w:t>2.3</w:t>
      </w:r>
      <w:r>
        <w:rPr>
          <w:rFonts w:hint="eastAsia" w:ascii="宋体" w:hAnsi="宋体" w:eastAsia="宋体" w:cs="Times New Roman"/>
          <w:color w:val="auto"/>
          <w:szCs w:val="21"/>
          <w:highlight w:val="none"/>
          <w:u w:color="000000"/>
        </w:rPr>
        <w:t>沉降稳定标准由沉降量与时间关系曲线判定。《建筑变形测量规程》</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JGJ8-2016</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中指出，当最后100天的沉降速率小于0.01</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0.04mm/d</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可认为建筑物已经进入稳定阶段，可以停止观测。</w:t>
      </w:r>
    </w:p>
    <w:p w14:paraId="10AC19EB">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3</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观测点的要求</w:t>
      </w:r>
    </w:p>
    <w:p w14:paraId="58592DFB">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沉降观测点要埋设在最能反映沉降特征且便于观测的位置，按照设计图纸上专门的沉降观测点布置图要求现场布置。此外，埋设的沉降观测点要符合各施工阶段的观测要求，特别要</w:t>
      </w:r>
      <w:r>
        <w:rPr>
          <w:rFonts w:hint="eastAsia" w:ascii="宋体" w:hAnsi="宋体" w:eastAsia="宋体" w:cs="Times New Roman"/>
          <w:color w:val="auto"/>
          <w:szCs w:val="21"/>
          <w:highlight w:val="none"/>
          <w:u w:color="000000"/>
          <w:lang w:eastAsia="zh-CN"/>
        </w:rPr>
        <w:t>考虑</w:t>
      </w:r>
      <w:r>
        <w:rPr>
          <w:rFonts w:hint="eastAsia" w:ascii="宋体" w:hAnsi="宋体" w:eastAsia="宋体" w:cs="Times New Roman"/>
          <w:color w:val="auto"/>
          <w:szCs w:val="21"/>
          <w:highlight w:val="none"/>
          <w:u w:color="000000"/>
        </w:rPr>
        <w:t>装修装饰阶段，是否会因墙或柱饰面施工而破坏或</w:t>
      </w:r>
      <w:r>
        <w:rPr>
          <w:rFonts w:hint="eastAsia" w:ascii="宋体" w:hAnsi="宋体" w:eastAsia="宋体" w:cs="Times New Roman"/>
          <w:color w:val="auto"/>
          <w:szCs w:val="21"/>
          <w:highlight w:val="none"/>
          <w:u w:color="000000"/>
          <w:lang w:eastAsia="zh-CN"/>
        </w:rPr>
        <w:t>掩盖</w:t>
      </w:r>
      <w:r>
        <w:rPr>
          <w:rFonts w:hint="eastAsia" w:ascii="宋体" w:hAnsi="宋体" w:eastAsia="宋体" w:cs="Times New Roman"/>
          <w:color w:val="auto"/>
          <w:szCs w:val="21"/>
          <w:highlight w:val="none"/>
          <w:u w:color="000000"/>
        </w:rPr>
        <w:t>观测点。</w:t>
      </w:r>
    </w:p>
    <w:p w14:paraId="0CAD1FED">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4</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沉降观测自始至终要遵循“五定”原则</w:t>
      </w:r>
    </w:p>
    <w:p w14:paraId="6448D03C">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五定”即沉降观测依据的基准点、工作基点和被观测物的沉降观测点，点位要稳定；所用仪器、设备要稳定；观测人员要稳定；观测时的环境条件基本一致；观测路线、镜位、程序和方法要固定。以上措施在客观上尽量减少观测误差的</w:t>
      </w:r>
      <w:r>
        <w:rPr>
          <w:rFonts w:hint="eastAsia" w:ascii="宋体" w:hAnsi="宋体" w:eastAsia="宋体" w:cs="Times New Roman"/>
          <w:color w:val="auto"/>
          <w:szCs w:val="21"/>
          <w:highlight w:val="none"/>
          <w:u w:color="000000"/>
          <w:lang w:eastAsia="zh-CN"/>
        </w:rPr>
        <w:t>不确</w:t>
      </w:r>
      <w:r>
        <w:rPr>
          <w:rFonts w:hint="eastAsia" w:ascii="宋体" w:hAnsi="宋体" w:eastAsia="宋体" w:cs="Times New Roman"/>
          <w:color w:val="auto"/>
          <w:szCs w:val="21"/>
          <w:highlight w:val="none"/>
          <w:u w:color="000000"/>
        </w:rPr>
        <w:t>定性，使所测的结果具有</w:t>
      </w:r>
      <w:bookmarkStart w:id="58" w:name="_GoBack"/>
      <w:bookmarkEnd w:id="58"/>
      <w:r>
        <w:rPr>
          <w:rFonts w:hint="eastAsia" w:ascii="宋体" w:hAnsi="宋体" w:eastAsia="宋体" w:cs="Times New Roman"/>
          <w:color w:val="auto"/>
          <w:szCs w:val="21"/>
          <w:highlight w:val="none"/>
          <w:u w:color="000000"/>
        </w:rPr>
        <w:t>统一的趋向性，保证各次复测结果与首次观测的结果可比性更一致，使所观测的沉降量更真实。</w:t>
      </w:r>
    </w:p>
    <w:p w14:paraId="203B1478">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5</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施测要求</w:t>
      </w:r>
    </w:p>
    <w:p w14:paraId="2694AD20">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仪器、设备的操作方法与观测程序要熟悉、正确。在首次观测前要对所用仪器的各项指标进行检测校正，必要时经计量单位予以鉴定。连续使用3-6个月后重新对所用仪器、设备进行检校。</w:t>
      </w:r>
    </w:p>
    <w:p w14:paraId="63246D6D">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在观测过程中，操作人员要相互配合，工作协调一致，认真仔细，做到步步有校核。</w:t>
      </w:r>
    </w:p>
    <w:p w14:paraId="0D8F9489">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6</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沉降观测精度的要求</w:t>
      </w:r>
    </w:p>
    <w:p w14:paraId="5ED6EA03">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根据建筑物的特性和建设、设计单位的要求选择沉降观测精度的等级。在无特殊要求情况下，一般高层建（构）筑物采用二等水准测量的观测方法就能满足沉降观测的要求。</w:t>
      </w:r>
    </w:p>
    <w:p w14:paraId="318FF69C">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各项观测指标要求如下：</w:t>
      </w:r>
    </w:p>
    <w:p w14:paraId="47100970">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1）往返较差、附和或环线闭合差：△h＝∑a－∑b≤1.0√n ，n表示测站数；</w:t>
      </w:r>
    </w:p>
    <w:p w14:paraId="156DF080">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2）前后视距≤50m、前后视距差≤2m、前后视距累积差≤3m；</w:t>
      </w:r>
    </w:p>
    <w:p w14:paraId="5BAB3102">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3）沉降观测点相对于后视点的高差中误差</w:t>
      </w:r>
      <w:r>
        <w:rPr>
          <w:rFonts w:hint="eastAsia" w:ascii="宋体" w:hAnsi="宋体" w:eastAsia="宋体" w:cs="Times New Roman"/>
          <w:color w:val="auto"/>
          <w:szCs w:val="21"/>
          <w:highlight w:val="none"/>
          <w:u w:color="000000"/>
          <w:lang w:eastAsia="zh-CN"/>
        </w:rPr>
        <w:t>：</w:t>
      </w:r>
      <w:r>
        <w:rPr>
          <w:rFonts w:hint="eastAsia" w:ascii="宋体" w:hAnsi="宋体" w:eastAsia="宋体" w:cs="Times New Roman"/>
          <w:color w:val="auto"/>
          <w:szCs w:val="21"/>
          <w:highlight w:val="none"/>
          <w:u w:color="000000"/>
        </w:rPr>
        <w:t xml:space="preserve"> ≤0.5m。</w:t>
      </w:r>
    </w:p>
    <w:p w14:paraId="2E5B151E">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7</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沉降观测成果整理及计算要求</w:t>
      </w:r>
    </w:p>
    <w:p w14:paraId="598A02E3">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原始数据要真实可靠，记录计算要符合施工测量规范的要求，按照依据正确、严谨有序、步步校核、结果有效的原则进行成果整理及计算。</w:t>
      </w:r>
    </w:p>
    <w:p w14:paraId="409A281C">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最终提交测绘成果报告书4份</w:t>
      </w:r>
      <w:r>
        <w:rPr>
          <w:rFonts w:hint="eastAsia" w:ascii="宋体" w:hAnsi="宋体" w:eastAsia="宋体" w:cs="Times New Roman"/>
          <w:color w:val="auto"/>
          <w:szCs w:val="21"/>
          <w:highlight w:val="none"/>
          <w:u w:color="000000"/>
        </w:rPr>
        <w:t>（</w:t>
      </w:r>
      <w:r>
        <w:rPr>
          <w:rFonts w:hint="eastAsia" w:ascii="宋体" w:hAnsi="宋体" w:eastAsia="宋体" w:cs="Times New Roman"/>
          <w:color w:val="auto"/>
          <w:szCs w:val="21"/>
          <w:highlight w:val="none"/>
          <w:u w:color="000000"/>
          <w:lang w:val="en-US" w:eastAsia="zh-CN"/>
        </w:rPr>
        <w:t>两个项目分别单独出具测绘成果报告。</w:t>
      </w:r>
      <w:r>
        <w:rPr>
          <w:rFonts w:hint="eastAsia" w:ascii="宋体" w:hAnsi="宋体" w:eastAsia="宋体" w:cs="Times New Roman"/>
          <w:color w:val="auto"/>
          <w:szCs w:val="21"/>
          <w:highlight w:val="none"/>
          <w:u w:color="000000"/>
        </w:rPr>
        <w:t>具体份数满足建设单位要求）。</w:t>
      </w:r>
    </w:p>
    <w:p w14:paraId="011DD2F0">
      <w:pPr>
        <w:keepNext/>
        <w:keepLines/>
        <w:pageBreakBefore w:val="0"/>
        <w:widowControl w:val="0"/>
        <w:numPr>
          <w:ilvl w:val="0"/>
          <w:numId w:val="0"/>
        </w:numPr>
        <w:kinsoku/>
        <w:wordWrap/>
        <w:overflowPunct/>
        <w:topLinePunct w:val="0"/>
        <w:autoSpaceDE/>
        <w:autoSpaceDN/>
        <w:bidi w:val="0"/>
        <w:adjustRightInd w:val="0"/>
        <w:snapToGrid w:val="0"/>
        <w:spacing w:before="156" w:beforeLines="50" w:after="156" w:afterLines="50" w:line="500" w:lineRule="exact"/>
        <w:ind w:firstLine="211" w:firstLineChars="100"/>
        <w:jc w:val="both"/>
        <w:textAlignment w:val="auto"/>
        <w:outlineLvl w:val="1"/>
        <w:rPr>
          <w:rFonts w:hint="eastAsia" w:ascii="宋体" w:hAnsi="宋体" w:eastAsia="宋体" w:cs="Times New Roman"/>
          <w:b/>
          <w:bCs/>
          <w:color w:val="auto"/>
          <w:szCs w:val="21"/>
          <w:highlight w:val="none"/>
          <w:u w:color="000000"/>
          <w:lang w:val="en-US" w:eastAsia="zh-CN"/>
        </w:rPr>
      </w:pPr>
      <w:r>
        <w:rPr>
          <w:rFonts w:hint="eastAsia" w:ascii="宋体" w:hAnsi="宋体" w:eastAsia="宋体" w:cs="Times New Roman"/>
          <w:b/>
          <w:bCs/>
          <w:color w:val="auto"/>
          <w:szCs w:val="21"/>
          <w:highlight w:val="none"/>
          <w:u w:color="000000"/>
          <w:lang w:val="en-US" w:eastAsia="zh-CN"/>
        </w:rPr>
        <w:t>三、服务周期及规范</w:t>
      </w:r>
    </w:p>
    <w:p w14:paraId="52088BE1">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rPr>
        <w:t>1</w:t>
      </w:r>
      <w:r>
        <w:rPr>
          <w:rFonts w:hint="eastAsia" w:ascii="宋体" w:hAnsi="宋体" w:eastAsia="宋体" w:cs="Times New Roman"/>
          <w:color w:val="auto"/>
          <w:szCs w:val="21"/>
          <w:highlight w:val="none"/>
          <w:u w:color="000000"/>
          <w:lang w:val="en-US" w:eastAsia="zh-CN"/>
        </w:rPr>
        <w:t>.</w:t>
      </w:r>
      <w:r>
        <w:rPr>
          <w:rFonts w:hint="eastAsia" w:ascii="宋体" w:hAnsi="宋体" w:eastAsia="宋体" w:cs="Times New Roman"/>
          <w:color w:val="auto"/>
          <w:szCs w:val="21"/>
          <w:highlight w:val="none"/>
          <w:u w:color="000000"/>
        </w:rPr>
        <w:t>从基础完工至主体工程竣工且沉降稳定为止。</w:t>
      </w:r>
    </w:p>
    <w:p w14:paraId="4BB5054C">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lang w:val="en-US" w:eastAsia="zh-CN"/>
        </w:rPr>
      </w:pPr>
      <w:r>
        <w:rPr>
          <w:rFonts w:hint="eastAsia" w:ascii="宋体" w:hAnsi="宋体" w:eastAsia="宋体" w:cs="Times New Roman"/>
          <w:color w:val="auto"/>
          <w:szCs w:val="21"/>
          <w:highlight w:val="none"/>
          <w:u w:color="000000"/>
        </w:rPr>
        <w:t>2</w:t>
      </w:r>
      <w:r>
        <w:rPr>
          <w:rFonts w:hint="eastAsia" w:ascii="宋体" w:hAnsi="宋体" w:eastAsia="宋体" w:cs="Times New Roman"/>
          <w:color w:val="auto"/>
          <w:szCs w:val="21"/>
          <w:highlight w:val="none"/>
          <w:u w:color="000000"/>
          <w:lang w:val="en-US" w:eastAsia="zh-CN"/>
        </w:rPr>
        <w:t>.须按规范及图纸要求完成本项目所有沉降观测，沉降观测频率及点数须符合图纸及规范要求，检测及监测质量符合国家现行规定标准。</w:t>
      </w:r>
    </w:p>
    <w:p w14:paraId="075C0451">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rPr>
      </w:pPr>
      <w:r>
        <w:rPr>
          <w:rFonts w:hint="eastAsia" w:ascii="宋体" w:hAnsi="宋体" w:eastAsia="宋体" w:cs="Times New Roman"/>
          <w:color w:val="auto"/>
          <w:szCs w:val="21"/>
          <w:highlight w:val="none"/>
          <w:u w:color="000000"/>
          <w:lang w:val="en-US" w:eastAsia="zh-CN"/>
        </w:rPr>
        <w:t>3.</w:t>
      </w:r>
      <w:r>
        <w:rPr>
          <w:rFonts w:hint="eastAsia" w:ascii="宋体" w:hAnsi="宋体" w:eastAsia="宋体" w:cs="Times New Roman"/>
          <w:color w:val="auto"/>
          <w:szCs w:val="21"/>
          <w:highlight w:val="none"/>
          <w:u w:color="000000"/>
        </w:rPr>
        <w:t>必须严格按照国家及地方有关部门最新颁布的相关标准及规范、规定、法律条文等要求执行。</w:t>
      </w:r>
    </w:p>
    <w:p w14:paraId="0A00CF89">
      <w:pPr>
        <w:rPr>
          <w:rFonts w:hint="eastAsia" w:ascii="宋体" w:hAnsi="宋体" w:eastAsia="宋体" w:cs="宋体"/>
          <w:b/>
          <w:bCs/>
          <w:color w:val="auto"/>
          <w:kern w:val="2"/>
          <w:sz w:val="32"/>
          <w:szCs w:val="32"/>
          <w:highlight w:val="none"/>
          <w:lang w:val="en-US" w:eastAsia="zh-CN" w:bidi="ar-SA"/>
        </w:rPr>
      </w:pPr>
      <w:bookmarkStart w:id="48" w:name="_Toc256145682"/>
      <w:bookmarkStart w:id="49" w:name="_Toc260213912"/>
      <w:bookmarkStart w:id="50" w:name="_Toc467697581"/>
      <w:bookmarkStart w:id="51" w:name="_Toc484173786"/>
      <w:bookmarkStart w:id="52" w:name="_Toc175977239"/>
      <w:bookmarkStart w:id="53" w:name="_Toc408300962"/>
      <w:bookmarkStart w:id="54" w:name="_Toc254678742"/>
      <w:r>
        <w:rPr>
          <w:rFonts w:hint="eastAsia" w:ascii="宋体" w:hAnsi="宋体" w:eastAsia="宋体" w:cs="宋体"/>
          <w:b/>
          <w:bCs/>
          <w:color w:val="auto"/>
          <w:kern w:val="2"/>
          <w:sz w:val="32"/>
          <w:szCs w:val="32"/>
          <w:highlight w:val="none"/>
          <w:lang w:val="en-US" w:eastAsia="zh-CN" w:bidi="ar-SA"/>
        </w:rPr>
        <w:br w:type="page"/>
      </w:r>
    </w:p>
    <w:p w14:paraId="7E4A47B2">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default"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第五章  合同条款（参考）</w:t>
      </w:r>
    </w:p>
    <w:bookmarkEnd w:id="48"/>
    <w:bookmarkEnd w:id="49"/>
    <w:bookmarkEnd w:id="50"/>
    <w:bookmarkEnd w:id="51"/>
    <w:bookmarkEnd w:id="52"/>
    <w:bookmarkEnd w:id="53"/>
    <w:bookmarkEnd w:id="54"/>
    <w:p w14:paraId="16020526">
      <w:pPr>
        <w:spacing w:after="240"/>
        <w:jc w:val="both"/>
        <w:rPr>
          <w:rFonts w:hint="eastAsia" w:ascii="宋体" w:hAnsi="宋体" w:cs="宋体"/>
          <w:b/>
          <w:bCs/>
          <w:color w:val="auto"/>
          <w:sz w:val="48"/>
          <w:szCs w:val="48"/>
          <w:highlight w:val="none"/>
          <w:u w:val="single" w:color="000000"/>
        </w:rPr>
      </w:pPr>
      <w:bookmarkStart w:id="55" w:name="_Toc484173788"/>
    </w:p>
    <w:p w14:paraId="1287E50C">
      <w:pPr>
        <w:spacing w:after="240"/>
        <w:jc w:val="center"/>
        <w:rPr>
          <w:rFonts w:hint="eastAsia" w:ascii="宋体" w:hAnsi="宋体" w:cs="宋体"/>
          <w:b/>
          <w:bCs/>
          <w:color w:val="auto"/>
          <w:sz w:val="48"/>
          <w:szCs w:val="48"/>
          <w:highlight w:val="none"/>
          <w:u w:val="single" w:color="000000"/>
        </w:rPr>
      </w:pPr>
    </w:p>
    <w:p w14:paraId="661A3AEE">
      <w:pPr>
        <w:spacing w:after="240"/>
        <w:jc w:val="center"/>
        <w:rPr>
          <w:rFonts w:ascii="宋体" w:hAnsi="宋体" w:cs="宋体"/>
          <w:b/>
          <w:bCs/>
          <w:color w:val="auto"/>
          <w:sz w:val="48"/>
          <w:szCs w:val="48"/>
          <w:highlight w:val="none"/>
          <w:u w:color="000000"/>
        </w:rPr>
      </w:pPr>
      <w:r>
        <w:rPr>
          <w:rFonts w:hint="eastAsia" w:ascii="宋体" w:hAnsi="宋体" w:cs="宋体"/>
          <w:b/>
          <w:bCs/>
          <w:color w:val="auto"/>
          <w:sz w:val="48"/>
          <w:szCs w:val="48"/>
          <w:highlight w:val="none"/>
          <w:u w:val="single" w:color="000000"/>
        </w:rPr>
        <w:t xml:space="preserve">        </w:t>
      </w:r>
      <w:r>
        <w:rPr>
          <w:rFonts w:hint="eastAsia" w:ascii="宋体" w:hAnsi="宋体" w:cs="宋体"/>
          <w:b/>
          <w:bCs/>
          <w:color w:val="auto"/>
          <w:sz w:val="48"/>
          <w:szCs w:val="48"/>
          <w:highlight w:val="none"/>
          <w:u w:color="000000"/>
        </w:rPr>
        <w:t>服务合同</w:t>
      </w:r>
    </w:p>
    <w:p w14:paraId="7A5E0853">
      <w:pPr>
        <w:spacing w:before="624" w:beforeLines="200" w:after="240" w:line="480" w:lineRule="auto"/>
        <w:jc w:val="center"/>
        <w:rPr>
          <w:rFonts w:ascii="宋体" w:hAnsi="宋体" w:cs="宋体"/>
          <w:b/>
          <w:bCs/>
          <w:color w:val="auto"/>
          <w:sz w:val="32"/>
          <w:szCs w:val="32"/>
          <w:highlight w:val="none"/>
          <w:u w:color="000000"/>
        </w:rPr>
      </w:pPr>
      <w:r>
        <w:rPr>
          <w:rFonts w:hint="eastAsia" w:ascii="宋体" w:hAnsi="宋体" w:cs="宋体"/>
          <w:b/>
          <w:bCs/>
          <w:color w:val="auto"/>
          <w:sz w:val="32"/>
          <w:szCs w:val="32"/>
          <w:highlight w:val="none"/>
          <w:u w:color="000000"/>
        </w:rPr>
        <w:t>合同编号：</w:t>
      </w:r>
    </w:p>
    <w:p w14:paraId="565477E2">
      <w:pPr>
        <w:tabs>
          <w:tab w:val="left" w:pos="6720"/>
        </w:tabs>
        <w:rPr>
          <w:rFonts w:ascii="宋体" w:hAnsi="宋体" w:cs="宋体"/>
          <w:color w:val="auto"/>
          <w:sz w:val="30"/>
          <w:highlight w:val="none"/>
          <w:u w:color="000000"/>
        </w:rPr>
      </w:pPr>
    </w:p>
    <w:p w14:paraId="6FD820ED">
      <w:pPr>
        <w:rPr>
          <w:rFonts w:ascii="宋体" w:hAnsi="宋体" w:cs="宋体"/>
          <w:color w:val="auto"/>
          <w:sz w:val="30"/>
          <w:highlight w:val="none"/>
          <w:u w:color="000000"/>
        </w:rPr>
      </w:pPr>
    </w:p>
    <w:p w14:paraId="55373708">
      <w:pPr>
        <w:rPr>
          <w:rFonts w:ascii="宋体" w:hAnsi="宋体" w:cs="宋体"/>
          <w:color w:val="auto"/>
          <w:sz w:val="30"/>
          <w:highlight w:val="none"/>
          <w:u w:color="000000"/>
        </w:rPr>
      </w:pPr>
    </w:p>
    <w:p w14:paraId="5BC725FC">
      <w:pPr>
        <w:rPr>
          <w:rFonts w:ascii="宋体" w:hAnsi="宋体" w:cs="宋体"/>
          <w:color w:val="auto"/>
          <w:sz w:val="30"/>
          <w:highlight w:val="none"/>
          <w:u w:color="000000"/>
        </w:rPr>
      </w:pPr>
    </w:p>
    <w:p w14:paraId="08DE35A7">
      <w:pPr>
        <w:pStyle w:val="2"/>
        <w:rPr>
          <w:rFonts w:ascii="宋体" w:hAnsi="宋体" w:cs="宋体"/>
          <w:color w:val="auto"/>
          <w:sz w:val="30"/>
          <w:highlight w:val="none"/>
          <w:u w:color="000000"/>
        </w:rPr>
      </w:pPr>
    </w:p>
    <w:p w14:paraId="3C96290C">
      <w:pPr>
        <w:rPr>
          <w:rFonts w:ascii="宋体" w:hAnsi="宋体" w:cs="宋体"/>
          <w:color w:val="auto"/>
          <w:sz w:val="30"/>
          <w:highlight w:val="none"/>
          <w:u w:color="000000"/>
        </w:rPr>
      </w:pPr>
    </w:p>
    <w:p w14:paraId="7E422E87">
      <w:pPr>
        <w:pStyle w:val="2"/>
        <w:rPr>
          <w:color w:val="auto"/>
          <w:highlight w:val="none"/>
        </w:rPr>
      </w:pPr>
    </w:p>
    <w:p w14:paraId="04E915E6">
      <w:pPr>
        <w:rPr>
          <w:rFonts w:ascii="宋体" w:hAnsi="宋体" w:cs="宋体"/>
          <w:color w:val="auto"/>
          <w:sz w:val="30"/>
          <w:highlight w:val="none"/>
          <w:u w:color="000000"/>
        </w:rPr>
      </w:pPr>
    </w:p>
    <w:p w14:paraId="7CA8B5FF">
      <w:pPr>
        <w:spacing w:line="360" w:lineRule="auto"/>
        <w:rPr>
          <w:rFonts w:ascii="宋体" w:hAnsi="宋体" w:cs="宋体"/>
          <w:b/>
          <w:color w:val="auto"/>
          <w:sz w:val="32"/>
          <w:highlight w:val="none"/>
          <w:u w:color="000000"/>
        </w:rPr>
      </w:pPr>
    </w:p>
    <w:p w14:paraId="3D050A82">
      <w:pPr>
        <w:spacing w:line="360" w:lineRule="auto"/>
        <w:ind w:firstLine="1600" w:firstLineChars="498"/>
        <w:rPr>
          <w:rFonts w:ascii="宋体" w:hAnsi="宋体" w:cs="宋体"/>
          <w:b/>
          <w:color w:val="auto"/>
          <w:sz w:val="32"/>
          <w:highlight w:val="none"/>
          <w:u w:val="single" w:color="000000"/>
        </w:rPr>
      </w:pPr>
      <w:r>
        <w:rPr>
          <w:rFonts w:hint="eastAsia" w:ascii="宋体" w:hAnsi="宋体" w:cs="宋体"/>
          <w:b/>
          <w:color w:val="auto"/>
          <w:sz w:val="32"/>
          <w:highlight w:val="none"/>
          <w:u w:color="000000"/>
        </w:rPr>
        <w:t>委 托 人：</w:t>
      </w:r>
      <w:r>
        <w:rPr>
          <w:rFonts w:hint="eastAsia" w:ascii="宋体" w:hAnsi="宋体" w:cs="宋体"/>
          <w:b/>
          <w:color w:val="auto"/>
          <w:sz w:val="32"/>
          <w:highlight w:val="none"/>
          <w:u w:val="single" w:color="000000"/>
        </w:rPr>
        <w:t xml:space="preserve">                         </w:t>
      </w:r>
      <w:r>
        <w:rPr>
          <w:rFonts w:hint="eastAsia" w:ascii="宋体" w:hAnsi="宋体" w:cs="宋体"/>
          <w:b/>
          <w:color w:val="auto"/>
          <w:sz w:val="32"/>
          <w:highlight w:val="none"/>
          <w:u w:color="000000"/>
        </w:rPr>
        <w:t xml:space="preserve"> </w:t>
      </w:r>
    </w:p>
    <w:p w14:paraId="6BE31042">
      <w:pPr>
        <w:spacing w:line="360" w:lineRule="auto"/>
        <w:ind w:firstLine="1600" w:firstLineChars="498"/>
        <w:rPr>
          <w:rFonts w:ascii="宋体" w:hAnsi="宋体" w:cs="宋体"/>
          <w:b/>
          <w:color w:val="auto"/>
          <w:sz w:val="32"/>
          <w:highlight w:val="none"/>
          <w:u w:val="single" w:color="000000"/>
        </w:rPr>
      </w:pPr>
      <w:r>
        <w:rPr>
          <w:rFonts w:hint="eastAsia" w:ascii="宋体" w:hAnsi="宋体" w:cs="宋体"/>
          <w:b/>
          <w:color w:val="auto"/>
          <w:sz w:val="32"/>
          <w:highlight w:val="none"/>
          <w:u w:color="000000"/>
        </w:rPr>
        <w:t>受 托 人：</w:t>
      </w:r>
      <w:r>
        <w:rPr>
          <w:rFonts w:hint="eastAsia" w:ascii="宋体" w:hAnsi="宋体" w:cs="宋体"/>
          <w:b/>
          <w:color w:val="auto"/>
          <w:sz w:val="32"/>
          <w:highlight w:val="none"/>
          <w:u w:val="single" w:color="000000"/>
        </w:rPr>
        <w:t xml:space="preserve">                         </w:t>
      </w:r>
      <w:r>
        <w:rPr>
          <w:rFonts w:hint="eastAsia" w:ascii="宋体" w:hAnsi="宋体" w:cs="宋体"/>
          <w:b/>
          <w:color w:val="auto"/>
          <w:sz w:val="32"/>
          <w:highlight w:val="none"/>
          <w:u w:color="000000"/>
        </w:rPr>
        <w:t xml:space="preserve"> </w:t>
      </w:r>
    </w:p>
    <w:p w14:paraId="2B600DFC">
      <w:pPr>
        <w:spacing w:line="360" w:lineRule="auto"/>
        <w:ind w:firstLine="315" w:firstLineChars="98"/>
        <w:rPr>
          <w:rFonts w:ascii="宋体" w:hAnsi="宋体" w:cs="宋体"/>
          <w:b/>
          <w:color w:val="auto"/>
          <w:sz w:val="32"/>
          <w:highlight w:val="none"/>
          <w:u w:color="000000"/>
        </w:rPr>
      </w:pPr>
    </w:p>
    <w:p w14:paraId="277B8CF0">
      <w:pPr>
        <w:rPr>
          <w:rFonts w:ascii="宋体" w:hAnsi="宋体" w:cs="宋体"/>
          <w:b/>
          <w:color w:val="auto"/>
          <w:sz w:val="24"/>
          <w:highlight w:val="none"/>
          <w:u w:color="000000"/>
        </w:rPr>
      </w:pPr>
    </w:p>
    <w:p w14:paraId="3925F785">
      <w:pPr>
        <w:spacing w:line="360" w:lineRule="auto"/>
        <w:ind w:left="-105" w:leftChars="-50" w:firstLine="3162" w:firstLineChars="1125"/>
        <w:rPr>
          <w:rFonts w:ascii="宋体" w:hAnsi="宋体" w:cs="宋体"/>
          <w:b/>
          <w:color w:val="auto"/>
          <w:sz w:val="28"/>
          <w:szCs w:val="28"/>
          <w:highlight w:val="none"/>
          <w:u w:color="000000"/>
        </w:rPr>
      </w:pPr>
      <w:r>
        <w:rPr>
          <w:rFonts w:hint="eastAsia" w:ascii="宋体" w:hAnsi="宋体" w:cs="宋体"/>
          <w:b/>
          <w:color w:val="auto"/>
          <w:sz w:val="28"/>
          <w:szCs w:val="28"/>
          <w:highlight w:val="none"/>
          <w:u w:color="000000"/>
        </w:rPr>
        <w:t xml:space="preserve">签订日期：   年   月 </w:t>
      </w:r>
    </w:p>
    <w:p w14:paraId="0F0FECE5">
      <w:pPr>
        <w:autoSpaceDE w:val="0"/>
        <w:autoSpaceDN w:val="0"/>
        <w:adjustRightInd w:val="0"/>
        <w:spacing w:line="360" w:lineRule="auto"/>
        <w:jc w:val="both"/>
        <w:outlineLvl w:val="1"/>
        <w:rPr>
          <w:rFonts w:ascii="宋体" w:hAnsi="宋体" w:eastAsia="宋体" w:cs="XBSJ-PK7482000003a-Identity-H"/>
          <w:b/>
          <w:color w:val="auto"/>
          <w:kern w:val="0"/>
          <w:szCs w:val="21"/>
          <w:highlight w:val="none"/>
          <w:u w:color="000000"/>
        </w:rPr>
      </w:pPr>
      <w:r>
        <w:rPr>
          <w:rFonts w:hint="eastAsia" w:ascii="宋体" w:hAnsi="宋体" w:cs="宋体"/>
          <w:b/>
          <w:bCs/>
          <w:color w:val="auto"/>
          <w:sz w:val="28"/>
          <w:highlight w:val="none"/>
          <w:u w:color="000000"/>
        </w:rPr>
        <w:br w:type="page"/>
      </w:r>
    </w:p>
    <w:p w14:paraId="7F247649">
      <w:pPr>
        <w:keepNext w:val="0"/>
        <w:keepLines w:val="0"/>
        <w:pageBreakBefore w:val="0"/>
        <w:widowControl w:val="0"/>
        <w:kinsoku/>
        <w:wordWrap/>
        <w:overflowPunct/>
        <w:topLinePunct w:val="0"/>
        <w:autoSpaceDE w:val="0"/>
        <w:autoSpaceDN w:val="0"/>
        <w:bidi w:val="0"/>
        <w:adjustRightInd w:val="0"/>
        <w:snapToGrid/>
        <w:spacing w:before="181" w:beforeLines="50" w:after="181" w:afterLines="50" w:line="520" w:lineRule="exact"/>
        <w:jc w:val="center"/>
        <w:textAlignment w:val="auto"/>
        <w:outlineLvl w:val="1"/>
        <w:rPr>
          <w:rFonts w:ascii="宋体" w:hAnsi="宋体" w:eastAsia="宋体" w:cs="XBSJ-PK7482000003a-Identity-H"/>
          <w:b/>
          <w:color w:val="auto"/>
          <w:kern w:val="0"/>
          <w:sz w:val="28"/>
          <w:szCs w:val="28"/>
          <w:highlight w:val="none"/>
          <w:u w:color="000000"/>
        </w:rPr>
      </w:pPr>
      <w:r>
        <w:rPr>
          <w:rFonts w:hint="eastAsia" w:ascii="宋体" w:hAnsi="宋体" w:eastAsia="宋体" w:cs="XBSJ-PK7482000003a-Identity-H"/>
          <w:b/>
          <w:color w:val="auto"/>
          <w:kern w:val="0"/>
          <w:sz w:val="28"/>
          <w:szCs w:val="28"/>
          <w:highlight w:val="none"/>
          <w:u w:color="000000"/>
        </w:rPr>
        <w:t>合同协议书</w:t>
      </w:r>
    </w:p>
    <w:p w14:paraId="7F3FD544">
      <w:pPr>
        <w:spacing w:line="360" w:lineRule="auto"/>
        <w:ind w:firstLine="422" w:firstLineChars="200"/>
        <w:rPr>
          <w:rFonts w:ascii="宋体" w:hAnsi="宋体" w:eastAsia="宋体" w:cs="Times New Roman"/>
          <w:b/>
          <w:bCs/>
          <w:color w:val="auto"/>
          <w:szCs w:val="21"/>
          <w:highlight w:val="none"/>
          <w:u w:color="000000"/>
        </w:rPr>
      </w:pPr>
      <w:r>
        <w:rPr>
          <w:rFonts w:hint="eastAsia" w:ascii="宋体" w:hAnsi="宋体" w:eastAsia="宋体" w:cs="Times New Roman"/>
          <w:b/>
          <w:bCs/>
          <w:color w:val="auto"/>
          <w:szCs w:val="21"/>
          <w:highlight w:val="none"/>
          <w:u w:color="000000"/>
        </w:rPr>
        <w:t>委托人（甲方）：</w:t>
      </w:r>
      <w:r>
        <w:rPr>
          <w:rFonts w:hint="eastAsia" w:ascii="宋体" w:hAnsi="宋体" w:eastAsia="宋体" w:cs="Times New Roman"/>
          <w:color w:val="auto"/>
          <w:szCs w:val="21"/>
          <w:highlight w:val="none"/>
          <w:u w:val="single" w:color="000000"/>
        </w:rPr>
        <w:t xml:space="preserve">             </w:t>
      </w:r>
      <w:r>
        <w:rPr>
          <w:rFonts w:ascii="宋体" w:hAnsi="宋体" w:eastAsia="宋体" w:cs="Times New Roman"/>
          <w:color w:val="auto"/>
          <w:szCs w:val="21"/>
          <w:highlight w:val="none"/>
          <w:u w:val="single" w:color="000000"/>
        </w:rPr>
        <w:t xml:space="preserve">        </w:t>
      </w:r>
      <w:r>
        <w:rPr>
          <w:rFonts w:hint="eastAsia" w:ascii="宋体" w:hAnsi="宋体" w:eastAsia="宋体" w:cs="Times New Roman"/>
          <w:color w:val="auto"/>
          <w:szCs w:val="21"/>
          <w:highlight w:val="none"/>
          <w:u w:val="single" w:color="000000"/>
        </w:rPr>
        <w:t xml:space="preserve">  </w:t>
      </w:r>
    </w:p>
    <w:p w14:paraId="03F718D1">
      <w:pPr>
        <w:spacing w:line="360" w:lineRule="auto"/>
        <w:ind w:firstLine="422" w:firstLineChars="200"/>
        <w:rPr>
          <w:rFonts w:ascii="宋体" w:hAnsi="宋体" w:eastAsia="宋体" w:cs="Times New Roman"/>
          <w:color w:val="auto"/>
          <w:szCs w:val="21"/>
          <w:highlight w:val="none"/>
          <w:u w:val="single" w:color="000000"/>
        </w:rPr>
      </w:pPr>
      <w:r>
        <w:rPr>
          <w:rFonts w:hint="eastAsia" w:ascii="宋体" w:hAnsi="宋体" w:eastAsia="宋体" w:cs="Times New Roman"/>
          <w:b/>
          <w:bCs/>
          <w:color w:val="auto"/>
          <w:szCs w:val="21"/>
          <w:highlight w:val="none"/>
          <w:u w:color="000000"/>
        </w:rPr>
        <w:t>受托人（乙方）：</w:t>
      </w:r>
      <w:r>
        <w:rPr>
          <w:rFonts w:hint="eastAsia" w:ascii="宋体" w:hAnsi="宋体" w:eastAsia="宋体" w:cs="Times New Roman"/>
          <w:color w:val="auto"/>
          <w:szCs w:val="21"/>
          <w:highlight w:val="none"/>
          <w:u w:val="single" w:color="000000"/>
        </w:rPr>
        <w:t xml:space="preserve">          </w:t>
      </w:r>
      <w:r>
        <w:rPr>
          <w:rFonts w:ascii="宋体" w:hAnsi="宋体" w:eastAsia="宋体" w:cs="Times New Roman"/>
          <w:color w:val="auto"/>
          <w:szCs w:val="21"/>
          <w:highlight w:val="none"/>
          <w:u w:val="single" w:color="000000"/>
        </w:rPr>
        <w:t xml:space="preserve">             </w:t>
      </w:r>
    </w:p>
    <w:p w14:paraId="7D746663">
      <w:pPr>
        <w:spacing w:line="360" w:lineRule="auto"/>
        <w:ind w:firstLine="422" w:firstLineChars="200"/>
        <w:rPr>
          <w:rFonts w:ascii="宋体" w:hAnsi="宋体" w:eastAsia="宋体" w:cs="Times New Roman"/>
          <w:color w:val="auto"/>
          <w:szCs w:val="21"/>
          <w:highlight w:val="none"/>
          <w:u w:val="single" w:color="000000"/>
        </w:rPr>
      </w:pPr>
      <w:r>
        <w:rPr>
          <w:rFonts w:hint="eastAsia" w:ascii="宋体" w:hAnsi="宋体" w:eastAsia="宋体" w:cs="Times New Roman"/>
          <w:b/>
          <w:bCs/>
          <w:color w:val="auto"/>
          <w:szCs w:val="21"/>
          <w:highlight w:val="none"/>
          <w:u w:color="000000"/>
        </w:rPr>
        <w:t>合同编号：</w:t>
      </w:r>
      <w:r>
        <w:rPr>
          <w:rFonts w:hint="eastAsia" w:ascii="宋体" w:hAnsi="宋体" w:eastAsia="宋体" w:cs="Times New Roman"/>
          <w:color w:val="auto"/>
          <w:szCs w:val="21"/>
          <w:highlight w:val="none"/>
          <w:u w:val="single" w:color="000000"/>
        </w:rPr>
        <w:t xml:space="preserve">                       </w:t>
      </w:r>
    </w:p>
    <w:p w14:paraId="1B71673F">
      <w:pPr>
        <w:spacing w:line="360" w:lineRule="auto"/>
        <w:ind w:firstLine="422" w:firstLineChars="200"/>
        <w:rPr>
          <w:rFonts w:ascii="宋体" w:hAnsi="宋体" w:eastAsia="宋体" w:cs="Times New Roman"/>
          <w:color w:val="auto"/>
          <w:szCs w:val="21"/>
          <w:highlight w:val="none"/>
          <w:u w:val="single" w:color="000000"/>
        </w:rPr>
      </w:pPr>
      <w:r>
        <w:rPr>
          <w:rFonts w:hint="eastAsia" w:ascii="宋体" w:hAnsi="宋体" w:eastAsia="宋体" w:cs="Times New Roman"/>
          <w:b/>
          <w:bCs/>
          <w:color w:val="auto"/>
          <w:szCs w:val="21"/>
          <w:highlight w:val="none"/>
          <w:u w:color="000000"/>
        </w:rPr>
        <w:t>合同名称：</w:t>
      </w:r>
      <w:r>
        <w:rPr>
          <w:rFonts w:hint="eastAsia" w:ascii="宋体" w:hAnsi="宋体" w:eastAsia="宋体" w:cs="Times New Roman"/>
          <w:color w:val="auto"/>
          <w:szCs w:val="21"/>
          <w:highlight w:val="none"/>
          <w:u w:color="000000"/>
        </w:rPr>
        <w:t xml:space="preserve"> </w:t>
      </w:r>
      <w:r>
        <w:rPr>
          <w:rFonts w:hint="eastAsia" w:ascii="宋体" w:hAnsi="宋体" w:eastAsia="宋体" w:cs="Times New Roman"/>
          <w:color w:val="auto"/>
          <w:szCs w:val="21"/>
          <w:highlight w:val="none"/>
          <w:u w:val="single" w:color="000000"/>
        </w:rPr>
        <w:t xml:space="preserve">                      </w:t>
      </w:r>
    </w:p>
    <w:p w14:paraId="0EEB3402">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为加强建设工程质量控制，依据《中华人民共和国民法典》和有关规定，</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（以下称甲方） 委托</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（以下称乙方） 承担</w:t>
      </w:r>
      <w:r>
        <w:rPr>
          <w:rFonts w:hint="eastAsia" w:ascii="Calibri" w:hAnsi="Calibri" w:eastAsia="宋体" w:cs="Times New Roman"/>
          <w:color w:val="auto"/>
          <w:szCs w:val="21"/>
          <w:highlight w:val="none"/>
          <w:u w:val="single"/>
        </w:rPr>
        <w:t xml:space="preserve">               </w:t>
      </w:r>
      <w:r>
        <w:rPr>
          <w:rFonts w:hint="eastAsia" w:ascii="Calibri" w:hAnsi="Calibri" w:eastAsia="宋体" w:cs="Times New Roman"/>
          <w:color w:val="auto"/>
          <w:szCs w:val="21"/>
          <w:highlight w:val="none"/>
        </w:rPr>
        <w:t>项目服务工作，经双方协商一致，签订本合同。</w:t>
      </w:r>
    </w:p>
    <w:p w14:paraId="6FB7B4BE">
      <w:pPr>
        <w:wordWrap w:val="0"/>
        <w:spacing w:line="460" w:lineRule="exact"/>
        <w:ind w:firstLine="420" w:firstLineChars="200"/>
        <w:rPr>
          <w:rFonts w:hint="eastAsia" w:ascii="Calibri" w:hAnsi="Calibri" w:eastAsia="宋体" w:cs="Times New Roman"/>
          <w:color w:val="auto"/>
          <w:szCs w:val="21"/>
          <w:highlight w:val="none"/>
          <w:u w:val="single"/>
          <w:lang w:eastAsia="zh-CN"/>
        </w:rPr>
      </w:pPr>
      <w:r>
        <w:rPr>
          <w:rFonts w:hint="eastAsia" w:ascii="Calibri" w:hAnsi="Calibri" w:eastAsia="宋体" w:cs="Times New Roman"/>
          <w:color w:val="auto"/>
          <w:szCs w:val="21"/>
          <w:highlight w:val="none"/>
        </w:rPr>
        <w:t>一、项目名称：</w:t>
      </w:r>
      <w:r>
        <w:rPr>
          <w:rFonts w:hint="eastAsia" w:ascii="Calibri" w:hAnsi="Calibri" w:eastAsia="宋体" w:cs="Times New Roman"/>
          <w:color w:val="auto"/>
          <w:szCs w:val="21"/>
          <w:highlight w:val="none"/>
          <w:lang w:eastAsia="zh-CN"/>
        </w:rPr>
        <w:t>中新苏滁高新区（未来产业园）智能制造工业坊及中新苏滁高新区超级电容智能制造基地二期沉降观测服务项目</w:t>
      </w:r>
    </w:p>
    <w:p w14:paraId="79DE727B">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rPr>
        <w:t>二、任务内容：</w:t>
      </w:r>
    </w:p>
    <w:p w14:paraId="61ADEFB4">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default" w:ascii="宋体" w:hAnsi="宋体" w:eastAsia="宋体" w:cs="宋体"/>
          <w:bCs/>
          <w:color w:val="auto"/>
          <w:kern w:val="1"/>
          <w:sz w:val="21"/>
          <w:szCs w:val="21"/>
          <w:highlight w:val="none"/>
          <w:lang w:val="en-US" w:eastAsia="zh-CN"/>
        </w:rPr>
      </w:pPr>
      <w:r>
        <w:rPr>
          <w:rFonts w:hint="eastAsia" w:ascii="宋体" w:hAnsi="宋体" w:eastAsia="宋体" w:cs="宋体"/>
          <w:bCs/>
          <w:color w:val="auto"/>
          <w:kern w:val="1"/>
          <w:sz w:val="21"/>
          <w:szCs w:val="21"/>
          <w:highlight w:val="none"/>
          <w:lang w:val="en-US" w:eastAsia="zh-CN"/>
        </w:rPr>
        <w:t>1.项目概况：</w:t>
      </w:r>
    </w:p>
    <w:p w14:paraId="0BBE2BD1">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宋体"/>
          <w:bCs/>
          <w:color w:val="auto"/>
          <w:kern w:val="1"/>
          <w:sz w:val="21"/>
          <w:szCs w:val="21"/>
          <w:highlight w:val="none"/>
          <w:lang w:val="en-US" w:eastAsia="zh-CN"/>
        </w:rPr>
      </w:pPr>
      <w:r>
        <w:rPr>
          <w:rFonts w:hint="eastAsia" w:ascii="宋体" w:hAnsi="宋体" w:eastAsia="宋体" w:cs="宋体"/>
          <w:bCs/>
          <w:color w:val="auto"/>
          <w:kern w:val="1"/>
          <w:sz w:val="21"/>
          <w:szCs w:val="21"/>
          <w:highlight w:val="none"/>
          <w:lang w:val="en-US" w:eastAsia="zh-CN"/>
        </w:rPr>
        <w:t>1.1中新苏滁高新区（未来产业园）智能制造工业坊项目位于</w:t>
      </w:r>
      <w:r>
        <w:rPr>
          <w:rFonts w:hint="eastAsia" w:ascii="宋体" w:hAnsi="宋体" w:eastAsia="宋体" w:cs="宋体"/>
          <w:color w:val="auto"/>
          <w:sz w:val="21"/>
          <w:szCs w:val="21"/>
          <w:highlight w:val="none"/>
        </w:rPr>
        <w:t>安徽省滁州市东至白塔街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南至滁中路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西至滁州大道</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北至滨河南路</w:t>
      </w:r>
      <w:r>
        <w:rPr>
          <w:rFonts w:hint="eastAsia" w:ascii="宋体" w:hAnsi="宋体" w:eastAsia="宋体" w:cs="宋体"/>
          <w:color w:val="auto"/>
          <w:sz w:val="21"/>
          <w:szCs w:val="21"/>
          <w:highlight w:val="none"/>
          <w:lang w:eastAsia="zh-CN"/>
        </w:rPr>
        <w:t>，28#综合楼，地下一层，地上八层，钢筋混凝土框架结构，建筑面积为</w:t>
      </w:r>
      <w:r>
        <w:rPr>
          <w:rFonts w:hint="eastAsia" w:ascii="宋体" w:hAnsi="宋体" w:eastAsia="宋体" w:cs="宋体"/>
          <w:bCs/>
          <w:color w:val="auto"/>
          <w:kern w:val="1"/>
          <w:sz w:val="21"/>
          <w:szCs w:val="21"/>
          <w:highlight w:val="none"/>
          <w:lang w:val="en-US" w:eastAsia="zh-CN"/>
        </w:rPr>
        <w:t>34011.39m2。</w:t>
      </w:r>
    </w:p>
    <w:p w14:paraId="49558FA1">
      <w:pPr>
        <w:wordWrap w:val="0"/>
        <w:spacing w:line="460" w:lineRule="exact"/>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bCs/>
          <w:color w:val="auto"/>
          <w:kern w:val="1"/>
          <w:sz w:val="21"/>
          <w:szCs w:val="21"/>
          <w:highlight w:val="none"/>
          <w:lang w:val="en-US" w:eastAsia="zh-CN"/>
        </w:rPr>
        <w:t>1.2中新苏滁高新区超级电容智能制造基地二期项目位于滁州市滨河北路与滁州大道交叉口东北侧，主要内容包括：厂房3、电芯库、厂区道路等主体，项目总建筑面积约3.23万㎡。</w:t>
      </w:r>
    </w:p>
    <w:p w14:paraId="0DA723A4">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2.主要内容：</w:t>
      </w:r>
      <w:r>
        <w:rPr>
          <w:rFonts w:hint="eastAsia" w:ascii="Calibri" w:hAnsi="Calibri" w:eastAsia="宋体" w:cs="Times New Roman"/>
          <w:color w:val="auto"/>
          <w:szCs w:val="21"/>
          <w:highlight w:val="none"/>
        </w:rPr>
        <w:t>主要内容包括（但不限于）建筑物沉降观测及招标人根据实际需求增加的内容，以及其他设计、行业及国家有关现行技术规范、规程、标准规定的监测项目和甲方安排的为保障项目的质量、安全和使用的其他监测内容。招标人提供的全套施工图纸及工程量清单中的全部内容。</w:t>
      </w:r>
    </w:p>
    <w:p w14:paraId="40B7586A">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3.</w:t>
      </w:r>
      <w:r>
        <w:rPr>
          <w:rFonts w:hint="eastAsia" w:ascii="Calibri" w:hAnsi="Calibri" w:eastAsia="宋体" w:cs="Times New Roman"/>
          <w:color w:val="auto"/>
          <w:szCs w:val="21"/>
          <w:highlight w:val="none"/>
        </w:rPr>
        <w:t>监测规范：</w:t>
      </w:r>
    </w:p>
    <w:p w14:paraId="2B8268A9">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①必须严格按照国家及地方有关部门最新颁布的相关标准及规范、规定、法律条文等要求执行。按照相关施工图纸，其方案须满足设计要求、国家现行规范的规定，还需满足质检部门要求。</w:t>
      </w:r>
    </w:p>
    <w:p w14:paraId="1293CE95">
      <w:pPr>
        <w:wordWrap w:val="0"/>
        <w:spacing w:line="460" w:lineRule="exact"/>
        <w:ind w:firstLine="420" w:firstLineChars="200"/>
        <w:rPr>
          <w:rFonts w:hint="default" w:ascii="Calibri" w:hAnsi="Calibri" w:eastAsia="宋体" w:cs="Times New Roman"/>
          <w:color w:val="auto"/>
          <w:szCs w:val="21"/>
          <w:highlight w:val="none"/>
          <w:lang w:val="en-US" w:eastAsia="zh-CN"/>
        </w:rPr>
      </w:pPr>
      <w:r>
        <w:rPr>
          <w:rFonts w:hint="eastAsia" w:ascii="Calibri" w:hAnsi="Calibri" w:eastAsia="宋体" w:cs="Times New Roman"/>
          <w:color w:val="auto"/>
          <w:szCs w:val="21"/>
          <w:highlight w:val="none"/>
        </w:rPr>
        <w:fldChar w:fldCharType="begin"/>
      </w:r>
      <w:r>
        <w:rPr>
          <w:rFonts w:hint="eastAsia" w:ascii="Calibri" w:hAnsi="Calibri" w:eastAsia="宋体" w:cs="Times New Roman"/>
          <w:color w:val="auto"/>
          <w:szCs w:val="21"/>
          <w:highlight w:val="none"/>
        </w:rPr>
        <w:instrText xml:space="preserve"> = 2 \* GB3 \* MERGEFORMAT </w:instrText>
      </w:r>
      <w:r>
        <w:rPr>
          <w:rFonts w:hint="eastAsia" w:ascii="Calibri" w:hAnsi="Calibri" w:eastAsia="宋体" w:cs="Times New Roman"/>
          <w:color w:val="auto"/>
          <w:szCs w:val="21"/>
          <w:highlight w:val="none"/>
        </w:rPr>
        <w:fldChar w:fldCharType="separate"/>
      </w:r>
      <w:r>
        <w:rPr>
          <w:rFonts w:ascii="Times New Roman" w:hAnsi="Times New Roman" w:eastAsia="宋体" w:cs="Times New Roman"/>
          <w:color w:val="auto"/>
          <w:highlight w:val="none"/>
        </w:rPr>
        <w:t>②</w:t>
      </w:r>
      <w:r>
        <w:rPr>
          <w:rFonts w:hint="eastAsia" w:ascii="Calibri" w:hAnsi="Calibri" w:eastAsia="宋体" w:cs="Times New Roman"/>
          <w:color w:val="auto"/>
          <w:szCs w:val="21"/>
          <w:highlight w:val="none"/>
        </w:rPr>
        <w:fldChar w:fldCharType="end"/>
      </w:r>
      <w:r>
        <w:rPr>
          <w:rFonts w:hint="eastAsia" w:ascii="Calibri" w:hAnsi="Calibri" w:eastAsia="宋体" w:cs="Times New Roman"/>
          <w:color w:val="auto"/>
          <w:szCs w:val="21"/>
          <w:highlight w:val="none"/>
        </w:rPr>
        <w:t>《建筑地基基础设计规范》GB50007-</w:t>
      </w:r>
      <w:r>
        <w:rPr>
          <w:rFonts w:hint="eastAsia" w:ascii="Calibri" w:hAnsi="Calibri" w:eastAsia="宋体" w:cs="Times New Roman"/>
          <w:color w:val="auto"/>
          <w:szCs w:val="21"/>
          <w:highlight w:val="none"/>
          <w:lang w:val="en-US" w:eastAsia="zh-CN"/>
        </w:rPr>
        <w:t>2011</w:t>
      </w:r>
    </w:p>
    <w:p w14:paraId="75B504FC">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fldChar w:fldCharType="begin"/>
      </w:r>
      <w:r>
        <w:rPr>
          <w:rFonts w:hint="eastAsia" w:ascii="Calibri" w:hAnsi="Calibri" w:eastAsia="宋体" w:cs="Times New Roman"/>
          <w:color w:val="auto"/>
          <w:szCs w:val="21"/>
          <w:highlight w:val="none"/>
        </w:rPr>
        <w:instrText xml:space="preserve"> = 3 \* GB3 \* MERGEFORMAT </w:instrText>
      </w:r>
      <w:r>
        <w:rPr>
          <w:rFonts w:hint="eastAsia" w:ascii="Calibri" w:hAnsi="Calibri" w:eastAsia="宋体" w:cs="Times New Roman"/>
          <w:color w:val="auto"/>
          <w:szCs w:val="21"/>
          <w:highlight w:val="none"/>
        </w:rPr>
        <w:fldChar w:fldCharType="separate"/>
      </w:r>
      <w:r>
        <w:rPr>
          <w:rFonts w:ascii="Times New Roman" w:hAnsi="Times New Roman" w:eastAsia="宋体" w:cs="Times New Roman"/>
          <w:color w:val="auto"/>
          <w:highlight w:val="none"/>
        </w:rPr>
        <w:t>③</w:t>
      </w:r>
      <w:r>
        <w:rPr>
          <w:rFonts w:hint="eastAsia" w:ascii="Calibri" w:hAnsi="Calibri" w:eastAsia="宋体" w:cs="Times New Roman"/>
          <w:color w:val="auto"/>
          <w:szCs w:val="21"/>
          <w:highlight w:val="none"/>
        </w:rPr>
        <w:fldChar w:fldCharType="end"/>
      </w:r>
      <w:r>
        <w:rPr>
          <w:rFonts w:hint="eastAsia" w:ascii="Calibri" w:hAnsi="Calibri" w:eastAsia="宋体" w:cs="Times New Roman"/>
          <w:color w:val="auto"/>
          <w:szCs w:val="21"/>
          <w:highlight w:val="none"/>
        </w:rPr>
        <w:t xml:space="preserve">《工程测量规范》GB50026-2020 </w:t>
      </w:r>
    </w:p>
    <w:p w14:paraId="2DC04963">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fldChar w:fldCharType="begin"/>
      </w:r>
      <w:r>
        <w:rPr>
          <w:rFonts w:hint="eastAsia" w:ascii="Calibri" w:hAnsi="Calibri" w:eastAsia="宋体" w:cs="Times New Roman"/>
          <w:color w:val="auto"/>
          <w:szCs w:val="21"/>
          <w:highlight w:val="none"/>
        </w:rPr>
        <w:instrText xml:space="preserve"> = 4 \* GB3 \* MERGEFORMAT </w:instrText>
      </w:r>
      <w:r>
        <w:rPr>
          <w:rFonts w:hint="eastAsia" w:ascii="Calibri" w:hAnsi="Calibri" w:eastAsia="宋体" w:cs="Times New Roman"/>
          <w:color w:val="auto"/>
          <w:szCs w:val="21"/>
          <w:highlight w:val="none"/>
        </w:rPr>
        <w:fldChar w:fldCharType="separate"/>
      </w:r>
      <w:r>
        <w:rPr>
          <w:rFonts w:ascii="Times New Roman" w:hAnsi="Times New Roman" w:eastAsia="宋体" w:cs="Times New Roman"/>
          <w:color w:val="auto"/>
          <w:highlight w:val="none"/>
        </w:rPr>
        <w:t>④</w:t>
      </w:r>
      <w:r>
        <w:rPr>
          <w:rFonts w:hint="eastAsia" w:ascii="Calibri" w:hAnsi="Calibri" w:eastAsia="宋体" w:cs="Times New Roman"/>
          <w:color w:val="auto"/>
          <w:szCs w:val="21"/>
          <w:highlight w:val="none"/>
        </w:rPr>
        <w:fldChar w:fldCharType="end"/>
      </w:r>
      <w:r>
        <w:rPr>
          <w:rFonts w:hint="eastAsia" w:ascii="Calibri" w:hAnsi="Calibri" w:eastAsia="宋体" w:cs="Times New Roman"/>
          <w:color w:val="auto"/>
          <w:szCs w:val="21"/>
          <w:highlight w:val="none"/>
        </w:rPr>
        <w:t>《建筑变形测量规范》JGJ8-2016</w:t>
      </w:r>
    </w:p>
    <w:p w14:paraId="6B0EEA08">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rPr>
        <w:fldChar w:fldCharType="begin"/>
      </w:r>
      <w:r>
        <w:rPr>
          <w:rFonts w:hint="eastAsia" w:ascii="Calibri" w:hAnsi="Calibri" w:eastAsia="宋体" w:cs="Times New Roman"/>
          <w:color w:val="auto"/>
          <w:szCs w:val="21"/>
          <w:highlight w:val="none"/>
        </w:rPr>
        <w:instrText xml:space="preserve"> = 5 \* GB3 \* MERGEFORMAT </w:instrText>
      </w:r>
      <w:r>
        <w:rPr>
          <w:rFonts w:hint="eastAsia" w:ascii="Calibri" w:hAnsi="Calibri" w:eastAsia="宋体" w:cs="Times New Roman"/>
          <w:color w:val="auto"/>
          <w:szCs w:val="21"/>
          <w:highlight w:val="none"/>
        </w:rPr>
        <w:fldChar w:fldCharType="separate"/>
      </w:r>
      <w:r>
        <w:rPr>
          <w:rFonts w:ascii="Times New Roman" w:hAnsi="Times New Roman" w:eastAsia="宋体" w:cs="Times New Roman"/>
          <w:color w:val="auto"/>
          <w:highlight w:val="none"/>
        </w:rPr>
        <w:t>⑤</w:t>
      </w:r>
      <w:r>
        <w:rPr>
          <w:rFonts w:hint="eastAsia" w:ascii="Calibri" w:hAnsi="Calibri" w:eastAsia="宋体" w:cs="Times New Roman"/>
          <w:color w:val="auto"/>
          <w:szCs w:val="21"/>
          <w:highlight w:val="none"/>
        </w:rPr>
        <w:fldChar w:fldCharType="end"/>
      </w:r>
      <w:r>
        <w:rPr>
          <w:rFonts w:hint="eastAsia" w:ascii="Calibri" w:hAnsi="Calibri" w:eastAsia="宋体" w:cs="Times New Roman"/>
          <w:color w:val="auto"/>
          <w:szCs w:val="21"/>
          <w:highlight w:val="none"/>
        </w:rPr>
        <w:t>满足建筑物沉降观测相关技术规范和验收要求</w:t>
      </w:r>
      <w:r>
        <w:rPr>
          <w:rFonts w:hint="eastAsia" w:ascii="Calibri" w:hAnsi="Calibri" w:eastAsia="宋体" w:cs="Times New Roman"/>
          <w:color w:val="auto"/>
          <w:szCs w:val="21"/>
          <w:highlight w:val="none"/>
          <w:lang w:eastAsia="zh-CN"/>
        </w:rPr>
        <w:t>。</w:t>
      </w:r>
    </w:p>
    <w:p w14:paraId="35B8F57B">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val="en-US" w:eastAsia="zh-CN"/>
        </w:rPr>
        <w:t>4.</w:t>
      </w:r>
      <w:r>
        <w:rPr>
          <w:rFonts w:hint="eastAsia" w:ascii="Calibri" w:hAnsi="Calibri" w:eastAsia="宋体" w:cs="Times New Roman"/>
          <w:color w:val="auto"/>
          <w:szCs w:val="21"/>
          <w:highlight w:val="none"/>
        </w:rPr>
        <w:t>质量标准</w:t>
      </w:r>
      <w:r>
        <w:rPr>
          <w:rFonts w:hint="eastAsia" w:ascii="Calibri" w:hAnsi="Calibri" w:eastAsia="宋体" w:cs="Times New Roman"/>
          <w:color w:val="auto"/>
          <w:szCs w:val="21"/>
          <w:highlight w:val="none"/>
          <w:lang w:eastAsia="zh-CN"/>
        </w:rPr>
        <w:t>：</w:t>
      </w:r>
    </w:p>
    <w:p w14:paraId="5BABAE5D">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①投标人应按照国家行业标准《建筑变形测量规范》（JGJ8-2016）和安徽省有关规定强制性标准及施工图设计要求进行沉降观测工作。</w:t>
      </w:r>
    </w:p>
    <w:p w14:paraId="2082EE11">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fldChar w:fldCharType="begin"/>
      </w:r>
      <w:r>
        <w:rPr>
          <w:rFonts w:hint="eastAsia" w:ascii="Calibri" w:hAnsi="Calibri" w:eastAsia="宋体" w:cs="Times New Roman"/>
          <w:color w:val="auto"/>
          <w:szCs w:val="21"/>
          <w:highlight w:val="none"/>
        </w:rPr>
        <w:instrText xml:space="preserve"> = 2 \* GB3 \* MERGEFORMAT </w:instrText>
      </w:r>
      <w:r>
        <w:rPr>
          <w:rFonts w:hint="eastAsia" w:ascii="Calibri" w:hAnsi="Calibri" w:eastAsia="宋体" w:cs="Times New Roman"/>
          <w:color w:val="auto"/>
          <w:szCs w:val="21"/>
          <w:highlight w:val="none"/>
        </w:rPr>
        <w:fldChar w:fldCharType="separate"/>
      </w:r>
      <w:r>
        <w:rPr>
          <w:rFonts w:ascii="Times New Roman" w:hAnsi="Times New Roman" w:eastAsia="宋体" w:cs="Times New Roman"/>
          <w:color w:val="auto"/>
          <w:highlight w:val="none"/>
        </w:rPr>
        <w:t>②</w:t>
      </w:r>
      <w:r>
        <w:rPr>
          <w:rFonts w:hint="eastAsia" w:ascii="Calibri" w:hAnsi="Calibri" w:eastAsia="宋体" w:cs="Times New Roman"/>
          <w:color w:val="auto"/>
          <w:szCs w:val="21"/>
          <w:highlight w:val="none"/>
        </w:rPr>
        <w:fldChar w:fldCharType="end"/>
      </w:r>
      <w:r>
        <w:rPr>
          <w:rFonts w:hint="eastAsia" w:ascii="Calibri" w:hAnsi="Calibri" w:eastAsia="宋体" w:cs="Times New Roman"/>
          <w:color w:val="auto"/>
          <w:szCs w:val="21"/>
          <w:highlight w:val="none"/>
        </w:rPr>
        <w:t>投标人的测量成果须同时满足国家、省市标准、行业标准及招标人技术要求，当上述标准要求不一致时，以要求高者为准。</w:t>
      </w:r>
    </w:p>
    <w:p w14:paraId="49A64C78">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fldChar w:fldCharType="begin"/>
      </w:r>
      <w:r>
        <w:rPr>
          <w:rFonts w:hint="eastAsia" w:ascii="Calibri" w:hAnsi="Calibri" w:eastAsia="宋体" w:cs="Times New Roman"/>
          <w:color w:val="auto"/>
          <w:szCs w:val="21"/>
          <w:highlight w:val="none"/>
        </w:rPr>
        <w:instrText xml:space="preserve"> = 3 \* GB3 \* MERGEFORMAT </w:instrText>
      </w:r>
      <w:r>
        <w:rPr>
          <w:rFonts w:hint="eastAsia" w:ascii="Calibri" w:hAnsi="Calibri" w:eastAsia="宋体" w:cs="Times New Roman"/>
          <w:color w:val="auto"/>
          <w:szCs w:val="21"/>
          <w:highlight w:val="none"/>
        </w:rPr>
        <w:fldChar w:fldCharType="separate"/>
      </w:r>
      <w:r>
        <w:rPr>
          <w:rFonts w:ascii="Times New Roman" w:hAnsi="Times New Roman" w:eastAsia="宋体" w:cs="Times New Roman"/>
          <w:color w:val="auto"/>
          <w:highlight w:val="none"/>
        </w:rPr>
        <w:t>③</w:t>
      </w:r>
      <w:r>
        <w:rPr>
          <w:rFonts w:hint="eastAsia" w:ascii="Calibri" w:hAnsi="Calibri" w:eastAsia="宋体" w:cs="Times New Roman"/>
          <w:color w:val="auto"/>
          <w:szCs w:val="21"/>
          <w:highlight w:val="none"/>
        </w:rPr>
        <w:fldChar w:fldCharType="end"/>
      </w:r>
      <w:r>
        <w:rPr>
          <w:rFonts w:hint="eastAsia" w:ascii="Calibri" w:hAnsi="Calibri" w:eastAsia="宋体" w:cs="Times New Roman"/>
          <w:color w:val="auto"/>
          <w:szCs w:val="21"/>
          <w:highlight w:val="none"/>
        </w:rPr>
        <w:t>投标人须保证测量完成后按时出具完整的建筑物沉降观测报告，并保证报告符合规范的要求及建设行政主管部门验收要求，确保竣工验收备案通过。</w:t>
      </w:r>
    </w:p>
    <w:p w14:paraId="735048D2">
      <w:pPr>
        <w:wordWrap w:val="0"/>
        <w:spacing w:line="460" w:lineRule="exact"/>
        <w:ind w:firstLine="420" w:firstLineChars="200"/>
        <w:rPr>
          <w:rFonts w:hint="eastAsia" w:ascii="Calibri" w:hAnsi="Calibri" w:eastAsia="宋体" w:cs="Times New Roman"/>
          <w:color w:val="auto"/>
          <w:szCs w:val="21"/>
          <w:highlight w:val="none"/>
          <w:lang w:eastAsia="en-US"/>
        </w:rPr>
      </w:pPr>
      <w:r>
        <w:rPr>
          <w:rFonts w:hint="eastAsia" w:ascii="Calibri" w:hAnsi="Calibri" w:eastAsia="宋体" w:cs="Times New Roman"/>
          <w:color w:val="auto"/>
          <w:szCs w:val="21"/>
          <w:highlight w:val="none"/>
          <w:lang w:eastAsia="en-US"/>
        </w:rPr>
        <w:t>三、项目主要人员</w:t>
      </w:r>
    </w:p>
    <w:p w14:paraId="0E5A9A9E">
      <w:pPr>
        <w:widowControl/>
        <w:kinsoku w:val="0"/>
        <w:autoSpaceDE w:val="0"/>
        <w:autoSpaceDN w:val="0"/>
        <w:adjustRightInd w:val="0"/>
        <w:snapToGrid w:val="0"/>
        <w:spacing w:before="177" w:line="221" w:lineRule="auto"/>
        <w:ind w:left="468"/>
        <w:jc w:val="left"/>
        <w:textAlignment w:val="baseline"/>
        <w:rPr>
          <w:rFonts w:ascii="宋体" w:hAnsi="宋体" w:eastAsia="宋体" w:cs="宋体"/>
          <w:snapToGrid w:val="0"/>
          <w:color w:val="auto"/>
          <w:kern w:val="0"/>
          <w:sz w:val="21"/>
          <w:szCs w:val="21"/>
          <w:highlight w:val="none"/>
          <w:lang w:eastAsia="en-US"/>
        </w:rPr>
      </w:pPr>
      <w:r>
        <w:rPr>
          <w:rFonts w:ascii="宋体" w:hAnsi="宋体" w:eastAsia="宋体" w:cs="宋体"/>
          <w:snapToGrid w:val="0"/>
          <w:color w:val="auto"/>
          <w:spacing w:val="-2"/>
          <w:kern w:val="0"/>
          <w:sz w:val="21"/>
          <w:szCs w:val="21"/>
          <w:highlight w:val="none"/>
          <w:lang w:eastAsia="en-US"/>
        </w:rPr>
        <w:t>乙方承诺投入工作人员</w:t>
      </w:r>
    </w:p>
    <w:p w14:paraId="504F7956">
      <w:pPr>
        <w:widowControl/>
        <w:kinsoku w:val="0"/>
        <w:autoSpaceDE w:val="0"/>
        <w:autoSpaceDN w:val="0"/>
        <w:adjustRightInd w:val="0"/>
        <w:snapToGrid w:val="0"/>
        <w:spacing w:line="16" w:lineRule="exact"/>
        <w:jc w:val="left"/>
        <w:textAlignment w:val="baseline"/>
        <w:rPr>
          <w:rFonts w:ascii="Arial" w:hAnsi="Arial" w:eastAsia="Arial" w:cs="Arial"/>
          <w:snapToGrid w:val="0"/>
          <w:color w:val="auto"/>
          <w:kern w:val="0"/>
          <w:szCs w:val="21"/>
          <w:highlight w:val="none"/>
          <w:lang w:eastAsia="en-US"/>
        </w:rPr>
      </w:pPr>
    </w:p>
    <w:tbl>
      <w:tblPr>
        <w:tblStyle w:val="63"/>
        <w:tblW w:w="93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9"/>
        <w:gridCol w:w="1171"/>
        <w:gridCol w:w="1170"/>
        <w:gridCol w:w="1173"/>
        <w:gridCol w:w="1170"/>
        <w:gridCol w:w="1170"/>
        <w:gridCol w:w="1172"/>
        <w:gridCol w:w="1160"/>
      </w:tblGrid>
      <w:tr w14:paraId="053B8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1179" w:type="dxa"/>
            <w:vAlign w:val="top"/>
          </w:tcPr>
          <w:p w14:paraId="38000F24">
            <w:pPr>
              <w:kinsoku w:val="0"/>
              <w:autoSpaceDE w:val="0"/>
              <w:autoSpaceDN w:val="0"/>
              <w:adjustRightInd w:val="0"/>
              <w:snapToGrid w:val="0"/>
              <w:spacing w:before="182" w:line="221" w:lineRule="auto"/>
              <w:ind w:left="126"/>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职务</w:t>
            </w:r>
          </w:p>
        </w:tc>
        <w:tc>
          <w:tcPr>
            <w:tcW w:w="1171" w:type="dxa"/>
            <w:vAlign w:val="top"/>
          </w:tcPr>
          <w:p w14:paraId="7CA17F24">
            <w:pPr>
              <w:kinsoku w:val="0"/>
              <w:autoSpaceDE w:val="0"/>
              <w:autoSpaceDN w:val="0"/>
              <w:adjustRightInd w:val="0"/>
              <w:snapToGrid w:val="0"/>
              <w:spacing w:before="182" w:line="221" w:lineRule="auto"/>
              <w:ind w:left="119"/>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姓名</w:t>
            </w:r>
          </w:p>
        </w:tc>
        <w:tc>
          <w:tcPr>
            <w:tcW w:w="1170" w:type="dxa"/>
            <w:vAlign w:val="top"/>
          </w:tcPr>
          <w:p w14:paraId="2F852AE6">
            <w:pPr>
              <w:kinsoku w:val="0"/>
              <w:autoSpaceDE w:val="0"/>
              <w:autoSpaceDN w:val="0"/>
              <w:adjustRightInd w:val="0"/>
              <w:snapToGrid w:val="0"/>
              <w:spacing w:before="183" w:line="221" w:lineRule="auto"/>
              <w:ind w:left="120"/>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3"/>
                <w:kern w:val="0"/>
                <w:sz w:val="21"/>
                <w:szCs w:val="21"/>
                <w:highlight w:val="none"/>
                <w:lang w:val="en-US" w:eastAsia="en-US" w:bidi="ar-SA"/>
              </w:rPr>
              <w:t>性别</w:t>
            </w:r>
          </w:p>
        </w:tc>
        <w:tc>
          <w:tcPr>
            <w:tcW w:w="1173" w:type="dxa"/>
            <w:vAlign w:val="top"/>
          </w:tcPr>
          <w:p w14:paraId="499F0DB8">
            <w:pPr>
              <w:kinsoku w:val="0"/>
              <w:autoSpaceDE w:val="0"/>
              <w:autoSpaceDN w:val="0"/>
              <w:adjustRightInd w:val="0"/>
              <w:snapToGrid w:val="0"/>
              <w:spacing w:before="182" w:line="221" w:lineRule="auto"/>
              <w:ind w:left="120"/>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年龄</w:t>
            </w:r>
          </w:p>
        </w:tc>
        <w:tc>
          <w:tcPr>
            <w:tcW w:w="1170" w:type="dxa"/>
            <w:vAlign w:val="top"/>
          </w:tcPr>
          <w:p w14:paraId="2084B6A4">
            <w:pPr>
              <w:kinsoku w:val="0"/>
              <w:autoSpaceDE w:val="0"/>
              <w:autoSpaceDN w:val="0"/>
              <w:adjustRightInd w:val="0"/>
              <w:snapToGrid w:val="0"/>
              <w:spacing w:before="182" w:line="223" w:lineRule="auto"/>
              <w:ind w:left="121"/>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职称</w:t>
            </w:r>
          </w:p>
        </w:tc>
        <w:tc>
          <w:tcPr>
            <w:tcW w:w="1170" w:type="dxa"/>
            <w:vAlign w:val="top"/>
          </w:tcPr>
          <w:p w14:paraId="25805D42">
            <w:pPr>
              <w:kinsoku w:val="0"/>
              <w:autoSpaceDE w:val="0"/>
              <w:autoSpaceDN w:val="0"/>
              <w:adjustRightInd w:val="0"/>
              <w:snapToGrid w:val="0"/>
              <w:spacing w:before="183" w:line="221" w:lineRule="auto"/>
              <w:ind w:left="12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专业</w:t>
            </w:r>
          </w:p>
        </w:tc>
        <w:tc>
          <w:tcPr>
            <w:tcW w:w="1172" w:type="dxa"/>
            <w:vAlign w:val="top"/>
          </w:tcPr>
          <w:p w14:paraId="66182AC8">
            <w:pPr>
              <w:kinsoku w:val="0"/>
              <w:autoSpaceDE w:val="0"/>
              <w:autoSpaceDN w:val="0"/>
              <w:adjustRightInd w:val="0"/>
              <w:snapToGrid w:val="0"/>
              <w:spacing w:before="182" w:line="220" w:lineRule="auto"/>
              <w:ind w:left="121"/>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证书</w:t>
            </w:r>
          </w:p>
        </w:tc>
        <w:tc>
          <w:tcPr>
            <w:tcW w:w="1160" w:type="dxa"/>
            <w:vAlign w:val="top"/>
          </w:tcPr>
          <w:p w14:paraId="1DBBBE98">
            <w:pPr>
              <w:kinsoku w:val="0"/>
              <w:autoSpaceDE w:val="0"/>
              <w:autoSpaceDN w:val="0"/>
              <w:adjustRightInd w:val="0"/>
              <w:snapToGrid w:val="0"/>
              <w:spacing w:before="182" w:line="222" w:lineRule="auto"/>
              <w:ind w:left="125"/>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3"/>
                <w:kern w:val="0"/>
                <w:sz w:val="21"/>
                <w:szCs w:val="21"/>
                <w:highlight w:val="none"/>
                <w:lang w:val="en-US" w:eastAsia="en-US" w:bidi="ar-SA"/>
              </w:rPr>
              <w:t>备注</w:t>
            </w:r>
          </w:p>
        </w:tc>
      </w:tr>
      <w:tr w14:paraId="441E8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1179" w:type="dxa"/>
            <w:vAlign w:val="top"/>
          </w:tcPr>
          <w:p w14:paraId="2CD64156">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1" w:type="dxa"/>
            <w:vAlign w:val="top"/>
          </w:tcPr>
          <w:p w14:paraId="2099D7AA">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0" w:type="dxa"/>
            <w:vAlign w:val="top"/>
          </w:tcPr>
          <w:p w14:paraId="4B6F82E5">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3" w:type="dxa"/>
            <w:vAlign w:val="top"/>
          </w:tcPr>
          <w:p w14:paraId="7CBBA01D">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0" w:type="dxa"/>
            <w:vAlign w:val="top"/>
          </w:tcPr>
          <w:p w14:paraId="1E90A793">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0" w:type="dxa"/>
            <w:vAlign w:val="top"/>
          </w:tcPr>
          <w:p w14:paraId="36368123">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2" w:type="dxa"/>
            <w:vAlign w:val="top"/>
          </w:tcPr>
          <w:p w14:paraId="4B84E5E6">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60" w:type="dxa"/>
            <w:vAlign w:val="top"/>
          </w:tcPr>
          <w:p w14:paraId="0255BBED">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r>
      <w:tr w14:paraId="36AF2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1179" w:type="dxa"/>
            <w:vAlign w:val="top"/>
          </w:tcPr>
          <w:p w14:paraId="58E4C7D5">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1" w:type="dxa"/>
            <w:vAlign w:val="top"/>
          </w:tcPr>
          <w:p w14:paraId="335CA442">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0" w:type="dxa"/>
            <w:vAlign w:val="top"/>
          </w:tcPr>
          <w:p w14:paraId="5CD44FA1">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3" w:type="dxa"/>
            <w:vAlign w:val="top"/>
          </w:tcPr>
          <w:p w14:paraId="02EFBEFF">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0" w:type="dxa"/>
            <w:vAlign w:val="top"/>
          </w:tcPr>
          <w:p w14:paraId="724F1BEB">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0" w:type="dxa"/>
            <w:vAlign w:val="top"/>
          </w:tcPr>
          <w:p w14:paraId="56885F7D">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2" w:type="dxa"/>
            <w:vAlign w:val="top"/>
          </w:tcPr>
          <w:p w14:paraId="06933ED6">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60" w:type="dxa"/>
            <w:vAlign w:val="top"/>
          </w:tcPr>
          <w:p w14:paraId="573B7A2D">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r>
      <w:tr w14:paraId="59740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1179" w:type="dxa"/>
            <w:vAlign w:val="top"/>
          </w:tcPr>
          <w:p w14:paraId="5BD7F0ED">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1" w:type="dxa"/>
            <w:vAlign w:val="top"/>
          </w:tcPr>
          <w:p w14:paraId="51E3F53C">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0" w:type="dxa"/>
            <w:vAlign w:val="top"/>
          </w:tcPr>
          <w:p w14:paraId="5C556483">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3" w:type="dxa"/>
            <w:vAlign w:val="top"/>
          </w:tcPr>
          <w:p w14:paraId="0F873DF7">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0" w:type="dxa"/>
            <w:vAlign w:val="top"/>
          </w:tcPr>
          <w:p w14:paraId="4918FF4B">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0" w:type="dxa"/>
            <w:vAlign w:val="top"/>
          </w:tcPr>
          <w:p w14:paraId="184106F3">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72" w:type="dxa"/>
            <w:vAlign w:val="top"/>
          </w:tcPr>
          <w:p w14:paraId="7C9788D3">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160" w:type="dxa"/>
            <w:vAlign w:val="top"/>
          </w:tcPr>
          <w:p w14:paraId="70487B05">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r>
    </w:tbl>
    <w:p w14:paraId="60490392">
      <w:pPr>
        <w:wordWrap w:val="0"/>
        <w:spacing w:line="460" w:lineRule="exact"/>
        <w:ind w:firstLine="420" w:firstLineChars="200"/>
        <w:rPr>
          <w:rFonts w:hint="eastAsia" w:ascii="Calibri" w:hAnsi="Calibri" w:eastAsia="宋体" w:cs="Times New Roman"/>
          <w:color w:val="auto"/>
          <w:szCs w:val="21"/>
          <w:highlight w:val="none"/>
          <w:lang w:eastAsia="en-US"/>
        </w:rPr>
      </w:pPr>
      <w:r>
        <w:rPr>
          <w:rFonts w:hint="eastAsia" w:ascii="Calibri" w:hAnsi="Calibri" w:eastAsia="宋体" w:cs="Times New Roman"/>
          <w:color w:val="auto"/>
          <w:szCs w:val="21"/>
          <w:highlight w:val="none"/>
          <w:lang w:eastAsia="en-US"/>
        </w:rPr>
        <w:t>四、合同价格</w:t>
      </w:r>
    </w:p>
    <w:p w14:paraId="170BF74C">
      <w:pPr>
        <w:wordWrap w:val="0"/>
        <w:spacing w:line="460" w:lineRule="exact"/>
        <w:ind w:firstLine="420" w:firstLineChars="200"/>
        <w:rPr>
          <w:rFonts w:hint="eastAsia" w:ascii="Calibri" w:hAnsi="Calibri" w:eastAsia="宋体" w:cs="Times New Roman"/>
          <w:color w:val="auto"/>
          <w:szCs w:val="21"/>
          <w:highlight w:val="none"/>
          <w:lang w:eastAsia="en-US"/>
        </w:rPr>
      </w:pPr>
      <w:r>
        <w:rPr>
          <w:rFonts w:hint="eastAsia" w:ascii="Calibri" w:hAnsi="Calibri" w:eastAsia="宋体" w:cs="Times New Roman"/>
          <w:color w:val="auto"/>
          <w:szCs w:val="21"/>
          <w:highlight w:val="none"/>
          <w:lang w:eastAsia="en-US"/>
        </w:rPr>
        <w:t>本项目为</w:t>
      </w:r>
      <w:r>
        <w:rPr>
          <w:rFonts w:hint="eastAsia" w:ascii="Calibri" w:hAnsi="Calibri" w:eastAsia="宋体" w:cs="Times New Roman"/>
          <w:color w:val="auto"/>
          <w:szCs w:val="21"/>
          <w:highlight w:val="none"/>
          <w:lang w:val="en-US" w:eastAsia="zh-CN"/>
        </w:rPr>
        <w:t>总价</w:t>
      </w:r>
      <w:r>
        <w:rPr>
          <w:rFonts w:hint="eastAsia" w:ascii="Calibri" w:hAnsi="Calibri" w:eastAsia="宋体" w:cs="Times New Roman"/>
          <w:color w:val="auto"/>
          <w:szCs w:val="21"/>
          <w:highlight w:val="none"/>
          <w:lang w:eastAsia="en-US"/>
        </w:rPr>
        <w:t>合同，合同价为：</w:t>
      </w:r>
      <w:r>
        <w:rPr>
          <w:rFonts w:hint="eastAsia" w:ascii="Calibri" w:hAnsi="Calibri" w:eastAsia="宋体" w:cs="Times New Roman"/>
          <w:color w:val="auto"/>
          <w:szCs w:val="21"/>
          <w:highlight w:val="none"/>
          <w:u w:val="single"/>
          <w:lang w:eastAsia="en-US"/>
        </w:rPr>
        <w:t xml:space="preserve">        </w:t>
      </w:r>
      <w:r>
        <w:rPr>
          <w:rFonts w:hint="eastAsia" w:ascii="Calibri" w:hAnsi="Calibri" w:eastAsia="宋体" w:cs="Times New Roman"/>
          <w:color w:val="auto"/>
          <w:szCs w:val="21"/>
          <w:highlight w:val="none"/>
          <w:lang w:eastAsia="en-US"/>
        </w:rPr>
        <w:t>元</w:t>
      </w:r>
      <w:r>
        <w:rPr>
          <w:rFonts w:hint="eastAsia" w:ascii="Calibri" w:hAnsi="Calibri" w:eastAsia="宋体" w:cs="Times New Roman"/>
          <w:color w:val="auto"/>
          <w:szCs w:val="21"/>
          <w:highlight w:val="none"/>
          <w:lang w:eastAsia="zh-CN"/>
        </w:rPr>
        <w:t>，</w:t>
      </w:r>
      <w:r>
        <w:rPr>
          <w:rFonts w:hint="eastAsia" w:ascii="Calibri" w:hAnsi="Calibri" w:eastAsia="宋体" w:cs="Times New Roman"/>
          <w:color w:val="auto"/>
          <w:szCs w:val="21"/>
          <w:highlight w:val="none"/>
          <w:lang w:val="en-US" w:eastAsia="zh-CN"/>
        </w:rPr>
        <w:t>其中</w:t>
      </w:r>
      <w:r>
        <w:rPr>
          <w:rFonts w:hint="eastAsia"/>
          <w:b w:val="0"/>
          <w:bCs w:val="0"/>
          <w:color w:val="auto"/>
          <w:lang w:val="en-US" w:eastAsia="zh-CN"/>
        </w:rPr>
        <w:t>中新苏滁高新区（未来产业园）智能制造工业坊项目合同价为</w:t>
      </w:r>
      <w:r>
        <w:rPr>
          <w:rFonts w:hint="eastAsia"/>
          <w:b w:val="0"/>
          <w:bCs w:val="0"/>
          <w:color w:val="auto"/>
          <w:u w:val="single"/>
          <w:lang w:val="en-US" w:eastAsia="zh-CN"/>
        </w:rPr>
        <w:t xml:space="preserve">      </w:t>
      </w:r>
      <w:r>
        <w:rPr>
          <w:rFonts w:hint="eastAsia"/>
          <w:b w:val="0"/>
          <w:bCs w:val="0"/>
          <w:color w:val="auto"/>
          <w:lang w:val="en-US" w:eastAsia="zh-CN"/>
        </w:rPr>
        <w:t>元，中新苏滁高新区超级电容智能制造基地二期项目合同价为</w:t>
      </w:r>
      <w:r>
        <w:rPr>
          <w:rFonts w:hint="eastAsia"/>
          <w:b w:val="0"/>
          <w:bCs w:val="0"/>
          <w:color w:val="auto"/>
          <w:u w:val="single"/>
          <w:lang w:val="en-US" w:eastAsia="zh-CN"/>
        </w:rPr>
        <w:t xml:space="preserve">     </w:t>
      </w:r>
      <w:r>
        <w:rPr>
          <w:rFonts w:hint="eastAsia"/>
          <w:b w:val="0"/>
          <w:bCs w:val="0"/>
          <w:color w:val="auto"/>
          <w:lang w:val="en-US" w:eastAsia="zh-CN"/>
        </w:rPr>
        <w:t>元）</w:t>
      </w:r>
      <w:r>
        <w:rPr>
          <w:rFonts w:hint="eastAsia" w:ascii="Calibri" w:hAnsi="Calibri" w:eastAsia="宋体" w:cs="Times New Roman"/>
          <w:b w:val="0"/>
          <w:bCs w:val="0"/>
          <w:color w:val="auto"/>
          <w:szCs w:val="21"/>
          <w:highlight w:val="none"/>
          <w:lang w:eastAsia="en-US"/>
        </w:rPr>
        <w:t>，</w:t>
      </w:r>
      <w:r>
        <w:rPr>
          <w:rFonts w:hint="eastAsia" w:ascii="Calibri" w:hAnsi="Calibri" w:eastAsia="宋体" w:cs="Times New Roman"/>
          <w:color w:val="auto"/>
          <w:szCs w:val="21"/>
          <w:highlight w:val="none"/>
          <w:lang w:eastAsia="en-US"/>
        </w:rPr>
        <w:t>中标人不得因服务期限的延长而申请增加任何费用。</w:t>
      </w:r>
    </w:p>
    <w:p w14:paraId="62F20ADB">
      <w:pPr>
        <w:keepNext w:val="0"/>
        <w:keepLines w:val="0"/>
        <w:pageBreakBefore w:val="0"/>
        <w:numPr>
          <w:ilvl w:val="0"/>
          <w:numId w:val="2"/>
        </w:numPr>
        <w:kinsoku/>
        <w:wordWrap/>
        <w:overflowPunct/>
        <w:topLinePunct w:val="0"/>
        <w:autoSpaceDE/>
        <w:autoSpaceDN/>
        <w:bidi w:val="0"/>
        <w:adjustRightInd/>
        <w:snapToGrid/>
        <w:spacing w:line="440" w:lineRule="exact"/>
        <w:ind w:firstLine="420" w:firstLineChars="200"/>
        <w:jc w:val="left"/>
        <w:textAlignment w:val="auto"/>
        <w:rPr>
          <w:rFonts w:hint="eastAsia" w:ascii="Calibri" w:hAnsi="Calibri" w:eastAsia="宋体" w:cs="Times New Roman"/>
          <w:color w:val="auto"/>
          <w:szCs w:val="21"/>
          <w:highlight w:val="none"/>
          <w:lang w:eastAsia="en-US"/>
        </w:rPr>
      </w:pPr>
      <w:r>
        <w:rPr>
          <w:rFonts w:hint="eastAsia" w:ascii="Calibri" w:hAnsi="Calibri" w:eastAsia="宋体" w:cs="Times New Roman"/>
          <w:color w:val="auto"/>
          <w:szCs w:val="21"/>
          <w:highlight w:val="none"/>
          <w:lang w:eastAsia="en-US"/>
        </w:rPr>
        <w:t>付款方式</w:t>
      </w:r>
    </w:p>
    <w:p w14:paraId="32C5329C">
      <w:pPr>
        <w:keepNext w:val="0"/>
        <w:keepLines w:val="0"/>
        <w:pageBreakBefore w:val="0"/>
        <w:numPr>
          <w:ilvl w:val="0"/>
          <w:numId w:val="0"/>
        </w:numPr>
        <w:kinsoku/>
        <w:wordWrap/>
        <w:overflowPunct/>
        <w:topLinePunct w:val="0"/>
        <w:autoSpaceDE/>
        <w:autoSpaceDN/>
        <w:bidi w:val="0"/>
        <w:adjustRightInd/>
        <w:snapToGrid/>
        <w:spacing w:line="440" w:lineRule="exact"/>
        <w:ind w:firstLine="422" w:firstLineChars="200"/>
        <w:jc w:val="left"/>
        <w:textAlignment w:val="auto"/>
        <w:rPr>
          <w:color w:val="auto"/>
          <w:highlight w:val="none"/>
        </w:rPr>
      </w:pPr>
      <w:r>
        <w:rPr>
          <w:rFonts w:hint="eastAsia" w:ascii="宋体" w:hAnsi="宋体" w:eastAsia="宋体" w:cs="宋体"/>
          <w:b/>
          <w:bCs/>
          <w:color w:val="auto"/>
          <w:kern w:val="0"/>
          <w:sz w:val="21"/>
          <w:szCs w:val="21"/>
          <w:highlight w:val="none"/>
          <w:lang w:val="en-US" w:eastAsia="zh-CN"/>
        </w:rPr>
        <w:t>按项目支付，每个项目的付款方式如下：</w:t>
      </w:r>
      <w:r>
        <w:rPr>
          <w:rFonts w:hint="eastAsia" w:ascii="宋体" w:hAnsi="宋体" w:eastAsia="宋体" w:cs="宋体"/>
          <w:b/>
          <w:bCs/>
          <w:color w:val="auto"/>
          <w:kern w:val="0"/>
          <w:sz w:val="21"/>
          <w:szCs w:val="21"/>
          <w:highlight w:val="none"/>
          <w:lang w:val="en-US" w:eastAsia="zh-CN"/>
        </w:rPr>
        <w:t>项目主体封顶且完成相应观测并提交成果文件后支付</w:t>
      </w:r>
      <w:r>
        <w:rPr>
          <w:rFonts w:hint="eastAsia" w:ascii="宋体" w:hAnsi="宋体" w:eastAsia="宋体" w:cs="宋体"/>
          <w:b/>
          <w:bCs/>
          <w:color w:val="auto"/>
          <w:kern w:val="0"/>
          <w:sz w:val="21"/>
          <w:szCs w:val="21"/>
          <w:highlight w:val="none"/>
          <w:lang w:val="en-US" w:eastAsia="zh-CN"/>
        </w:rPr>
        <w:t>对应</w:t>
      </w:r>
      <w:r>
        <w:rPr>
          <w:rFonts w:hint="eastAsia" w:ascii="宋体" w:hAnsi="宋体" w:eastAsia="宋体" w:cs="宋体"/>
          <w:b/>
          <w:bCs/>
          <w:color w:val="auto"/>
          <w:kern w:val="0"/>
          <w:sz w:val="21"/>
          <w:szCs w:val="21"/>
          <w:highlight w:val="none"/>
          <w:lang w:val="en-US" w:eastAsia="zh-CN"/>
        </w:rPr>
        <w:t>合同金额的50%，项目竣工验收且完成相应观测并提交成果文件后支付至</w:t>
      </w:r>
      <w:r>
        <w:rPr>
          <w:rFonts w:hint="eastAsia" w:ascii="宋体" w:hAnsi="宋体" w:eastAsia="宋体" w:cs="宋体"/>
          <w:b/>
          <w:bCs/>
          <w:color w:val="auto"/>
          <w:kern w:val="0"/>
          <w:sz w:val="21"/>
          <w:szCs w:val="21"/>
          <w:highlight w:val="none"/>
          <w:lang w:val="en-US" w:eastAsia="zh-CN"/>
        </w:rPr>
        <w:t>对应</w:t>
      </w:r>
      <w:r>
        <w:rPr>
          <w:rFonts w:hint="eastAsia" w:ascii="宋体" w:hAnsi="宋体" w:eastAsia="宋体" w:cs="宋体"/>
          <w:b/>
          <w:bCs/>
          <w:color w:val="auto"/>
          <w:kern w:val="0"/>
          <w:sz w:val="21"/>
          <w:szCs w:val="21"/>
          <w:highlight w:val="none"/>
          <w:lang w:val="en-US" w:eastAsia="zh-CN"/>
        </w:rPr>
        <w:t>合同金额的80%，项目完成全部观测后并提交经招标人确认的正式检测报告后一次性付清</w:t>
      </w:r>
      <w:r>
        <w:rPr>
          <w:rFonts w:hint="eastAsia" w:ascii="宋体" w:hAnsi="宋体" w:eastAsia="宋体" w:cs="宋体"/>
          <w:b/>
          <w:bCs/>
          <w:color w:val="auto"/>
          <w:kern w:val="0"/>
          <w:sz w:val="21"/>
          <w:szCs w:val="21"/>
          <w:highlight w:val="none"/>
          <w:lang w:val="en-US" w:eastAsia="zh-CN"/>
        </w:rPr>
        <w:t>对应</w:t>
      </w:r>
      <w:r>
        <w:rPr>
          <w:rFonts w:hint="eastAsia" w:ascii="宋体" w:hAnsi="宋体" w:eastAsia="宋体" w:cs="宋体"/>
          <w:b/>
          <w:bCs/>
          <w:color w:val="auto"/>
          <w:kern w:val="0"/>
          <w:sz w:val="21"/>
          <w:szCs w:val="21"/>
          <w:highlight w:val="none"/>
          <w:lang w:val="en-US" w:eastAsia="zh-CN"/>
        </w:rPr>
        <w:t>项目沉降观测服务剩余款项（按招标人要求提供发票）。</w:t>
      </w:r>
    </w:p>
    <w:p w14:paraId="5333C010">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eastAsia="zh-CN"/>
        </w:rPr>
        <w:t>六</w:t>
      </w:r>
      <w:r>
        <w:rPr>
          <w:rFonts w:hint="eastAsia" w:ascii="Calibri" w:hAnsi="Calibri" w:eastAsia="宋体" w:cs="Times New Roman"/>
          <w:color w:val="auto"/>
          <w:szCs w:val="21"/>
          <w:highlight w:val="none"/>
        </w:rPr>
        <w:t>、甲方义务</w:t>
      </w:r>
    </w:p>
    <w:p w14:paraId="67C14814">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1</w:t>
      </w:r>
      <w:r>
        <w:rPr>
          <w:rFonts w:hint="eastAsia" w:ascii="Calibri" w:hAnsi="Calibri" w:eastAsia="宋体" w:cs="Times New Roman"/>
          <w:color w:val="auto"/>
          <w:szCs w:val="21"/>
          <w:highlight w:val="none"/>
          <w:lang w:val="en-US" w:eastAsia="zh-CN"/>
        </w:rPr>
        <w:t>.</w:t>
      </w:r>
      <w:r>
        <w:rPr>
          <w:rFonts w:hint="eastAsia" w:ascii="Calibri" w:hAnsi="Calibri" w:eastAsia="宋体" w:cs="Times New Roman"/>
          <w:color w:val="auto"/>
          <w:szCs w:val="21"/>
          <w:highlight w:val="none"/>
        </w:rPr>
        <w:t>提供任务书；</w:t>
      </w:r>
    </w:p>
    <w:p w14:paraId="0BDA7573">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2</w:t>
      </w:r>
      <w:r>
        <w:rPr>
          <w:rFonts w:hint="eastAsia" w:ascii="Calibri" w:hAnsi="Calibri" w:eastAsia="宋体" w:cs="Times New Roman"/>
          <w:color w:val="auto"/>
          <w:szCs w:val="21"/>
          <w:highlight w:val="none"/>
          <w:lang w:val="en-US" w:eastAsia="zh-CN"/>
        </w:rPr>
        <w:t>.</w:t>
      </w:r>
      <w:r>
        <w:rPr>
          <w:rFonts w:hint="eastAsia" w:ascii="Calibri" w:hAnsi="Calibri" w:eastAsia="宋体" w:cs="Times New Roman"/>
          <w:color w:val="auto"/>
          <w:szCs w:val="21"/>
          <w:highlight w:val="none"/>
        </w:rPr>
        <w:t>按合同约定支付合同费用；</w:t>
      </w:r>
    </w:p>
    <w:p w14:paraId="1A3833AA">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3</w:t>
      </w:r>
      <w:r>
        <w:rPr>
          <w:rFonts w:hint="eastAsia" w:ascii="Calibri" w:hAnsi="Calibri" w:eastAsia="宋体" w:cs="Times New Roman"/>
          <w:color w:val="auto"/>
          <w:szCs w:val="21"/>
          <w:highlight w:val="none"/>
          <w:lang w:val="en-US" w:eastAsia="zh-CN"/>
        </w:rPr>
        <w:t>.</w:t>
      </w:r>
      <w:r>
        <w:rPr>
          <w:rFonts w:hint="eastAsia" w:ascii="Calibri" w:hAnsi="Calibri" w:eastAsia="宋体" w:cs="Times New Roman"/>
          <w:color w:val="auto"/>
          <w:szCs w:val="21"/>
          <w:highlight w:val="none"/>
        </w:rPr>
        <w:t>及时</w:t>
      </w:r>
      <w:r>
        <w:rPr>
          <w:rFonts w:hint="eastAsia" w:ascii="Calibri" w:hAnsi="Calibri" w:eastAsia="宋体" w:cs="Times New Roman"/>
          <w:color w:val="auto"/>
          <w:szCs w:val="21"/>
          <w:highlight w:val="none"/>
          <w:lang w:eastAsia="zh-CN"/>
        </w:rPr>
        <w:t>接收</w:t>
      </w:r>
      <w:r>
        <w:rPr>
          <w:rFonts w:hint="eastAsia" w:ascii="Calibri" w:hAnsi="Calibri" w:eastAsia="宋体" w:cs="Times New Roman"/>
          <w:color w:val="auto"/>
          <w:szCs w:val="21"/>
          <w:highlight w:val="none"/>
        </w:rPr>
        <w:t>结果，并进行审查；</w:t>
      </w:r>
    </w:p>
    <w:p w14:paraId="3F2735E0">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4</w:t>
      </w:r>
      <w:r>
        <w:rPr>
          <w:rFonts w:hint="eastAsia" w:ascii="Calibri" w:hAnsi="Calibri" w:eastAsia="宋体" w:cs="Times New Roman"/>
          <w:color w:val="auto"/>
          <w:szCs w:val="21"/>
          <w:highlight w:val="none"/>
          <w:lang w:val="en-US" w:eastAsia="zh-CN"/>
        </w:rPr>
        <w:t>.</w:t>
      </w:r>
      <w:r>
        <w:rPr>
          <w:rFonts w:hint="eastAsia" w:ascii="Calibri" w:hAnsi="Calibri" w:eastAsia="宋体" w:cs="Times New Roman"/>
          <w:color w:val="auto"/>
          <w:szCs w:val="21"/>
          <w:highlight w:val="none"/>
        </w:rPr>
        <w:t>协助乙方熟悉现场情况、选择现场工作场地。</w:t>
      </w:r>
    </w:p>
    <w:p w14:paraId="77D284D8">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eastAsia="zh-CN"/>
        </w:rPr>
        <w:t>七</w:t>
      </w:r>
      <w:r>
        <w:rPr>
          <w:rFonts w:hint="eastAsia" w:ascii="Calibri" w:hAnsi="Calibri" w:eastAsia="宋体" w:cs="Times New Roman"/>
          <w:color w:val="auto"/>
          <w:szCs w:val="21"/>
          <w:highlight w:val="none"/>
        </w:rPr>
        <w:t>、乙方义务</w:t>
      </w:r>
    </w:p>
    <w:p w14:paraId="1F0F1A6C">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1.</w:t>
      </w:r>
      <w:r>
        <w:rPr>
          <w:rFonts w:hint="eastAsia" w:ascii="Calibri" w:hAnsi="Calibri" w:eastAsia="宋体" w:cs="Times New Roman"/>
          <w:color w:val="auto"/>
          <w:szCs w:val="21"/>
          <w:highlight w:val="none"/>
        </w:rPr>
        <w:t>收到甲方相关技术资料后，制定施测方案，并在进场前一周报甲方审核；</w:t>
      </w:r>
    </w:p>
    <w:p w14:paraId="038C85D4">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2.</w:t>
      </w:r>
      <w:r>
        <w:rPr>
          <w:rFonts w:hint="eastAsia" w:ascii="Calibri" w:hAnsi="Calibri" w:eastAsia="宋体" w:cs="Times New Roman"/>
          <w:color w:val="auto"/>
          <w:szCs w:val="21"/>
          <w:highlight w:val="none"/>
        </w:rPr>
        <w:t>与甲方共同确定观测基准点的平面位置，必要时协助甲方确定观测点的位置；</w:t>
      </w:r>
    </w:p>
    <w:p w14:paraId="2C5CEFE0">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3.</w:t>
      </w:r>
      <w:r>
        <w:rPr>
          <w:rFonts w:hint="eastAsia" w:ascii="Calibri" w:hAnsi="Calibri" w:eastAsia="宋体" w:cs="Times New Roman"/>
          <w:color w:val="auto"/>
          <w:szCs w:val="21"/>
          <w:highlight w:val="none"/>
        </w:rPr>
        <w:t>埋设沉降观测的基准点和观测点；</w:t>
      </w:r>
    </w:p>
    <w:p w14:paraId="42B4A801">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4.</w:t>
      </w:r>
      <w:r>
        <w:rPr>
          <w:rFonts w:hint="eastAsia" w:ascii="Calibri" w:hAnsi="Calibri" w:eastAsia="宋体" w:cs="Times New Roman"/>
          <w:color w:val="auto"/>
          <w:szCs w:val="21"/>
          <w:highlight w:val="none"/>
        </w:rPr>
        <w:t>对甲方提供的原始测量点进行复测验收确认；</w:t>
      </w:r>
    </w:p>
    <w:p w14:paraId="69DE5BCB">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5.</w:t>
      </w:r>
      <w:r>
        <w:rPr>
          <w:rFonts w:hint="eastAsia" w:ascii="Calibri" w:hAnsi="Calibri" w:eastAsia="宋体" w:cs="Times New Roman"/>
          <w:color w:val="auto"/>
          <w:szCs w:val="21"/>
          <w:highlight w:val="none"/>
        </w:rPr>
        <w:t>建筑物沉降观测并分期分栋出具相应的成果性文件；测绘建筑物沉降观测基准点、观测点平面图；</w:t>
      </w:r>
    </w:p>
    <w:p w14:paraId="543F80F9">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6.</w:t>
      </w:r>
      <w:r>
        <w:rPr>
          <w:rFonts w:hint="eastAsia" w:ascii="Calibri" w:hAnsi="Calibri" w:eastAsia="宋体" w:cs="Times New Roman"/>
          <w:color w:val="auto"/>
          <w:szCs w:val="21"/>
          <w:highlight w:val="none"/>
        </w:rPr>
        <w:t>做好安全工作，遵守甲方施工现场管理的规定，提供现场施测人员在作业时的安全保障及措施，承担在观测过程中的防火、防盗、防止事故发生等安全责任及相应的费用，对施测人员在作业过程中发生的安全事故承担全部责任，若给甲方</w:t>
      </w:r>
      <w:r>
        <w:rPr>
          <w:rFonts w:hint="eastAsia" w:ascii="Calibri" w:hAnsi="Calibri" w:eastAsia="宋体" w:cs="Times New Roman"/>
          <w:color w:val="auto"/>
          <w:szCs w:val="21"/>
          <w:highlight w:val="none"/>
          <w:lang w:eastAsia="zh-CN"/>
        </w:rPr>
        <w:t>造成</w:t>
      </w:r>
      <w:r>
        <w:rPr>
          <w:rFonts w:hint="eastAsia" w:ascii="Calibri" w:hAnsi="Calibri" w:eastAsia="宋体" w:cs="Times New Roman"/>
          <w:color w:val="auto"/>
          <w:szCs w:val="21"/>
          <w:highlight w:val="none"/>
        </w:rPr>
        <w:t>损失的，还应承担赔偿责任；</w:t>
      </w:r>
    </w:p>
    <w:p w14:paraId="6D88DBDE">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7.</w:t>
      </w:r>
      <w:r>
        <w:rPr>
          <w:rFonts w:hint="eastAsia" w:ascii="Calibri" w:hAnsi="Calibri" w:eastAsia="宋体" w:cs="Times New Roman"/>
          <w:color w:val="auto"/>
          <w:szCs w:val="21"/>
          <w:highlight w:val="none"/>
        </w:rPr>
        <w:t>乙方应做到文明工作，处理好与其他在建专业施工队伍的关系，同时遵守甲方现场施工的管理规定，保证工作场地的清洁卫生符合相关环境卫生管理的规定，做到工完场清；</w:t>
      </w:r>
    </w:p>
    <w:p w14:paraId="0481230E">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8.</w:t>
      </w:r>
      <w:r>
        <w:rPr>
          <w:rFonts w:hint="eastAsia" w:ascii="Calibri" w:hAnsi="Calibri" w:eastAsia="宋体" w:cs="Times New Roman"/>
          <w:color w:val="auto"/>
          <w:szCs w:val="21"/>
          <w:highlight w:val="none"/>
        </w:rPr>
        <w:t>乙方如在观测过程中损坏甲方现场的其他工程成品或半成品的，乙方应赔偿因此给甲方造成的全部损失。</w:t>
      </w:r>
    </w:p>
    <w:p w14:paraId="2C97F68E">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9.</w:t>
      </w:r>
      <w:r>
        <w:rPr>
          <w:rFonts w:hint="eastAsia" w:ascii="Calibri" w:hAnsi="Calibri" w:eastAsia="宋体" w:cs="Times New Roman"/>
          <w:color w:val="auto"/>
          <w:szCs w:val="21"/>
          <w:highlight w:val="none"/>
        </w:rPr>
        <w:t>未经甲方书面同意，乙方不得将本项目的结果、数据泄露给第三方。</w:t>
      </w:r>
    </w:p>
    <w:p w14:paraId="6832D843">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eastAsia="zh-CN"/>
        </w:rPr>
        <w:t>八</w:t>
      </w:r>
      <w:r>
        <w:rPr>
          <w:rFonts w:hint="eastAsia" w:ascii="Calibri" w:hAnsi="Calibri" w:eastAsia="宋体" w:cs="Times New Roman"/>
          <w:color w:val="auto"/>
          <w:szCs w:val="21"/>
          <w:highlight w:val="none"/>
        </w:rPr>
        <w:t>、处罚措施</w:t>
      </w:r>
    </w:p>
    <w:p w14:paraId="6E8CE6A2">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1</w:t>
      </w:r>
      <w:r>
        <w:rPr>
          <w:rFonts w:hint="eastAsia" w:ascii="Calibri" w:hAnsi="Calibri" w:eastAsia="宋体" w:cs="Times New Roman"/>
          <w:color w:val="auto"/>
          <w:szCs w:val="21"/>
          <w:highlight w:val="none"/>
          <w:lang w:val="en-US" w:eastAsia="zh-CN"/>
        </w:rPr>
        <w:t>.</w:t>
      </w:r>
      <w:r>
        <w:rPr>
          <w:rFonts w:hint="eastAsia" w:ascii="Calibri" w:hAnsi="Calibri" w:eastAsia="宋体" w:cs="Times New Roman"/>
          <w:color w:val="auto"/>
          <w:szCs w:val="21"/>
          <w:highlight w:val="none"/>
        </w:rPr>
        <w:t>中标人不得擅自更换项目负责人、技术负责人</w:t>
      </w:r>
      <w:r>
        <w:rPr>
          <w:rFonts w:hint="eastAsia" w:ascii="Calibri" w:hAnsi="Calibri" w:cs="Times New Roman"/>
          <w:color w:val="auto"/>
          <w:szCs w:val="21"/>
          <w:highlight w:val="none"/>
          <w:lang w:eastAsia="zh-CN"/>
        </w:rPr>
        <w:t>及</w:t>
      </w:r>
      <w:r>
        <w:rPr>
          <w:rFonts w:hint="eastAsia" w:ascii="Calibri" w:hAnsi="Calibri" w:eastAsia="宋体" w:cs="Times New Roman"/>
          <w:color w:val="auto"/>
          <w:szCs w:val="21"/>
          <w:highlight w:val="none"/>
        </w:rPr>
        <w:t>项目组成员，如确需更换，应提前</w:t>
      </w:r>
      <w:r>
        <w:rPr>
          <w:rFonts w:hint="eastAsia" w:ascii="Calibri" w:hAnsi="Calibri" w:eastAsia="宋体" w:cs="Times New Roman"/>
          <w:color w:val="auto"/>
          <w:szCs w:val="21"/>
          <w:highlight w:val="none"/>
          <w:lang w:val="en-US" w:eastAsia="zh-CN"/>
        </w:rPr>
        <w:t>20</w:t>
      </w:r>
      <w:r>
        <w:rPr>
          <w:rFonts w:hint="eastAsia" w:ascii="Calibri" w:hAnsi="Calibri" w:eastAsia="宋体" w:cs="Times New Roman"/>
          <w:color w:val="auto"/>
          <w:szCs w:val="21"/>
          <w:highlight w:val="none"/>
        </w:rPr>
        <w:t>天报告业主，经同意后方可更换，更换后的项目负责人、技术负责人及项目组成员的资格、阅历及经验不得低于更换前的项目负责人、技术负责人及项目组成员，同时对项目负责人按</w:t>
      </w:r>
      <w:r>
        <w:rPr>
          <w:rFonts w:hint="eastAsia" w:ascii="Calibri" w:hAnsi="Calibri" w:eastAsia="宋体" w:cs="Times New Roman"/>
          <w:color w:val="auto"/>
          <w:szCs w:val="21"/>
          <w:highlight w:val="none"/>
          <w:lang w:val="en-US" w:eastAsia="zh-CN"/>
        </w:rPr>
        <w:t>3000</w:t>
      </w:r>
      <w:r>
        <w:rPr>
          <w:rFonts w:hint="eastAsia" w:ascii="Calibri" w:hAnsi="Calibri" w:eastAsia="宋体" w:cs="Times New Roman"/>
          <w:color w:val="auto"/>
          <w:szCs w:val="21"/>
          <w:highlight w:val="none"/>
        </w:rPr>
        <w:t>元/人•次处罚；</w:t>
      </w:r>
      <w:r>
        <w:rPr>
          <w:rFonts w:hint="eastAsia" w:ascii="Calibri" w:hAnsi="Calibri" w:cs="Times New Roman"/>
          <w:color w:val="auto"/>
          <w:szCs w:val="21"/>
          <w:highlight w:val="none"/>
          <w:lang w:eastAsia="zh-CN"/>
        </w:rPr>
        <w:t>技术负责人按</w:t>
      </w:r>
      <w:r>
        <w:rPr>
          <w:rFonts w:hint="eastAsia" w:ascii="Calibri" w:hAnsi="Calibri" w:cs="Times New Roman"/>
          <w:color w:val="auto"/>
          <w:szCs w:val="21"/>
          <w:highlight w:val="none"/>
          <w:lang w:val="en-US" w:eastAsia="zh-CN"/>
        </w:rPr>
        <w:t>1000</w:t>
      </w:r>
      <w:r>
        <w:rPr>
          <w:rFonts w:hint="eastAsia" w:ascii="Calibri" w:hAnsi="Calibri" w:cs="Times New Roman"/>
          <w:color w:val="auto"/>
          <w:szCs w:val="21"/>
          <w:highlight w:val="none"/>
          <w:lang w:eastAsia="zh-CN"/>
        </w:rPr>
        <w:t>元/人•次处罚；</w:t>
      </w:r>
      <w:r>
        <w:rPr>
          <w:rFonts w:hint="eastAsia" w:ascii="Calibri" w:hAnsi="Calibri" w:eastAsia="宋体" w:cs="Times New Roman"/>
          <w:color w:val="auto"/>
          <w:szCs w:val="21"/>
          <w:highlight w:val="none"/>
        </w:rPr>
        <w:t>项目组成员按</w:t>
      </w:r>
      <w:r>
        <w:rPr>
          <w:rFonts w:hint="eastAsia" w:ascii="Calibri" w:hAnsi="Calibri" w:eastAsia="宋体" w:cs="Times New Roman"/>
          <w:color w:val="auto"/>
          <w:szCs w:val="21"/>
          <w:highlight w:val="none"/>
          <w:lang w:val="en-US" w:eastAsia="zh-CN"/>
        </w:rPr>
        <w:t>500</w:t>
      </w:r>
      <w:r>
        <w:rPr>
          <w:rFonts w:hint="eastAsia" w:ascii="Calibri" w:hAnsi="Calibri" w:eastAsia="宋体" w:cs="Times New Roman"/>
          <w:color w:val="auto"/>
          <w:szCs w:val="21"/>
          <w:highlight w:val="none"/>
        </w:rPr>
        <w:t>元/人次处罚；</w:t>
      </w:r>
    </w:p>
    <w:p w14:paraId="619F843E">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2</w:t>
      </w:r>
      <w:r>
        <w:rPr>
          <w:rFonts w:hint="eastAsia" w:ascii="Calibri" w:hAnsi="Calibri" w:eastAsia="宋体" w:cs="Times New Roman"/>
          <w:color w:val="auto"/>
          <w:szCs w:val="21"/>
          <w:highlight w:val="none"/>
          <w:lang w:val="en-US" w:eastAsia="zh-CN"/>
        </w:rPr>
        <w:t>.</w:t>
      </w:r>
      <w:r>
        <w:rPr>
          <w:rFonts w:hint="eastAsia" w:ascii="Calibri" w:hAnsi="Calibri" w:eastAsia="宋体" w:cs="Times New Roman"/>
          <w:color w:val="auto"/>
          <w:szCs w:val="21"/>
          <w:highlight w:val="none"/>
        </w:rPr>
        <w:t>项目组成员无故缺岗，处罚违约金</w:t>
      </w:r>
      <w:r>
        <w:rPr>
          <w:rFonts w:hint="eastAsia" w:ascii="Calibri" w:hAnsi="Calibri" w:eastAsia="宋体" w:cs="Times New Roman"/>
          <w:color w:val="auto"/>
          <w:szCs w:val="21"/>
          <w:highlight w:val="none"/>
          <w:lang w:val="en-US" w:eastAsia="zh-CN"/>
        </w:rPr>
        <w:t>500</w:t>
      </w:r>
      <w:r>
        <w:rPr>
          <w:rFonts w:hint="eastAsia" w:ascii="Calibri" w:hAnsi="Calibri" w:eastAsia="宋体" w:cs="Times New Roman"/>
          <w:color w:val="auto"/>
          <w:szCs w:val="21"/>
          <w:highlight w:val="none"/>
        </w:rPr>
        <w:t>元/人次。未经招标人同意，中标人不得擅自更换上述人员，否则委托人有权终止合同，由此造成的损失由中标人承担，并赔偿可能给招标人造成的损失。</w:t>
      </w:r>
    </w:p>
    <w:p w14:paraId="6D22A7F8">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3</w:t>
      </w:r>
      <w:r>
        <w:rPr>
          <w:rFonts w:hint="eastAsia" w:ascii="Calibri" w:hAnsi="Calibri" w:eastAsia="宋体" w:cs="Times New Roman"/>
          <w:color w:val="auto"/>
          <w:szCs w:val="21"/>
          <w:highlight w:val="none"/>
          <w:lang w:val="en-US" w:eastAsia="zh-CN"/>
        </w:rPr>
        <w:t>.</w:t>
      </w:r>
      <w:r>
        <w:rPr>
          <w:rFonts w:hint="eastAsia" w:ascii="Calibri" w:hAnsi="Calibri" w:eastAsia="宋体" w:cs="Times New Roman"/>
          <w:color w:val="auto"/>
          <w:szCs w:val="21"/>
          <w:highlight w:val="none"/>
        </w:rPr>
        <w:t>工程发生重大质量事故（5万元以上10万元内），甲方有权拒绝支付余款</w:t>
      </w:r>
      <w:r>
        <w:rPr>
          <w:rFonts w:hint="eastAsia" w:ascii="Calibri" w:hAnsi="Calibri" w:eastAsia="宋体" w:cs="Times New Roman"/>
          <w:color w:val="auto"/>
          <w:szCs w:val="21"/>
          <w:highlight w:val="none"/>
          <w:lang w:eastAsia="zh-CN"/>
        </w:rPr>
        <w:t>，并</w:t>
      </w:r>
      <w:r>
        <w:rPr>
          <w:rFonts w:hint="eastAsia" w:ascii="Calibri" w:hAnsi="Calibri" w:eastAsia="宋体" w:cs="Times New Roman"/>
          <w:color w:val="auto"/>
          <w:szCs w:val="21"/>
          <w:highlight w:val="none"/>
        </w:rPr>
        <w:t>追究其相应责任，并报相关建设主管部门严肃处理。工程发生重大质量事故（10万元以上），甲方将依据国家有关规定，严格追究其责任。</w:t>
      </w:r>
    </w:p>
    <w:p w14:paraId="184FBF17">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4</w:t>
      </w:r>
      <w:r>
        <w:rPr>
          <w:rFonts w:hint="eastAsia" w:ascii="Calibri" w:hAnsi="Calibri" w:eastAsia="宋体" w:cs="Times New Roman"/>
          <w:color w:val="auto"/>
          <w:szCs w:val="21"/>
          <w:highlight w:val="none"/>
          <w:lang w:val="en-US" w:eastAsia="zh-CN"/>
        </w:rPr>
        <w:t>.</w:t>
      </w:r>
      <w:r>
        <w:rPr>
          <w:rFonts w:hint="eastAsia" w:ascii="Calibri" w:hAnsi="Calibri" w:eastAsia="宋体" w:cs="Times New Roman"/>
          <w:color w:val="auto"/>
          <w:szCs w:val="21"/>
          <w:highlight w:val="none"/>
        </w:rPr>
        <w:t>以上违约情况，甲方有权解除项目服务协议，拒付服务费用，并承担甲方委托其它有资质单位对该工程已完工程量所</w:t>
      </w:r>
      <w:r>
        <w:rPr>
          <w:rFonts w:hint="eastAsia" w:ascii="Calibri" w:hAnsi="Calibri" w:eastAsia="宋体" w:cs="Times New Roman"/>
          <w:color w:val="auto"/>
          <w:szCs w:val="21"/>
          <w:highlight w:val="none"/>
          <w:lang w:eastAsia="zh-CN"/>
        </w:rPr>
        <w:t>做</w:t>
      </w:r>
      <w:r>
        <w:rPr>
          <w:rFonts w:hint="eastAsia" w:ascii="Calibri" w:hAnsi="Calibri" w:eastAsia="宋体" w:cs="Times New Roman"/>
          <w:color w:val="auto"/>
          <w:szCs w:val="21"/>
          <w:highlight w:val="none"/>
        </w:rPr>
        <w:t>的综合评定费用；若给招标人或工程项目造成损失的由</w:t>
      </w:r>
      <w:r>
        <w:rPr>
          <w:rFonts w:hint="eastAsia" w:ascii="Calibri" w:hAnsi="Calibri" w:eastAsia="宋体" w:cs="Times New Roman"/>
          <w:color w:val="auto"/>
          <w:szCs w:val="21"/>
          <w:highlight w:val="none"/>
          <w:lang w:eastAsia="zh-CN"/>
        </w:rPr>
        <w:t>乙方</w:t>
      </w:r>
      <w:r>
        <w:rPr>
          <w:rFonts w:hint="eastAsia" w:ascii="Calibri" w:hAnsi="Calibri" w:eastAsia="宋体" w:cs="Times New Roman"/>
          <w:color w:val="auto"/>
          <w:szCs w:val="21"/>
          <w:highlight w:val="none"/>
        </w:rPr>
        <w:t>予以赔偿。</w:t>
      </w:r>
    </w:p>
    <w:p w14:paraId="784C7C3B">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eastAsia="zh-CN"/>
        </w:rPr>
        <w:t>九</w:t>
      </w:r>
      <w:r>
        <w:rPr>
          <w:rFonts w:hint="eastAsia" w:ascii="Calibri" w:hAnsi="Calibri" w:eastAsia="宋体" w:cs="Times New Roman"/>
          <w:color w:val="auto"/>
          <w:szCs w:val="21"/>
          <w:highlight w:val="none"/>
        </w:rPr>
        <w:t>、相关要求</w:t>
      </w:r>
    </w:p>
    <w:p w14:paraId="7039A96B">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1.</w:t>
      </w:r>
      <w:r>
        <w:rPr>
          <w:rFonts w:hint="eastAsia" w:ascii="Calibri" w:hAnsi="Calibri" w:eastAsia="宋体" w:cs="Times New Roman"/>
          <w:color w:val="auto"/>
          <w:szCs w:val="21"/>
          <w:highlight w:val="none"/>
        </w:rPr>
        <w:t>合同生效后，无正当理由，乙方擅自中途终止解除合同，乙方应退还甲方支付的费用并向甲方赔偿合同总价20%的资金直接损失费；甲方无正当理由不履行合同，乙方不予退回已付款，并由甲方赔偿其直接损失；</w:t>
      </w:r>
    </w:p>
    <w:p w14:paraId="56DAF326">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2.</w:t>
      </w:r>
      <w:r>
        <w:rPr>
          <w:rFonts w:hint="eastAsia" w:ascii="Calibri" w:hAnsi="Calibri" w:eastAsia="宋体" w:cs="Times New Roman"/>
          <w:color w:val="auto"/>
          <w:szCs w:val="21"/>
          <w:highlight w:val="none"/>
        </w:rPr>
        <w:t>因乙方观测质量不符合相关规范标准规定的，造成沉降观测数据不能准确真实反映建筑物沉降量，由乙方无条件继续完善工作，并承担对甲方造成的相应损失。</w:t>
      </w:r>
    </w:p>
    <w:p w14:paraId="351EC1B8">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3.</w:t>
      </w:r>
      <w:r>
        <w:rPr>
          <w:rFonts w:hint="eastAsia" w:ascii="Calibri" w:hAnsi="Calibri" w:eastAsia="宋体" w:cs="Times New Roman"/>
          <w:color w:val="auto"/>
          <w:szCs w:val="21"/>
          <w:highlight w:val="none"/>
        </w:rPr>
        <w:t>乙方不能按甲方通知的时间进行观测，造成工程停工、窝工等延期的，由乙方无条件继续完善工作，每逾期一天，按照合同总价的千分之三赔偿资金直接损失费，并承担对甲方造成的相应损失。</w:t>
      </w:r>
    </w:p>
    <w:p w14:paraId="0D060324">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4.</w:t>
      </w:r>
      <w:r>
        <w:rPr>
          <w:rFonts w:hint="eastAsia" w:ascii="Calibri" w:hAnsi="Calibri" w:eastAsia="宋体" w:cs="Times New Roman"/>
          <w:color w:val="auto"/>
          <w:szCs w:val="21"/>
          <w:highlight w:val="none"/>
        </w:rPr>
        <w:t>由于乙方未按期提供验收或施工所需的沉降观测数据资料而造成的延期完工验收或竣工，每逾期一天，按照合同总价的千分之三赔偿资金直接损失费，并赔偿甲方因此而造成的损失。</w:t>
      </w:r>
    </w:p>
    <w:p w14:paraId="7B0A912B">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5.</w:t>
      </w:r>
      <w:r>
        <w:rPr>
          <w:rFonts w:hint="eastAsia" w:ascii="Calibri" w:hAnsi="Calibri" w:eastAsia="宋体" w:cs="Times New Roman"/>
          <w:color w:val="auto"/>
          <w:szCs w:val="21"/>
          <w:highlight w:val="none"/>
        </w:rPr>
        <w:t>乙方未及时履行本合同规定的义务或未按国家有关规范进行观测的，甲方有权解除合同，甲方解除合同的，乙方应退还甲方已支付的费用，并按合同总额的20%向甲方承担资金直接损失费用，给甲方造成损失的，还应当承担赔偿责任。</w:t>
      </w:r>
    </w:p>
    <w:p w14:paraId="2C1BCE85">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6.</w:t>
      </w:r>
      <w:r>
        <w:rPr>
          <w:rFonts w:hint="eastAsia" w:ascii="Calibri" w:hAnsi="Calibri" w:eastAsia="宋体" w:cs="Times New Roman"/>
          <w:color w:val="auto"/>
          <w:szCs w:val="21"/>
          <w:highlight w:val="none"/>
        </w:rPr>
        <w:t>乙方擅自中途更换观测工作主要负责人，或乙方现场代表不配合甲方工作或不能胜任工作的，甲方有权要求乙方更换相应人员，乙方应在甲方要求更换之日起三日内更换，否则，甲方有权以每次扣除酬金2000元，并要求停工或解除合同，由此造成的观测期限延误的违约责任及甲方的损失由乙方承担。</w:t>
      </w:r>
    </w:p>
    <w:p w14:paraId="6D78B0BF">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7.</w:t>
      </w:r>
      <w:r>
        <w:rPr>
          <w:rFonts w:hint="eastAsia" w:ascii="Calibri" w:hAnsi="Calibri" w:eastAsia="宋体" w:cs="Times New Roman"/>
          <w:color w:val="auto"/>
          <w:szCs w:val="21"/>
          <w:highlight w:val="none"/>
        </w:rPr>
        <w:t>乙方人员在施工区内出现打架斗殴、损坏工程成品、安全事故、违反甲方工程管理规定等情况时，甲方有权每次扣除酬金2000元，由此给甲方造成损失的，还应予以。</w:t>
      </w:r>
    </w:p>
    <w:p w14:paraId="6A5947D0">
      <w:pPr>
        <w:wordWrap w:val="0"/>
        <w:spacing w:line="460" w:lineRule="exact"/>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十、其他</w:t>
      </w:r>
    </w:p>
    <w:p w14:paraId="35C602F8">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val="en-US" w:eastAsia="zh-CN"/>
        </w:rPr>
        <w:t>1.</w:t>
      </w:r>
      <w:r>
        <w:rPr>
          <w:rFonts w:hint="eastAsia" w:ascii="Calibri" w:hAnsi="Calibri" w:eastAsia="宋体" w:cs="Times New Roman"/>
          <w:color w:val="auto"/>
          <w:szCs w:val="21"/>
          <w:highlight w:val="none"/>
        </w:rPr>
        <w:t>甲</w:t>
      </w:r>
      <w:r>
        <w:rPr>
          <w:rFonts w:hint="eastAsia" w:ascii="Calibri" w:hAnsi="Calibri" w:eastAsia="宋体" w:cs="Times New Roman"/>
          <w:color w:val="auto"/>
          <w:szCs w:val="21"/>
          <w:highlight w:val="none"/>
          <w:lang w:eastAsia="zh-CN"/>
        </w:rPr>
        <w:t>方和</w:t>
      </w:r>
      <w:r>
        <w:rPr>
          <w:rFonts w:hint="eastAsia" w:ascii="Calibri" w:hAnsi="Calibri" w:eastAsia="宋体" w:cs="Times New Roman"/>
          <w:color w:val="auto"/>
          <w:szCs w:val="21"/>
          <w:highlight w:val="none"/>
        </w:rPr>
        <w:t>乙方在履行合同时发生争议，可以和解或者要求有关主管部门调解。当事人不愿和解、调解或者和解、调解不成的，任何一方可以向滁州市南谯区人民法院起诉</w:t>
      </w:r>
      <w:r>
        <w:rPr>
          <w:rFonts w:hint="eastAsia" w:ascii="Calibri" w:hAnsi="Calibri" w:eastAsia="宋体" w:cs="Times New Roman"/>
          <w:color w:val="auto"/>
          <w:szCs w:val="21"/>
          <w:highlight w:val="none"/>
          <w:lang w:eastAsia="zh-CN"/>
        </w:rPr>
        <w:t>。</w:t>
      </w:r>
    </w:p>
    <w:p w14:paraId="79D1457E">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val="en-US" w:eastAsia="zh-CN"/>
        </w:rPr>
        <w:t>2.</w:t>
      </w:r>
      <w:r>
        <w:rPr>
          <w:rFonts w:hint="eastAsia" w:ascii="Calibri" w:hAnsi="Calibri" w:eastAsia="宋体" w:cs="Times New Roman"/>
          <w:color w:val="auto"/>
          <w:szCs w:val="21"/>
          <w:highlight w:val="none"/>
          <w:lang w:eastAsia="zh-CN"/>
        </w:rPr>
        <w:t>本合同自双方签字并盖章之日起生效。</w:t>
      </w:r>
    </w:p>
    <w:p w14:paraId="7696602F">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val="en-US" w:eastAsia="zh-CN"/>
        </w:rPr>
        <w:t>3.</w:t>
      </w:r>
      <w:r>
        <w:rPr>
          <w:rFonts w:hint="eastAsia" w:ascii="Calibri" w:hAnsi="Calibri" w:eastAsia="宋体" w:cs="Times New Roman"/>
          <w:color w:val="auto"/>
          <w:szCs w:val="21"/>
          <w:highlight w:val="none"/>
          <w:lang w:eastAsia="zh-CN"/>
        </w:rPr>
        <w:t>合同份数：本合同一式</w:t>
      </w:r>
      <w:r>
        <w:rPr>
          <w:rFonts w:hint="eastAsia" w:ascii="Calibri" w:hAnsi="Calibri" w:eastAsia="宋体" w:cs="Times New Roman"/>
          <w:color w:val="auto"/>
          <w:szCs w:val="21"/>
          <w:highlight w:val="none"/>
          <w:u w:val="single"/>
          <w:lang w:eastAsia="zh-CN"/>
        </w:rPr>
        <w:t xml:space="preserve">   </w:t>
      </w:r>
      <w:r>
        <w:rPr>
          <w:rFonts w:hint="eastAsia" w:ascii="Calibri" w:hAnsi="Calibri" w:eastAsia="宋体" w:cs="Times New Roman"/>
          <w:color w:val="auto"/>
          <w:szCs w:val="21"/>
          <w:highlight w:val="none"/>
          <w:lang w:eastAsia="zh-CN"/>
        </w:rPr>
        <w:t>份，甲方保留</w:t>
      </w:r>
      <w:r>
        <w:rPr>
          <w:rFonts w:hint="eastAsia" w:ascii="Calibri" w:hAnsi="Calibri" w:eastAsia="宋体" w:cs="Times New Roman"/>
          <w:color w:val="auto"/>
          <w:szCs w:val="21"/>
          <w:highlight w:val="none"/>
          <w:u w:val="single"/>
          <w:lang w:eastAsia="zh-CN"/>
        </w:rPr>
        <w:t xml:space="preserve">   </w:t>
      </w:r>
      <w:r>
        <w:rPr>
          <w:rFonts w:hint="eastAsia" w:ascii="Calibri" w:hAnsi="Calibri" w:eastAsia="宋体" w:cs="Times New Roman"/>
          <w:color w:val="auto"/>
          <w:szCs w:val="21"/>
          <w:highlight w:val="none"/>
          <w:lang w:eastAsia="zh-CN"/>
        </w:rPr>
        <w:t>份，乙方保留</w:t>
      </w:r>
      <w:r>
        <w:rPr>
          <w:rFonts w:hint="eastAsia" w:ascii="Calibri" w:hAnsi="Calibri" w:eastAsia="宋体" w:cs="Times New Roman"/>
          <w:color w:val="auto"/>
          <w:szCs w:val="21"/>
          <w:highlight w:val="none"/>
          <w:u w:val="single"/>
          <w:lang w:eastAsia="zh-CN"/>
        </w:rPr>
        <w:t xml:space="preserve">   </w:t>
      </w:r>
      <w:r>
        <w:rPr>
          <w:rFonts w:hint="eastAsia" w:ascii="Calibri" w:hAnsi="Calibri" w:eastAsia="宋体" w:cs="Times New Roman"/>
          <w:color w:val="auto"/>
          <w:szCs w:val="21"/>
          <w:highlight w:val="none"/>
          <w:lang w:eastAsia="zh-CN"/>
        </w:rPr>
        <w:t>份。</w:t>
      </w:r>
    </w:p>
    <w:p w14:paraId="34EC0B4D">
      <w:pPr>
        <w:wordWrap w:val="0"/>
        <w:spacing w:line="460" w:lineRule="exact"/>
        <w:ind w:firstLine="420" w:firstLineChars="200"/>
        <w:rPr>
          <w:rFonts w:hint="eastAsia" w:ascii="Calibri" w:hAnsi="Calibri" w:eastAsia="宋体" w:cs="Times New Roman"/>
          <w:color w:val="auto"/>
          <w:szCs w:val="21"/>
          <w:highlight w:val="none"/>
          <w:lang w:eastAsia="zh-CN"/>
        </w:rPr>
      </w:pPr>
    </w:p>
    <w:p w14:paraId="23F93D51">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委托人（甲方）：   （盖章）    受托人（乙方）：  （盖章） </w:t>
      </w:r>
    </w:p>
    <w:p w14:paraId="11C2AB95">
      <w:pPr>
        <w:wordWrap w:val="0"/>
        <w:spacing w:line="460" w:lineRule="exact"/>
        <w:ind w:firstLine="420" w:firstLineChars="200"/>
        <w:rPr>
          <w:rFonts w:hint="eastAsia" w:ascii="Calibri" w:hAnsi="Calibri" w:eastAsia="宋体" w:cs="Times New Roman"/>
          <w:color w:val="auto"/>
          <w:szCs w:val="21"/>
          <w:highlight w:val="none"/>
          <w:lang w:eastAsia="zh-CN"/>
        </w:rPr>
      </w:pPr>
    </w:p>
    <w:p w14:paraId="14DA5271">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法定代表人：   （签名）      法定代表人： （签名）     </w:t>
      </w:r>
    </w:p>
    <w:p w14:paraId="671DC59F">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或授权代表人：  （签名）     或授权代表人： （签名）   </w:t>
      </w:r>
    </w:p>
    <w:p w14:paraId="587BE708">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单位地址：                   单位地址：                </w:t>
      </w:r>
    </w:p>
    <w:p w14:paraId="326952E1">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邮政编码：                   邮政编码：                </w:t>
      </w:r>
    </w:p>
    <w:p w14:paraId="657CED04">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电    话：                   电    话：                </w:t>
      </w:r>
    </w:p>
    <w:p w14:paraId="43674157">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电子信箱：                   电子信箱：                </w:t>
      </w:r>
    </w:p>
    <w:p w14:paraId="02B92818">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传    真：                   传    真：                </w:t>
      </w:r>
    </w:p>
    <w:p w14:paraId="6A832C22">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开户银行：                   开户银行：                </w:t>
      </w:r>
    </w:p>
    <w:p w14:paraId="516B56B2">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账    号：                   账    号：                </w:t>
      </w:r>
    </w:p>
    <w:p w14:paraId="0A3985DA">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 xml:space="preserve">签订地点：                  </w:t>
      </w:r>
    </w:p>
    <w:p w14:paraId="3183C5FE">
      <w:pPr>
        <w:wordWrap w:val="0"/>
        <w:spacing w:line="460" w:lineRule="exact"/>
        <w:ind w:firstLine="420" w:firstLineChars="200"/>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lang w:eastAsia="zh-CN"/>
        </w:rPr>
        <w:t>签订时间：      年   月   日</w:t>
      </w:r>
    </w:p>
    <w:p w14:paraId="530E604D">
      <w:pPr>
        <w:keepNext w:val="0"/>
        <w:keepLines w:val="0"/>
        <w:pageBreakBefore w:val="0"/>
        <w:widowControl w:val="0"/>
        <w:kinsoku/>
        <w:wordWrap/>
        <w:overflowPunct/>
        <w:topLinePunct w:val="0"/>
        <w:autoSpaceDE/>
        <w:autoSpaceDN/>
        <w:bidi w:val="0"/>
        <w:adjustRightInd/>
        <w:snapToGrid/>
        <w:spacing w:line="500" w:lineRule="exact"/>
        <w:ind w:firstLine="840" w:firstLineChars="400"/>
        <w:textAlignment w:val="auto"/>
        <w:rPr>
          <w:rFonts w:hint="eastAsia" w:ascii="宋体" w:hAnsi="宋体" w:eastAsia="宋体" w:cs="宋体"/>
          <w:color w:val="auto"/>
          <w:sz w:val="21"/>
          <w:szCs w:val="21"/>
          <w:highlight w:val="none"/>
        </w:rPr>
      </w:pPr>
    </w:p>
    <w:bookmarkEnd w:id="55"/>
    <w:p w14:paraId="5CCA1C5A">
      <w:pPr>
        <w:rPr>
          <w:rFonts w:hint="eastAsia" w:ascii="宋体" w:hAnsi="宋体" w:cs="宋体"/>
          <w:color w:val="auto"/>
          <w:sz w:val="32"/>
          <w:szCs w:val="32"/>
          <w:highlight w:val="none"/>
          <w:lang w:val="en-US" w:eastAsia="zh-CN"/>
        </w:rPr>
      </w:pPr>
      <w:r>
        <w:rPr>
          <w:rFonts w:hint="eastAsia" w:ascii="宋体" w:hAnsi="宋体" w:cs="宋体"/>
          <w:color w:val="auto"/>
          <w:sz w:val="32"/>
          <w:szCs w:val="32"/>
          <w:highlight w:val="none"/>
          <w:lang w:val="en-US" w:eastAsia="zh-CN"/>
        </w:rPr>
        <w:br w:type="page"/>
      </w:r>
    </w:p>
    <w:p w14:paraId="3A93980D">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第六章 投标文件格式</w:t>
      </w:r>
    </w:p>
    <w:p w14:paraId="74EA399F">
      <w:pPr>
        <w:jc w:val="center"/>
        <w:rPr>
          <w:rFonts w:hint="eastAsia" w:ascii="宋体" w:hAnsi="宋体" w:cs="宋体"/>
          <w:color w:val="auto"/>
          <w:sz w:val="20"/>
          <w:highlight w:val="none"/>
        </w:rPr>
      </w:pPr>
    </w:p>
    <w:p w14:paraId="43E5989B">
      <w:pPr>
        <w:jc w:val="center"/>
        <w:rPr>
          <w:rFonts w:hint="eastAsia" w:ascii="宋体" w:hAnsi="宋体" w:cs="宋体"/>
          <w:color w:val="auto"/>
          <w:sz w:val="20"/>
          <w:highlight w:val="none"/>
        </w:rPr>
      </w:pPr>
    </w:p>
    <w:p w14:paraId="2A3FAACD">
      <w:pPr>
        <w:jc w:val="center"/>
        <w:rPr>
          <w:rFonts w:hint="eastAsia" w:ascii="宋体" w:hAnsi="宋体" w:cs="宋体"/>
          <w:color w:val="auto"/>
          <w:sz w:val="32"/>
          <w:szCs w:val="32"/>
          <w:highlight w:val="none"/>
          <w:u w:val="single"/>
        </w:rPr>
      </w:pPr>
    </w:p>
    <w:p w14:paraId="6077112B">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项目名称</w:t>
      </w:r>
    </w:p>
    <w:p w14:paraId="05E427CC">
      <w:pPr>
        <w:rPr>
          <w:rFonts w:hint="eastAsia" w:ascii="宋体" w:hAnsi="宋体" w:cs="宋体"/>
          <w:color w:val="auto"/>
          <w:sz w:val="28"/>
          <w:szCs w:val="28"/>
          <w:highlight w:val="none"/>
        </w:rPr>
      </w:pPr>
    </w:p>
    <w:p w14:paraId="3D7DED2A">
      <w:pPr>
        <w:rPr>
          <w:rFonts w:hint="eastAsia" w:ascii="宋体" w:hAnsi="宋体" w:cs="宋体"/>
          <w:color w:val="auto"/>
          <w:sz w:val="28"/>
          <w:szCs w:val="28"/>
          <w:highlight w:val="none"/>
        </w:rPr>
      </w:pPr>
    </w:p>
    <w:p w14:paraId="00223ECE">
      <w:pPr>
        <w:rPr>
          <w:rFonts w:hint="eastAsia" w:ascii="宋体" w:hAnsi="宋体" w:cs="宋体"/>
          <w:color w:val="auto"/>
          <w:sz w:val="28"/>
          <w:szCs w:val="28"/>
          <w:highlight w:val="none"/>
        </w:rPr>
      </w:pPr>
    </w:p>
    <w:p w14:paraId="22D52DE0">
      <w:pPr>
        <w:rPr>
          <w:rFonts w:hint="eastAsia" w:ascii="宋体" w:hAnsi="宋体" w:cs="宋体"/>
          <w:color w:val="auto"/>
          <w:sz w:val="28"/>
          <w:szCs w:val="28"/>
          <w:highlight w:val="none"/>
        </w:rPr>
      </w:pPr>
    </w:p>
    <w:p w14:paraId="5E52A626">
      <w:pPr>
        <w:rPr>
          <w:rFonts w:hint="eastAsia" w:ascii="宋体" w:hAnsi="宋体" w:cs="宋体"/>
          <w:color w:val="auto"/>
          <w:sz w:val="28"/>
          <w:szCs w:val="28"/>
          <w:highlight w:val="none"/>
        </w:rPr>
      </w:pPr>
    </w:p>
    <w:p w14:paraId="1ED9DBF2">
      <w:pPr>
        <w:rPr>
          <w:rFonts w:hint="eastAsia" w:ascii="宋体" w:hAnsi="宋体" w:cs="宋体"/>
          <w:color w:val="auto"/>
          <w:sz w:val="28"/>
          <w:szCs w:val="28"/>
          <w:highlight w:val="none"/>
        </w:rPr>
      </w:pPr>
    </w:p>
    <w:p w14:paraId="6C92A8B9">
      <w:pPr>
        <w:rPr>
          <w:rFonts w:hint="eastAsia" w:ascii="宋体" w:hAnsi="宋体" w:cs="宋体"/>
          <w:color w:val="auto"/>
          <w:sz w:val="28"/>
          <w:szCs w:val="28"/>
          <w:highlight w:val="none"/>
        </w:rPr>
      </w:pPr>
    </w:p>
    <w:p w14:paraId="302148E3">
      <w:pPr>
        <w:rPr>
          <w:rFonts w:hint="eastAsia" w:ascii="宋体" w:hAnsi="宋体" w:cs="宋体"/>
          <w:color w:val="auto"/>
          <w:sz w:val="28"/>
          <w:szCs w:val="28"/>
          <w:highlight w:val="none"/>
        </w:rPr>
      </w:pPr>
    </w:p>
    <w:p w14:paraId="349652C9">
      <w:pPr>
        <w:pStyle w:val="2"/>
        <w:rPr>
          <w:rFonts w:hint="eastAsia"/>
          <w:color w:val="auto"/>
          <w:highlight w:val="none"/>
        </w:rPr>
      </w:pPr>
    </w:p>
    <w:p w14:paraId="766A23A3">
      <w:pPr>
        <w:rPr>
          <w:rFonts w:hint="eastAsia" w:ascii="宋体" w:hAnsi="宋体" w:cs="宋体"/>
          <w:color w:val="auto"/>
          <w:sz w:val="28"/>
          <w:szCs w:val="28"/>
          <w:highlight w:val="none"/>
        </w:rPr>
      </w:pPr>
    </w:p>
    <w:p w14:paraId="71789342">
      <w:pPr>
        <w:rPr>
          <w:rFonts w:hint="eastAsia" w:ascii="宋体" w:hAnsi="宋体" w:cs="宋体"/>
          <w:color w:val="auto"/>
          <w:sz w:val="28"/>
          <w:szCs w:val="28"/>
          <w:highlight w:val="none"/>
        </w:rPr>
      </w:pPr>
    </w:p>
    <w:p w14:paraId="62E97A07">
      <w:pPr>
        <w:rPr>
          <w:rFonts w:hint="eastAsia" w:ascii="宋体" w:hAnsi="宋体" w:cs="宋体"/>
          <w:color w:val="auto"/>
          <w:sz w:val="28"/>
          <w:szCs w:val="28"/>
          <w:highlight w:val="none"/>
        </w:rPr>
      </w:pPr>
    </w:p>
    <w:p w14:paraId="5F1C3CE6">
      <w:pPr>
        <w:jc w:val="center"/>
        <w:rPr>
          <w:rFonts w:hint="eastAsia" w:ascii="宋体" w:hAnsi="宋体" w:cs="宋体"/>
          <w:color w:val="auto"/>
          <w:sz w:val="28"/>
          <w:szCs w:val="28"/>
          <w:highlight w:val="none"/>
          <w:u w:val="single"/>
        </w:rPr>
      </w:pPr>
      <w:r>
        <w:rPr>
          <w:rFonts w:hint="eastAsia" w:ascii="宋体" w:hAnsi="宋体" w:cs="宋体"/>
          <w:color w:val="auto"/>
          <w:sz w:val="28"/>
          <w:szCs w:val="28"/>
          <w:highlight w:val="none"/>
        </w:rPr>
        <w:t>投标人：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（盖单位章）</w:t>
      </w:r>
    </w:p>
    <w:p w14:paraId="04767578">
      <w:pPr>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法定代表人或其委托代理人：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（签字或盖章）</w:t>
      </w:r>
    </w:p>
    <w:p w14:paraId="230E0C06">
      <w:pPr>
        <w:jc w:val="center"/>
        <w:rPr>
          <w:rFonts w:hint="eastAsia" w:ascii="宋体" w:hAnsi="宋体" w:cs="宋体"/>
          <w:color w:val="auto"/>
          <w:sz w:val="28"/>
          <w:szCs w:val="28"/>
          <w:highlight w:val="none"/>
        </w:rPr>
      </w:pP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年</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日</w:t>
      </w:r>
    </w:p>
    <w:p w14:paraId="1FCCDA65">
      <w:pPr>
        <w:widowControl/>
        <w:spacing w:line="440" w:lineRule="exact"/>
        <w:rPr>
          <w:rFonts w:hint="eastAsia" w:ascii="宋体" w:hAnsi="宋体" w:eastAsia="宋体" w:cs="宋体"/>
          <w:color w:val="auto"/>
          <w:kern w:val="0"/>
          <w:szCs w:val="21"/>
          <w:highlight w:val="none"/>
        </w:rPr>
      </w:pPr>
    </w:p>
    <w:p w14:paraId="166A2441">
      <w:pPr>
        <w:widowControl/>
        <w:spacing w:line="440" w:lineRule="exact"/>
        <w:rPr>
          <w:rFonts w:hint="eastAsia" w:ascii="宋体" w:hAnsi="宋体" w:eastAsia="宋体" w:cs="宋体"/>
          <w:color w:val="auto"/>
          <w:kern w:val="0"/>
          <w:szCs w:val="21"/>
          <w:highlight w:val="none"/>
        </w:rPr>
      </w:pPr>
    </w:p>
    <w:p w14:paraId="69005EB2">
      <w:pPr>
        <w:widowControl/>
        <w:spacing w:line="440" w:lineRule="exact"/>
        <w:rPr>
          <w:rFonts w:hint="eastAsia" w:ascii="宋体" w:hAnsi="宋体" w:eastAsia="宋体" w:cs="宋体"/>
          <w:color w:val="auto"/>
          <w:kern w:val="0"/>
          <w:szCs w:val="21"/>
          <w:highlight w:val="none"/>
        </w:rPr>
      </w:pPr>
    </w:p>
    <w:p w14:paraId="280849B0">
      <w:pPr>
        <w:rPr>
          <w:rFonts w:hint="eastAsia" w:ascii="宋体" w:hAnsi="宋体" w:eastAsia="宋体" w:cs="宋体"/>
          <w:color w:val="auto"/>
          <w:kern w:val="0"/>
          <w:sz w:val="44"/>
          <w:szCs w:val="44"/>
          <w:highlight w:val="none"/>
          <w:lang w:val="en-US" w:eastAsia="zh-CN"/>
        </w:rPr>
      </w:pPr>
      <w:r>
        <w:rPr>
          <w:rFonts w:hint="eastAsia" w:ascii="宋体" w:hAnsi="宋体" w:eastAsia="宋体" w:cs="宋体"/>
          <w:color w:val="auto"/>
          <w:kern w:val="0"/>
          <w:sz w:val="44"/>
          <w:szCs w:val="44"/>
          <w:highlight w:val="none"/>
          <w:lang w:val="en-US" w:eastAsia="zh-CN"/>
        </w:rPr>
        <w:br w:type="page"/>
      </w:r>
    </w:p>
    <w:p w14:paraId="6A7A2C81">
      <w:pPr>
        <w:jc w:val="center"/>
        <w:rPr>
          <w:rFonts w:hint="eastAsia" w:ascii="Times New Roman" w:hAnsi="Times New Roman" w:eastAsia="宋体" w:cs="Times New Roman"/>
          <w:b/>
          <w:color w:val="auto"/>
          <w:sz w:val="36"/>
          <w:szCs w:val="36"/>
          <w:highlight w:val="none"/>
          <w:lang w:val="en-US" w:eastAsia="zh-CN"/>
        </w:rPr>
      </w:pPr>
    </w:p>
    <w:p w14:paraId="12BE891A">
      <w:pPr>
        <w:jc w:val="center"/>
        <w:rPr>
          <w:rFonts w:hint="eastAsia" w:ascii="Times New Roman" w:hAnsi="Times New Roman" w:eastAsia="宋体" w:cs="Times New Roman"/>
          <w:b/>
          <w:color w:val="auto"/>
          <w:sz w:val="36"/>
          <w:szCs w:val="36"/>
          <w:highlight w:val="none"/>
          <w:lang w:val="en-US" w:eastAsia="zh-CN"/>
        </w:rPr>
      </w:pPr>
      <w:r>
        <w:rPr>
          <w:rFonts w:hint="eastAsia" w:ascii="Times New Roman" w:hAnsi="Times New Roman" w:eastAsia="宋体" w:cs="Times New Roman"/>
          <w:b/>
          <w:color w:val="auto"/>
          <w:sz w:val="36"/>
          <w:szCs w:val="36"/>
          <w:highlight w:val="none"/>
          <w:lang w:val="en-US" w:eastAsia="zh-CN"/>
        </w:rPr>
        <w:t>目 录</w:t>
      </w:r>
    </w:p>
    <w:p w14:paraId="1EC3F530">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1.投标人的法定代表人身份证明及其有效身份证或授权委托书及其有效身份证（格式见附件）；</w:t>
      </w:r>
    </w:p>
    <w:p w14:paraId="3590E1E4">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2.企业营业执照；</w:t>
      </w:r>
    </w:p>
    <w:p w14:paraId="30F4EEB0">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3.企业资质证书；</w:t>
      </w:r>
    </w:p>
    <w:p w14:paraId="2716D39B">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4.项目负责人有效身份证及对应证书；</w:t>
      </w:r>
    </w:p>
    <w:p w14:paraId="23B61F58">
      <w:pPr>
        <w:spacing w:line="500" w:lineRule="exact"/>
        <w:ind w:firstLine="420" w:firstLineChars="200"/>
        <w:jc w:val="left"/>
        <w:rPr>
          <w:rFonts w:hint="default"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5.项目负责人养老保险证明；</w:t>
      </w:r>
    </w:p>
    <w:p w14:paraId="71F0824F">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6.诚信投标承诺书（格式见附件）；</w:t>
      </w:r>
    </w:p>
    <w:p w14:paraId="693E067B">
      <w:pPr>
        <w:spacing w:line="500" w:lineRule="exact"/>
        <w:ind w:firstLine="420" w:firstLineChars="200"/>
        <w:jc w:val="left"/>
        <w:rPr>
          <w:rFonts w:hint="default"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7.服务承诺书（格式详见附件）；</w:t>
      </w:r>
    </w:p>
    <w:p w14:paraId="5B35B16D">
      <w:pPr>
        <w:spacing w:line="500" w:lineRule="exact"/>
        <w:ind w:firstLine="420" w:firstLineChars="200"/>
        <w:jc w:val="left"/>
        <w:rPr>
          <w:rFonts w:hint="default"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8.开标一览表（格式见附件）；</w:t>
      </w:r>
    </w:p>
    <w:p w14:paraId="6339B5DB">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9.投标报价函（格式见附件）；</w:t>
      </w:r>
    </w:p>
    <w:p w14:paraId="1673A214">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10.评分及投标人认为需要提交的其他相关材料。</w:t>
      </w:r>
    </w:p>
    <w:p w14:paraId="3A871FBE">
      <w:pPr>
        <w:spacing w:line="500" w:lineRule="exact"/>
        <w:ind w:firstLine="420" w:firstLineChars="200"/>
        <w:jc w:val="left"/>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lang w:val="en-US" w:eastAsia="zh-CN"/>
        </w:rPr>
        <w:br w:type="page"/>
      </w:r>
    </w:p>
    <w:p w14:paraId="1F702468">
      <w:pPr>
        <w:spacing w:line="400" w:lineRule="exact"/>
        <w:ind w:firstLine="562" w:firstLineChars="200"/>
        <w:rPr>
          <w:rFonts w:hint="eastAsia" w:ascii="宋体" w:hAnsi="宋体" w:cs="宋体"/>
          <w:b/>
          <w:color w:val="auto"/>
          <w:sz w:val="28"/>
          <w:szCs w:val="28"/>
          <w:highlight w:val="none"/>
        </w:rPr>
      </w:pPr>
      <w:r>
        <w:rPr>
          <w:rFonts w:hint="eastAsia" w:ascii="宋体" w:hAnsi="宋体" w:cs="宋体"/>
          <w:b/>
          <w:color w:val="auto"/>
          <w:sz w:val="28"/>
          <w:szCs w:val="28"/>
          <w:highlight w:val="none"/>
        </w:rPr>
        <w:t>附件1</w:t>
      </w:r>
    </w:p>
    <w:p w14:paraId="2C2FAE2B">
      <w:pPr>
        <w:spacing w:line="360" w:lineRule="auto"/>
        <w:ind w:left="72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法定代表人身份证明或授权委托书</w:t>
      </w:r>
    </w:p>
    <w:p w14:paraId="21AD2AE2">
      <w:pPr>
        <w:pStyle w:val="59"/>
        <w:spacing w:before="312" w:beforeLines="100" w:after="312" w:afterLines="100" w:line="480" w:lineRule="exact"/>
        <w:ind w:firstLine="157" w:firstLineChars="75"/>
        <w:rPr>
          <w:rFonts w:hint="eastAsia" w:ascii="宋体" w:hAnsi="宋体" w:cs="宋体"/>
          <w:b/>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cs="宋体"/>
          <w:color w:val="auto"/>
          <w:sz w:val="21"/>
          <w:szCs w:val="21"/>
          <w:highlight w:val="none"/>
        </w:rPr>
        <w:t>法定代表人身份证明</w:t>
      </w:r>
    </w:p>
    <w:p w14:paraId="347E61A4">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42E9479">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单位性质：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32B8279">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085A44FE">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A8128E6">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7595E00">
      <w:pPr>
        <w:spacing w:line="480" w:lineRule="exact"/>
        <w:ind w:firstLine="345" w:firstLineChars="50"/>
        <w:rPr>
          <w:rFonts w:hint="eastAsia" w:ascii="宋体" w:hAnsi="宋体" w:cs="宋体"/>
          <w:color w:val="auto"/>
          <w:szCs w:val="21"/>
          <w:highlight w:val="none"/>
        </w:rPr>
      </w:pPr>
      <w:r>
        <w:rPr>
          <w:rFonts w:hint="eastAsia" w:ascii="宋体" w:hAnsi="宋体" w:cs="宋体"/>
          <w:color w:val="auto"/>
          <w:spacing w:val="240"/>
          <w:szCs w:val="21"/>
          <w:highlight w:val="none"/>
        </w:rPr>
        <w:t>姓</w:t>
      </w:r>
      <w:r>
        <w:rPr>
          <w:rFonts w:hint="eastAsia" w:ascii="宋体" w:hAnsi="宋体" w:cs="宋体"/>
          <w:color w:val="auto"/>
          <w:szCs w:val="21"/>
          <w:highlight w:val="none"/>
        </w:rPr>
        <w:t>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3EBA774D">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w:t>
      </w:r>
    </w:p>
    <w:p w14:paraId="5B46BEA0">
      <w:pPr>
        <w:spacing w:line="480" w:lineRule="exact"/>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特此证明。</w:t>
      </w:r>
    </w:p>
    <w:p w14:paraId="39E57879">
      <w:pPr>
        <w:spacing w:line="360" w:lineRule="auto"/>
        <w:ind w:firstLine="3045" w:firstLineChars="145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408DBB3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538F78E6">
      <w:pPr>
        <w:spacing w:before="312" w:beforeLines="100" w:after="312" w:afterLines="100" w:line="480" w:lineRule="exact"/>
        <w:ind w:firstLine="3255" w:firstLineChars="1550"/>
        <w:rPr>
          <w:rFonts w:hint="eastAsia" w:ascii="宋体" w:hAnsi="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cs="宋体"/>
          <w:color w:val="auto"/>
          <w:szCs w:val="21"/>
          <w:highlight w:val="none"/>
        </w:rPr>
        <w:t>授权委托书</w:t>
      </w:r>
    </w:p>
    <w:p w14:paraId="21DCA36C">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本人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（姓名）为我方代理人。代理人根据授权，以我方名义签署、澄清、说明、补正、递交、撤回、修改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w:t>
      </w:r>
      <w:r>
        <w:rPr>
          <w:rFonts w:hint="eastAsia" w:ascii="宋体" w:hAnsi="宋体" w:cs="宋体"/>
          <w:color w:val="auto"/>
          <w:szCs w:val="21"/>
          <w:highlight w:val="none"/>
        </w:rPr>
        <w:t>项目名称）</w:t>
      </w:r>
      <w:r>
        <w:rPr>
          <w:rFonts w:hint="eastAsia" w:ascii="宋体" w:hAnsi="宋体" w:cs="宋体"/>
          <w:color w:val="auto"/>
          <w:szCs w:val="21"/>
          <w:highlight w:val="none"/>
          <w:lang w:val="en-US" w:eastAsia="zh-CN"/>
        </w:rPr>
        <w:t>投标文件</w:t>
      </w:r>
      <w:r>
        <w:rPr>
          <w:rFonts w:hint="eastAsia" w:ascii="宋体" w:hAnsi="宋体" w:cs="宋体"/>
          <w:color w:val="auto"/>
          <w:szCs w:val="21"/>
          <w:highlight w:val="none"/>
        </w:rPr>
        <w:t>，全权处理与该项目投标、评审答疑、签订合同以及与合同执行有关的一切事务，其法律后果由我方承担。</w:t>
      </w:r>
    </w:p>
    <w:p w14:paraId="31EA1124">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0600FBF">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代理人无转委托权。</w:t>
      </w:r>
    </w:p>
    <w:p w14:paraId="348A12D2">
      <w:pPr>
        <w:spacing w:line="480" w:lineRule="exact"/>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附：</w:t>
      </w:r>
      <w:r>
        <w:rPr>
          <w:rFonts w:hint="eastAsia" w:ascii="宋体" w:hAnsi="宋体" w:cs="宋体"/>
          <w:color w:val="auto"/>
          <w:szCs w:val="21"/>
          <w:highlight w:val="none"/>
          <w:lang w:val="en-US" w:eastAsia="zh-CN"/>
        </w:rPr>
        <w:t>法定代表人和授权委托人有效身份证</w:t>
      </w:r>
    </w:p>
    <w:p w14:paraId="2B06420A">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3A019D9">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投标人（盖单位章）：</w:t>
      </w:r>
    </w:p>
    <w:p w14:paraId="191A5024">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法定代表人（身份证号码）：               （签字或盖章）</w:t>
      </w:r>
    </w:p>
    <w:p w14:paraId="36376626">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委托代理人（身份证号码）：               （签字或盖章）</w:t>
      </w:r>
    </w:p>
    <w:p w14:paraId="31AA39B8">
      <w:pPr>
        <w:spacing w:line="480" w:lineRule="exact"/>
        <w:ind w:firstLine="2467" w:firstLineChars="1175"/>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年    月    日</w:t>
      </w:r>
    </w:p>
    <w:p w14:paraId="0244A6BC">
      <w:pPr>
        <w:pStyle w:val="2"/>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cs="宋体"/>
          <w:color w:val="auto"/>
          <w:highlight w:val="none"/>
        </w:rPr>
      </w:pPr>
      <w:r>
        <w:rPr>
          <w:rFonts w:hint="eastAsia" w:ascii="宋体" w:hAnsi="宋体" w:eastAsia="宋体" w:cs="宋体"/>
          <w:b/>
          <w:bCs/>
          <w:color w:val="auto"/>
          <w:kern w:val="0"/>
          <w:sz w:val="24"/>
          <w:highlight w:val="none"/>
        </w:rPr>
        <w:br w:type="page"/>
      </w:r>
      <w:r>
        <w:rPr>
          <w:rFonts w:hint="eastAsia" w:ascii="宋体" w:hAnsi="宋体" w:cs="宋体"/>
          <w:b/>
          <w:color w:val="auto"/>
          <w:sz w:val="28"/>
          <w:szCs w:val="28"/>
          <w:highlight w:val="none"/>
        </w:rPr>
        <w:t>附件2</w:t>
      </w:r>
    </w:p>
    <w:p w14:paraId="004483A6">
      <w:pPr>
        <w:pStyle w:val="8"/>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highlight w:val="none"/>
        </w:rPr>
      </w:pPr>
      <w:bookmarkStart w:id="56" w:name="_Toc63063542"/>
      <w:bookmarkStart w:id="57" w:name="_Toc26746"/>
      <w:r>
        <w:rPr>
          <w:rFonts w:hint="eastAsia" w:ascii="宋体" w:hAnsi="宋体" w:cs="宋体"/>
          <w:color w:val="auto"/>
          <w:highlight w:val="none"/>
        </w:rPr>
        <w:t>诚信投标承诺书</w:t>
      </w:r>
      <w:bookmarkEnd w:id="56"/>
      <w:r>
        <w:rPr>
          <w:rFonts w:hint="eastAsia" w:ascii="宋体" w:hAnsi="宋体" w:cs="宋体"/>
          <w:color w:val="auto"/>
          <w:highlight w:val="none"/>
        </w:rPr>
        <w:t> </w:t>
      </w:r>
      <w:bookmarkEnd w:id="57"/>
    </w:p>
    <w:p w14:paraId="65C910E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本人以企业法定代表人的身份郑重承诺：</w:t>
      </w:r>
    </w:p>
    <w:p w14:paraId="51742AA3">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一、将遵循公开、公正和诚实信用的原则自愿参加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项目的投标；</w:t>
      </w:r>
    </w:p>
    <w:p w14:paraId="5DC1FEC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二、所提供的一切材料都是真实、有效、合法的；</w:t>
      </w:r>
    </w:p>
    <w:p w14:paraId="6D6D1A31">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三、不出借、转让资质证书，不让他人挂靠投标，不以他人名义投标或者以其他方式弄虚作假，骗取中标；</w:t>
      </w:r>
    </w:p>
    <w:p w14:paraId="6CBF95A3">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四、不与其他投标人相互串通投标报价，不排挤其他投标人的公平竞争、损害招标人的合法权益；</w:t>
      </w:r>
    </w:p>
    <w:p w14:paraId="548B4D16">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五、不与招标人、招标代理机构或其他投标人串通投标，损害国家利益、社会公共利益或者他人的合法权益；</w:t>
      </w:r>
    </w:p>
    <w:p w14:paraId="0ADB0F5B">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六、</w:t>
      </w:r>
      <w:r>
        <w:rPr>
          <w:rFonts w:hint="eastAsia" w:ascii="宋体" w:hAnsi="宋体"/>
          <w:color w:val="auto"/>
          <w:szCs w:val="21"/>
          <w:highlight w:val="none"/>
          <w:u w:val="none"/>
          <w:lang w:eastAsia="zh-CN"/>
        </w:rPr>
        <w:t>我公司</w:t>
      </w:r>
      <w:r>
        <w:rPr>
          <w:rFonts w:hint="eastAsia" w:ascii="宋体" w:hAnsi="宋体"/>
          <w:color w:val="auto"/>
          <w:szCs w:val="21"/>
          <w:highlight w:val="none"/>
        </w:rPr>
        <w:t>没有下列情形：①被列入“信用中国”网站“失信被执行人”的</w:t>
      </w:r>
      <w:r>
        <w:rPr>
          <w:rFonts w:hint="eastAsia" w:ascii="宋体" w:hAnsi="宋体"/>
          <w:color w:val="auto"/>
          <w:szCs w:val="21"/>
          <w:highlight w:val="none"/>
          <w:lang w:eastAsia="zh-CN"/>
        </w:rPr>
        <w:t>；</w:t>
      </w:r>
      <w:r>
        <w:rPr>
          <w:rFonts w:hint="eastAsia" w:ascii="宋体" w:hAnsi="宋体"/>
          <w:color w:val="auto"/>
          <w:szCs w:val="21"/>
          <w:highlight w:val="none"/>
        </w:rPr>
        <w:t>②被列入“信用中国”网站“重大税收违法失信主体”的；③被列入“信用中国”网站“拖欠农民工工资失信联合惩戒对象名单”的；④被列入“信用中国”网站“</w:t>
      </w:r>
      <w:r>
        <w:rPr>
          <w:rFonts w:hint="eastAsia" w:ascii="Times New Roman" w:hAnsi="Times New Roman"/>
          <w:smallCaps w:val="0"/>
          <w:color w:val="auto"/>
          <w:highlight w:val="none"/>
          <w:lang w:eastAsia="zh-CN"/>
        </w:rPr>
        <w:t>安全生产严重失信主体名单</w:t>
      </w:r>
      <w:r>
        <w:rPr>
          <w:rFonts w:hint="eastAsia" w:ascii="宋体" w:hAnsi="宋体"/>
          <w:color w:val="auto"/>
          <w:szCs w:val="21"/>
          <w:highlight w:val="none"/>
        </w:rPr>
        <w:t>”的；⑤被列入国家企业信用信息公示系统网站“严重违法失信名单”的</w:t>
      </w:r>
      <w:r>
        <w:rPr>
          <w:rFonts w:hint="eastAsia" w:ascii="宋体" w:hAnsi="宋体"/>
          <w:color w:val="auto"/>
          <w:szCs w:val="21"/>
          <w:highlight w:val="none"/>
          <w:lang w:eastAsia="zh-CN"/>
        </w:rPr>
        <w:t>；</w:t>
      </w:r>
    </w:p>
    <w:p w14:paraId="0052658C">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七、严格遵守开标现场纪律，服从监管人员管理；</w:t>
      </w:r>
    </w:p>
    <w:p w14:paraId="54118DA6">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八、保证企业及所属相关人员在本次投标中无行贿等犯罪行为；</w:t>
      </w:r>
    </w:p>
    <w:p w14:paraId="7EC14D22">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九、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EAB5D01">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以上内容我已仔细阅读，本公司若有违反承诺内容的行为，自愿依法接受取消投标资格、记入信用档案、取消中标资格等有关处理，愿意承担法律责任，给招标人造成损失的，依法承担赔偿责任。</w:t>
      </w:r>
    </w:p>
    <w:p w14:paraId="0B5B6B1B">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p>
    <w:p w14:paraId="317A43BE">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开户银行：                   基本账户：</w:t>
      </w:r>
    </w:p>
    <w:p w14:paraId="53DE2A27">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投标人（盖章）：             法定代表人（签字或盖章）：</w:t>
      </w:r>
    </w:p>
    <w:p w14:paraId="1F9BC07B">
      <w:pPr>
        <w:keepNext w:val="0"/>
        <w:keepLines w:val="0"/>
        <w:pageBreakBefore w:val="0"/>
        <w:widowControl w:val="0"/>
        <w:kinsoku/>
        <w:wordWrap/>
        <w:overflowPunct/>
        <w:topLinePunct w:val="0"/>
        <w:autoSpaceDE/>
        <w:autoSpaceDN/>
        <w:bidi w:val="0"/>
        <w:adjustRightInd/>
        <w:snapToGrid/>
        <w:spacing w:line="460" w:lineRule="exact"/>
        <w:ind w:firstLine="3360" w:firstLineChars="16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月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1815D151">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132FC953">
      <w:pPr>
        <w:spacing w:line="360" w:lineRule="auto"/>
        <w:jc w:val="both"/>
        <w:rPr>
          <w:rFonts w:hint="eastAsia" w:eastAsiaTheme="minorEastAsia"/>
          <w:b/>
          <w:color w:val="auto"/>
          <w:sz w:val="28"/>
          <w:szCs w:val="28"/>
          <w:highlight w:val="none"/>
          <w:lang w:val="en-US" w:eastAsia="zh-CN"/>
        </w:rPr>
      </w:pPr>
      <w:r>
        <w:rPr>
          <w:rFonts w:hint="eastAsia" w:ascii="宋体" w:hAnsi="宋体" w:cs="宋体"/>
          <w:b/>
          <w:color w:val="auto"/>
          <w:sz w:val="28"/>
          <w:szCs w:val="28"/>
          <w:highlight w:val="none"/>
        </w:rPr>
        <w:t>附件</w:t>
      </w:r>
      <w:r>
        <w:rPr>
          <w:rFonts w:hint="eastAsia" w:ascii="宋体" w:hAnsi="宋体" w:cs="宋体"/>
          <w:b/>
          <w:color w:val="auto"/>
          <w:sz w:val="28"/>
          <w:szCs w:val="28"/>
          <w:highlight w:val="none"/>
          <w:lang w:val="en-US" w:eastAsia="zh-CN"/>
        </w:rPr>
        <w:t>3</w:t>
      </w:r>
    </w:p>
    <w:p w14:paraId="59CF517B">
      <w:pPr>
        <w:spacing w:line="360" w:lineRule="auto"/>
        <w:jc w:val="center"/>
        <w:rPr>
          <w:rFonts w:ascii="宋体"/>
          <w:b/>
          <w:color w:val="auto"/>
          <w:sz w:val="24"/>
          <w:highlight w:val="none"/>
        </w:rPr>
      </w:pPr>
      <w:r>
        <w:rPr>
          <w:rFonts w:hint="eastAsia"/>
          <w:b/>
          <w:color w:val="auto"/>
          <w:sz w:val="28"/>
          <w:szCs w:val="28"/>
          <w:highlight w:val="none"/>
        </w:rPr>
        <w:t>服务承诺书</w:t>
      </w:r>
    </w:p>
    <w:p w14:paraId="20A6BABD">
      <w:pPr>
        <w:shd w:val="clear" w:color="auto" w:fill="auto"/>
        <w:ind w:firstLine="480" w:firstLineChars="200"/>
        <w:rPr>
          <w:rFonts w:hint="eastAsia" w:ascii="宋体"/>
          <w:color w:val="auto"/>
          <w:sz w:val="24"/>
          <w:highlight w:val="none"/>
        </w:rPr>
      </w:pPr>
    </w:p>
    <w:p w14:paraId="3FA2CC37">
      <w:pPr>
        <w:shd w:val="clear" w:color="auto" w:fill="auto"/>
        <w:ind w:firstLine="480" w:firstLineChars="200"/>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（招标人）</w:t>
      </w:r>
      <w:r>
        <w:rPr>
          <w:rFonts w:hint="eastAsia" w:ascii="宋体"/>
          <w:color w:val="auto"/>
          <w:sz w:val="24"/>
          <w:highlight w:val="none"/>
        </w:rPr>
        <w:t>：</w:t>
      </w:r>
    </w:p>
    <w:p w14:paraId="15785964">
      <w:pPr>
        <w:shd w:val="clear" w:color="auto" w:fill="auto"/>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（投标人名称）对本招标文件中的所有要求完全响应。若有幸中标将严格按照以上承诺进行服务。</w:t>
      </w:r>
    </w:p>
    <w:p w14:paraId="6B7A5B40">
      <w:pPr>
        <w:shd w:val="clear" w:color="auto" w:fill="auto"/>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64FC823E">
      <w:pPr>
        <w:shd w:val="clear" w:color="auto" w:fill="auto"/>
        <w:spacing w:line="600" w:lineRule="exact"/>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6A0802F6">
      <w:pPr>
        <w:shd w:val="clear" w:color="auto" w:fill="auto"/>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u w:val="single"/>
          <w:lang w:eastAsia="zh-CN"/>
        </w:rPr>
        <w:t>（</w:t>
      </w:r>
      <w:r>
        <w:rPr>
          <w:rFonts w:hint="eastAsia" w:ascii="宋体" w:hAnsi="宋体"/>
          <w:color w:val="auto"/>
          <w:sz w:val="24"/>
          <w:szCs w:val="21"/>
          <w:highlight w:val="none"/>
        </w:rPr>
        <w:t>签章</w:t>
      </w:r>
      <w:r>
        <w:rPr>
          <w:rFonts w:hint="eastAsia" w:ascii="宋体" w:hAnsi="宋体"/>
          <w:color w:val="auto"/>
          <w:sz w:val="24"/>
          <w:szCs w:val="21"/>
          <w:highlight w:val="none"/>
          <w:lang w:eastAsia="zh-CN"/>
        </w:rPr>
        <w:t>）</w:t>
      </w:r>
    </w:p>
    <w:p w14:paraId="241D7E7F">
      <w:pPr>
        <w:shd w:val="clear" w:color="auto" w:fill="auto"/>
        <w:spacing w:line="480" w:lineRule="auto"/>
        <w:jc w:val="right"/>
        <w:rPr>
          <w:rFonts w:hint="eastAsia" w:ascii="宋体" w:hAnsi="宋体"/>
          <w:color w:val="auto"/>
          <w:sz w:val="24"/>
          <w:szCs w:val="21"/>
          <w:highlight w:val="none"/>
          <w:u w:val="singl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p>
    <w:p w14:paraId="205AA4B0">
      <w:pPr>
        <w:rPr>
          <w:rFonts w:hint="eastAsia" w:ascii="宋体" w:hAnsi="宋体"/>
          <w:color w:val="auto"/>
          <w:sz w:val="24"/>
          <w:szCs w:val="21"/>
          <w:highlight w:val="none"/>
          <w:u w:val="single"/>
        </w:rPr>
      </w:pPr>
      <w:r>
        <w:rPr>
          <w:rFonts w:hint="eastAsia" w:ascii="宋体" w:hAnsi="宋体"/>
          <w:color w:val="auto"/>
          <w:sz w:val="24"/>
          <w:szCs w:val="21"/>
          <w:highlight w:val="none"/>
          <w:u w:val="single"/>
        </w:rPr>
        <w:br w:type="page"/>
      </w:r>
    </w:p>
    <w:p w14:paraId="3078D0F0">
      <w:pPr>
        <w:rPr>
          <w:rFonts w:hint="default" w:ascii="宋体" w:hAnsi="宋体" w:eastAsia="宋体" w:cs="宋体"/>
          <w:b/>
          <w:bCs/>
          <w:color w:val="auto"/>
          <w:kern w:val="2"/>
          <w:sz w:val="32"/>
          <w:szCs w:val="32"/>
          <w:highlight w:val="none"/>
          <w:lang w:val="en-US" w:eastAsia="zh-CN" w:bidi="ar-SA"/>
        </w:rPr>
      </w:pPr>
      <w:r>
        <w:rPr>
          <w:rFonts w:hint="eastAsia" w:ascii="宋体" w:hAnsi="宋体" w:cs="宋体"/>
          <w:b/>
          <w:color w:val="auto"/>
          <w:sz w:val="28"/>
          <w:szCs w:val="28"/>
          <w:highlight w:val="none"/>
        </w:rPr>
        <w:t>附件</w:t>
      </w:r>
      <w:r>
        <w:rPr>
          <w:rFonts w:hint="eastAsia" w:ascii="宋体" w:hAnsi="宋体" w:cs="宋体"/>
          <w:b/>
          <w:color w:val="auto"/>
          <w:sz w:val="28"/>
          <w:szCs w:val="28"/>
          <w:highlight w:val="none"/>
          <w:lang w:val="en-US" w:eastAsia="zh-CN"/>
        </w:rPr>
        <w:t>4</w:t>
      </w:r>
    </w:p>
    <w:p w14:paraId="10197C38">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0870403D">
      <w:pPr>
        <w:spacing w:line="360" w:lineRule="exact"/>
        <w:ind w:firstLine="354" w:firstLineChars="147"/>
        <w:rPr>
          <w:rFonts w:hint="eastAsia" w:ascii="宋体"/>
          <w:b/>
          <w:color w:val="auto"/>
          <w:sz w:val="24"/>
          <w:highlight w:val="none"/>
        </w:rPr>
      </w:pPr>
    </w:p>
    <w:p w14:paraId="1208517F">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9F12BE1">
      <w:pPr>
        <w:snapToGrid w:val="0"/>
        <w:spacing w:line="460" w:lineRule="exact"/>
        <w:ind w:left="2940" w:leftChars="1400" w:firstLine="720" w:firstLineChars="300"/>
        <w:rPr>
          <w:rFonts w:hint="eastAsia" w:ascii="宋体"/>
          <w:color w:val="auto"/>
          <w:sz w:val="24"/>
          <w:highlight w:val="none"/>
        </w:rPr>
      </w:pP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4404A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6FFF4C7B">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37A83495">
            <w:pPr>
              <w:spacing w:line="360" w:lineRule="auto"/>
              <w:jc w:val="left"/>
              <w:rPr>
                <w:rFonts w:hint="eastAsia"/>
                <w:color w:val="auto"/>
                <w:sz w:val="24"/>
                <w:highlight w:val="none"/>
              </w:rPr>
            </w:pPr>
            <w:r>
              <w:rPr>
                <w:rFonts w:hint="eastAsia"/>
                <w:color w:val="auto"/>
                <w:sz w:val="24"/>
                <w:highlight w:val="none"/>
              </w:rPr>
              <w:t xml:space="preserve">         </w:t>
            </w:r>
          </w:p>
        </w:tc>
      </w:tr>
      <w:tr w14:paraId="17D55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71070668">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3845560D">
            <w:pPr>
              <w:rPr>
                <w:rFonts w:hint="eastAsia" w:ascii="宋体"/>
                <w:color w:val="auto"/>
                <w:sz w:val="24"/>
                <w:highlight w:val="none"/>
              </w:rPr>
            </w:pPr>
          </w:p>
        </w:tc>
      </w:tr>
      <w:tr w14:paraId="541DA1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3EEE56DD">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37F07D5A">
            <w:pPr>
              <w:pStyle w:val="15"/>
              <w:spacing w:line="460" w:lineRule="exact"/>
              <w:ind w:left="86" w:leftChars="41"/>
              <w:rPr>
                <w:rFonts w:hint="eastAsia" w:ascii="宋体" w:eastAsia="宋体"/>
                <w:color w:val="auto"/>
                <w:sz w:val="24"/>
                <w:szCs w:val="24"/>
                <w:highlight w:val="none"/>
              </w:rPr>
            </w:pPr>
          </w:p>
        </w:tc>
      </w:tr>
      <w:tr w14:paraId="5239E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1DC26B0F">
            <w:pPr>
              <w:spacing w:line="360" w:lineRule="auto"/>
              <w:jc w:val="center"/>
              <w:rPr>
                <w:rFonts w:ascii="宋体"/>
                <w:color w:val="auto"/>
                <w:sz w:val="24"/>
                <w:highlight w:val="none"/>
              </w:rPr>
            </w:pPr>
            <w:r>
              <w:rPr>
                <w:rFonts w:hint="eastAsia" w:ascii="宋体"/>
                <w:color w:val="auto"/>
                <w:sz w:val="24"/>
                <w:highlight w:val="none"/>
              </w:rPr>
              <w:t>总投标价\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6CFA899F">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color w:val="auto"/>
                <w:sz w:val="24"/>
                <w:highlight w:val="none"/>
              </w:rPr>
            </w:pPr>
            <w:r>
              <w:rPr>
                <w:rFonts w:hint="eastAsia" w:ascii="宋体"/>
                <w:color w:val="auto"/>
                <w:sz w:val="24"/>
                <w:highlight w:val="none"/>
              </w:rPr>
              <w:t>投标报价 （大写）：</w:t>
            </w:r>
            <w:r>
              <w:rPr>
                <w:rFonts w:hint="eastAsia" w:ascii="宋体"/>
                <w:color w:val="auto"/>
                <w:sz w:val="24"/>
                <w:highlight w:val="none"/>
                <w:u w:val="single"/>
              </w:rPr>
              <w:t xml:space="preserve">                   </w:t>
            </w:r>
            <w:r>
              <w:rPr>
                <w:rFonts w:hint="eastAsia" w:ascii="宋体"/>
                <w:color w:val="auto"/>
                <w:sz w:val="24"/>
                <w:highlight w:val="none"/>
              </w:rPr>
              <w:t>；</w:t>
            </w:r>
          </w:p>
          <w:p w14:paraId="3D0C2DB1">
            <w:pPr>
              <w:keepNext w:val="0"/>
              <w:keepLines w:val="0"/>
              <w:pageBreakBefore w:val="0"/>
              <w:widowControl w:val="0"/>
              <w:kinsoku/>
              <w:wordWrap/>
              <w:overflowPunct/>
              <w:topLinePunct w:val="0"/>
              <w:autoSpaceDE/>
              <w:autoSpaceDN/>
              <w:bidi w:val="0"/>
              <w:adjustRightInd/>
              <w:snapToGrid/>
              <w:spacing w:line="900" w:lineRule="exact"/>
              <w:ind w:firstLine="1200" w:firstLineChars="500"/>
              <w:textAlignment w:val="auto"/>
              <w:rPr>
                <w:rFonts w:hint="eastAsia" w:ascii="宋体"/>
                <w:color w:val="auto"/>
                <w:sz w:val="24"/>
                <w:highlight w:val="none"/>
              </w:rPr>
            </w:pPr>
            <w:r>
              <w:rPr>
                <w:rFonts w:hint="eastAsia" w:ascii="宋体"/>
                <w:color w:val="auto"/>
                <w:sz w:val="24"/>
                <w:highlight w:val="none"/>
                <w:lang w:eastAsia="zh-CN"/>
              </w:rPr>
              <w:t>（</w:t>
            </w:r>
            <w:r>
              <w:rPr>
                <w:rFonts w:hint="eastAsia" w:ascii="宋体"/>
                <w:color w:val="auto"/>
                <w:sz w:val="24"/>
                <w:highlight w:val="none"/>
              </w:rPr>
              <w:t>小写</w:t>
            </w:r>
            <w:r>
              <w:rPr>
                <w:rFonts w:hint="eastAsia" w:ascii="宋体"/>
                <w:color w:val="auto"/>
                <w:sz w:val="24"/>
                <w:highlight w:val="none"/>
                <w:lang w:eastAsia="zh-CN"/>
              </w:rPr>
              <w:t>）</w:t>
            </w: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w:t>
            </w:r>
          </w:p>
          <w:p w14:paraId="1F0D0799">
            <w:pPr>
              <w:keepNext w:val="0"/>
              <w:keepLines w:val="0"/>
              <w:pageBreakBefore w:val="0"/>
              <w:widowControl w:val="0"/>
              <w:kinsoku/>
              <w:wordWrap/>
              <w:overflowPunct/>
              <w:topLinePunct w:val="0"/>
              <w:autoSpaceDE/>
              <w:autoSpaceDN/>
              <w:bidi w:val="0"/>
              <w:adjustRightInd/>
              <w:snapToGrid/>
              <w:spacing w:line="900" w:lineRule="exact"/>
              <w:textAlignment w:val="auto"/>
              <w:rPr>
                <w:rFonts w:hint="default"/>
                <w:color w:val="auto"/>
                <w:sz w:val="24"/>
                <w:highlight w:val="none"/>
                <w:lang w:val="en-US"/>
              </w:rPr>
            </w:pPr>
            <w:r>
              <w:rPr>
                <w:rFonts w:hint="eastAsia" w:ascii="宋体"/>
                <w:color w:val="auto"/>
                <w:sz w:val="24"/>
                <w:highlight w:val="none"/>
                <w:lang w:val="en-US" w:eastAsia="zh-CN"/>
              </w:rPr>
              <w:t>服务期</w:t>
            </w:r>
            <w:r>
              <w:rPr>
                <w:rFonts w:hint="eastAsia" w:ascii="宋体"/>
                <w:color w:val="auto"/>
                <w:sz w:val="24"/>
                <w:highlight w:val="none"/>
              </w:rPr>
              <w:t>：</w:t>
            </w:r>
            <w:r>
              <w:rPr>
                <w:rFonts w:hint="eastAsia" w:ascii="宋体" w:hAnsi="宋体" w:cs="宋体"/>
                <w:color w:val="auto"/>
                <w:sz w:val="22"/>
                <w:szCs w:val="22"/>
                <w:highlight w:val="none"/>
                <w:lang w:val="en-US" w:eastAsia="zh-CN"/>
              </w:rPr>
              <w:t>响应招标文件要求。</w:t>
            </w:r>
          </w:p>
        </w:tc>
      </w:tr>
    </w:tbl>
    <w:p w14:paraId="6CDE8AE6">
      <w:pPr>
        <w:snapToGrid w:val="0"/>
        <w:spacing w:line="460" w:lineRule="exact"/>
        <w:ind w:left="2940" w:leftChars="1400" w:firstLine="723" w:firstLineChars="300"/>
        <w:rPr>
          <w:rFonts w:hint="eastAsia" w:ascii="宋体"/>
          <w:b/>
          <w:color w:val="auto"/>
          <w:sz w:val="24"/>
          <w:highlight w:val="none"/>
        </w:rPr>
      </w:pPr>
    </w:p>
    <w:p w14:paraId="37E88748">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59B6C7D4">
      <w:pPr>
        <w:snapToGrid w:val="0"/>
        <w:spacing w:before="312" w:beforeLines="100" w:after="312" w:afterLines="100" w:line="360" w:lineRule="auto"/>
        <w:jc w:val="center"/>
        <w:rPr>
          <w:rFonts w:cs="Arial"/>
          <w:b/>
          <w:bCs/>
          <w:color w:val="auto"/>
          <w:sz w:val="30"/>
          <w:szCs w:val="30"/>
          <w:highlight w:val="none"/>
        </w:rPr>
        <w:sectPr>
          <w:footerReference r:id="rId4" w:type="default"/>
          <w:pgSz w:w="11906" w:h="16838"/>
          <w:pgMar w:top="1417" w:right="1247" w:bottom="1417" w:left="1247" w:header="851" w:footer="992" w:gutter="0"/>
          <w:pgNumType w:fmt="numberInDash"/>
          <w:cols w:space="0" w:num="1"/>
          <w:rtlGutter w:val="0"/>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r>
        <w:rPr>
          <w:rFonts w:hint="eastAsia" w:ascii="宋体"/>
          <w:color w:val="auto"/>
          <w:sz w:val="24"/>
          <w:highlight w:val="none"/>
        </w:rPr>
        <w:t>日</w:t>
      </w:r>
    </w:p>
    <w:p w14:paraId="076F62BC">
      <w:pPr>
        <w:rPr>
          <w:rFonts w:hint="default" w:ascii="宋体" w:hAnsi="宋体" w:eastAsia="宋体" w:cs="宋体"/>
          <w:b/>
          <w:bCs/>
          <w:color w:val="auto"/>
          <w:kern w:val="2"/>
          <w:sz w:val="32"/>
          <w:szCs w:val="32"/>
          <w:highlight w:val="none"/>
          <w:lang w:val="en-US" w:eastAsia="zh-CN" w:bidi="ar-SA"/>
        </w:rPr>
      </w:pPr>
      <w:r>
        <w:rPr>
          <w:rFonts w:hint="eastAsia" w:ascii="宋体" w:hAnsi="宋体" w:cs="宋体"/>
          <w:b/>
          <w:color w:val="auto"/>
          <w:sz w:val="28"/>
          <w:szCs w:val="28"/>
          <w:highlight w:val="none"/>
        </w:rPr>
        <w:t>附件</w:t>
      </w:r>
      <w:r>
        <w:rPr>
          <w:rFonts w:hint="eastAsia" w:ascii="宋体" w:hAnsi="宋体" w:cs="宋体"/>
          <w:b/>
          <w:color w:val="auto"/>
          <w:sz w:val="28"/>
          <w:szCs w:val="28"/>
          <w:highlight w:val="none"/>
          <w:lang w:val="en-US" w:eastAsia="zh-CN"/>
        </w:rPr>
        <w:t>5</w:t>
      </w:r>
    </w:p>
    <w:p w14:paraId="05BC4DC2">
      <w:pPr>
        <w:keepNext w:val="0"/>
        <w:keepLines w:val="0"/>
        <w:pageBreakBefore w:val="0"/>
        <w:widowControl w:val="0"/>
        <w:kinsoku/>
        <w:wordWrap/>
        <w:overflowPunct/>
        <w:topLinePunct w:val="0"/>
        <w:autoSpaceDE/>
        <w:autoSpaceDN/>
        <w:bidi w:val="0"/>
        <w:adjustRightInd/>
        <w:snapToGrid/>
        <w:spacing w:before="95" w:beforeLines="30" w:after="95" w:afterLines="30" w:line="50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投标报价函</w:t>
      </w:r>
    </w:p>
    <w:p w14:paraId="3770F825">
      <w:pPr>
        <w:spacing w:line="600" w:lineRule="exact"/>
        <w:jc w:val="left"/>
        <w:rPr>
          <w:rFonts w:ascii="宋体" w:hAnsi="宋体" w:eastAsia="宋体" w:cs="宋体"/>
          <w:b/>
          <w:color w:val="auto"/>
          <w:szCs w:val="21"/>
          <w:highlight w:val="none"/>
        </w:rPr>
      </w:pPr>
      <w:r>
        <w:rPr>
          <w:rFonts w:hint="eastAsia" w:ascii="宋体" w:hAnsi="宋体" w:eastAsia="宋体" w:cs="宋体"/>
          <w:b/>
          <w:color w:val="auto"/>
          <w:szCs w:val="21"/>
          <w:highlight w:val="none"/>
        </w:rPr>
        <w:t>致</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u w:val="single"/>
        </w:rPr>
        <w:t xml:space="preserve">         （招标人）      </w:t>
      </w:r>
      <w:r>
        <w:rPr>
          <w:rFonts w:hint="eastAsia" w:ascii="宋体" w:hAnsi="宋体" w:eastAsia="宋体" w:cs="宋体"/>
          <w:b/>
          <w:color w:val="auto"/>
          <w:szCs w:val="21"/>
          <w:highlight w:val="none"/>
        </w:rPr>
        <w:t>：</w:t>
      </w:r>
    </w:p>
    <w:p w14:paraId="707DB49F">
      <w:pPr>
        <w:spacing w:line="600" w:lineRule="exact"/>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根据你方招标项目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项目招标文件，遵照《中华人民共和国招标投标法》等有关规定，经踏勘项目现场和研究上述招标文件的投标须知、合同条件、技术规范和其他有关文件后，我方愿以</w:t>
      </w:r>
      <w:r>
        <w:rPr>
          <w:rFonts w:hint="eastAsia" w:ascii="宋体" w:hAnsi="宋体" w:eastAsia="宋体" w:cs="宋体"/>
          <w:color w:val="auto"/>
          <w:szCs w:val="21"/>
          <w:highlight w:val="none"/>
          <w:u w:val="single"/>
        </w:rPr>
        <w:t xml:space="preserve"> （大写）        （小写）        元</w:t>
      </w:r>
      <w:r>
        <w:rPr>
          <w:rFonts w:hint="eastAsia" w:ascii="宋体" w:hAnsi="宋体" w:eastAsia="宋体" w:cs="宋体"/>
          <w:color w:val="auto"/>
          <w:szCs w:val="21"/>
          <w:highlight w:val="none"/>
          <w:u w:val="single"/>
          <w:lang w:eastAsia="zh-CN"/>
        </w:rPr>
        <w:t>（</w:t>
      </w:r>
      <w:r>
        <w:rPr>
          <w:rFonts w:hint="eastAsia" w:hAnsi="宋体" w:eastAsia="宋体" w:cs="宋体"/>
          <w:b w:val="0"/>
          <w:bCs w:val="0"/>
          <w:color w:val="auto"/>
          <w:sz w:val="21"/>
          <w:szCs w:val="21"/>
          <w:highlight w:val="none"/>
          <w:lang w:val="en-US" w:eastAsia="zh-CN"/>
        </w:rPr>
        <w:t>其</w:t>
      </w:r>
      <w:r>
        <w:rPr>
          <w:rFonts w:hint="eastAsia"/>
          <w:b w:val="0"/>
          <w:bCs w:val="0"/>
          <w:color w:val="auto"/>
          <w:lang w:val="en-US" w:eastAsia="zh-CN"/>
        </w:rPr>
        <w:t>中中新苏滁高新区（未来产业园）智能制造工业坊项目报价为</w:t>
      </w:r>
      <w:r>
        <w:rPr>
          <w:rFonts w:hint="eastAsia"/>
          <w:b w:val="0"/>
          <w:bCs w:val="0"/>
          <w:color w:val="auto"/>
          <w:u w:val="single"/>
          <w:lang w:val="en-US" w:eastAsia="zh-CN"/>
        </w:rPr>
        <w:t xml:space="preserve">        </w:t>
      </w:r>
      <w:r>
        <w:rPr>
          <w:rFonts w:hint="eastAsia"/>
          <w:b w:val="0"/>
          <w:bCs w:val="0"/>
          <w:color w:val="auto"/>
          <w:lang w:val="en-US" w:eastAsia="zh-CN"/>
        </w:rPr>
        <w:t>元，中新苏滁高新区超级电容智能制造基地二期项目报价为</w:t>
      </w:r>
      <w:r>
        <w:rPr>
          <w:rFonts w:hint="eastAsia"/>
          <w:b w:val="0"/>
          <w:bCs w:val="0"/>
          <w:color w:val="auto"/>
          <w:u w:val="single"/>
          <w:lang w:val="en-US" w:eastAsia="zh-CN"/>
        </w:rPr>
        <w:t xml:space="preserve">     </w:t>
      </w:r>
      <w:r>
        <w:rPr>
          <w:rFonts w:hint="eastAsia"/>
          <w:b w:val="0"/>
          <w:bCs w:val="0"/>
          <w:color w:val="auto"/>
          <w:lang w:val="en-US" w:eastAsia="zh-CN"/>
        </w:rPr>
        <w:t>元）</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投标总报价</w:t>
      </w:r>
      <w:r>
        <w:rPr>
          <w:rFonts w:hint="eastAsia" w:ascii="宋体" w:hAnsi="宋体" w:eastAsia="宋体" w:cs="宋体"/>
          <w:color w:val="auto"/>
          <w:szCs w:val="21"/>
          <w:highlight w:val="none"/>
        </w:rPr>
        <w:t>完成本合同的服务，并承诺按相关规定完成招标文件规定该项目的全部工作。</w:t>
      </w:r>
    </w:p>
    <w:p w14:paraId="7E506E6C">
      <w:pPr>
        <w:spacing w:line="600" w:lineRule="exact"/>
        <w:ind w:firstLine="412" w:firstLineChars="200"/>
        <w:jc w:val="left"/>
        <w:rPr>
          <w:rFonts w:ascii="宋体" w:hAnsi="宋体" w:eastAsia="宋体" w:cs="宋体"/>
          <w:color w:val="auto"/>
          <w:spacing w:val="-2"/>
          <w:szCs w:val="21"/>
          <w:highlight w:val="none"/>
        </w:rPr>
      </w:pPr>
      <w:r>
        <w:rPr>
          <w:rFonts w:hint="eastAsia" w:ascii="宋体" w:hAnsi="宋体" w:eastAsia="宋体" w:cs="宋体"/>
          <w:color w:val="auto"/>
          <w:spacing w:val="-2"/>
          <w:szCs w:val="21"/>
          <w:highlight w:val="none"/>
          <w:lang w:eastAsia="zh-CN"/>
        </w:rPr>
        <w:t>2.</w:t>
      </w:r>
      <w:r>
        <w:rPr>
          <w:rFonts w:hint="eastAsia" w:ascii="宋体" w:hAnsi="宋体" w:eastAsia="宋体" w:cs="宋体"/>
          <w:color w:val="auto"/>
          <w:spacing w:val="-2"/>
          <w:szCs w:val="21"/>
          <w:highlight w:val="none"/>
        </w:rPr>
        <w:t>我方已详细审核全部招标文件及有关附件，承诺招标文件及有关附件中所有条款。</w:t>
      </w:r>
    </w:p>
    <w:p w14:paraId="4302E6C7">
      <w:pPr>
        <w:spacing w:line="600" w:lineRule="exact"/>
        <w:ind w:firstLine="412" w:firstLineChars="200"/>
        <w:jc w:val="left"/>
        <w:rPr>
          <w:rFonts w:ascii="宋体" w:hAnsi="宋体" w:eastAsia="宋体" w:cs="宋体"/>
          <w:color w:val="auto"/>
          <w:szCs w:val="21"/>
          <w:highlight w:val="none"/>
        </w:rPr>
      </w:pPr>
      <w:r>
        <w:rPr>
          <w:rFonts w:hint="eastAsia" w:ascii="宋体" w:hAnsi="宋体" w:eastAsia="宋体" w:cs="宋体"/>
          <w:color w:val="auto"/>
          <w:spacing w:val="-2"/>
          <w:szCs w:val="21"/>
          <w:highlight w:val="none"/>
          <w:lang w:eastAsia="zh-CN"/>
        </w:rPr>
        <w:t>3.</w:t>
      </w:r>
      <w:r>
        <w:rPr>
          <w:rFonts w:hint="eastAsia" w:ascii="宋体" w:hAnsi="宋体" w:eastAsia="宋体" w:cs="宋体"/>
          <w:color w:val="auto"/>
          <w:spacing w:val="-2"/>
          <w:szCs w:val="21"/>
          <w:highlight w:val="none"/>
        </w:rPr>
        <w:t>一旦我方中标，我方将派出</w:t>
      </w:r>
      <w:r>
        <w:rPr>
          <w:rFonts w:hint="eastAsia" w:ascii="宋体" w:hAnsi="宋体" w:eastAsia="宋体" w:cs="宋体"/>
          <w:color w:val="auto"/>
          <w:spacing w:val="-2"/>
          <w:szCs w:val="21"/>
          <w:highlight w:val="none"/>
          <w:u w:val="single"/>
        </w:rPr>
        <w:t xml:space="preserve">           </w:t>
      </w:r>
      <w:r>
        <w:rPr>
          <w:rFonts w:hint="eastAsia" w:ascii="宋体" w:hAnsi="宋体" w:eastAsia="宋体" w:cs="宋体"/>
          <w:color w:val="auto"/>
          <w:spacing w:val="-2"/>
          <w:szCs w:val="21"/>
          <w:highlight w:val="none"/>
        </w:rPr>
        <w:t>为本项目负责人，保证按照项目单位要求开始本项目的所有工作，并在规定时间内完成本合同的工作内容，并符合国家及行业现行相关标准和规范。</w:t>
      </w:r>
    </w:p>
    <w:p w14:paraId="4A0A99D8">
      <w:pPr>
        <w:spacing w:line="600" w:lineRule="exact"/>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rPr>
        <w:t>我方愿意提供贵单位可能另外要求的、与投标有关的文件资料，并保证我方已提供和将要提供的文件是真实的、准确的。</w:t>
      </w:r>
    </w:p>
    <w:p w14:paraId="60C5069D">
      <w:pPr>
        <w:spacing w:line="60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5.投标人提供如下通讯地址：</w:t>
      </w:r>
      <w:r>
        <w:rPr>
          <w:rFonts w:hint="eastAsia" w:ascii="宋体" w:hAnsi="宋体" w:eastAsia="宋体" w:cs="宋体"/>
          <w:color w:val="auto"/>
          <w:szCs w:val="21"/>
          <w:highlight w:val="none"/>
          <w:u w:val="single"/>
          <w:lang w:val="en-US" w:eastAsia="zh-CN"/>
        </w:rPr>
        <w:t xml:space="preserve">电子邮箱                       </w:t>
      </w:r>
      <w:r>
        <w:rPr>
          <w:rFonts w:hint="eastAsia" w:ascii="宋体" w:hAnsi="宋体" w:eastAsia="宋体" w:cs="宋体"/>
          <w:color w:val="auto"/>
          <w:szCs w:val="21"/>
          <w:highlight w:val="none"/>
          <w:lang w:val="en-US" w:eastAsia="zh-CN"/>
        </w:rPr>
        <w:t>，投标人确认本项目相关法律文书均通过投标人提供的以上地址送达，相关文书只要发送至以上电子邮箱（地址）即视为送达，投标人愿意承担一切法律后果。</w:t>
      </w:r>
    </w:p>
    <w:p w14:paraId="3C9C949A">
      <w:pPr>
        <w:spacing w:after="120" w:line="360" w:lineRule="auto"/>
        <w:ind w:left="420" w:leftChars="200" w:firstLine="420" w:firstLineChars="200"/>
        <w:rPr>
          <w:rFonts w:ascii="宋体" w:hAnsi="Times New Roman" w:eastAsia="宋体" w:cs="Times New Roman"/>
          <w:color w:val="auto"/>
          <w:szCs w:val="20"/>
          <w:highlight w:val="none"/>
        </w:rPr>
      </w:pPr>
    </w:p>
    <w:p w14:paraId="44841CB4">
      <w:pPr>
        <w:spacing w:line="600" w:lineRule="exact"/>
        <w:ind w:firstLine="3240" w:firstLineChars="1537"/>
        <w:jc w:val="left"/>
        <w:rPr>
          <w:rFonts w:ascii="宋体" w:hAnsi="宋体" w:eastAsia="宋体" w:cs="宋体"/>
          <w:b/>
          <w:color w:val="auto"/>
          <w:szCs w:val="21"/>
          <w:highlight w:val="none"/>
        </w:rPr>
      </w:pPr>
    </w:p>
    <w:p w14:paraId="33D8F03D">
      <w:pPr>
        <w:spacing w:line="600" w:lineRule="exact"/>
        <w:ind w:firstLine="2293" w:firstLineChars="1092"/>
        <w:jc w:val="left"/>
        <w:rPr>
          <w:rFonts w:ascii="宋体" w:hAnsi="宋体" w:eastAsia="宋体" w:cs="宋体"/>
          <w:color w:val="auto"/>
          <w:szCs w:val="21"/>
          <w:highlight w:val="none"/>
        </w:rPr>
      </w:pPr>
      <w:r>
        <w:rPr>
          <w:rFonts w:hint="eastAsia" w:ascii="宋体" w:hAnsi="宋体" w:eastAsia="宋体" w:cs="宋体"/>
          <w:color w:val="auto"/>
          <w:szCs w:val="21"/>
          <w:highlight w:val="none"/>
        </w:rPr>
        <w:t>单位名称：</w:t>
      </w:r>
      <w:r>
        <w:rPr>
          <w:rFonts w:hint="eastAsia" w:ascii="宋体" w:hAnsi="宋体" w:eastAsia="宋体" w:cs="宋体"/>
          <w:color w:val="auto"/>
          <w:szCs w:val="21"/>
          <w:highlight w:val="none"/>
          <w:u w:val="single"/>
        </w:rPr>
        <w:t xml:space="preserve">                  （公    章）   </w:t>
      </w:r>
    </w:p>
    <w:p w14:paraId="6FE40895">
      <w:pPr>
        <w:spacing w:line="600" w:lineRule="exact"/>
        <w:ind w:firstLine="2293" w:firstLineChars="1092"/>
        <w:jc w:val="left"/>
        <w:rPr>
          <w:rFonts w:ascii="宋体" w:hAnsi="宋体" w:eastAsia="宋体" w:cs="宋体"/>
          <w:color w:val="auto"/>
          <w:szCs w:val="21"/>
          <w:highlight w:val="none"/>
          <w:u w:val="single"/>
        </w:rPr>
      </w:pPr>
      <w:r>
        <w:rPr>
          <w:rFonts w:hint="eastAsia" w:ascii="宋体" w:hAnsi="宋体" w:eastAsia="宋体" w:cs="宋体"/>
          <w:bCs/>
          <w:color w:val="auto"/>
          <w:szCs w:val="21"/>
          <w:highlight w:val="none"/>
        </w:rPr>
        <w:t>法定代表人或其委托代理人签名</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6E423368">
      <w:pPr>
        <w:spacing w:line="60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日    期：</w:t>
      </w:r>
      <w:r>
        <w:rPr>
          <w:rFonts w:hint="eastAsia" w:ascii="宋体" w:hAnsi="宋体" w:eastAsia="宋体" w:cs="宋体"/>
          <w:color w:val="auto"/>
          <w:szCs w:val="21"/>
          <w:highlight w:val="none"/>
          <w:u w:val="single"/>
        </w:rPr>
        <w:t xml:space="preserve">                                 </w:t>
      </w:r>
    </w:p>
    <w:p w14:paraId="5C830A01">
      <w:pPr>
        <w:spacing w:line="600" w:lineRule="exact"/>
        <w:ind w:firstLine="2310" w:firstLineChars="1100"/>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通讯地址：</w:t>
      </w:r>
      <w:r>
        <w:rPr>
          <w:rFonts w:hint="eastAsia" w:ascii="宋体" w:hAnsi="宋体" w:eastAsia="宋体" w:cs="宋体"/>
          <w:color w:val="auto"/>
          <w:szCs w:val="21"/>
          <w:highlight w:val="none"/>
          <w:u w:val="single"/>
        </w:rPr>
        <w:t xml:space="preserve">                                 </w:t>
      </w:r>
    </w:p>
    <w:p w14:paraId="38478E2A">
      <w:pPr>
        <w:spacing w:line="600" w:lineRule="exact"/>
        <w:ind w:firstLine="2310" w:firstLineChars="1100"/>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电   话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p>
    <w:p w14:paraId="2D431D37">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招标单位、招标代理机构对本招标文件的确认</w:t>
      </w:r>
    </w:p>
    <w:tbl>
      <w:tblPr>
        <w:tblStyle w:val="21"/>
        <w:tblW w:w="945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6"/>
      </w:tblGrid>
      <w:tr w14:paraId="0364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1" w:hRule="atLeast"/>
        </w:trPr>
        <w:tc>
          <w:tcPr>
            <w:tcW w:w="9456" w:type="dxa"/>
          </w:tcPr>
          <w:p w14:paraId="711E8CFA">
            <w:pPr>
              <w:spacing w:line="320" w:lineRule="atLeast"/>
              <w:ind w:firstLine="560" w:firstLineChars="200"/>
              <w:rPr>
                <w:rFonts w:hint="eastAsia" w:ascii="宋体" w:hAnsi="宋体" w:eastAsia="宋体" w:cs="宋体"/>
                <w:color w:val="auto"/>
                <w:sz w:val="28"/>
                <w:szCs w:val="28"/>
                <w:highlight w:val="none"/>
              </w:rPr>
            </w:pPr>
          </w:p>
          <w:p w14:paraId="5D0AC9C9">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我单位对</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eastAsia="zh-CN"/>
              </w:rPr>
              <w:t>中新苏滁高新区（未来产业园）智能制造工业坊及中新苏滁高新区超级电容智能制造基地二期沉降观测服务项目</w:t>
            </w:r>
            <w:r>
              <w:rPr>
                <w:rFonts w:hint="eastAsia" w:ascii="宋体" w:hAnsi="宋体" w:eastAsia="宋体" w:cs="宋体"/>
                <w:color w:val="auto"/>
                <w:sz w:val="28"/>
                <w:szCs w:val="28"/>
                <w:highlight w:val="none"/>
              </w:rPr>
              <w:t>的招标文件进行确认。</w:t>
            </w:r>
          </w:p>
          <w:p w14:paraId="7D9CD28B">
            <w:pPr>
              <w:spacing w:line="320" w:lineRule="atLeast"/>
              <w:ind w:firstLine="560" w:firstLineChars="200"/>
              <w:rPr>
                <w:rFonts w:hint="eastAsia" w:ascii="宋体" w:hAnsi="宋体" w:eastAsia="宋体" w:cs="宋体"/>
                <w:color w:val="auto"/>
                <w:sz w:val="28"/>
                <w:szCs w:val="28"/>
                <w:highlight w:val="none"/>
              </w:rPr>
            </w:pPr>
          </w:p>
          <w:p w14:paraId="628002D2">
            <w:pPr>
              <w:spacing w:line="320" w:lineRule="atLeast"/>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招标人：</w:t>
            </w:r>
            <w:r>
              <w:rPr>
                <w:rFonts w:hint="eastAsia" w:ascii="宋体" w:hAnsi="宋体" w:cs="宋体"/>
                <w:color w:val="auto"/>
                <w:sz w:val="28"/>
                <w:szCs w:val="28"/>
                <w:highlight w:val="none"/>
                <w:lang w:eastAsia="zh-CN"/>
              </w:rPr>
              <w:t xml:space="preserve">滁州苏滁产城开发有限公司 </w:t>
            </w:r>
            <w:r>
              <w:rPr>
                <w:rFonts w:hint="eastAsia" w:ascii="宋体" w:hAnsi="宋体" w:eastAsia="宋体" w:cs="宋体"/>
                <w:color w:val="auto"/>
                <w:sz w:val="28"/>
                <w:szCs w:val="28"/>
                <w:highlight w:val="none"/>
                <w:lang w:eastAsia="zh-CN"/>
              </w:rPr>
              <w:t xml:space="preserve"> </w:t>
            </w:r>
          </w:p>
          <w:p w14:paraId="625B03CC">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联系人：</w:t>
            </w:r>
            <w:r>
              <w:rPr>
                <w:rFonts w:hint="eastAsia" w:ascii="宋体" w:hAnsi="宋体" w:cs="宋体"/>
                <w:color w:val="auto"/>
                <w:sz w:val="28"/>
                <w:szCs w:val="28"/>
                <w:highlight w:val="none"/>
                <w:lang w:val="en-US" w:eastAsia="zh-CN"/>
              </w:rPr>
              <w:t>李工</w:t>
            </w:r>
          </w:p>
          <w:p w14:paraId="4E196258">
            <w:pPr>
              <w:spacing w:line="320" w:lineRule="atLeast"/>
              <w:ind w:firstLine="560" w:firstLineChars="200"/>
              <w:rPr>
                <w:rFonts w:hint="eastAsia" w:ascii="宋体" w:hAnsi="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cs="宋体"/>
                <w:color w:val="auto"/>
                <w:sz w:val="28"/>
                <w:szCs w:val="28"/>
                <w:highlight w:val="none"/>
                <w:lang w:val="en-US" w:eastAsia="zh-CN"/>
              </w:rPr>
              <w:t>0550-3026900</w:t>
            </w:r>
          </w:p>
          <w:p w14:paraId="59B173D3">
            <w:pPr>
              <w:pStyle w:val="2"/>
              <w:rPr>
                <w:rFonts w:hint="eastAsia"/>
                <w:color w:val="auto"/>
                <w:highlight w:val="none"/>
              </w:rPr>
            </w:pPr>
          </w:p>
          <w:p w14:paraId="37F995C3">
            <w:pPr>
              <w:spacing w:line="500" w:lineRule="exact"/>
              <w:ind w:firstLine="281" w:firstLineChars="100"/>
              <w:rPr>
                <w:rFonts w:hint="eastAsia" w:ascii="宋体" w:hAnsi="宋体" w:eastAsia="宋体" w:cs="宋体"/>
                <w:b/>
                <w:bCs/>
                <w:color w:val="auto"/>
                <w:sz w:val="28"/>
                <w:szCs w:val="28"/>
                <w:highlight w:val="none"/>
              </w:rPr>
            </w:pPr>
          </w:p>
          <w:p w14:paraId="4D893EA2">
            <w:pPr>
              <w:spacing w:line="5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 （单位盖章）</w:t>
            </w:r>
          </w:p>
          <w:p w14:paraId="60FF219D">
            <w:pPr>
              <w:ind w:firstLine="5320" w:firstLineChars="19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10</w:t>
            </w:r>
            <w:r>
              <w:rPr>
                <w:rFonts w:hint="eastAsia" w:ascii="宋体" w:hAnsi="宋体" w:eastAsia="宋体" w:cs="宋体"/>
                <w:color w:val="auto"/>
                <w:sz w:val="28"/>
                <w:szCs w:val="28"/>
                <w:highlight w:val="none"/>
              </w:rPr>
              <w:t>月</w:t>
            </w:r>
          </w:p>
        </w:tc>
      </w:tr>
      <w:tr w14:paraId="79DB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1" w:hRule="atLeast"/>
        </w:trPr>
        <w:tc>
          <w:tcPr>
            <w:tcW w:w="9456" w:type="dxa"/>
          </w:tcPr>
          <w:p w14:paraId="58E5FAAB">
            <w:pPr>
              <w:spacing w:line="320" w:lineRule="atLeast"/>
              <w:ind w:firstLine="560" w:firstLineChars="200"/>
              <w:rPr>
                <w:rFonts w:hint="eastAsia" w:ascii="宋体" w:hAnsi="宋体" w:eastAsia="宋体" w:cs="宋体"/>
                <w:color w:val="auto"/>
                <w:sz w:val="28"/>
                <w:szCs w:val="28"/>
                <w:highlight w:val="none"/>
              </w:rPr>
            </w:pPr>
          </w:p>
          <w:p w14:paraId="466E8E43">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招标代理机构：滁州市城投工程咨询管理有限公司</w:t>
            </w:r>
          </w:p>
          <w:p w14:paraId="747EACC0">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杨韦</w:t>
            </w:r>
          </w:p>
          <w:p w14:paraId="487BCAFB">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 0550-35195</w:t>
            </w:r>
            <w:r>
              <w:rPr>
                <w:rFonts w:hint="eastAsia" w:ascii="宋体" w:hAnsi="宋体" w:eastAsia="宋体" w:cs="宋体"/>
                <w:color w:val="auto"/>
                <w:sz w:val="28"/>
                <w:szCs w:val="28"/>
                <w:highlight w:val="none"/>
                <w:lang w:val="en-US" w:eastAsia="zh-CN"/>
              </w:rPr>
              <w:t xml:space="preserve">90 </w:t>
            </w: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18005501210</w:t>
            </w:r>
          </w:p>
          <w:p w14:paraId="6104785F">
            <w:pPr>
              <w:rPr>
                <w:rFonts w:hint="eastAsia" w:ascii="宋体" w:hAnsi="宋体" w:eastAsia="宋体" w:cs="宋体"/>
                <w:color w:val="auto"/>
                <w:sz w:val="28"/>
                <w:szCs w:val="28"/>
                <w:highlight w:val="none"/>
              </w:rPr>
            </w:pPr>
          </w:p>
          <w:p w14:paraId="32F86CDC">
            <w:pPr>
              <w:ind w:firstLine="5040" w:firstLineChars="18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（单位盖章）</w:t>
            </w:r>
          </w:p>
          <w:p w14:paraId="0F84C0B7">
            <w:pPr>
              <w:ind w:firstLine="4900" w:firstLineChars="17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eastAsia="zh-CN"/>
              </w:rPr>
              <w:t>202</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rPr>
              <w:t>年</w:t>
            </w:r>
            <w:r>
              <w:rPr>
                <w:rFonts w:hint="eastAsia" w:ascii="宋体" w:hAnsi="宋体" w:cs="宋体"/>
                <w:color w:val="auto"/>
                <w:sz w:val="28"/>
                <w:szCs w:val="28"/>
                <w:highlight w:val="none"/>
                <w:lang w:val="en-US" w:eastAsia="zh-CN"/>
              </w:rPr>
              <w:t>10</w:t>
            </w:r>
            <w:r>
              <w:rPr>
                <w:rFonts w:hint="eastAsia" w:ascii="宋体" w:hAnsi="宋体" w:eastAsia="宋体" w:cs="宋体"/>
                <w:color w:val="auto"/>
                <w:sz w:val="28"/>
                <w:szCs w:val="28"/>
                <w:highlight w:val="none"/>
              </w:rPr>
              <w:t>月</w:t>
            </w:r>
          </w:p>
        </w:tc>
      </w:tr>
    </w:tbl>
    <w:p w14:paraId="1BA9582E">
      <w:pPr>
        <w:pStyle w:val="2"/>
        <w:ind w:left="0" w:leftChars="0" w:firstLine="0" w:firstLineChars="0"/>
        <w:rPr>
          <w:rFonts w:hAnsi="宋体" w:eastAsia="宋体" w:cs="宋体"/>
          <w:b/>
          <w:bCs/>
          <w:color w:val="auto"/>
          <w:kern w:val="0"/>
          <w:sz w:val="24"/>
          <w:szCs w:val="24"/>
          <w:highlight w:val="none"/>
        </w:rPr>
      </w:pPr>
    </w:p>
    <w:sectPr>
      <w:headerReference r:id="rId5" w:type="default"/>
      <w:footerReference r:id="rId6" w:type="default"/>
      <w:pgSz w:w="11906" w:h="16838"/>
      <w:pgMar w:top="1417" w:right="1247" w:bottom="1417" w:left="1247" w:header="851" w:footer="992" w:gutter="0"/>
      <w:pgNumType w:fmt="numberInDash"/>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auto"/>
    <w:pitch w:val="default"/>
    <w:sig w:usb0="00000283" w:usb1="288F0000" w:usb2="00000006" w:usb3="00000000" w:csb0="00040001" w:csb1="00000000"/>
  </w:font>
  <w:font w:name="Arial Unicode MS">
    <w:panose1 w:val="020B0604020202020204"/>
    <w:charset w:val="86"/>
    <w:family w:val="roman"/>
    <w:pitch w:val="default"/>
    <w:sig w:usb0="F7FFAEFF" w:usb1="F9DFFFFF" w:usb2="0000007F" w:usb3="00000000" w:csb0="203F01FF" w:csb1="DFFF0000"/>
  </w:font>
  <w:font w:name="仿宋">
    <w:panose1 w:val="02010609060101010101"/>
    <w:charset w:val="86"/>
    <w:family w:val="auto"/>
    <w:pitch w:val="default"/>
    <w:sig w:usb0="800002BF" w:usb1="38CF7CFA" w:usb2="00000016" w:usb3="00000000" w:csb0="00040001" w:csb1="00000000"/>
  </w:font>
  <w:font w:name="XBSJ-PK7482000003a-Identity-H">
    <w:altName w:val="黑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C9D6">
    <w:pPr>
      <w:pStyle w:val="17"/>
      <w:tabs>
        <w:tab w:val="clear" w:pos="4153"/>
        <w:tab w:val="clear" w:pos="8306"/>
      </w:tabs>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7991C">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27991C">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95C93">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38F65F">
                          <w:pPr>
                            <w:pStyle w:val="17"/>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E38F65F">
                    <w:pPr>
                      <w:pStyle w:val="17"/>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88651">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817F1B">
                          <w:pPr>
                            <w:pStyle w:val="17"/>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6817F1B">
                    <w:pPr>
                      <w:pStyle w:val="17"/>
                    </w:pPr>
                    <w:r>
                      <w:fldChar w:fldCharType="begin"/>
                    </w:r>
                    <w:r>
                      <w:instrText xml:space="preserve"> PAGE  \* MERGEFORMAT </w:instrText>
                    </w:r>
                    <w:r>
                      <w:fldChar w:fldCharType="separate"/>
                    </w:r>
                    <w:r>
                      <w:t>38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500CE">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23379E"/>
    <w:multiLevelType w:val="multilevel"/>
    <w:tmpl w:val="2323379E"/>
    <w:lvl w:ilvl="0" w:tentative="0">
      <w:start w:val="1"/>
      <w:numFmt w:val="chineseCountingThousand"/>
      <w:pStyle w:val="5"/>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E9A5497"/>
    <w:multiLevelType w:val="singleLevel"/>
    <w:tmpl w:val="6E9A5497"/>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jNzRhMjY1M2E0ZjRkZjRiOTdjY2RiOGY4M2I4OGEifQ=="/>
  </w:docVars>
  <w:rsids>
    <w:rsidRoot w:val="05D70085"/>
    <w:rsid w:val="00001690"/>
    <w:rsid w:val="000352D6"/>
    <w:rsid w:val="0007367A"/>
    <w:rsid w:val="00084386"/>
    <w:rsid w:val="000F4C71"/>
    <w:rsid w:val="001D7421"/>
    <w:rsid w:val="001E7A66"/>
    <w:rsid w:val="00205023"/>
    <w:rsid w:val="002A45CF"/>
    <w:rsid w:val="002C216C"/>
    <w:rsid w:val="003A5CA3"/>
    <w:rsid w:val="003B0345"/>
    <w:rsid w:val="003B2683"/>
    <w:rsid w:val="00492B09"/>
    <w:rsid w:val="004A7DEE"/>
    <w:rsid w:val="004C344F"/>
    <w:rsid w:val="005507EF"/>
    <w:rsid w:val="00556528"/>
    <w:rsid w:val="005A4989"/>
    <w:rsid w:val="005B0486"/>
    <w:rsid w:val="0067794E"/>
    <w:rsid w:val="006856D9"/>
    <w:rsid w:val="007002F1"/>
    <w:rsid w:val="007C1ED7"/>
    <w:rsid w:val="007E115D"/>
    <w:rsid w:val="00872EA2"/>
    <w:rsid w:val="008905A2"/>
    <w:rsid w:val="00897B7D"/>
    <w:rsid w:val="008B7A4F"/>
    <w:rsid w:val="008E1A57"/>
    <w:rsid w:val="00910B16"/>
    <w:rsid w:val="00940444"/>
    <w:rsid w:val="00977B22"/>
    <w:rsid w:val="009A0143"/>
    <w:rsid w:val="009A3767"/>
    <w:rsid w:val="00A72F87"/>
    <w:rsid w:val="00AD4C57"/>
    <w:rsid w:val="00B2558C"/>
    <w:rsid w:val="00BD5D9D"/>
    <w:rsid w:val="00C25787"/>
    <w:rsid w:val="00C6698F"/>
    <w:rsid w:val="00C7698C"/>
    <w:rsid w:val="00CE4982"/>
    <w:rsid w:val="00D114E5"/>
    <w:rsid w:val="00D837DC"/>
    <w:rsid w:val="00DA3FD0"/>
    <w:rsid w:val="00DC141F"/>
    <w:rsid w:val="00DD5BEA"/>
    <w:rsid w:val="00DD7712"/>
    <w:rsid w:val="00E30ED9"/>
    <w:rsid w:val="00E338E4"/>
    <w:rsid w:val="00E82CDA"/>
    <w:rsid w:val="0100193D"/>
    <w:rsid w:val="015F61C6"/>
    <w:rsid w:val="016E0AFA"/>
    <w:rsid w:val="019C0EC3"/>
    <w:rsid w:val="0245273D"/>
    <w:rsid w:val="025E0FA7"/>
    <w:rsid w:val="028265A2"/>
    <w:rsid w:val="02C57B73"/>
    <w:rsid w:val="02DB5B1F"/>
    <w:rsid w:val="031B2C7F"/>
    <w:rsid w:val="032A1A54"/>
    <w:rsid w:val="03502F34"/>
    <w:rsid w:val="03E1048B"/>
    <w:rsid w:val="045316CE"/>
    <w:rsid w:val="047364BC"/>
    <w:rsid w:val="048346F8"/>
    <w:rsid w:val="04AA5B07"/>
    <w:rsid w:val="04D72BD5"/>
    <w:rsid w:val="04DC01EC"/>
    <w:rsid w:val="04EB042F"/>
    <w:rsid w:val="04F512AE"/>
    <w:rsid w:val="053C1395"/>
    <w:rsid w:val="056F0A41"/>
    <w:rsid w:val="0575419C"/>
    <w:rsid w:val="057E74F5"/>
    <w:rsid w:val="05D70085"/>
    <w:rsid w:val="05D84E57"/>
    <w:rsid w:val="05DE1D42"/>
    <w:rsid w:val="063C2B11"/>
    <w:rsid w:val="0645325A"/>
    <w:rsid w:val="0645749A"/>
    <w:rsid w:val="06481220"/>
    <w:rsid w:val="068154EF"/>
    <w:rsid w:val="06DC5C03"/>
    <w:rsid w:val="07397B77"/>
    <w:rsid w:val="073E0C94"/>
    <w:rsid w:val="07520C39"/>
    <w:rsid w:val="07747E75"/>
    <w:rsid w:val="07D11B30"/>
    <w:rsid w:val="08023212"/>
    <w:rsid w:val="089B57D6"/>
    <w:rsid w:val="094D16B8"/>
    <w:rsid w:val="09C702DD"/>
    <w:rsid w:val="0A0B41EF"/>
    <w:rsid w:val="0A9B1C76"/>
    <w:rsid w:val="0A9B6453"/>
    <w:rsid w:val="0B0E5BE8"/>
    <w:rsid w:val="0B736949"/>
    <w:rsid w:val="0C152235"/>
    <w:rsid w:val="0C8D307F"/>
    <w:rsid w:val="0C927D27"/>
    <w:rsid w:val="0C9D2956"/>
    <w:rsid w:val="0CF307C8"/>
    <w:rsid w:val="0D2725DF"/>
    <w:rsid w:val="0D802EDC"/>
    <w:rsid w:val="0D805885"/>
    <w:rsid w:val="0D841E36"/>
    <w:rsid w:val="0DA46170"/>
    <w:rsid w:val="0E163A71"/>
    <w:rsid w:val="0E325320"/>
    <w:rsid w:val="0E336630"/>
    <w:rsid w:val="0E632B4B"/>
    <w:rsid w:val="0EC1042B"/>
    <w:rsid w:val="0EEE295E"/>
    <w:rsid w:val="0F2C6214"/>
    <w:rsid w:val="0F4374DE"/>
    <w:rsid w:val="0F5F2040"/>
    <w:rsid w:val="0F6D7D06"/>
    <w:rsid w:val="0FEF171B"/>
    <w:rsid w:val="100701C9"/>
    <w:rsid w:val="101E3DAE"/>
    <w:rsid w:val="102C2057"/>
    <w:rsid w:val="103B4960"/>
    <w:rsid w:val="10790FE5"/>
    <w:rsid w:val="10817DB1"/>
    <w:rsid w:val="10F62635"/>
    <w:rsid w:val="110C3C07"/>
    <w:rsid w:val="113849FC"/>
    <w:rsid w:val="11432348"/>
    <w:rsid w:val="117C74B0"/>
    <w:rsid w:val="11AB275B"/>
    <w:rsid w:val="11DB45DA"/>
    <w:rsid w:val="11E56BE8"/>
    <w:rsid w:val="11EA479A"/>
    <w:rsid w:val="1232557E"/>
    <w:rsid w:val="1253301E"/>
    <w:rsid w:val="12BE1F05"/>
    <w:rsid w:val="12C034C3"/>
    <w:rsid w:val="13505B2D"/>
    <w:rsid w:val="13BF049D"/>
    <w:rsid w:val="13C133CE"/>
    <w:rsid w:val="144162BD"/>
    <w:rsid w:val="146C2106"/>
    <w:rsid w:val="14A4387B"/>
    <w:rsid w:val="1636266F"/>
    <w:rsid w:val="16D927DD"/>
    <w:rsid w:val="17152764"/>
    <w:rsid w:val="17326F19"/>
    <w:rsid w:val="17481711"/>
    <w:rsid w:val="175E27F1"/>
    <w:rsid w:val="17842223"/>
    <w:rsid w:val="17BA0386"/>
    <w:rsid w:val="18090EA0"/>
    <w:rsid w:val="182727EA"/>
    <w:rsid w:val="183A21B0"/>
    <w:rsid w:val="185760AF"/>
    <w:rsid w:val="18B16BDD"/>
    <w:rsid w:val="19C159C6"/>
    <w:rsid w:val="19D874DF"/>
    <w:rsid w:val="19DC233E"/>
    <w:rsid w:val="19F249B0"/>
    <w:rsid w:val="1A433660"/>
    <w:rsid w:val="1AAF75C9"/>
    <w:rsid w:val="1AFB1879"/>
    <w:rsid w:val="1AFE5452"/>
    <w:rsid w:val="1B041EDD"/>
    <w:rsid w:val="1B4D19EC"/>
    <w:rsid w:val="1B7B582B"/>
    <w:rsid w:val="1B851185"/>
    <w:rsid w:val="1B9F1994"/>
    <w:rsid w:val="1BA535D6"/>
    <w:rsid w:val="1BB11EE9"/>
    <w:rsid w:val="1C1D13BE"/>
    <w:rsid w:val="1C95441B"/>
    <w:rsid w:val="1CF7381D"/>
    <w:rsid w:val="1CF87735"/>
    <w:rsid w:val="1D242768"/>
    <w:rsid w:val="1DE20009"/>
    <w:rsid w:val="1E311151"/>
    <w:rsid w:val="1E3B5B2B"/>
    <w:rsid w:val="1E7E7ACB"/>
    <w:rsid w:val="1E8E61CA"/>
    <w:rsid w:val="1F354C71"/>
    <w:rsid w:val="1FAD4807"/>
    <w:rsid w:val="2002301C"/>
    <w:rsid w:val="204C2B32"/>
    <w:rsid w:val="20A774A8"/>
    <w:rsid w:val="20A84697"/>
    <w:rsid w:val="20AF5A3B"/>
    <w:rsid w:val="20E9468D"/>
    <w:rsid w:val="218540C4"/>
    <w:rsid w:val="21D66561"/>
    <w:rsid w:val="22061E3C"/>
    <w:rsid w:val="22360EE2"/>
    <w:rsid w:val="22456F79"/>
    <w:rsid w:val="228C7317"/>
    <w:rsid w:val="22925F36"/>
    <w:rsid w:val="22993768"/>
    <w:rsid w:val="22D87DED"/>
    <w:rsid w:val="233368A6"/>
    <w:rsid w:val="237F13E0"/>
    <w:rsid w:val="23A979DB"/>
    <w:rsid w:val="23E54F52"/>
    <w:rsid w:val="24C53081"/>
    <w:rsid w:val="25426A38"/>
    <w:rsid w:val="256F64F3"/>
    <w:rsid w:val="25781198"/>
    <w:rsid w:val="25C503AA"/>
    <w:rsid w:val="261B502F"/>
    <w:rsid w:val="2625704B"/>
    <w:rsid w:val="26663961"/>
    <w:rsid w:val="267E607D"/>
    <w:rsid w:val="26804A23"/>
    <w:rsid w:val="269A360B"/>
    <w:rsid w:val="26A360DC"/>
    <w:rsid w:val="26ED3D39"/>
    <w:rsid w:val="272950BB"/>
    <w:rsid w:val="274A6DDF"/>
    <w:rsid w:val="2769195B"/>
    <w:rsid w:val="27A27D09"/>
    <w:rsid w:val="27CC3C98"/>
    <w:rsid w:val="27DA52F5"/>
    <w:rsid w:val="2812778F"/>
    <w:rsid w:val="28434C7C"/>
    <w:rsid w:val="2876032E"/>
    <w:rsid w:val="289447B6"/>
    <w:rsid w:val="28E83D60"/>
    <w:rsid w:val="28F74D45"/>
    <w:rsid w:val="292924C4"/>
    <w:rsid w:val="295227ED"/>
    <w:rsid w:val="299527C5"/>
    <w:rsid w:val="29AA0009"/>
    <w:rsid w:val="29C845C8"/>
    <w:rsid w:val="29E3753A"/>
    <w:rsid w:val="29F04977"/>
    <w:rsid w:val="29F8027A"/>
    <w:rsid w:val="29FB0865"/>
    <w:rsid w:val="2B214E94"/>
    <w:rsid w:val="2B4A3852"/>
    <w:rsid w:val="2B722C95"/>
    <w:rsid w:val="2B9845BD"/>
    <w:rsid w:val="2B9C1363"/>
    <w:rsid w:val="2C0910A6"/>
    <w:rsid w:val="2C3B037D"/>
    <w:rsid w:val="2CA3146B"/>
    <w:rsid w:val="2CAF5755"/>
    <w:rsid w:val="2CCE2BA8"/>
    <w:rsid w:val="2CED54DC"/>
    <w:rsid w:val="2D022BCC"/>
    <w:rsid w:val="2D0910AB"/>
    <w:rsid w:val="2D210CCE"/>
    <w:rsid w:val="2D393FEA"/>
    <w:rsid w:val="2D650970"/>
    <w:rsid w:val="2D6C78EA"/>
    <w:rsid w:val="2D730DF5"/>
    <w:rsid w:val="2D7D26AA"/>
    <w:rsid w:val="2D827EA2"/>
    <w:rsid w:val="2DDB69E3"/>
    <w:rsid w:val="2E1D33D3"/>
    <w:rsid w:val="2E2A1718"/>
    <w:rsid w:val="2E61140F"/>
    <w:rsid w:val="2EA4208C"/>
    <w:rsid w:val="2F120B2A"/>
    <w:rsid w:val="2F605354"/>
    <w:rsid w:val="2FA62F00"/>
    <w:rsid w:val="2FCF036E"/>
    <w:rsid w:val="2FFA3A98"/>
    <w:rsid w:val="3024214B"/>
    <w:rsid w:val="30670A02"/>
    <w:rsid w:val="306807DE"/>
    <w:rsid w:val="31BE28A4"/>
    <w:rsid w:val="32384404"/>
    <w:rsid w:val="32454D73"/>
    <w:rsid w:val="32794A1C"/>
    <w:rsid w:val="32CB171C"/>
    <w:rsid w:val="330330A1"/>
    <w:rsid w:val="3306131A"/>
    <w:rsid w:val="33277341"/>
    <w:rsid w:val="33690120"/>
    <w:rsid w:val="338D21C4"/>
    <w:rsid w:val="33C61EE3"/>
    <w:rsid w:val="33DF0FE9"/>
    <w:rsid w:val="33F56325"/>
    <w:rsid w:val="348D398A"/>
    <w:rsid w:val="349618B6"/>
    <w:rsid w:val="34A92B45"/>
    <w:rsid w:val="34B166F0"/>
    <w:rsid w:val="34FF4677"/>
    <w:rsid w:val="352219CC"/>
    <w:rsid w:val="35B1254D"/>
    <w:rsid w:val="36081A3F"/>
    <w:rsid w:val="36CB62E7"/>
    <w:rsid w:val="36D860FD"/>
    <w:rsid w:val="36E96615"/>
    <w:rsid w:val="373D3072"/>
    <w:rsid w:val="37691503"/>
    <w:rsid w:val="37B81B43"/>
    <w:rsid w:val="37E03806"/>
    <w:rsid w:val="37F610DB"/>
    <w:rsid w:val="38154F1C"/>
    <w:rsid w:val="381551E7"/>
    <w:rsid w:val="382C5212"/>
    <w:rsid w:val="383D61FA"/>
    <w:rsid w:val="389A7287"/>
    <w:rsid w:val="38E250CA"/>
    <w:rsid w:val="3942185D"/>
    <w:rsid w:val="39544B06"/>
    <w:rsid w:val="397C3770"/>
    <w:rsid w:val="39890240"/>
    <w:rsid w:val="39983D71"/>
    <w:rsid w:val="39C35D81"/>
    <w:rsid w:val="39E50927"/>
    <w:rsid w:val="39F8687F"/>
    <w:rsid w:val="3A1A0893"/>
    <w:rsid w:val="3A255BB6"/>
    <w:rsid w:val="3A462778"/>
    <w:rsid w:val="3AC151B3"/>
    <w:rsid w:val="3B5C4742"/>
    <w:rsid w:val="3B764FFF"/>
    <w:rsid w:val="3BFE66BE"/>
    <w:rsid w:val="3C054B85"/>
    <w:rsid w:val="3C095DE7"/>
    <w:rsid w:val="3C15648E"/>
    <w:rsid w:val="3C937182"/>
    <w:rsid w:val="3D4E7149"/>
    <w:rsid w:val="3D5D5666"/>
    <w:rsid w:val="3D6469F5"/>
    <w:rsid w:val="3DF37D79"/>
    <w:rsid w:val="3E104487"/>
    <w:rsid w:val="3E162139"/>
    <w:rsid w:val="3E7647B6"/>
    <w:rsid w:val="3E7C38CA"/>
    <w:rsid w:val="3E832B74"/>
    <w:rsid w:val="3E90381A"/>
    <w:rsid w:val="3F4B7C76"/>
    <w:rsid w:val="3FA51D09"/>
    <w:rsid w:val="40BF3F42"/>
    <w:rsid w:val="40CD48B1"/>
    <w:rsid w:val="414403FF"/>
    <w:rsid w:val="415C1487"/>
    <w:rsid w:val="41C9151C"/>
    <w:rsid w:val="41FD5955"/>
    <w:rsid w:val="420A2FE2"/>
    <w:rsid w:val="422B7AE1"/>
    <w:rsid w:val="423D15C3"/>
    <w:rsid w:val="428D254A"/>
    <w:rsid w:val="43170066"/>
    <w:rsid w:val="433A74C8"/>
    <w:rsid w:val="43E25091"/>
    <w:rsid w:val="4487121B"/>
    <w:rsid w:val="44B00A06"/>
    <w:rsid w:val="44C67F95"/>
    <w:rsid w:val="45883564"/>
    <w:rsid w:val="4651388E"/>
    <w:rsid w:val="46515D0A"/>
    <w:rsid w:val="46C06DBE"/>
    <w:rsid w:val="46EF37F8"/>
    <w:rsid w:val="46FA66EA"/>
    <w:rsid w:val="470C1FF4"/>
    <w:rsid w:val="471901E3"/>
    <w:rsid w:val="477B5067"/>
    <w:rsid w:val="478013B8"/>
    <w:rsid w:val="479003E6"/>
    <w:rsid w:val="47BA5463"/>
    <w:rsid w:val="47DE3B6F"/>
    <w:rsid w:val="47FD3CCE"/>
    <w:rsid w:val="4849595A"/>
    <w:rsid w:val="48711FC6"/>
    <w:rsid w:val="488E0DCA"/>
    <w:rsid w:val="48974BAE"/>
    <w:rsid w:val="489C243E"/>
    <w:rsid w:val="48C93BB0"/>
    <w:rsid w:val="48CD7E5A"/>
    <w:rsid w:val="48D83046"/>
    <w:rsid w:val="4901159C"/>
    <w:rsid w:val="49466874"/>
    <w:rsid w:val="49677BF1"/>
    <w:rsid w:val="4A874585"/>
    <w:rsid w:val="4AC26B09"/>
    <w:rsid w:val="4AC83B96"/>
    <w:rsid w:val="4ADB1640"/>
    <w:rsid w:val="4AE20990"/>
    <w:rsid w:val="4B685902"/>
    <w:rsid w:val="4B6F5649"/>
    <w:rsid w:val="4BD648A6"/>
    <w:rsid w:val="4BEE7BAE"/>
    <w:rsid w:val="4C02731C"/>
    <w:rsid w:val="4C83709B"/>
    <w:rsid w:val="4CE53EDF"/>
    <w:rsid w:val="4D514CBB"/>
    <w:rsid w:val="4DC30408"/>
    <w:rsid w:val="4DD112B8"/>
    <w:rsid w:val="4E323C03"/>
    <w:rsid w:val="4E375767"/>
    <w:rsid w:val="4E5C7274"/>
    <w:rsid w:val="4E6E7EE2"/>
    <w:rsid w:val="4E8F13F8"/>
    <w:rsid w:val="4F363F69"/>
    <w:rsid w:val="4F3D0E54"/>
    <w:rsid w:val="4F814F33"/>
    <w:rsid w:val="4FC60E49"/>
    <w:rsid w:val="4FD6626F"/>
    <w:rsid w:val="4FED4628"/>
    <w:rsid w:val="50286A00"/>
    <w:rsid w:val="50B73988"/>
    <w:rsid w:val="50C11611"/>
    <w:rsid w:val="50D70E34"/>
    <w:rsid w:val="50FD6220"/>
    <w:rsid w:val="510C6D30"/>
    <w:rsid w:val="51426BF5"/>
    <w:rsid w:val="5164091A"/>
    <w:rsid w:val="51B02A23"/>
    <w:rsid w:val="523C1897"/>
    <w:rsid w:val="52503567"/>
    <w:rsid w:val="5263442B"/>
    <w:rsid w:val="52F618B4"/>
    <w:rsid w:val="52FE0BBF"/>
    <w:rsid w:val="53065A01"/>
    <w:rsid w:val="5318335A"/>
    <w:rsid w:val="532C6129"/>
    <w:rsid w:val="53540300"/>
    <w:rsid w:val="535E75EB"/>
    <w:rsid w:val="53A02657"/>
    <w:rsid w:val="53AC0356"/>
    <w:rsid w:val="54493EBC"/>
    <w:rsid w:val="54774023"/>
    <w:rsid w:val="54AF6350"/>
    <w:rsid w:val="54D40A50"/>
    <w:rsid w:val="555E38D2"/>
    <w:rsid w:val="55917EF2"/>
    <w:rsid w:val="559B2D78"/>
    <w:rsid w:val="55E97640"/>
    <w:rsid w:val="55F36710"/>
    <w:rsid w:val="566D64C3"/>
    <w:rsid w:val="569F23F4"/>
    <w:rsid w:val="571116DF"/>
    <w:rsid w:val="572221E7"/>
    <w:rsid w:val="57353635"/>
    <w:rsid w:val="577A6103"/>
    <w:rsid w:val="577B5BF9"/>
    <w:rsid w:val="579637F7"/>
    <w:rsid w:val="57AE2006"/>
    <w:rsid w:val="58C3686E"/>
    <w:rsid w:val="58DB5C99"/>
    <w:rsid w:val="594F5990"/>
    <w:rsid w:val="59632BAC"/>
    <w:rsid w:val="59800E8A"/>
    <w:rsid w:val="5A184CD9"/>
    <w:rsid w:val="5B24111A"/>
    <w:rsid w:val="5B282E29"/>
    <w:rsid w:val="5B5364D7"/>
    <w:rsid w:val="5B5702DE"/>
    <w:rsid w:val="5BA40C28"/>
    <w:rsid w:val="5BE102A6"/>
    <w:rsid w:val="5BE61684"/>
    <w:rsid w:val="5BF64460"/>
    <w:rsid w:val="5C88012E"/>
    <w:rsid w:val="5CA2679A"/>
    <w:rsid w:val="5CB2205C"/>
    <w:rsid w:val="5D023AB9"/>
    <w:rsid w:val="5D085A74"/>
    <w:rsid w:val="5D172CE4"/>
    <w:rsid w:val="5D502A92"/>
    <w:rsid w:val="5DAD63FD"/>
    <w:rsid w:val="5DE119FD"/>
    <w:rsid w:val="5E09079C"/>
    <w:rsid w:val="5E5D0BCB"/>
    <w:rsid w:val="5E794B5C"/>
    <w:rsid w:val="5E7D5E5C"/>
    <w:rsid w:val="5EA8613E"/>
    <w:rsid w:val="5F3F6D39"/>
    <w:rsid w:val="5F5F0972"/>
    <w:rsid w:val="5F6A7CFF"/>
    <w:rsid w:val="5FFF520E"/>
    <w:rsid w:val="600924E9"/>
    <w:rsid w:val="602B222C"/>
    <w:rsid w:val="60532B25"/>
    <w:rsid w:val="60DF04E6"/>
    <w:rsid w:val="60FA31E2"/>
    <w:rsid w:val="61970B3C"/>
    <w:rsid w:val="61D07906"/>
    <w:rsid w:val="61D7139F"/>
    <w:rsid w:val="62291782"/>
    <w:rsid w:val="623B7475"/>
    <w:rsid w:val="626B0696"/>
    <w:rsid w:val="62746B15"/>
    <w:rsid w:val="62B55A8F"/>
    <w:rsid w:val="633B5253"/>
    <w:rsid w:val="637F1C2C"/>
    <w:rsid w:val="63ED0C43"/>
    <w:rsid w:val="6416019A"/>
    <w:rsid w:val="64236F56"/>
    <w:rsid w:val="643A375C"/>
    <w:rsid w:val="64AE7770"/>
    <w:rsid w:val="64E43EDE"/>
    <w:rsid w:val="64FB7AAD"/>
    <w:rsid w:val="6533302C"/>
    <w:rsid w:val="653A45EA"/>
    <w:rsid w:val="657F5AF6"/>
    <w:rsid w:val="65A2780B"/>
    <w:rsid w:val="65C23A09"/>
    <w:rsid w:val="65F52B43"/>
    <w:rsid w:val="65F54AA3"/>
    <w:rsid w:val="662D5327"/>
    <w:rsid w:val="663A5C95"/>
    <w:rsid w:val="6667144E"/>
    <w:rsid w:val="66811B16"/>
    <w:rsid w:val="66A31A8D"/>
    <w:rsid w:val="66A6610E"/>
    <w:rsid w:val="66AA2E1B"/>
    <w:rsid w:val="66D441AF"/>
    <w:rsid w:val="672424E5"/>
    <w:rsid w:val="67635AF2"/>
    <w:rsid w:val="67670D0C"/>
    <w:rsid w:val="67900263"/>
    <w:rsid w:val="67C1041C"/>
    <w:rsid w:val="67F105D6"/>
    <w:rsid w:val="67F86C37"/>
    <w:rsid w:val="68327C7B"/>
    <w:rsid w:val="68871430"/>
    <w:rsid w:val="68A2789F"/>
    <w:rsid w:val="68A331E6"/>
    <w:rsid w:val="68C006D4"/>
    <w:rsid w:val="690E2CCA"/>
    <w:rsid w:val="690E3019"/>
    <w:rsid w:val="69F65D30"/>
    <w:rsid w:val="69FC4424"/>
    <w:rsid w:val="6A6373DD"/>
    <w:rsid w:val="6A674B7F"/>
    <w:rsid w:val="6AE87945"/>
    <w:rsid w:val="6AFA317E"/>
    <w:rsid w:val="6B030D4C"/>
    <w:rsid w:val="6B3945F4"/>
    <w:rsid w:val="6B8D423A"/>
    <w:rsid w:val="6BF42367"/>
    <w:rsid w:val="6C1F738A"/>
    <w:rsid w:val="6C4568B5"/>
    <w:rsid w:val="6C953C26"/>
    <w:rsid w:val="6C9C4BB0"/>
    <w:rsid w:val="6CE510CA"/>
    <w:rsid w:val="6D2D20B0"/>
    <w:rsid w:val="6D376935"/>
    <w:rsid w:val="6D3B47CD"/>
    <w:rsid w:val="6DA87988"/>
    <w:rsid w:val="6E110694"/>
    <w:rsid w:val="6E301DBC"/>
    <w:rsid w:val="6E4E6782"/>
    <w:rsid w:val="6E8D7873"/>
    <w:rsid w:val="6F0A586B"/>
    <w:rsid w:val="6F0C4B35"/>
    <w:rsid w:val="6F16116F"/>
    <w:rsid w:val="6F294FAC"/>
    <w:rsid w:val="6F370918"/>
    <w:rsid w:val="6F4B12DA"/>
    <w:rsid w:val="70224E10"/>
    <w:rsid w:val="70310109"/>
    <w:rsid w:val="70442F17"/>
    <w:rsid w:val="706D08B1"/>
    <w:rsid w:val="70A95EF1"/>
    <w:rsid w:val="70D311C0"/>
    <w:rsid w:val="712239EA"/>
    <w:rsid w:val="71707F2B"/>
    <w:rsid w:val="721E646B"/>
    <w:rsid w:val="723B36C8"/>
    <w:rsid w:val="72653873"/>
    <w:rsid w:val="72822E9E"/>
    <w:rsid w:val="72907369"/>
    <w:rsid w:val="72997A02"/>
    <w:rsid w:val="72CB017F"/>
    <w:rsid w:val="73087335"/>
    <w:rsid w:val="738B7B30"/>
    <w:rsid w:val="73942E89"/>
    <w:rsid w:val="73D96AEE"/>
    <w:rsid w:val="740873D3"/>
    <w:rsid w:val="74285C07"/>
    <w:rsid w:val="74640B8F"/>
    <w:rsid w:val="74D103D0"/>
    <w:rsid w:val="74E724B5"/>
    <w:rsid w:val="74F23F4E"/>
    <w:rsid w:val="74FE43E9"/>
    <w:rsid w:val="750B3995"/>
    <w:rsid w:val="75AD0232"/>
    <w:rsid w:val="761D266D"/>
    <w:rsid w:val="76397119"/>
    <w:rsid w:val="769A4AE0"/>
    <w:rsid w:val="76CA1E61"/>
    <w:rsid w:val="76CF2CE1"/>
    <w:rsid w:val="76F5178C"/>
    <w:rsid w:val="77B83B86"/>
    <w:rsid w:val="77C76BB7"/>
    <w:rsid w:val="77CB414B"/>
    <w:rsid w:val="77F35333"/>
    <w:rsid w:val="785319F7"/>
    <w:rsid w:val="7876044E"/>
    <w:rsid w:val="78BD4DE4"/>
    <w:rsid w:val="7919798C"/>
    <w:rsid w:val="791F0A00"/>
    <w:rsid w:val="795F1843"/>
    <w:rsid w:val="7967679C"/>
    <w:rsid w:val="79694470"/>
    <w:rsid w:val="79781329"/>
    <w:rsid w:val="797A48CF"/>
    <w:rsid w:val="7A082BA3"/>
    <w:rsid w:val="7A3E6F9D"/>
    <w:rsid w:val="7A501B5C"/>
    <w:rsid w:val="7A601D17"/>
    <w:rsid w:val="7AA02C5F"/>
    <w:rsid w:val="7ABC721E"/>
    <w:rsid w:val="7AEA15E0"/>
    <w:rsid w:val="7B3371B4"/>
    <w:rsid w:val="7B3623D5"/>
    <w:rsid w:val="7B5B428C"/>
    <w:rsid w:val="7BAE0860"/>
    <w:rsid w:val="7BC9543A"/>
    <w:rsid w:val="7BCF7914"/>
    <w:rsid w:val="7BF96578"/>
    <w:rsid w:val="7C4132B5"/>
    <w:rsid w:val="7C6F6241"/>
    <w:rsid w:val="7C881452"/>
    <w:rsid w:val="7CBB1486"/>
    <w:rsid w:val="7D1F118F"/>
    <w:rsid w:val="7D5418E4"/>
    <w:rsid w:val="7DB12889"/>
    <w:rsid w:val="7DDC2683"/>
    <w:rsid w:val="7E036B7F"/>
    <w:rsid w:val="7E096221"/>
    <w:rsid w:val="7E447259"/>
    <w:rsid w:val="7E47085C"/>
    <w:rsid w:val="7EE72E5B"/>
    <w:rsid w:val="7F121106"/>
    <w:rsid w:val="7F22431B"/>
    <w:rsid w:val="7F4C4618"/>
    <w:rsid w:val="7FC05006"/>
    <w:rsid w:val="7FE4321D"/>
    <w:rsid w:val="A9FA35C0"/>
    <w:rsid w:val="FEF75F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99"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0"/>
    <w:pPr>
      <w:keepNext/>
      <w:keepLines/>
      <w:spacing w:before="340" w:after="330" w:line="578" w:lineRule="auto"/>
      <w:outlineLvl w:val="0"/>
    </w:pPr>
    <w:rPr>
      <w:b/>
      <w:bCs/>
      <w:kern w:val="44"/>
      <w:sz w:val="44"/>
      <w:szCs w:val="44"/>
    </w:rPr>
  </w:style>
  <w:style w:type="paragraph" w:styleId="7">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8">
    <w:name w:val="heading 3"/>
    <w:basedOn w:val="1"/>
    <w:next w:val="1"/>
    <w:qFormat/>
    <w:uiPriority w:val="0"/>
    <w:pPr>
      <w:keepNext/>
      <w:keepLines/>
      <w:spacing w:before="260" w:beforeLines="0" w:after="260" w:afterLines="0" w:line="413" w:lineRule="auto"/>
      <w:outlineLvl w:val="2"/>
    </w:pPr>
    <w:rPr>
      <w:rFonts w:ascii="Calibri" w:hAnsi="Calibri" w:eastAsia="宋体" w:cs="Times New Roman"/>
      <w:b/>
      <w:bCs/>
      <w:sz w:val="32"/>
      <w:szCs w:val="32"/>
    </w:rPr>
  </w:style>
  <w:style w:type="character" w:default="1" w:styleId="23">
    <w:name w:val="Default Paragraph Font"/>
    <w:unhideWhenUsed/>
    <w:qFormat/>
    <w:uiPriority w:val="1"/>
  </w:style>
  <w:style w:type="table" w:default="1" w:styleId="21">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firstLine="200" w:firstLineChars="200"/>
    </w:pPr>
    <w:rPr>
      <w:rFonts w:ascii="宋体"/>
      <w:szCs w:val="20"/>
    </w:rPr>
  </w:style>
  <w:style w:type="paragraph" w:styleId="3">
    <w:name w:val="Body Text Indent"/>
    <w:basedOn w:val="1"/>
    <w:next w:val="4"/>
    <w:unhideWhenUsed/>
    <w:qFormat/>
    <w:uiPriority w:val="99"/>
    <w:pPr>
      <w:spacing w:after="120"/>
      <w:ind w:left="420" w:leftChars="200"/>
    </w:pPr>
  </w:style>
  <w:style w:type="paragraph" w:styleId="4">
    <w:name w:val="envelope return"/>
    <w:basedOn w:val="1"/>
    <w:next w:val="5"/>
    <w:qFormat/>
    <w:uiPriority w:val="0"/>
    <w:pPr>
      <w:snapToGrid w:val="0"/>
    </w:pPr>
    <w:rPr>
      <w:rFonts w:ascii="Arial" w:hAnsi="Arial"/>
    </w:rPr>
  </w:style>
  <w:style w:type="paragraph" w:styleId="5">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9">
    <w:name w:val="toc 7"/>
    <w:basedOn w:val="1"/>
    <w:next w:val="1"/>
    <w:semiHidden/>
    <w:qFormat/>
    <w:uiPriority w:val="99"/>
    <w:pPr>
      <w:ind w:left="2520" w:leftChars="1200"/>
    </w:pPr>
    <w:rPr>
      <w:rFonts w:ascii="Calibri" w:hAnsi="Calibri" w:cs="Calibri"/>
    </w:rPr>
  </w:style>
  <w:style w:type="paragraph" w:styleId="10">
    <w:name w:val="Normal Indent"/>
    <w:basedOn w:val="1"/>
    <w:qFormat/>
    <w:uiPriority w:val="0"/>
    <w:pPr>
      <w:ind w:firstLine="420" w:firstLineChars="200"/>
    </w:pPr>
  </w:style>
  <w:style w:type="paragraph" w:styleId="11">
    <w:name w:val="annotation text"/>
    <w:basedOn w:val="1"/>
    <w:qFormat/>
    <w:uiPriority w:val="0"/>
    <w:pPr>
      <w:jc w:val="left"/>
    </w:pPr>
  </w:style>
  <w:style w:type="paragraph" w:styleId="12">
    <w:name w:val="Body Text 3"/>
    <w:basedOn w:val="1"/>
    <w:qFormat/>
    <w:uiPriority w:val="99"/>
    <w:rPr>
      <w:rFonts w:ascii="宋体"/>
      <w:sz w:val="24"/>
      <w:szCs w:val="20"/>
    </w:rPr>
  </w:style>
  <w:style w:type="paragraph" w:styleId="13">
    <w:name w:val="Body Text"/>
    <w:basedOn w:val="1"/>
    <w:next w:val="1"/>
    <w:qFormat/>
    <w:uiPriority w:val="0"/>
    <w:pPr>
      <w:spacing w:after="120"/>
    </w:pPr>
  </w:style>
  <w:style w:type="paragraph" w:styleId="14">
    <w:name w:val="Plain Text"/>
    <w:basedOn w:val="1"/>
    <w:next w:val="1"/>
    <w:qFormat/>
    <w:uiPriority w:val="99"/>
    <w:rPr>
      <w:rFonts w:ascii="宋体"/>
      <w:color w:val="000000"/>
      <w:szCs w:val="20"/>
      <w:u w:val="none" w:color="000000"/>
    </w:rPr>
  </w:style>
  <w:style w:type="paragraph" w:styleId="15">
    <w:name w:val="Date"/>
    <w:basedOn w:val="1"/>
    <w:next w:val="1"/>
    <w:link w:val="55"/>
    <w:qFormat/>
    <w:uiPriority w:val="0"/>
    <w:pPr>
      <w:ind w:left="100" w:leftChars="2500"/>
    </w:pPr>
  </w:style>
  <w:style w:type="paragraph" w:styleId="16">
    <w:name w:val="Body Text Indent 2"/>
    <w:basedOn w:val="1"/>
    <w:qFormat/>
    <w:uiPriority w:val="0"/>
    <w:pPr>
      <w:spacing w:line="360" w:lineRule="exact"/>
      <w:ind w:firstLine="600" w:firstLineChars="250"/>
      <w:jc w:val="left"/>
    </w:pPr>
    <w:rPr>
      <w:sz w:val="24"/>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qFormat/>
    <w:uiPriority w:val="99"/>
    <w:pPr>
      <w:jc w:val="left"/>
    </w:pPr>
    <w:rPr>
      <w:b/>
      <w:bCs/>
      <w:caps/>
      <w:sz w:val="20"/>
      <w:szCs w:val="20"/>
    </w:rPr>
  </w:style>
  <w:style w:type="paragraph" w:styleId="20">
    <w:name w:val="Body Text 2"/>
    <w:basedOn w:val="1"/>
    <w:qFormat/>
    <w:uiPriority w:val="0"/>
    <w:pPr>
      <w:spacing w:after="120" w:line="480" w:lineRule="auto"/>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rPr>
  </w:style>
  <w:style w:type="character" w:styleId="25">
    <w:name w:val="page number"/>
    <w:basedOn w:val="23"/>
    <w:qFormat/>
    <w:uiPriority w:val="0"/>
  </w:style>
  <w:style w:type="character" w:styleId="26">
    <w:name w:val="FollowedHyperlink"/>
    <w:basedOn w:val="23"/>
    <w:qFormat/>
    <w:uiPriority w:val="0"/>
    <w:rPr>
      <w:color w:val="333333"/>
      <w:u w:val="none"/>
    </w:rPr>
  </w:style>
  <w:style w:type="character" w:styleId="27">
    <w:name w:val="HTML Definition"/>
    <w:basedOn w:val="23"/>
    <w:qFormat/>
    <w:uiPriority w:val="0"/>
  </w:style>
  <w:style w:type="character" w:styleId="28">
    <w:name w:val="HTML Typewriter"/>
    <w:basedOn w:val="23"/>
    <w:qFormat/>
    <w:uiPriority w:val="0"/>
    <w:rPr>
      <w:rFonts w:ascii="monospace" w:hAnsi="monospace" w:eastAsia="monospace" w:cs="monospace"/>
      <w:sz w:val="20"/>
    </w:rPr>
  </w:style>
  <w:style w:type="character" w:styleId="29">
    <w:name w:val="HTML Acronym"/>
    <w:basedOn w:val="23"/>
    <w:qFormat/>
    <w:uiPriority w:val="0"/>
  </w:style>
  <w:style w:type="character" w:styleId="30">
    <w:name w:val="HTML Variable"/>
    <w:basedOn w:val="23"/>
    <w:qFormat/>
    <w:uiPriority w:val="0"/>
  </w:style>
  <w:style w:type="character" w:styleId="31">
    <w:name w:val="Hyperlink"/>
    <w:basedOn w:val="23"/>
    <w:qFormat/>
    <w:uiPriority w:val="0"/>
    <w:rPr>
      <w:color w:val="333333"/>
      <w:u w:val="none"/>
    </w:rPr>
  </w:style>
  <w:style w:type="character" w:styleId="32">
    <w:name w:val="HTML Code"/>
    <w:basedOn w:val="23"/>
    <w:qFormat/>
    <w:uiPriority w:val="0"/>
    <w:rPr>
      <w:rFonts w:hint="default" w:ascii="monospace" w:hAnsi="monospace" w:eastAsia="monospace" w:cs="monospace"/>
      <w:sz w:val="20"/>
    </w:rPr>
  </w:style>
  <w:style w:type="character" w:styleId="33">
    <w:name w:val="HTML Cite"/>
    <w:basedOn w:val="23"/>
    <w:qFormat/>
    <w:uiPriority w:val="0"/>
  </w:style>
  <w:style w:type="character" w:styleId="34">
    <w:name w:val="HTML Keyboard"/>
    <w:basedOn w:val="23"/>
    <w:qFormat/>
    <w:uiPriority w:val="0"/>
    <w:rPr>
      <w:rFonts w:hint="default" w:ascii="monospace" w:hAnsi="monospace" w:eastAsia="monospace" w:cs="monospace"/>
      <w:sz w:val="20"/>
    </w:rPr>
  </w:style>
  <w:style w:type="character" w:styleId="35">
    <w:name w:val="HTML Sample"/>
    <w:basedOn w:val="23"/>
    <w:qFormat/>
    <w:uiPriority w:val="0"/>
    <w:rPr>
      <w:rFonts w:hint="default" w:ascii="monospace" w:hAnsi="monospace" w:eastAsia="monospace" w:cs="monospace"/>
    </w:rPr>
  </w:style>
  <w:style w:type="character" w:customStyle="1" w:styleId="36">
    <w:name w:val="msg-box"/>
    <w:basedOn w:val="23"/>
    <w:qFormat/>
    <w:uiPriority w:val="0"/>
  </w:style>
  <w:style w:type="character" w:customStyle="1" w:styleId="37">
    <w:name w:val="img_title"/>
    <w:basedOn w:val="23"/>
    <w:qFormat/>
    <w:uiPriority w:val="0"/>
    <w:rPr>
      <w:vanish/>
    </w:rPr>
  </w:style>
  <w:style w:type="character" w:customStyle="1" w:styleId="38">
    <w:name w:val="starting"/>
    <w:basedOn w:val="23"/>
    <w:qFormat/>
    <w:uiPriority w:val="0"/>
    <w:rPr>
      <w:color w:val="339900"/>
    </w:rPr>
  </w:style>
  <w:style w:type="character" w:customStyle="1" w:styleId="39">
    <w:name w:val="starting1"/>
    <w:basedOn w:val="23"/>
    <w:qFormat/>
    <w:uiPriority w:val="0"/>
    <w:rPr>
      <w:color w:val="339900"/>
    </w:rPr>
  </w:style>
  <w:style w:type="character" w:customStyle="1" w:styleId="40">
    <w:name w:val="nostart4"/>
    <w:basedOn w:val="23"/>
    <w:qFormat/>
    <w:uiPriority w:val="0"/>
    <w:rPr>
      <w:color w:val="FF0000"/>
    </w:rPr>
  </w:style>
  <w:style w:type="character" w:customStyle="1" w:styleId="41">
    <w:name w:val="over4"/>
    <w:basedOn w:val="23"/>
    <w:qFormat/>
    <w:uiPriority w:val="0"/>
    <w:rPr>
      <w:color w:val="B60000"/>
    </w:rPr>
  </w:style>
  <w:style w:type="character" w:customStyle="1" w:styleId="42">
    <w:name w:val="over5"/>
    <w:basedOn w:val="23"/>
    <w:qFormat/>
    <w:uiPriority w:val="0"/>
    <w:rPr>
      <w:color w:val="FF0000"/>
    </w:rPr>
  </w:style>
  <w:style w:type="character" w:customStyle="1" w:styleId="43">
    <w:name w:val="hit"/>
    <w:basedOn w:val="23"/>
    <w:qFormat/>
    <w:uiPriority w:val="0"/>
  </w:style>
  <w:style w:type="character" w:customStyle="1" w:styleId="44">
    <w:name w:val="bsharetext"/>
    <w:basedOn w:val="23"/>
    <w:qFormat/>
    <w:uiPriority w:val="0"/>
  </w:style>
  <w:style w:type="character" w:customStyle="1" w:styleId="45">
    <w:name w:val="starting4"/>
    <w:basedOn w:val="23"/>
    <w:qFormat/>
    <w:uiPriority w:val="0"/>
    <w:rPr>
      <w:color w:val="339900"/>
    </w:rPr>
  </w:style>
  <w:style w:type="character" w:customStyle="1" w:styleId="46">
    <w:name w:val="img_title8"/>
    <w:basedOn w:val="23"/>
    <w:qFormat/>
    <w:uiPriority w:val="0"/>
    <w:rPr>
      <w:vanish/>
    </w:rPr>
  </w:style>
  <w:style w:type="character" w:customStyle="1" w:styleId="47">
    <w:name w:val="nostart5"/>
    <w:basedOn w:val="23"/>
    <w:qFormat/>
    <w:uiPriority w:val="0"/>
    <w:rPr>
      <w:color w:val="FF0000"/>
    </w:rPr>
  </w:style>
  <w:style w:type="character" w:customStyle="1" w:styleId="48">
    <w:name w:val="msg-box2"/>
    <w:basedOn w:val="23"/>
    <w:qFormat/>
    <w:uiPriority w:val="0"/>
  </w:style>
  <w:style w:type="character" w:customStyle="1" w:styleId="49">
    <w:name w:val="over"/>
    <w:basedOn w:val="23"/>
    <w:qFormat/>
    <w:uiPriority w:val="0"/>
    <w:rPr>
      <w:color w:val="B60000"/>
    </w:rPr>
  </w:style>
  <w:style w:type="character" w:customStyle="1" w:styleId="50">
    <w:name w:val="over1"/>
    <w:basedOn w:val="23"/>
    <w:qFormat/>
    <w:uiPriority w:val="0"/>
    <w:rPr>
      <w:color w:val="339900"/>
    </w:rPr>
  </w:style>
  <w:style w:type="character" w:customStyle="1" w:styleId="51">
    <w:name w:val="nostart3"/>
    <w:basedOn w:val="23"/>
    <w:qFormat/>
    <w:uiPriority w:val="0"/>
    <w:rPr>
      <w:color w:val="FF0000"/>
    </w:rPr>
  </w:style>
  <w:style w:type="character" w:customStyle="1" w:styleId="52">
    <w:name w:val="nostart"/>
    <w:basedOn w:val="23"/>
    <w:qFormat/>
    <w:uiPriority w:val="0"/>
    <w:rPr>
      <w:color w:val="FF0000"/>
    </w:rPr>
  </w:style>
  <w:style w:type="character" w:customStyle="1" w:styleId="53">
    <w:name w:val="nostart1"/>
    <w:basedOn w:val="23"/>
    <w:qFormat/>
    <w:uiPriority w:val="0"/>
    <w:rPr>
      <w:color w:val="FF0000"/>
    </w:rPr>
  </w:style>
  <w:style w:type="character" w:customStyle="1" w:styleId="54">
    <w:name w:val="starting5"/>
    <w:basedOn w:val="23"/>
    <w:qFormat/>
    <w:uiPriority w:val="0"/>
    <w:rPr>
      <w:color w:val="339900"/>
    </w:rPr>
  </w:style>
  <w:style w:type="character" w:customStyle="1" w:styleId="55">
    <w:name w:val="日期 Char"/>
    <w:basedOn w:val="23"/>
    <w:link w:val="15"/>
    <w:qFormat/>
    <w:uiPriority w:val="0"/>
    <w:rPr>
      <w:rFonts w:asciiTheme="minorHAnsi" w:hAnsiTheme="minorHAnsi" w:eastAsiaTheme="minorEastAsia" w:cstheme="minorBidi"/>
      <w:kern w:val="2"/>
      <w:sz w:val="21"/>
      <w:szCs w:val="24"/>
    </w:rPr>
  </w:style>
  <w:style w:type="paragraph" w:customStyle="1" w:styleId="56">
    <w:name w:val="txt14"/>
    <w:basedOn w:val="1"/>
    <w:qFormat/>
    <w:uiPriority w:val="0"/>
    <w:pPr>
      <w:widowControl/>
      <w:spacing w:before="100" w:beforeAutospacing="1" w:after="100" w:afterAutospacing="1"/>
      <w:jc w:val="left"/>
    </w:pPr>
    <w:rPr>
      <w:rFonts w:ascii="宋体" w:hAnsi="宋体" w:cs="宋体"/>
      <w:color w:val="000000"/>
      <w:kern w:val="0"/>
      <w:szCs w:val="21"/>
    </w:rPr>
  </w:style>
  <w:style w:type="character" w:customStyle="1" w:styleId="57">
    <w:name w:val="first-child"/>
    <w:basedOn w:val="23"/>
    <w:qFormat/>
    <w:uiPriority w:val="0"/>
  </w:style>
  <w:style w:type="character" w:customStyle="1" w:styleId="58">
    <w:name w:val="layui-this"/>
    <w:basedOn w:val="23"/>
    <w:qFormat/>
    <w:uiPriority w:val="0"/>
    <w:rPr>
      <w:bdr w:val="single" w:color="EEEEEE" w:sz="6" w:space="0"/>
      <w:shd w:val="clear" w:fill="FFFFFF"/>
    </w:rPr>
  </w:style>
  <w:style w:type="paragraph" w:customStyle="1" w:styleId="59">
    <w:name w:val="节标题"/>
    <w:basedOn w:val="1"/>
    <w:next w:val="1"/>
    <w:qFormat/>
    <w:uiPriority w:val="0"/>
    <w:pPr>
      <w:widowControl/>
      <w:spacing w:line="289" w:lineRule="atLeast"/>
      <w:jc w:val="center"/>
      <w:textAlignment w:val="baseline"/>
    </w:pPr>
    <w:rPr>
      <w:rFonts w:ascii="Calibri" w:hAnsi="Calibri" w:eastAsia="宋体" w:cs="Times New Roman"/>
      <w:color w:val="000000"/>
      <w:kern w:val="0"/>
      <w:sz w:val="28"/>
      <w:szCs w:val="20"/>
      <w:u w:val="none" w:color="000000"/>
    </w:rPr>
  </w:style>
  <w:style w:type="character" w:customStyle="1" w:styleId="60">
    <w:name w:val="font11"/>
    <w:basedOn w:val="23"/>
    <w:qFormat/>
    <w:uiPriority w:val="0"/>
    <w:rPr>
      <w:rFonts w:hint="eastAsia" w:ascii="新宋体" w:hAnsi="新宋体" w:eastAsia="新宋体" w:cs="新宋体"/>
      <w:b/>
      <w:bCs/>
      <w:color w:val="000000"/>
      <w:sz w:val="36"/>
      <w:szCs w:val="36"/>
      <w:u w:val="none"/>
    </w:rPr>
  </w:style>
  <w:style w:type="character" w:customStyle="1" w:styleId="61">
    <w:name w:val="font21"/>
    <w:basedOn w:val="23"/>
    <w:qFormat/>
    <w:uiPriority w:val="0"/>
    <w:rPr>
      <w:rFonts w:hint="eastAsia" w:ascii="新宋体" w:hAnsi="新宋体" w:eastAsia="新宋体" w:cs="新宋体"/>
      <w:color w:val="000000"/>
      <w:sz w:val="28"/>
      <w:szCs w:val="28"/>
      <w:u w:val="none"/>
    </w:rPr>
  </w:style>
  <w:style w:type="character" w:customStyle="1" w:styleId="62">
    <w:name w:val="font01"/>
    <w:basedOn w:val="23"/>
    <w:qFormat/>
    <w:uiPriority w:val="0"/>
    <w:rPr>
      <w:rFonts w:hint="eastAsia" w:ascii="宋体" w:hAnsi="宋体" w:eastAsia="宋体" w:cs="宋体"/>
      <w:color w:val="000000"/>
      <w:sz w:val="21"/>
      <w:szCs w:val="21"/>
      <w:u w:val="none"/>
    </w:rPr>
  </w:style>
  <w:style w:type="table" w:customStyle="1" w:styleId="63">
    <w:name w:val="Table Normal"/>
    <w:semiHidden/>
    <w:unhideWhenUsed/>
    <w:qFormat/>
    <w:uiPriority w:val="0"/>
    <w:tblPr>
      <w:tblCellMar>
        <w:top w:w="0" w:type="dxa"/>
        <w:left w:w="0" w:type="dxa"/>
        <w:bottom w:w="0" w:type="dxa"/>
        <w:right w:w="0" w:type="dxa"/>
      </w:tblCellMar>
    </w:tblPr>
  </w:style>
  <w:style w:type="paragraph" w:customStyle="1" w:styleId="64">
    <w:name w:val="_Style 117"/>
    <w:basedOn w:val="1"/>
    <w:next w:val="1"/>
    <w:qFormat/>
    <w:uiPriority w:val="0"/>
    <w:pPr>
      <w:pBdr>
        <w:bottom w:val="single" w:color="auto" w:sz="6" w:space="1"/>
      </w:pBdr>
      <w:jc w:val="center"/>
    </w:pPr>
    <w:rPr>
      <w:rFonts w:ascii="Arial" w:eastAsia="宋体"/>
      <w:vanish/>
      <w:sz w:val="16"/>
    </w:rPr>
  </w:style>
  <w:style w:type="paragraph" w:customStyle="1" w:styleId="65">
    <w:name w:val="_Style 118"/>
    <w:basedOn w:val="1"/>
    <w:next w:val="1"/>
    <w:qFormat/>
    <w:uiPriority w:val="0"/>
    <w:pPr>
      <w:pBdr>
        <w:top w:val="single" w:color="auto" w:sz="6" w:space="1"/>
      </w:pBdr>
      <w:jc w:val="center"/>
    </w:pPr>
    <w:rPr>
      <w:rFonts w:ascii="Arial" w:eastAsia="宋体"/>
      <w:vanish/>
      <w:sz w:val="16"/>
    </w:rPr>
  </w:style>
  <w:style w:type="paragraph" w:customStyle="1" w:styleId="66">
    <w:name w:val="xl25"/>
    <w:basedOn w:val="1"/>
    <w:autoRedefine/>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67">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68">
    <w:name w:val="Body text|1"/>
    <w:basedOn w:val="1"/>
    <w:qFormat/>
    <w:uiPriority w:val="0"/>
    <w:pPr>
      <w:widowControl w:val="0"/>
      <w:shd w:val="clear" w:color="auto" w:fill="auto"/>
      <w:spacing w:line="454" w:lineRule="auto"/>
      <w:ind w:firstLine="400"/>
    </w:pPr>
    <w:rPr>
      <w:rFonts w:ascii="宋体" w:hAnsi="宋体" w:eastAsia="宋体" w:cs="宋体"/>
      <w:sz w:val="22"/>
      <w:szCs w:val="22"/>
      <w:u w:val="none"/>
      <w:shd w:val="clear" w:color="auto" w:fill="auto"/>
      <w:lang w:val="zh-TW" w:eastAsia="zh-TW" w:bidi="zh-TW"/>
    </w:rPr>
  </w:style>
  <w:style w:type="paragraph" w:customStyle="1" w:styleId="69">
    <w:name w:val="Other|1"/>
    <w:basedOn w:val="1"/>
    <w:qFormat/>
    <w:uiPriority w:val="0"/>
    <w:pPr>
      <w:widowControl w:val="0"/>
      <w:shd w:val="clear" w:color="auto" w:fill="auto"/>
      <w:spacing w:line="454" w:lineRule="auto"/>
      <w:ind w:firstLine="400"/>
    </w:pPr>
    <w:rPr>
      <w:rFonts w:ascii="宋体" w:hAnsi="宋体" w:eastAsia="宋体" w:cs="宋体"/>
      <w:sz w:val="22"/>
      <w:szCs w:val="22"/>
      <w:u w:val="none"/>
      <w:shd w:val="clear" w:color="auto" w:fill="auto"/>
      <w:lang w:val="zh-TW" w:eastAsia="zh-TW" w:bidi="zh-TW"/>
    </w:rPr>
  </w:style>
  <w:style w:type="paragraph" w:customStyle="1" w:styleId="70">
    <w:name w:val="Table caption|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f5acc4d9-5a3c-4d68-a75c-fe298b871bf9</errorID>
      <errorWord>）</errorWord>
      <group>L1_Format</group>
      <groupName>格式问题</groupName>
      <ability>L2_HalfPunc_CN</ability>
      <abilityName>全半角问题</abilityName>
      <candidateList>
        <item>)</item>
      </candidateList>
      <explain>文本全半角错误。</explain>
      <paraID>602D7B64</paraID>
      <start>76</start>
      <end>77</end>
      <status>modified</status>
      <modifiedWord>)</modifiedWord>
      <trackRevisions>false</trackRevisions>
    </reviewItem>
    <reviewItem>
      <errorID>36a31ca0-51a4-482d-be11-8b4f0b686d95</errorID>
      <errorWord>滁州市徽州</errorWord>
      <group>L1_Knowledge</group>
      <groupName>知识性问题</groupName>
      <ability>L2_Location</ability>
      <abilityName>地名检查</abilityName>
      <candidateList>
        <item>黄山徽州</item>
      </candidateList>
      <explain>地名表述错误。</explain>
      <paraID>7E2D92CF</paraID>
      <start>7</start>
      <end>12</end>
      <status>unmodified</status>
      <modifiedWord/>
      <trackRevisions>false</trackRevisions>
    </reviewItem>
    <reviewItem>
      <errorID>7599536e-3c03-44da-b1a6-fed8d414692d</errorID>
      <errorWord>一步</errorWord>
      <group>L1_Knowledge</group>
      <groupName>知识性问题</groupName>
      <ability>L2_Knowledge</ability>
      <abilityName>其他知识</abilityName>
      <candidateList>
        <item>一道</item>
      </candidateList>
      <explain/>
      <paraID>12B8E4D7</paraID>
      <start>18</start>
      <end>20</end>
      <status>unmodified</status>
      <modifiedWord/>
      <trackRevisions>false</trackRevisions>
    </reviewItem>
    <reviewItem>
      <errorID>c1557f4d-f567-4da6-bd5d-546ac7afa9dd</errorID>
      <errorWord>件</errorWord>
      <group>L1_Word</group>
      <groupName>字词问题</groupName>
      <ability>L2_Typo</ability>
      <abilityName>字词错误</abilityName>
      <candidateList>
        <item>件和</item>
      </candidateList>
      <explain/>
      <paraID>2237244F</paraID>
      <start>97</start>
      <end>98</end>
      <status>unmodified</status>
      <modifiedWord/>
      <trackRevisions>false</trackRevisions>
    </reviewItem>
    <reviewItem>
      <errorID>e92e6569-d129-443d-a67b-f394b3dde967</errorID>
      <errorWord>掩盖住</errorWord>
      <group>L1_Word</group>
      <groupName>字词问题</groupName>
      <ability>L2_Typo</ability>
      <abilityName>字词错误</abilityName>
      <candidateList>
        <item>掩盖</item>
      </candidateList>
      <explain/>
      <paraID>58592DFB</paraID>
      <start>103</start>
      <end>106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803dfc-1965-4f75-878a-625f51da09d6}">
  <ds:schemaRefs/>
</ds:datastoreItem>
</file>

<file path=docProps/app.xml><?xml version="1.0" encoding="utf-8"?>
<Properties xmlns="http://schemas.openxmlformats.org/officeDocument/2006/extended-properties" xmlns:vt="http://schemas.openxmlformats.org/officeDocument/2006/docPropsVTypes">
  <Template>Normal</Template>
  <Pages>42</Pages>
  <Words>6913</Words>
  <Characters>8059</Characters>
  <Lines>71</Lines>
  <Paragraphs>20</Paragraphs>
  <TotalTime>11</TotalTime>
  <ScaleCrop>false</ScaleCrop>
  <LinksUpToDate>false</LinksUpToDate>
  <CharactersWithSpaces>8173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2019-06-13T09:13:00Z</dcterms:created>
  <dc:creator>Administrator</dc:creator>
  <cp:lastModifiedBy>韦韦</cp:lastModifiedBy>
  <cp:lastPrinted>2021-06-30T10:19:00Z</cp:lastPrinted>
  <dcterms:modified xsi:type="dcterms:W3CDTF">2026-10-26T07:58:56Z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263370792C8F4EF8945F327769288624_13</vt:lpwstr>
  </property>
  <property fmtid="{D5CDD505-2E9C-101B-9397-08002B2CF9AE}" pid="4" name="KSOTemplateDocerSaveRecord">
    <vt:lpwstr>eyJoZGlkIjoiZmQ5MGI3YTdkMjVkZTZjM2ZjZTQ5YjMxYTJjZjRlOWEiLCJ1c2VySWQiOiIzNjE4MjQ5In0=</vt:lpwstr>
  </property>
</Properties>
</file>