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07B8E">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2F01BC64">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7A1FD58A">
      <w:pPr>
        <w:spacing w:line="600" w:lineRule="auto"/>
        <w:jc w:val="center"/>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新宋体" w:hAnsi="新宋体" w:eastAsia="新宋体"/>
          <w:b/>
          <w:color w:val="auto"/>
          <w:sz w:val="48"/>
          <w:szCs w:val="48"/>
          <w:highlight w:val="none"/>
          <w:lang w:eastAsia="zh-CN"/>
        </w:rPr>
        <w:t>滁州市公共交通有限公司2026年度员工健康体检服务项目</w:t>
      </w:r>
    </w:p>
    <w:p w14:paraId="66A3C945">
      <w:pPr>
        <w:pStyle w:val="8"/>
        <w:rPr>
          <w:rFonts w:hint="eastAsia" w:ascii="Times New Roman" w:hAnsi="Times New Roman" w:eastAsia="宋体" w:cs="宋体"/>
          <w:b/>
          <w:bCs w:val="0"/>
          <w:color w:val="auto"/>
          <w:kern w:val="0"/>
          <w:sz w:val="48"/>
          <w:szCs w:val="28"/>
          <w:highlight w:val="none"/>
          <w:u w:color="000000"/>
          <w:lang w:val="en-US" w:eastAsia="zh-CN" w:bidi="ar"/>
        </w:rPr>
      </w:pPr>
    </w:p>
    <w:p w14:paraId="63BDAB49">
      <w:pPr>
        <w:rPr>
          <w:rFonts w:hint="eastAsia"/>
          <w:color w:val="auto"/>
          <w:highlight w:val="none"/>
          <w:lang w:val="en-US" w:eastAsia="zh-CN"/>
        </w:rPr>
      </w:pPr>
    </w:p>
    <w:p w14:paraId="47AD5D87">
      <w:pPr>
        <w:pStyle w:val="8"/>
        <w:rPr>
          <w:rFonts w:hint="eastAsia"/>
          <w:color w:val="auto"/>
          <w:highlight w:val="none"/>
          <w:lang w:val="en-US" w:eastAsia="zh-CN"/>
        </w:rPr>
      </w:pPr>
    </w:p>
    <w:p w14:paraId="504915CF">
      <w:pPr>
        <w:rPr>
          <w:rFonts w:hint="eastAsia"/>
          <w:color w:val="auto"/>
          <w:highlight w:val="none"/>
          <w:lang w:val="en-US" w:eastAsia="zh-CN"/>
        </w:rPr>
      </w:pPr>
    </w:p>
    <w:p w14:paraId="2CF6944F">
      <w:pPr>
        <w:rPr>
          <w:rFonts w:hint="eastAsia"/>
          <w:color w:val="auto"/>
          <w:highlight w:val="none"/>
          <w:lang w:val="en-US" w:eastAsia="zh-CN"/>
        </w:rPr>
      </w:pPr>
    </w:p>
    <w:p w14:paraId="5823FE8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0DB89E2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0313B29E">
      <w:pPr>
        <w:pStyle w:val="22"/>
        <w:widowControl/>
        <w:rPr>
          <w:color w:val="auto"/>
          <w:highlight w:val="none"/>
          <w:lang w:val="en-US"/>
        </w:rPr>
      </w:pPr>
      <w:r>
        <w:rPr>
          <w:color w:val="auto"/>
          <w:highlight w:val="none"/>
          <w:lang w:val="en-US"/>
        </w:rPr>
        <w:t xml:space="preserve"> </w:t>
      </w:r>
    </w:p>
    <w:p w14:paraId="32FEB2A9">
      <w:pPr>
        <w:pStyle w:val="22"/>
        <w:widowControl/>
        <w:rPr>
          <w:color w:val="auto"/>
          <w:highlight w:val="none"/>
          <w:lang w:val="en-US"/>
        </w:rPr>
      </w:pPr>
      <w:r>
        <w:rPr>
          <w:color w:val="auto"/>
          <w:highlight w:val="none"/>
          <w:lang w:val="en-US"/>
        </w:rPr>
        <w:t xml:space="preserve"> </w:t>
      </w:r>
    </w:p>
    <w:p w14:paraId="760646FD">
      <w:pPr>
        <w:pStyle w:val="22"/>
        <w:widowControl/>
        <w:rPr>
          <w:color w:val="auto"/>
          <w:highlight w:val="none"/>
          <w:lang w:val="en-US"/>
        </w:rPr>
      </w:pPr>
      <w:r>
        <w:rPr>
          <w:color w:val="auto"/>
          <w:highlight w:val="none"/>
          <w:lang w:val="en-US"/>
        </w:rPr>
        <w:t xml:space="preserve"> </w:t>
      </w:r>
    </w:p>
    <w:p w14:paraId="4A5F6B66">
      <w:pPr>
        <w:pStyle w:val="22"/>
        <w:widowControl/>
        <w:rPr>
          <w:rFonts w:hint="default" w:eastAsia="宋体"/>
          <w:b/>
          <w:bCs/>
          <w:color w:val="auto"/>
          <w:sz w:val="30"/>
          <w:szCs w:val="30"/>
          <w:highlight w:val="none"/>
          <w:lang w:val="en-US" w:eastAsia="zh-CN"/>
        </w:rPr>
      </w:pPr>
      <w:r>
        <w:rPr>
          <w:color w:val="auto"/>
          <w:highlight w:val="none"/>
          <w:lang w:val="en-US"/>
        </w:rPr>
        <w:t xml:space="preserve"> </w:t>
      </w:r>
    </w:p>
    <w:p w14:paraId="32CC9159">
      <w:pPr>
        <w:spacing w:line="800" w:lineRule="exact"/>
        <w:jc w:val="center"/>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hAnsi="宋体" w:eastAsia="宋体" w:cs="宋体"/>
          <w:b/>
          <w:bCs/>
          <w:color w:val="auto"/>
          <w:sz w:val="32"/>
          <w:szCs w:val="32"/>
          <w:highlight w:val="none"/>
          <w:u w:val="single"/>
          <w:lang w:val="en-US" w:eastAsia="zh-CN"/>
        </w:rPr>
        <w:t>滁州市公共交通有限公司</w:t>
      </w:r>
      <w:r>
        <w:rPr>
          <w:rFonts w:hint="eastAsia" w:ascii="宋体"/>
          <w:b/>
          <w:color w:val="auto"/>
          <w:sz w:val="32"/>
          <w:szCs w:val="32"/>
          <w:highlight w:val="none"/>
        </w:rPr>
        <w:t>（盖单位章）</w:t>
      </w:r>
    </w:p>
    <w:p w14:paraId="024B2665">
      <w:pPr>
        <w:spacing w:line="800" w:lineRule="exact"/>
        <w:jc w:val="center"/>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hAnsi="宋体" w:cs="宋体"/>
          <w:b/>
          <w:bCs/>
          <w:color w:val="auto"/>
          <w:sz w:val="32"/>
          <w:szCs w:val="32"/>
          <w:highlight w:val="none"/>
          <w:u w:val="single"/>
        </w:rPr>
        <w:t>滁州市城投工程咨询管理有限公司</w:t>
      </w:r>
      <w:r>
        <w:rPr>
          <w:rFonts w:hint="eastAsia" w:ascii="宋体"/>
          <w:b/>
          <w:color w:val="auto"/>
          <w:sz w:val="32"/>
          <w:szCs w:val="32"/>
          <w:highlight w:val="none"/>
        </w:rPr>
        <w:t>（盖单位章）</w:t>
      </w:r>
    </w:p>
    <w:p w14:paraId="5F3B1B90">
      <w:pPr>
        <w:spacing w:line="800" w:lineRule="exact"/>
        <w:jc w:val="center"/>
        <w:rPr>
          <w:rFonts w:hint="eastAsia" w:ascii="宋体" w:eastAsia="宋体"/>
          <w:b/>
          <w:color w:val="auto"/>
          <w:sz w:val="32"/>
          <w:szCs w:val="32"/>
          <w:highlight w:val="none"/>
          <w:lang w:val="en-US" w:eastAsia="zh-CN"/>
        </w:rPr>
      </w:pPr>
      <w:r>
        <w:rPr>
          <w:rFonts w:hint="eastAsia" w:ascii="宋体" w:eastAsia="宋体"/>
          <w:b/>
          <w:color w:val="auto"/>
          <w:sz w:val="32"/>
          <w:szCs w:val="32"/>
          <w:highlight w:val="none"/>
          <w:u w:val="single"/>
          <w:lang w:eastAsia="zh-CN"/>
        </w:rPr>
        <w:t>2026年4月</w:t>
      </w:r>
    </w:p>
    <w:p w14:paraId="237D6298">
      <w:pPr>
        <w:pStyle w:val="8"/>
        <w:widowControl/>
        <w:spacing w:before="0" w:beforeAutospacing="0" w:after="120" w:afterAutospacing="0"/>
        <w:ind w:left="0" w:leftChars="0" w:right="0" w:firstLine="0" w:firstLineChars="0"/>
        <w:rPr>
          <w:rFonts w:hint="eastAsia" w:ascii="宋体" w:hAnsi="宋体" w:eastAsia="宋体" w:cs="宋体"/>
          <w:b/>
          <w:bCs w:val="0"/>
          <w:color w:val="auto"/>
          <w:kern w:val="0"/>
          <w:sz w:val="36"/>
          <w:szCs w:val="36"/>
          <w:highlight w:val="none"/>
          <w:u w:color="000000"/>
          <w:lang w:val="en-US" w:eastAsia="zh-CN" w:bidi="ar"/>
        </w:rPr>
      </w:pPr>
    </w:p>
    <w:p w14:paraId="18198B95">
      <w:pPr>
        <w:rPr>
          <w:rFonts w:hint="eastAsia"/>
          <w:color w:val="auto"/>
          <w:highlight w:val="none"/>
          <w:lang w:val="en-US" w:eastAsia="zh-CN"/>
        </w:rPr>
      </w:pPr>
    </w:p>
    <w:p w14:paraId="3BC022CD">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583F5678">
      <w:pPr>
        <w:pStyle w:val="21"/>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TOC \o "1-1" \h \u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_Toc4487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lang w:eastAsia="zh-CN"/>
        </w:rPr>
        <w:t>第一章</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lang w:eastAsia="zh-CN"/>
        </w:rPr>
        <w:t>招标公告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_Toc4487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137AD22A">
      <w:pPr>
        <w:pStyle w:val="21"/>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_Toc23335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0"/>
          <w:sz w:val="28"/>
          <w:szCs w:val="28"/>
          <w:highlight w:val="none"/>
          <w:lang w:val="en-US" w:eastAsia="zh-CN" w:bidi="ar"/>
        </w:rPr>
        <w:t>第二章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_Toc23335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52A58F1E">
      <w:pPr>
        <w:pStyle w:val="21"/>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_Toc29327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44"/>
          <w:sz w:val="28"/>
          <w:szCs w:val="28"/>
          <w:highlight w:val="none"/>
          <w:lang w:val="en-US" w:eastAsia="zh-CN" w:bidi="ar"/>
        </w:rPr>
        <w:t>第三章  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_Toc29327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282034BD">
      <w:pPr>
        <w:pStyle w:val="21"/>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_Toc10480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eastAsia="zh-CN"/>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3</w:t>
      </w:r>
    </w:p>
    <w:p w14:paraId="606ACF52">
      <w:pPr>
        <w:pStyle w:val="21"/>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_Toc17330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2"/>
          <w:sz w:val="28"/>
          <w:szCs w:val="28"/>
          <w:highlight w:val="none"/>
          <w:lang w:val="en-US" w:eastAsia="zh-CN" w:bidi="ar-SA"/>
        </w:rPr>
        <w:t>第五章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7</w:t>
      </w:r>
    </w:p>
    <w:p w14:paraId="38C72B88">
      <w:pPr>
        <w:pStyle w:val="21"/>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_Toc24238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2"/>
          <w:sz w:val="28"/>
          <w:szCs w:val="28"/>
          <w:highlight w:val="none"/>
          <w:lang w:val="en-US" w:eastAsia="zh-CN" w:bidi="ar"/>
        </w:rPr>
        <w:t>第六章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5</w:t>
      </w:r>
    </w:p>
    <w:p w14:paraId="5046CB5D">
      <w:pPr>
        <w:pStyle w:val="21"/>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_Toc7457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lang w:eastAsia="zh-CN"/>
        </w:rPr>
        <w:t>第</w:t>
      </w:r>
      <w:r>
        <w:rPr>
          <w:rFonts w:hint="eastAsia" w:ascii="宋体" w:hAnsi="宋体" w:eastAsia="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lang w:eastAsia="zh-CN"/>
        </w:rPr>
        <w:t>章</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lang w:eastAsia="zh-CN"/>
        </w:rPr>
        <w:t>招标人、招标代理机构对本招标文件的确认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8</w:t>
      </w:r>
    </w:p>
    <w:p w14:paraId="1099D049">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8"/>
          <w:szCs w:val="28"/>
          <w:highlight w:val="none"/>
          <w:lang w:val="en-US"/>
        </w:rPr>
        <w:fldChar w:fldCharType="end"/>
      </w:r>
    </w:p>
    <w:p w14:paraId="42263DD3">
      <w:pPr>
        <w:rPr>
          <w:rFonts w:hint="eastAsia" w:ascii="宋体" w:hAnsi="宋体" w:eastAsia="宋体" w:cs="宋体"/>
          <w:color w:val="auto"/>
          <w:sz w:val="24"/>
          <w:szCs w:val="24"/>
          <w:highlight w:val="none"/>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4707437E">
      <w:pPr>
        <w:pStyle w:val="22"/>
        <w:keepNext w:val="0"/>
        <w:keepLines w:val="0"/>
        <w:pageBreakBefore w:val="0"/>
        <w:widowControl/>
        <w:kinsoku/>
        <w:overflowPunct/>
        <w:topLinePunct w:val="0"/>
        <w:autoSpaceDN/>
        <w:bidi w:val="0"/>
        <w:adjustRightInd/>
        <w:snapToGrid/>
        <w:spacing w:beforeAutospacing="0" w:afterAutospacing="0" w:line="440" w:lineRule="exact"/>
        <w:jc w:val="center"/>
        <w:textAlignment w:val="auto"/>
        <w:outlineLvl w:val="0"/>
        <w:rPr>
          <w:rFonts w:hint="eastAsia" w:ascii="宋体" w:hAnsi="宋体" w:eastAsia="宋体" w:cs="宋体"/>
          <w:b/>
          <w:bCs/>
          <w:color w:val="auto"/>
          <w:sz w:val="32"/>
          <w:szCs w:val="32"/>
          <w:highlight w:val="none"/>
          <w:lang w:val="en-US"/>
        </w:rPr>
      </w:pPr>
      <w:bookmarkStart w:id="0" w:name="_Toc23741_WPSOffice_Level1"/>
      <w:bookmarkEnd w:id="0"/>
      <w:bookmarkStart w:id="1" w:name="_Toc29214"/>
      <w:bookmarkEnd w:id="1"/>
      <w:bookmarkStart w:id="2" w:name="_Toc4487"/>
      <w:r>
        <w:rPr>
          <w:rFonts w:hint="eastAsia" w:ascii="宋体" w:hAnsi="宋体" w:eastAsia="宋体" w:cs="宋体"/>
          <w:b/>
          <w:bCs/>
          <w:color w:val="auto"/>
          <w:sz w:val="32"/>
          <w:szCs w:val="32"/>
          <w:highlight w:val="none"/>
          <w:lang w:eastAsia="zh-CN"/>
        </w:rPr>
        <w:t>第一章</w:t>
      </w:r>
      <w:r>
        <w:rPr>
          <w:rFonts w:hint="eastAsia" w:ascii="宋体" w:hAnsi="Calibri" w:eastAsia="楷体_GB2312" w:cs="宋体"/>
          <w:b/>
          <w:bCs/>
          <w:color w:val="auto"/>
          <w:sz w:val="32"/>
          <w:szCs w:val="32"/>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color w:val="auto"/>
          <w:sz w:val="32"/>
          <w:szCs w:val="32"/>
          <w:highlight w:val="none"/>
          <w:lang w:eastAsia="zh-CN"/>
        </w:rPr>
        <w:t>招标公告</w:t>
      </w:r>
      <w:bookmarkEnd w:id="2"/>
    </w:p>
    <w:p w14:paraId="5BF06D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bookmarkStart w:id="5" w:name="_Toc28359002"/>
      <w:bookmarkEnd w:id="5"/>
      <w:bookmarkStart w:id="6" w:name="_Toc35393621"/>
      <w:bookmarkEnd w:id="6"/>
      <w:bookmarkStart w:id="7" w:name="_Toc58430305"/>
      <w:bookmarkEnd w:id="7"/>
      <w:bookmarkStart w:id="8" w:name="_Toc28359079"/>
      <w:bookmarkEnd w:id="8"/>
      <w:bookmarkStart w:id="9" w:name="_Toc35393790"/>
      <w:r>
        <w:rPr>
          <w:rFonts w:hint="eastAsia" w:ascii="宋体" w:hAnsi="宋体" w:eastAsia="宋体" w:cs="宋体"/>
          <w:color w:val="auto"/>
          <w:kern w:val="0"/>
          <w:sz w:val="21"/>
          <w:szCs w:val="21"/>
          <w:highlight w:val="none"/>
          <w:u w:color="000000"/>
          <w:lang w:val="en-US" w:eastAsia="zh-CN" w:bidi="ar"/>
        </w:rPr>
        <w:t>项目概况</w:t>
      </w:r>
    </w:p>
    <w:p w14:paraId="6FE596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val="single" w:color="auto"/>
          <w:lang w:val="en-US" w:eastAsia="zh-CN" w:bidi="ar"/>
        </w:rPr>
        <w:t>滁州市公共交通有限公司2026年度员工健康体检服务项目</w:t>
      </w:r>
      <w:r>
        <w:rPr>
          <w:rFonts w:hint="eastAsia" w:ascii="宋体" w:hAnsi="宋体" w:eastAsia="宋体" w:cs="宋体"/>
          <w:color w:val="auto"/>
          <w:kern w:val="0"/>
          <w:sz w:val="21"/>
          <w:szCs w:val="21"/>
          <w:highlight w:val="none"/>
          <w:u w:color="000000"/>
          <w:lang w:val="en-US" w:eastAsia="zh-CN" w:bidi="ar"/>
        </w:rPr>
        <w:t>的潜在投标人应在滁州市城投工程咨询管理有限公司（https://www.czctgczx.com/）获取招标文件，并于</w:t>
      </w:r>
      <w:r>
        <w:rPr>
          <w:rFonts w:hint="eastAsia" w:ascii="宋体" w:hAnsi="宋体" w:eastAsia="宋体" w:cs="宋体"/>
          <w:b/>
          <w:bCs/>
          <w:color w:val="auto"/>
          <w:kern w:val="0"/>
          <w:sz w:val="21"/>
          <w:szCs w:val="21"/>
          <w:highlight w:val="none"/>
          <w:u w:color="000000"/>
          <w:lang w:val="en-US" w:eastAsia="zh-CN" w:bidi="ar"/>
        </w:rPr>
        <w:t>2026年4月29日15时00分</w:t>
      </w:r>
      <w:r>
        <w:rPr>
          <w:rFonts w:hint="eastAsia" w:ascii="宋体" w:hAnsi="宋体" w:eastAsia="宋体" w:cs="宋体"/>
          <w:color w:val="auto"/>
          <w:kern w:val="0"/>
          <w:sz w:val="21"/>
          <w:szCs w:val="21"/>
          <w:highlight w:val="none"/>
          <w:u w:color="000000"/>
          <w:lang w:val="en-US" w:eastAsia="zh-CN" w:bidi="ar"/>
        </w:rPr>
        <w:t>（北京时间）前递交投标文件。</w:t>
      </w:r>
    </w:p>
    <w:p w14:paraId="0D0EC8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0"/>
          <w:sz w:val="21"/>
          <w:szCs w:val="21"/>
          <w:highlight w:val="none"/>
          <w:u w:color="000000"/>
          <w:lang w:val="en-US" w:eastAsia="zh-CN" w:bidi="ar"/>
        </w:rPr>
        <w:t>一、项目基本情况</w:t>
      </w:r>
      <w:bookmarkEnd w:id="9"/>
    </w:p>
    <w:p w14:paraId="3D3B073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项目名称：滁州市公共交通有限公司2026年度员工健康体检服务项目</w:t>
      </w:r>
    </w:p>
    <w:p w14:paraId="1360D80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预算金额：</w:t>
      </w:r>
      <w:r>
        <w:rPr>
          <w:rFonts w:hint="eastAsia" w:ascii="宋体" w:hAnsi="宋体" w:eastAsia="宋体" w:cs="宋体"/>
          <w:color w:val="auto"/>
          <w:szCs w:val="21"/>
          <w:highlight w:val="none"/>
          <w:lang w:eastAsia="zh-CN"/>
        </w:rPr>
        <w:t>414600.00元</w:t>
      </w:r>
    </w:p>
    <w:p w14:paraId="4882E5D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最高限价：414600.00元，本项目单价最高限价为600元/人；投标报价不得超过单价和总价最高限价，否则按无效投标处理。</w:t>
      </w:r>
    </w:p>
    <w:p w14:paraId="4824FA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采购需求：</w:t>
      </w:r>
      <w:r>
        <w:rPr>
          <w:rFonts w:hint="eastAsia" w:ascii="宋体" w:hAnsi="宋体" w:cs="宋体"/>
          <w:color w:val="auto"/>
          <w:szCs w:val="21"/>
          <w:highlight w:val="none"/>
          <w:lang w:eastAsia="zh-CN"/>
        </w:rPr>
        <w:t>提供员工年度健康体检（共计691人，其中</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巴士公司36人，驾校16人）</w:t>
      </w:r>
      <w:r>
        <w:rPr>
          <w:rFonts w:hint="eastAsia" w:ascii="宋体" w:hAnsi="宋体" w:eastAsia="宋体" w:cs="宋体"/>
          <w:color w:val="auto"/>
          <w:kern w:val="0"/>
          <w:sz w:val="21"/>
          <w:szCs w:val="21"/>
          <w:highlight w:val="none"/>
          <w:u w:color="000000"/>
          <w:lang w:val="en-US" w:eastAsia="zh-CN" w:bidi="ar"/>
        </w:rPr>
        <w:t>，具体详见项目采购需求。</w:t>
      </w:r>
    </w:p>
    <w:p w14:paraId="03F1F0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0" w:firstLineChars="200"/>
        <w:jc w:val="both"/>
        <w:textAlignment w:val="auto"/>
        <w:rPr>
          <w:rFonts w:hint="default"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合同履行期限：自合同签订之日起至本年度全体职工体检工作全部完结为止；可根据公司统一安排灵活调整体检时间，满足职工分批次体检的实际需求。</w:t>
      </w:r>
    </w:p>
    <w:p w14:paraId="607EEF7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b w:val="0"/>
          <w:bCs w:val="0"/>
          <w:color w:val="auto"/>
          <w:kern w:val="0"/>
          <w:sz w:val="21"/>
          <w:szCs w:val="21"/>
          <w:highlight w:val="none"/>
          <w:u w:color="000000"/>
          <w:lang w:val="en-US" w:eastAsia="zh-CN" w:bidi="ar"/>
        </w:rPr>
        <w:t>本项目不接受联合体投标。</w:t>
      </w:r>
    </w:p>
    <w:p w14:paraId="73AC7A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30" w:firstLineChars="200"/>
        <w:jc w:val="both"/>
        <w:textAlignment w:val="auto"/>
        <w:rPr>
          <w:rFonts w:hint="eastAsia" w:ascii="宋体" w:hAnsi="宋体" w:eastAsia="宋体" w:cs="宋体"/>
          <w:b/>
          <w:bCs w:val="0"/>
          <w:color w:val="auto"/>
          <w:spacing w:val="2"/>
          <w:sz w:val="21"/>
          <w:szCs w:val="21"/>
          <w:highlight w:val="none"/>
          <w:lang w:val="en-US"/>
        </w:rPr>
      </w:pPr>
      <w:r>
        <w:rPr>
          <w:rFonts w:hint="eastAsia" w:ascii="宋体" w:hAnsi="宋体" w:eastAsia="宋体" w:cs="宋体"/>
          <w:b/>
          <w:bCs w:val="0"/>
          <w:color w:val="auto"/>
          <w:spacing w:val="2"/>
          <w:kern w:val="0"/>
          <w:sz w:val="21"/>
          <w:szCs w:val="21"/>
          <w:highlight w:val="none"/>
          <w:u w:color="000000"/>
          <w:lang w:val="en-US" w:eastAsia="zh-CN" w:bidi="ar"/>
        </w:rPr>
        <w:t>二、</w:t>
      </w:r>
      <w:r>
        <w:rPr>
          <w:rFonts w:hint="eastAsia" w:ascii="宋体" w:hAnsi="宋体" w:eastAsia="宋体" w:cs="宋体"/>
          <w:b/>
          <w:bCs w:val="0"/>
          <w:color w:val="auto"/>
          <w:kern w:val="0"/>
          <w:sz w:val="21"/>
          <w:szCs w:val="21"/>
          <w:highlight w:val="none"/>
          <w:u w:color="000000"/>
          <w:lang w:val="en-US" w:eastAsia="zh-CN" w:bidi="ar"/>
        </w:rPr>
        <w:t>申请人的资格要求</w:t>
      </w:r>
    </w:p>
    <w:p w14:paraId="0CBC7BE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lang w:val="en-US" w:eastAsia="zh-CN"/>
        </w:rPr>
        <w:t>投标人须</w:t>
      </w:r>
      <w:r>
        <w:rPr>
          <w:rFonts w:hint="eastAsia" w:ascii="宋体" w:hAnsi="宋体" w:eastAsia="宋体" w:cs="宋体"/>
          <w:b/>
          <w:bCs/>
          <w:color w:val="auto"/>
          <w:szCs w:val="21"/>
          <w:highlight w:val="none"/>
        </w:rPr>
        <w:t>是卫生部门批准的二级及以上资质的医院，且具备有效的《医疗机构执业许可证》</w:t>
      </w:r>
      <w:r>
        <w:rPr>
          <w:rFonts w:hint="eastAsia" w:ascii="宋体" w:hAnsi="宋体" w:cs="宋体"/>
          <w:b/>
          <w:bCs/>
          <w:color w:val="auto"/>
          <w:szCs w:val="21"/>
          <w:highlight w:val="none"/>
        </w:rPr>
        <w:t>；</w:t>
      </w:r>
    </w:p>
    <w:p w14:paraId="531D982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22" w:firstLineChars="200"/>
        <w:jc w:val="both"/>
        <w:textAlignment w:val="auto"/>
        <w:rPr>
          <w:rFonts w:hint="eastAsia" w:ascii="宋体" w:hAnsi="宋体" w:cs="宋体"/>
          <w:b/>
          <w:color w:val="auto"/>
          <w:sz w:val="21"/>
          <w:szCs w:val="21"/>
          <w:highlight w:val="none"/>
          <w:lang w:val="en-US"/>
        </w:rPr>
      </w:pPr>
      <w:r>
        <w:rPr>
          <w:rFonts w:hint="eastAsia" w:ascii="宋体" w:hAnsi="宋体" w:cs="宋体"/>
          <w:b/>
          <w:color w:val="auto"/>
          <w:sz w:val="21"/>
          <w:szCs w:val="21"/>
          <w:highlight w:val="none"/>
          <w:lang w:val="en-US" w:eastAsia="zh-CN"/>
        </w:rPr>
        <w:t>三、获取招标文件</w:t>
      </w:r>
    </w:p>
    <w:p w14:paraId="0DCF3FE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kern w:val="0"/>
          <w:sz w:val="21"/>
          <w:szCs w:val="21"/>
          <w:highlight w:val="none"/>
          <w:u w:color="000000"/>
          <w:lang w:val="en-US" w:eastAsia="zh-CN" w:bidi="ar"/>
        </w:rPr>
        <w:t>时间：</w:t>
      </w:r>
      <w:r>
        <w:rPr>
          <w:rFonts w:hint="eastAsia" w:ascii="宋体" w:hAnsi="宋体" w:eastAsia="宋体" w:cs="宋体"/>
          <w:b/>
          <w:bCs/>
          <w:color w:val="auto"/>
          <w:kern w:val="0"/>
          <w:sz w:val="21"/>
          <w:szCs w:val="21"/>
          <w:highlight w:val="none"/>
          <w:u w:val="single" w:color="000000"/>
          <w:lang w:val="en-US" w:eastAsia="zh-CN" w:bidi="ar"/>
        </w:rPr>
        <w:t xml:space="preserve"> 2026年4月24日</w:t>
      </w:r>
      <w:r>
        <w:rPr>
          <w:rFonts w:hint="eastAsia" w:ascii="宋体" w:hAnsi="宋体" w:eastAsia="宋体" w:cs="宋体"/>
          <w:b/>
          <w:bCs/>
          <w:color w:val="auto"/>
          <w:kern w:val="0"/>
          <w:sz w:val="21"/>
          <w:szCs w:val="21"/>
          <w:highlight w:val="none"/>
          <w:u w:color="000000"/>
          <w:lang w:val="en-US" w:eastAsia="zh-CN" w:bidi="ar"/>
        </w:rPr>
        <w:t>至</w:t>
      </w:r>
      <w:r>
        <w:rPr>
          <w:rFonts w:hint="eastAsia" w:ascii="宋体" w:hAnsi="宋体" w:eastAsia="宋体" w:cs="宋体"/>
          <w:b/>
          <w:bCs/>
          <w:color w:val="auto"/>
          <w:kern w:val="0"/>
          <w:sz w:val="21"/>
          <w:szCs w:val="21"/>
          <w:highlight w:val="none"/>
          <w:u w:val="single" w:color="000000"/>
          <w:lang w:val="en-US" w:eastAsia="zh-CN" w:bidi="ar"/>
        </w:rPr>
        <w:t xml:space="preserve"> 2026年4月29日</w:t>
      </w:r>
    </w:p>
    <w:p w14:paraId="4558302E">
      <w:pPr>
        <w:keepNext w:val="0"/>
        <w:keepLines w:val="0"/>
        <w:pageBreakBefore w:val="0"/>
        <w:kinsoku/>
        <w:overflowPunct/>
        <w:topLinePunct w:val="0"/>
        <w:autoSpaceDE/>
        <w:autoSpaceDN/>
        <w:bidi w:val="0"/>
        <w:adjustRightInd/>
        <w:snapToGrid/>
        <w:spacing w:line="440" w:lineRule="exact"/>
        <w:ind w:firstLine="540"/>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地点：滁州市城投工程咨询管理有限公司（https://www.czctgczx.com/）</w:t>
      </w:r>
    </w:p>
    <w:p w14:paraId="09D1F8D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u w:color="000000"/>
          <w:lang w:val="en-US" w:eastAsia="zh-CN" w:bidi="ar"/>
        </w:rPr>
        <w:t>方式：网上下载</w:t>
      </w:r>
    </w:p>
    <w:p w14:paraId="312FC8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u w:color="000000"/>
          <w:lang w:val="en-US" w:eastAsia="zh-CN" w:bidi="ar"/>
        </w:rPr>
        <w:t>售价：0元</w:t>
      </w:r>
    </w:p>
    <w:p w14:paraId="1039A38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bookmarkStart w:id="10" w:name="_Toc58430308"/>
      <w:bookmarkEnd w:id="10"/>
      <w:bookmarkStart w:id="11" w:name="_Toc35393793"/>
      <w:bookmarkEnd w:id="11"/>
      <w:bookmarkStart w:id="12" w:name="_Toc28359082"/>
      <w:bookmarkEnd w:id="12"/>
      <w:bookmarkStart w:id="13" w:name="_Toc28359005"/>
      <w:bookmarkEnd w:id="13"/>
      <w:r>
        <w:rPr>
          <w:rFonts w:hint="eastAsia" w:ascii="宋体" w:hAnsi="宋体" w:cs="宋体"/>
          <w:b/>
          <w:color w:val="auto"/>
          <w:sz w:val="21"/>
          <w:szCs w:val="21"/>
          <w:highlight w:val="none"/>
        </w:rPr>
        <w:t>四、提交投标文件截止时间、开标时间和</w:t>
      </w:r>
      <w:r>
        <w:rPr>
          <w:rFonts w:hint="eastAsia" w:ascii="宋体" w:hAnsi="宋体" w:cs="宋体"/>
          <w:b/>
          <w:color w:val="auto"/>
          <w:sz w:val="21"/>
          <w:szCs w:val="21"/>
          <w:highlight w:val="none"/>
          <w:lang w:val="en-US" w:eastAsia="zh-CN"/>
        </w:rPr>
        <w:t>地点</w:t>
      </w:r>
    </w:p>
    <w:p w14:paraId="3C78073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0"/>
          <w:sz w:val="21"/>
          <w:szCs w:val="21"/>
          <w:highlight w:val="none"/>
          <w:u w:color="000000"/>
          <w:lang w:val="en-US" w:eastAsia="zh-CN" w:bidi="ar"/>
        </w:rPr>
        <w:t>截止时间：</w:t>
      </w:r>
      <w:r>
        <w:rPr>
          <w:rFonts w:hint="eastAsia" w:ascii="宋体" w:hAnsi="宋体" w:eastAsia="宋体" w:cs="宋体"/>
          <w:b/>
          <w:bCs w:val="0"/>
          <w:color w:val="auto"/>
          <w:kern w:val="0"/>
          <w:sz w:val="21"/>
          <w:szCs w:val="21"/>
          <w:highlight w:val="none"/>
          <w:u w:val="none" w:color="auto"/>
          <w:lang w:val="en-US" w:eastAsia="zh-CN" w:bidi="ar"/>
        </w:rPr>
        <w:t>2026年4月29日15时00分</w:t>
      </w:r>
    </w:p>
    <w:p w14:paraId="424496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2" w:firstLineChars="200"/>
        <w:jc w:val="left"/>
        <w:textAlignment w:val="auto"/>
        <w:rPr>
          <w:rFonts w:hint="default" w:ascii="宋体" w:hAnsi="宋体" w:eastAsia="宋体" w:cs="宋体"/>
          <w:b/>
          <w:bCs/>
          <w:color w:val="auto"/>
          <w:kern w:val="0"/>
          <w:sz w:val="21"/>
          <w:szCs w:val="21"/>
          <w:highlight w:val="none"/>
          <w:u w:color="000000"/>
          <w:lang w:val="en-US" w:eastAsia="zh-CN" w:bidi="ar"/>
        </w:rPr>
      </w:pPr>
      <w:r>
        <w:rPr>
          <w:rFonts w:hint="eastAsia" w:ascii="宋体" w:hAnsi="宋体" w:eastAsia="宋体" w:cs="宋体"/>
          <w:b/>
          <w:bCs/>
          <w:color w:val="auto"/>
          <w:kern w:val="0"/>
          <w:sz w:val="21"/>
          <w:szCs w:val="21"/>
          <w:highlight w:val="none"/>
          <w:u w:color="000000"/>
          <w:lang w:val="en-US" w:eastAsia="zh-CN" w:bidi="ar"/>
        </w:rPr>
        <w:t xml:space="preserve">地点：滁州市花园东路766号公交总公司二楼会议室 </w:t>
      </w:r>
    </w:p>
    <w:p w14:paraId="14A9D39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0"/>
          <w:sz w:val="21"/>
          <w:szCs w:val="21"/>
          <w:highlight w:val="none"/>
          <w:u w:color="000000"/>
          <w:lang w:val="en-US" w:eastAsia="zh-CN" w:bidi="ar"/>
        </w:rPr>
        <w:t>五、投标保证金金额及缴纳账户</w:t>
      </w:r>
    </w:p>
    <w:p w14:paraId="17144BB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bCs/>
          <w:color w:val="auto"/>
          <w:sz w:val="21"/>
          <w:szCs w:val="21"/>
          <w:highlight w:val="none"/>
          <w:u w:val="single"/>
          <w:lang w:val="en-US"/>
        </w:rPr>
      </w:pPr>
      <w:r>
        <w:rPr>
          <w:rFonts w:hint="eastAsia" w:ascii="宋体" w:hAnsi="宋体" w:eastAsia="宋体" w:cs="宋体"/>
          <w:bCs/>
          <w:color w:val="auto"/>
          <w:kern w:val="0"/>
          <w:sz w:val="21"/>
          <w:szCs w:val="21"/>
          <w:highlight w:val="none"/>
          <w:u w:color="000000"/>
          <w:lang w:val="en-US" w:eastAsia="zh-CN" w:bidi="ar"/>
        </w:rPr>
        <w:t>本项目不要求投标人提交投标保证金。</w:t>
      </w:r>
    </w:p>
    <w:p w14:paraId="5CC6BE0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30" w:firstLineChars="200"/>
        <w:jc w:val="both"/>
        <w:textAlignment w:val="auto"/>
        <w:rPr>
          <w:rFonts w:hint="eastAsia" w:ascii="宋体" w:hAnsi="宋体" w:eastAsia="宋体" w:cs="宋体"/>
          <w:b/>
          <w:bCs w:val="0"/>
          <w:color w:val="auto"/>
          <w:spacing w:val="2"/>
          <w:sz w:val="21"/>
          <w:szCs w:val="21"/>
          <w:highlight w:val="none"/>
          <w:lang w:val="en-US"/>
        </w:rPr>
      </w:pPr>
      <w:r>
        <w:rPr>
          <w:rFonts w:hint="eastAsia" w:ascii="宋体" w:hAnsi="宋体" w:eastAsia="宋体" w:cs="宋体"/>
          <w:b/>
          <w:bCs w:val="0"/>
          <w:color w:val="auto"/>
          <w:spacing w:val="2"/>
          <w:kern w:val="0"/>
          <w:sz w:val="21"/>
          <w:szCs w:val="21"/>
          <w:highlight w:val="none"/>
          <w:u w:color="000000"/>
          <w:lang w:val="en-US" w:eastAsia="zh-CN" w:bidi="ar"/>
        </w:rPr>
        <w:t>六、</w:t>
      </w:r>
      <w:r>
        <w:rPr>
          <w:rFonts w:hint="eastAsia" w:ascii="宋体" w:hAnsi="宋体" w:eastAsia="宋体" w:cs="宋体"/>
          <w:b/>
          <w:bCs w:val="0"/>
          <w:color w:val="auto"/>
          <w:kern w:val="0"/>
          <w:sz w:val="21"/>
          <w:szCs w:val="21"/>
          <w:highlight w:val="none"/>
          <w:u w:color="000000"/>
          <w:lang w:val="en-US" w:eastAsia="zh-CN" w:bidi="ar"/>
        </w:rPr>
        <w:t>对本次招标提出询问，请按以下方式联系</w:t>
      </w:r>
    </w:p>
    <w:p w14:paraId="3BBFCFB3">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1.招标人信息</w:t>
      </w:r>
    </w:p>
    <w:p w14:paraId="1C820CD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称：滁州市公共交通有限公司</w:t>
      </w:r>
    </w:p>
    <w:p w14:paraId="7FA6994A">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地址：</w:t>
      </w:r>
      <w:r>
        <w:rPr>
          <w:rFonts w:hint="eastAsia" w:ascii="宋体" w:hAnsi="宋体" w:eastAsia="宋体" w:cs="宋体"/>
          <w:color w:val="auto"/>
          <w:szCs w:val="21"/>
          <w:highlight w:val="none"/>
          <w:lang w:val="en-US" w:eastAsia="zh-CN"/>
        </w:rPr>
        <w:t>滁州市花园东路766号</w:t>
      </w:r>
    </w:p>
    <w:p w14:paraId="77819779">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联系方式：</w:t>
      </w:r>
      <w:bookmarkStart w:id="14" w:name="_Toc28359086"/>
      <w:bookmarkStart w:id="15" w:name="_Toc28359009"/>
      <w:r>
        <w:rPr>
          <w:rFonts w:hint="eastAsia" w:ascii="宋体" w:hAnsi="宋体" w:eastAsia="宋体" w:cs="宋体"/>
          <w:color w:val="auto"/>
          <w:szCs w:val="21"/>
          <w:highlight w:val="none"/>
          <w:lang w:val="en-US" w:eastAsia="zh-CN"/>
        </w:rPr>
        <w:t>0550-3017517</w:t>
      </w:r>
    </w:p>
    <w:p w14:paraId="56B89771">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2.采购代理机构信息</w:t>
      </w:r>
      <w:bookmarkEnd w:id="14"/>
      <w:bookmarkEnd w:id="15"/>
    </w:p>
    <w:p w14:paraId="2F6CE430">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称：滁州市城投工程咨询管理有限公司　</w:t>
      </w:r>
    </w:p>
    <w:p w14:paraId="03833092">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址：滁州市龙蟠大道109号房产大厦六楼　</w:t>
      </w:r>
    </w:p>
    <w:p w14:paraId="6524C77C">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联系方式：</w:t>
      </w:r>
      <w:bookmarkStart w:id="16" w:name="_Toc28359087"/>
      <w:bookmarkStart w:id="17" w:name="_Toc28359010"/>
      <w:r>
        <w:rPr>
          <w:rFonts w:hint="eastAsia" w:ascii="宋体" w:hAnsi="宋体" w:eastAsia="宋体" w:cs="宋体"/>
          <w:color w:val="auto"/>
          <w:szCs w:val="21"/>
          <w:highlight w:val="none"/>
          <w:lang w:eastAsia="zh-CN"/>
        </w:rPr>
        <w:t>0550-3519512、18</w:t>
      </w:r>
      <w:r>
        <w:rPr>
          <w:rFonts w:hint="eastAsia" w:ascii="宋体" w:hAnsi="宋体" w:eastAsia="宋体" w:cs="宋体"/>
          <w:color w:val="auto"/>
          <w:szCs w:val="21"/>
          <w:highlight w:val="none"/>
          <w:lang w:val="en-US" w:eastAsia="zh-CN"/>
        </w:rPr>
        <w:t>255055896</w:t>
      </w:r>
    </w:p>
    <w:p w14:paraId="153A4D5B">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3.项目联系方式</w:t>
      </w:r>
      <w:bookmarkEnd w:id="16"/>
      <w:bookmarkEnd w:id="17"/>
    </w:p>
    <w:p w14:paraId="1FDA1C4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项目联系人：</w:t>
      </w:r>
      <w:r>
        <w:rPr>
          <w:rFonts w:hint="eastAsia" w:ascii="宋体" w:hAnsi="宋体" w:eastAsia="宋体" w:cs="宋体"/>
          <w:color w:val="auto"/>
          <w:szCs w:val="21"/>
          <w:highlight w:val="none"/>
          <w:lang w:val="en-US" w:eastAsia="zh-CN"/>
        </w:rPr>
        <w:t>陈晓、周晓培</w:t>
      </w:r>
    </w:p>
    <w:p w14:paraId="754012C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电　话：</w:t>
      </w:r>
      <w:r>
        <w:rPr>
          <w:rFonts w:hint="eastAsia" w:ascii="宋体" w:hAnsi="宋体" w:eastAsia="宋体" w:cs="宋体"/>
          <w:color w:val="auto"/>
          <w:szCs w:val="21"/>
          <w:highlight w:val="none"/>
          <w:lang w:val="en-US" w:eastAsia="zh-CN"/>
        </w:rPr>
        <w:t>0550-3017517</w:t>
      </w:r>
      <w:r>
        <w:rPr>
          <w:rFonts w:hint="eastAsia" w:ascii="宋体" w:hAnsi="宋体" w:eastAsia="宋体" w:cs="宋体"/>
          <w:color w:val="auto"/>
          <w:szCs w:val="21"/>
          <w:highlight w:val="none"/>
          <w:lang w:eastAsia="zh-CN"/>
        </w:rPr>
        <w:t>、0550-3519512、18</w:t>
      </w:r>
      <w:r>
        <w:rPr>
          <w:rFonts w:hint="eastAsia" w:ascii="宋体" w:hAnsi="宋体" w:eastAsia="宋体" w:cs="宋体"/>
          <w:color w:val="auto"/>
          <w:szCs w:val="21"/>
          <w:highlight w:val="none"/>
          <w:lang w:val="en-US" w:eastAsia="zh-CN"/>
        </w:rPr>
        <w:t>255055896</w:t>
      </w:r>
    </w:p>
    <w:p w14:paraId="5C93F41A">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p>
    <w:p w14:paraId="74C7886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209A1D7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2901C96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25AA08B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4F61BBB5">
      <w:pPr>
        <w:pStyle w:val="8"/>
        <w:rPr>
          <w:rFonts w:hint="eastAsia" w:ascii="宋体" w:hAnsi="宋体" w:eastAsia="宋体" w:cs="宋体"/>
          <w:bCs/>
          <w:color w:val="auto"/>
          <w:kern w:val="0"/>
          <w:sz w:val="32"/>
          <w:szCs w:val="32"/>
          <w:highlight w:val="none"/>
          <w:u w:color="000000"/>
          <w:lang w:val="en-US" w:eastAsia="zh-CN" w:bidi="ar"/>
        </w:rPr>
      </w:pPr>
    </w:p>
    <w:p w14:paraId="0E783225">
      <w:pPr>
        <w:rPr>
          <w:rFonts w:hint="eastAsia"/>
          <w:color w:val="auto"/>
          <w:highlight w:val="none"/>
          <w:lang w:val="en-US" w:eastAsia="zh-CN"/>
        </w:rPr>
      </w:pPr>
    </w:p>
    <w:p w14:paraId="3FCB954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right="0"/>
        <w:jc w:val="both"/>
        <w:textAlignment w:val="auto"/>
        <w:outlineLvl w:val="0"/>
        <w:rPr>
          <w:rFonts w:hint="eastAsia" w:ascii="宋体" w:hAnsi="宋体" w:eastAsia="宋体" w:cs="宋体"/>
          <w:bCs/>
          <w:color w:val="auto"/>
          <w:kern w:val="0"/>
          <w:sz w:val="32"/>
          <w:szCs w:val="32"/>
          <w:highlight w:val="none"/>
          <w:u w:color="000000"/>
          <w:lang w:val="en-US" w:eastAsia="zh-CN" w:bidi="ar"/>
        </w:rPr>
      </w:pPr>
    </w:p>
    <w:p w14:paraId="3AA03330">
      <w:pPr>
        <w:pStyle w:val="8"/>
        <w:rPr>
          <w:rFonts w:hint="eastAsia"/>
          <w:color w:val="auto"/>
          <w:highlight w:val="none"/>
          <w:lang w:val="en-US" w:eastAsia="zh-CN"/>
        </w:rPr>
      </w:pPr>
    </w:p>
    <w:p w14:paraId="32B63553">
      <w:pPr>
        <w:rPr>
          <w:rFonts w:hint="eastAsia"/>
          <w:color w:val="auto"/>
          <w:highlight w:val="none"/>
          <w:lang w:val="en-US" w:eastAsia="zh-CN"/>
        </w:rPr>
      </w:pPr>
    </w:p>
    <w:p w14:paraId="069030F8">
      <w:pPr>
        <w:pStyle w:val="8"/>
        <w:rPr>
          <w:rFonts w:hint="eastAsia"/>
          <w:color w:val="auto"/>
          <w:highlight w:val="none"/>
          <w:lang w:val="en-US" w:eastAsia="zh-CN"/>
        </w:rPr>
      </w:pPr>
    </w:p>
    <w:p w14:paraId="376E61DC">
      <w:pPr>
        <w:rPr>
          <w:rFonts w:hint="eastAsia"/>
          <w:color w:val="auto"/>
          <w:highlight w:val="none"/>
          <w:lang w:val="en-US" w:eastAsia="zh-CN"/>
        </w:rPr>
      </w:pPr>
    </w:p>
    <w:p w14:paraId="1544F07D">
      <w:pPr>
        <w:pStyle w:val="8"/>
        <w:rPr>
          <w:rFonts w:hint="eastAsia"/>
          <w:color w:val="auto"/>
          <w:highlight w:val="none"/>
          <w:lang w:val="en-US" w:eastAsia="zh-CN"/>
        </w:rPr>
      </w:pPr>
    </w:p>
    <w:p w14:paraId="7C583947">
      <w:pPr>
        <w:rPr>
          <w:rFonts w:hint="eastAsia"/>
          <w:color w:val="auto"/>
          <w:highlight w:val="none"/>
          <w:lang w:val="en-US" w:eastAsia="zh-CN"/>
        </w:rPr>
      </w:pPr>
    </w:p>
    <w:p w14:paraId="245C7F3C">
      <w:pPr>
        <w:pStyle w:val="8"/>
        <w:rPr>
          <w:rFonts w:hint="eastAsia"/>
          <w:color w:val="auto"/>
          <w:highlight w:val="none"/>
          <w:lang w:val="en-US" w:eastAsia="zh-CN"/>
        </w:rPr>
      </w:pPr>
    </w:p>
    <w:p w14:paraId="76F53D31">
      <w:pPr>
        <w:rPr>
          <w:rFonts w:hint="eastAsia"/>
          <w:color w:val="auto"/>
          <w:highlight w:val="none"/>
          <w:lang w:val="en-US" w:eastAsia="zh-CN"/>
        </w:rPr>
      </w:pPr>
    </w:p>
    <w:p w14:paraId="251B5B3C">
      <w:pPr>
        <w:pStyle w:val="8"/>
        <w:rPr>
          <w:rFonts w:hint="eastAsia"/>
          <w:color w:val="auto"/>
          <w:highlight w:val="none"/>
          <w:lang w:val="en-US" w:eastAsia="zh-CN"/>
        </w:rPr>
      </w:pPr>
    </w:p>
    <w:p w14:paraId="47D3FF52">
      <w:pPr>
        <w:rPr>
          <w:rFonts w:hint="eastAsia"/>
          <w:color w:val="auto"/>
          <w:highlight w:val="none"/>
          <w:lang w:val="en-US" w:eastAsia="zh-CN"/>
        </w:rPr>
      </w:pPr>
    </w:p>
    <w:p w14:paraId="24BBA9F8">
      <w:pPr>
        <w:rPr>
          <w:rFonts w:hint="eastAsia"/>
          <w:color w:val="auto"/>
          <w:highlight w:val="none"/>
          <w:lang w:val="en-US" w:eastAsia="zh-CN"/>
        </w:rPr>
      </w:pPr>
    </w:p>
    <w:p w14:paraId="77B996FB">
      <w:pPr>
        <w:rPr>
          <w:rFonts w:hint="eastAsia"/>
          <w:color w:val="auto"/>
          <w:highlight w:val="none"/>
          <w:lang w:val="en-US" w:eastAsia="zh-CN"/>
        </w:rPr>
      </w:pPr>
    </w:p>
    <w:p w14:paraId="5D71BFCA">
      <w:pPr>
        <w:rPr>
          <w:rFonts w:hint="eastAsia"/>
          <w:color w:val="auto"/>
          <w:highlight w:val="none"/>
          <w:lang w:val="en-US" w:eastAsia="zh-CN"/>
        </w:rPr>
      </w:pPr>
    </w:p>
    <w:p w14:paraId="682D7949">
      <w:pPr>
        <w:rPr>
          <w:rFonts w:hint="eastAsia"/>
          <w:color w:val="auto"/>
          <w:highlight w:val="none"/>
          <w:lang w:val="en-US" w:eastAsia="zh-CN"/>
        </w:rPr>
      </w:pPr>
    </w:p>
    <w:p w14:paraId="4FFAAC05">
      <w:pPr>
        <w:pStyle w:val="8"/>
        <w:rPr>
          <w:rFonts w:hint="eastAsia"/>
          <w:color w:val="auto"/>
          <w:highlight w:val="none"/>
          <w:lang w:val="en-US" w:eastAsia="zh-CN"/>
        </w:rPr>
      </w:pPr>
    </w:p>
    <w:p w14:paraId="0FD8940B">
      <w:pPr>
        <w:rPr>
          <w:rFonts w:hint="eastAsia"/>
          <w:color w:val="auto"/>
          <w:highlight w:val="none"/>
          <w:lang w:val="en-US" w:eastAsia="zh-CN"/>
        </w:rPr>
      </w:pPr>
    </w:p>
    <w:p w14:paraId="4AEB445D">
      <w:pPr>
        <w:pStyle w:val="8"/>
        <w:ind w:left="0" w:leftChars="0" w:firstLine="0" w:firstLineChars="0"/>
        <w:rPr>
          <w:rFonts w:hint="eastAsia"/>
          <w:color w:val="auto"/>
          <w:highlight w:val="none"/>
          <w:lang w:val="en-US" w:eastAsia="zh-CN"/>
        </w:rPr>
      </w:pPr>
    </w:p>
    <w:p w14:paraId="79342F6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
          <w:bCs/>
          <w:color w:val="auto"/>
          <w:kern w:val="0"/>
          <w:sz w:val="32"/>
          <w:szCs w:val="32"/>
          <w:highlight w:val="none"/>
          <w:u w:color="000000"/>
          <w:lang w:val="en-US" w:eastAsia="zh-CN" w:bidi="ar"/>
        </w:rPr>
      </w:pPr>
      <w:r>
        <w:rPr>
          <w:rFonts w:hint="eastAsia" w:ascii="宋体" w:hAnsi="宋体" w:eastAsia="宋体" w:cs="宋体"/>
          <w:bCs/>
          <w:color w:val="auto"/>
          <w:kern w:val="0"/>
          <w:sz w:val="32"/>
          <w:szCs w:val="32"/>
          <w:highlight w:val="none"/>
          <w:u w:color="000000"/>
          <w:lang w:val="en-US" w:eastAsia="zh-CN" w:bidi="ar"/>
        </w:rPr>
        <w:t xml:space="preserve"> </w:t>
      </w:r>
      <w:bookmarkStart w:id="18" w:name="_Toc23335"/>
      <w:r>
        <w:rPr>
          <w:rFonts w:hint="eastAsia" w:ascii="宋体" w:hAnsi="宋体" w:eastAsia="宋体" w:cs="宋体"/>
          <w:b/>
          <w:bCs/>
          <w:color w:val="auto"/>
          <w:kern w:val="0"/>
          <w:sz w:val="32"/>
          <w:szCs w:val="32"/>
          <w:highlight w:val="none"/>
          <w:u w:color="000000"/>
          <w:lang w:val="en-US" w:eastAsia="zh-CN" w:bidi="ar"/>
        </w:rPr>
        <w:t>第二章 投标人须知</w:t>
      </w:r>
      <w:bookmarkEnd w:id="18"/>
      <w:bookmarkStart w:id="19" w:name="_Toc9559"/>
      <w:bookmarkEnd w:id="19"/>
      <w:bookmarkStart w:id="20" w:name="_Toc28003_WPSOffice_Level2"/>
    </w:p>
    <w:p w14:paraId="0B7ABBF2">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20"/>
    </w:p>
    <w:tbl>
      <w:tblPr>
        <w:tblStyle w:val="28"/>
        <w:tblW w:w="9292"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852"/>
        <w:gridCol w:w="2302"/>
        <w:gridCol w:w="6138"/>
      </w:tblGrid>
      <w:tr w14:paraId="75262B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852" w:type="dxa"/>
            <w:tcBorders>
              <w:top w:val="single" w:color="auto" w:sz="12" w:space="0"/>
              <w:left w:val="single" w:color="auto" w:sz="12" w:space="0"/>
              <w:bottom w:val="single" w:color="auto" w:sz="8" w:space="0"/>
              <w:right w:val="single" w:color="auto" w:sz="8" w:space="0"/>
            </w:tcBorders>
            <w:shd w:val="clear" w:color="auto" w:fill="auto"/>
            <w:vAlign w:val="center"/>
          </w:tcPr>
          <w:p w14:paraId="3CE18C8C">
            <w:pPr>
              <w:pStyle w:val="17"/>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302" w:type="dxa"/>
            <w:tcBorders>
              <w:top w:val="single" w:color="auto" w:sz="12" w:space="0"/>
              <w:left w:val="single" w:color="auto" w:sz="8" w:space="0"/>
              <w:bottom w:val="single" w:color="auto" w:sz="8" w:space="0"/>
              <w:right w:val="single" w:color="auto" w:sz="8" w:space="0"/>
            </w:tcBorders>
            <w:shd w:val="clear" w:color="auto" w:fill="auto"/>
            <w:vAlign w:val="center"/>
          </w:tcPr>
          <w:p w14:paraId="44E2A44D">
            <w:pPr>
              <w:pStyle w:val="17"/>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138" w:type="dxa"/>
            <w:tcBorders>
              <w:top w:val="single" w:color="auto" w:sz="12" w:space="0"/>
              <w:left w:val="single" w:color="auto" w:sz="8" w:space="0"/>
              <w:bottom w:val="single" w:color="auto" w:sz="8" w:space="0"/>
              <w:right w:val="single" w:color="auto" w:sz="12" w:space="0"/>
            </w:tcBorders>
            <w:shd w:val="clear" w:color="auto" w:fill="auto"/>
            <w:vAlign w:val="center"/>
          </w:tcPr>
          <w:p w14:paraId="7E81F53C">
            <w:pPr>
              <w:pStyle w:val="17"/>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14138D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5"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BC2FF0C">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159AFACC">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项目名称</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3747D338">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hint="eastAsia" w:cs="Times New Roman"/>
                <w:bCs/>
                <w:color w:val="auto"/>
                <w:highlight w:val="none"/>
                <w:lang w:val="en-US" w:eastAsia="zh-CN"/>
              </w:rPr>
            </w:pPr>
            <w:r>
              <w:rPr>
                <w:rFonts w:hint="eastAsia" w:cs="宋体"/>
                <w:color w:val="auto"/>
                <w:sz w:val="21"/>
                <w:szCs w:val="21"/>
                <w:highlight w:val="none"/>
                <w:lang w:eastAsia="zh-CN"/>
              </w:rPr>
              <w:t>滁州市公共交通有限公司2026年度员工健康体检服务项目</w:t>
            </w:r>
          </w:p>
        </w:tc>
      </w:tr>
      <w:tr w14:paraId="68307C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615B347">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6C136CF8">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ascii="宋体" w:hAnsi="宋体" w:eastAsia="宋体" w:cs="Times New Roman"/>
                <w:color w:val="auto"/>
                <w:highlight w:val="none"/>
                <w:lang w:val="en-US" w:eastAsia="zh-CN"/>
              </w:rPr>
            </w:pPr>
            <w:r>
              <w:rPr>
                <w:rFonts w:hint="eastAsia" w:cs="Times New Roman"/>
                <w:color w:val="auto"/>
                <w:highlight w:val="none"/>
                <w:lang w:val="en-US" w:eastAsia="zh-CN"/>
              </w:rPr>
              <w:t>合同履行期限</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4003B29C">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hint="default" w:cs="Times New Roman"/>
                <w:bCs/>
                <w:color w:val="auto"/>
                <w:highlight w:val="none"/>
                <w:lang w:val="en-US" w:eastAsia="zh-CN"/>
              </w:rPr>
            </w:pPr>
            <w:r>
              <w:rPr>
                <w:rFonts w:hint="eastAsia" w:cs="Times New Roman"/>
                <w:bCs/>
                <w:color w:val="auto"/>
                <w:highlight w:val="none"/>
                <w:lang w:val="en-US" w:eastAsia="zh-CN"/>
              </w:rPr>
              <w:t>自合同签订之日起至本年度全体职工体检工作全部完结为止；可根据公司统一安排灵活调整体检时间，满足职工分批次体检的实际需求。</w:t>
            </w:r>
          </w:p>
        </w:tc>
      </w:tr>
      <w:tr w14:paraId="42575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C5EF1F6">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565DDA65">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2340A3CA">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bCs/>
                <w:color w:val="auto"/>
                <w:highlight w:val="none"/>
                <w:lang w:val="en-US"/>
              </w:rPr>
            </w:pPr>
            <w:r>
              <w:rPr>
                <w:rFonts w:hint="eastAsia" w:ascii="宋体" w:hAnsi="宋体" w:eastAsia="宋体" w:cs="宋体"/>
                <w:color w:val="auto"/>
                <w:szCs w:val="21"/>
                <w:highlight w:val="none"/>
                <w:lang w:val="en-US" w:eastAsia="zh-CN"/>
              </w:rPr>
              <w:t>招标人指定地点</w:t>
            </w:r>
          </w:p>
        </w:tc>
      </w:tr>
      <w:tr w14:paraId="1CC60D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FAA23CE">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11C61476">
            <w:pPr>
              <w:pStyle w:val="17"/>
              <w:keepNext w:val="0"/>
              <w:keepLines w:val="0"/>
              <w:pageBreakBefore w:val="0"/>
              <w:kinsoku/>
              <w:wordWrap/>
              <w:overflowPunct/>
              <w:topLinePunct w:val="0"/>
              <w:autoSpaceDE/>
              <w:autoSpaceDN/>
              <w:bidi w:val="0"/>
              <w:adjustRightInd/>
              <w:snapToGrid/>
              <w:spacing w:line="360" w:lineRule="exact"/>
              <w:ind w:left="0" w:leftChars="0" w:right="0" w:rightChars="0"/>
              <w:jc w:val="left"/>
              <w:textAlignment w:val="auto"/>
              <w:rPr>
                <w:rFonts w:cs="Times New Roman"/>
                <w:color w:val="auto"/>
                <w:highlight w:val="none"/>
                <w:lang w:val="en-US"/>
              </w:rPr>
            </w:pPr>
            <w:r>
              <w:rPr>
                <w:rFonts w:hint="eastAsia"/>
                <w:color w:val="auto"/>
                <w:sz w:val="21"/>
                <w:szCs w:val="21"/>
                <w:highlight w:val="none"/>
                <w:lang w:eastAsia="zh-CN"/>
              </w:rPr>
              <w:t>招标人</w:t>
            </w:r>
            <w:r>
              <w:rPr>
                <w:rFonts w:hint="eastAsia"/>
                <w:color w:val="auto"/>
                <w:sz w:val="21"/>
                <w:szCs w:val="21"/>
                <w:highlight w:val="none"/>
              </w:rPr>
              <w:t>联系人及电话</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039ADCA9">
            <w:pPr>
              <w:pStyle w:val="17"/>
              <w:keepNext w:val="0"/>
              <w:keepLines w:val="0"/>
              <w:pageBreakBefore w:val="0"/>
              <w:kinsoku/>
              <w:wordWrap/>
              <w:overflowPunct/>
              <w:topLinePunct w:val="0"/>
              <w:autoSpaceDE/>
              <w:autoSpaceDN/>
              <w:bidi w:val="0"/>
              <w:adjustRightInd/>
              <w:spacing w:line="440" w:lineRule="exact"/>
              <w:ind w:left="0" w:leftChars="0" w:right="0" w:rightChars="0"/>
              <w:textAlignment w:val="auto"/>
              <w:rPr>
                <w:rFonts w:hint="default" w:ascii="宋体" w:hAnsi="宋体" w:eastAsia="宋体" w:cs="宋体"/>
                <w:color w:val="auto"/>
                <w:kern w:val="2"/>
                <w:sz w:val="21"/>
                <w:szCs w:val="21"/>
                <w:highlight w:val="none"/>
                <w:u w:color="auto"/>
                <w:lang w:val="en-US" w:eastAsia="zh-CN" w:bidi="ar"/>
              </w:rPr>
            </w:pPr>
            <w:r>
              <w:rPr>
                <w:rFonts w:hint="eastAsia" w:ascii="宋体" w:hAnsi="宋体" w:eastAsia="宋体" w:cs="宋体"/>
                <w:color w:val="auto"/>
                <w:sz w:val="21"/>
                <w:szCs w:val="21"/>
                <w:highlight w:val="none"/>
              </w:rPr>
              <w:t>联系人：</w:t>
            </w:r>
            <w:r>
              <w:rPr>
                <w:rFonts w:hint="eastAsia" w:cs="宋体"/>
                <w:color w:val="auto"/>
                <w:szCs w:val="21"/>
                <w:highlight w:val="none"/>
                <w:lang w:val="en-US" w:eastAsia="zh-CN"/>
              </w:rPr>
              <w:t>陈晓</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bCs/>
                <w:color w:val="auto"/>
                <w:sz w:val="21"/>
                <w:szCs w:val="21"/>
                <w:highlight w:val="none"/>
              </w:rPr>
              <w:t>电话：</w:t>
            </w:r>
            <w:r>
              <w:rPr>
                <w:rFonts w:hint="eastAsia" w:cs="宋体"/>
                <w:color w:val="auto"/>
                <w:szCs w:val="21"/>
                <w:highlight w:val="none"/>
                <w:lang w:val="en-US" w:eastAsia="zh-CN"/>
              </w:rPr>
              <w:t>0550-3017517</w:t>
            </w:r>
          </w:p>
        </w:tc>
      </w:tr>
      <w:tr w14:paraId="3ECC46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BC3A401">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70E67429">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val="en-US" w:eastAsia="zh-CN"/>
              </w:rPr>
              <w:t>招标</w:t>
            </w:r>
            <w:r>
              <w:rPr>
                <w:rFonts w:cs="Times New Roman"/>
                <w:color w:val="auto"/>
                <w:highlight w:val="none"/>
              </w:rPr>
              <w:t>代理机构联系人及电话</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589768AE">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hint="default" w:eastAsia="宋体" w:cs="宋体"/>
                <w:color w:val="auto"/>
                <w:highlight w:val="none"/>
                <w:lang w:val="en-US" w:eastAsia="zh-CN"/>
              </w:rPr>
            </w:pPr>
            <w:r>
              <w:rPr>
                <w:rFonts w:hint="eastAsia" w:ascii="宋体" w:hAnsi="宋体" w:eastAsia="宋体" w:cs="宋体"/>
                <w:bCs/>
                <w:color w:val="auto"/>
                <w:sz w:val="21"/>
                <w:szCs w:val="21"/>
                <w:highlight w:val="none"/>
              </w:rPr>
              <w:t>联系人：</w:t>
            </w:r>
            <w:r>
              <w:rPr>
                <w:rFonts w:hint="eastAsia" w:ascii="宋体" w:hAnsi="宋体" w:eastAsia="宋体" w:cs="宋体"/>
                <w:color w:val="auto"/>
                <w:szCs w:val="21"/>
                <w:highlight w:val="none"/>
                <w:lang w:val="en-US" w:eastAsia="zh-CN"/>
              </w:rPr>
              <w:t>周晓培</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 xml:space="preserve">  </w:t>
            </w:r>
            <w:r>
              <w:rPr>
                <w:rFonts w:hint="eastAsia"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电话：</w:t>
            </w:r>
            <w:r>
              <w:rPr>
                <w:rFonts w:hint="eastAsia" w:ascii="宋体" w:hAnsi="宋体" w:eastAsia="宋体" w:cs="宋体"/>
                <w:color w:val="auto"/>
                <w:szCs w:val="21"/>
                <w:highlight w:val="none"/>
                <w:lang w:eastAsia="zh-CN"/>
              </w:rPr>
              <w:t>0550-3519512、18</w:t>
            </w:r>
            <w:r>
              <w:rPr>
                <w:rFonts w:hint="eastAsia" w:ascii="宋体" w:hAnsi="宋体" w:eastAsia="宋体" w:cs="宋体"/>
                <w:color w:val="auto"/>
                <w:szCs w:val="21"/>
                <w:highlight w:val="none"/>
                <w:lang w:val="en-US" w:eastAsia="zh-CN"/>
              </w:rPr>
              <w:t>255055896</w:t>
            </w:r>
          </w:p>
        </w:tc>
      </w:tr>
      <w:tr w14:paraId="7FD175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B127263">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1F23CB41">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0B8D3C0C">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hint="eastAsia" w:cs="Times New Roman"/>
                <w:color w:val="auto"/>
                <w:highlight w:val="none"/>
                <w:lang w:val="en-US" w:eastAsia="zh-CN"/>
              </w:rPr>
              <w:t>自筹</w:t>
            </w:r>
            <w:r>
              <w:rPr>
                <w:rFonts w:cs="Times New Roman"/>
                <w:color w:val="auto"/>
                <w:highlight w:val="none"/>
              </w:rPr>
              <w:t>资金</w:t>
            </w:r>
          </w:p>
        </w:tc>
      </w:tr>
      <w:tr w14:paraId="2C7C55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811A61D">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603CD5D2">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项目预算</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3098470D">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hint="default" w:ascii="宋体" w:hAnsi="宋体" w:eastAsia="宋体" w:cs="宋体"/>
                <w:bCs/>
                <w:color w:val="auto"/>
                <w:szCs w:val="21"/>
                <w:highlight w:val="none"/>
                <w:lang w:val="en-US" w:eastAsia="zh-CN"/>
              </w:rPr>
            </w:pPr>
            <w:r>
              <w:rPr>
                <w:rFonts w:hint="eastAsia" w:cs="宋体"/>
                <w:bCs/>
                <w:color w:val="auto"/>
                <w:szCs w:val="21"/>
                <w:highlight w:val="none"/>
                <w:lang w:val="en-US" w:eastAsia="zh-CN"/>
              </w:rPr>
              <w:t>414600.00元</w:t>
            </w:r>
          </w:p>
        </w:tc>
      </w:tr>
      <w:tr w14:paraId="4C746A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50E1A9E">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5C63C0B">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10BFE3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color w:val="auto"/>
                <w:kern w:val="0"/>
                <w:sz w:val="21"/>
                <w:szCs w:val="21"/>
                <w:highlight w:val="none"/>
                <w:u w:color="000000"/>
                <w:lang w:val="en-US" w:eastAsia="zh-CN" w:bidi="ar"/>
              </w:rPr>
              <w:t>414600.00元，本项目单价最高限价为600元/人/年；投标报价不得超过单价和总价最高限价，否则按无效投标处理。</w:t>
            </w:r>
          </w:p>
        </w:tc>
      </w:tr>
      <w:tr w14:paraId="06AC8A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5C775075">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D89C814">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采购内容</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59CADB1A">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558D4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14875D71">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3281614A">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标包划分</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7447A4E7">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hint="eastAsia" w:eastAsia="宋体" w:cs="宋体"/>
                <w:color w:val="auto"/>
                <w:highlight w:val="none"/>
                <w:lang w:val="en-US" w:eastAsia="zh-CN"/>
              </w:rPr>
            </w:pPr>
            <w:r>
              <w:rPr>
                <w:rFonts w:hint="eastAsia" w:cs="Times New Roman"/>
                <w:b/>
                <w:bCs/>
                <w:color w:val="auto"/>
                <w:highlight w:val="none"/>
              </w:rPr>
              <w:t>本项目划分为</w:t>
            </w:r>
            <w:r>
              <w:rPr>
                <w:rFonts w:hint="eastAsia" w:cs="Times New Roman"/>
                <w:b/>
                <w:bCs/>
                <w:color w:val="auto"/>
                <w:highlight w:val="none"/>
                <w:lang w:val="en-US" w:eastAsia="zh-CN"/>
              </w:rPr>
              <w:t>1</w:t>
            </w:r>
            <w:r>
              <w:rPr>
                <w:rFonts w:hint="eastAsia" w:cs="Times New Roman"/>
                <w:b/>
                <w:bCs/>
                <w:color w:val="auto"/>
                <w:highlight w:val="none"/>
              </w:rPr>
              <w:t>个标包</w:t>
            </w:r>
          </w:p>
        </w:tc>
      </w:tr>
      <w:tr w14:paraId="2DD72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8479431">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746420B4">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招标方式</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09EC9032">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16AE2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EAABA91">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C8A59A9">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7CDE90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5C32C8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2B2E00F">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38359955">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踏勘现场</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08E1D9C7">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1316A0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54E73F7B">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7EDB2F8">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投标预备会</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480B8E8F">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不召开</w:t>
            </w:r>
          </w:p>
        </w:tc>
      </w:tr>
      <w:tr w14:paraId="55817A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5F5B651C">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589F14AC">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07943755">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b w:val="0"/>
                <w:bCs w:val="0"/>
                <w:color w:val="auto"/>
                <w:highlight w:val="none"/>
                <w:lang w:val="en-US"/>
              </w:rPr>
            </w:pPr>
            <w:r>
              <w:rPr>
                <w:rFonts w:hint="eastAsia" w:cs="Times New Roman"/>
                <w:b w:val="0"/>
                <w:bCs w:val="0"/>
                <w:color w:val="auto"/>
                <w:highlight w:val="none"/>
              </w:rPr>
              <w:t>质疑时间：</w:t>
            </w:r>
            <w:r>
              <w:rPr>
                <w:rFonts w:hint="eastAsia" w:cs="Times New Roman"/>
                <w:b w:val="0"/>
                <w:bCs w:val="0"/>
                <w:color w:val="auto"/>
                <w:highlight w:val="none"/>
                <w:lang w:eastAsia="zh-CN"/>
              </w:rPr>
              <w:t>2026年4月</w:t>
            </w:r>
            <w:r>
              <w:rPr>
                <w:rFonts w:hint="eastAsia" w:cs="Times New Roman"/>
                <w:b w:val="0"/>
                <w:bCs w:val="0"/>
                <w:color w:val="auto"/>
                <w:highlight w:val="none"/>
                <w:lang w:val="en-US" w:eastAsia="zh-CN"/>
              </w:rPr>
              <w:t>27</w:t>
            </w:r>
            <w:r>
              <w:rPr>
                <w:rFonts w:hint="eastAsia" w:cs="Times New Roman"/>
                <w:b w:val="0"/>
                <w:bCs w:val="0"/>
                <w:color w:val="auto"/>
                <w:highlight w:val="none"/>
              </w:rPr>
              <w:t>日</w:t>
            </w:r>
            <w:r>
              <w:rPr>
                <w:rFonts w:hint="eastAsia" w:cs="Times New Roman"/>
                <w:b w:val="0"/>
                <w:bCs w:val="0"/>
                <w:color w:val="auto"/>
                <w:highlight w:val="none"/>
                <w:lang w:val="en-US" w:eastAsia="zh-CN"/>
              </w:rPr>
              <w:t>12</w:t>
            </w:r>
            <w:r>
              <w:rPr>
                <w:rFonts w:hint="eastAsia" w:cs="Times New Roman"/>
                <w:b w:val="0"/>
                <w:bCs w:val="0"/>
                <w:color w:val="auto"/>
                <w:highlight w:val="none"/>
              </w:rPr>
              <w:t>时前，供应商将所遇到的问题将疑问</w:t>
            </w:r>
            <w:r>
              <w:rPr>
                <w:rFonts w:hint="eastAsia" w:hAnsi="宋体" w:cs="宋体"/>
                <w:color w:val="auto"/>
                <w:highlight w:val="none"/>
                <w:u w:val="none" w:color="000000"/>
              </w:rPr>
              <w:t>疑问以电子邮件形式发送到邮箱（czsctgczx@163.com）</w:t>
            </w:r>
            <w:r>
              <w:rPr>
                <w:rFonts w:hint="eastAsia" w:hAnsi="宋体" w:cs="宋体"/>
                <w:bCs/>
                <w:color w:val="auto"/>
                <w:szCs w:val="21"/>
                <w:highlight w:val="none"/>
                <w:u w:val="none" w:color="000000"/>
              </w:rPr>
              <w:t xml:space="preserve">。 </w:t>
            </w:r>
          </w:p>
        </w:tc>
      </w:tr>
      <w:tr w14:paraId="20F8D7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0FA506A">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079551AA">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339193D3">
            <w:pPr>
              <w:keepNext w:val="0"/>
              <w:keepLines w:val="0"/>
              <w:pageBreakBefore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eastAsia="宋体" w:cs="Times New Roman"/>
                <w:b/>
                <w:bCs/>
                <w:color w:val="auto"/>
                <w:kern w:val="2"/>
                <w:sz w:val="21"/>
                <w:szCs w:val="21"/>
                <w:highlight w:val="none"/>
                <w:u w:color="auto"/>
                <w:lang w:val="en-US" w:eastAsia="zh-CN" w:bidi="ar"/>
              </w:rPr>
              <w:t>2026年4月28日12时前</w:t>
            </w:r>
            <w:r>
              <w:rPr>
                <w:rFonts w:hint="eastAsia" w:ascii="宋体" w:hAnsi="宋体" w:eastAsia="宋体" w:cs="宋体"/>
                <w:b w:val="0"/>
                <w:bCs w:val="0"/>
                <w:color w:val="auto"/>
                <w:kern w:val="2"/>
                <w:sz w:val="21"/>
                <w:szCs w:val="21"/>
                <w:highlight w:val="none"/>
                <w:u w:color="000000"/>
                <w:lang w:val="en-US" w:eastAsia="zh-CN" w:bidi="ar"/>
              </w:rPr>
              <w:t>以澄清公告形式在</w:t>
            </w:r>
            <w:r>
              <w:rPr>
                <w:rFonts w:hint="eastAsia" w:ascii="宋体" w:hAnsi="宋体" w:eastAsia="宋体" w:cs="宋体"/>
                <w:color w:val="auto"/>
                <w:kern w:val="0"/>
                <w:sz w:val="21"/>
                <w:szCs w:val="21"/>
                <w:highlight w:val="none"/>
                <w:u w:color="000000"/>
                <w:lang w:val="en-US" w:eastAsia="zh-CN" w:bidi="ar"/>
              </w:rPr>
              <w:t>滁州市城投工程咨询管理有限公司（https://www.czctgczx.com/）</w:t>
            </w:r>
            <w:r>
              <w:rPr>
                <w:rFonts w:hint="eastAsia" w:ascii="宋体" w:cs="宋体"/>
                <w:color w:val="auto"/>
                <w:szCs w:val="21"/>
                <w:highlight w:val="none"/>
              </w:rPr>
              <w:t>发布。</w:t>
            </w:r>
          </w:p>
        </w:tc>
      </w:tr>
      <w:tr w14:paraId="4959F2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670DC5FF">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078B632A">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联合体投标</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4FE5960A">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47C023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6D6130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7C2C62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代理服务及专家评审等费用</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5D4107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本项目的招标代理服务费</w:t>
            </w:r>
            <w:r>
              <w:rPr>
                <w:rFonts w:hint="eastAsia" w:ascii="宋体" w:hAnsi="宋体" w:cs="宋体"/>
                <w:color w:val="auto"/>
                <w:szCs w:val="21"/>
                <w:highlight w:val="none"/>
                <w:lang w:val="en-US" w:eastAsia="zh-CN"/>
              </w:rPr>
              <w:t>3100</w:t>
            </w:r>
            <w:r>
              <w:rPr>
                <w:rFonts w:hint="eastAsia" w:ascii="宋体" w:hAnsi="宋体" w:cs="宋体"/>
                <w:color w:val="auto"/>
                <w:szCs w:val="21"/>
                <w:highlight w:val="none"/>
              </w:rPr>
              <w:t>元</w:t>
            </w:r>
            <w:r>
              <w:rPr>
                <w:rFonts w:hint="eastAsia" w:ascii="宋体" w:hAnsi="宋体" w:cs="宋体"/>
                <w:color w:val="auto"/>
                <w:kern w:val="0"/>
                <w:szCs w:val="21"/>
                <w:highlight w:val="none"/>
              </w:rPr>
              <w:t>（不含专家评审费，专家评</w:t>
            </w:r>
            <w:r>
              <w:rPr>
                <w:rFonts w:hint="eastAsia" w:ascii="宋体" w:hAnsi="宋体" w:cs="宋体"/>
                <w:color w:val="auto"/>
                <w:kern w:val="0"/>
                <w:szCs w:val="21"/>
                <w:highlight w:val="none"/>
                <w:lang w:val="en-US" w:eastAsia="zh-CN"/>
              </w:rPr>
              <w:t>审</w:t>
            </w:r>
            <w:r>
              <w:rPr>
                <w:rFonts w:hint="eastAsia" w:ascii="宋体" w:hAnsi="宋体" w:cs="宋体"/>
                <w:color w:val="auto"/>
                <w:kern w:val="0"/>
                <w:szCs w:val="21"/>
                <w:highlight w:val="none"/>
              </w:rPr>
              <w:t>费以实际发生费用为准）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招标代理服务费和专家评审费</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在领取</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通知书时，一次性支付给代理公司。</w:t>
            </w:r>
          </w:p>
        </w:tc>
      </w:tr>
      <w:tr w14:paraId="430491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B04AB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35B66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50D13E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261F56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F7D01CD">
            <w:pPr>
              <w:pStyle w:val="17"/>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724DAB88">
            <w:pPr>
              <w:pStyle w:val="17"/>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投标有效期</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04068706">
            <w:pPr>
              <w:pStyle w:val="17"/>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9</w:t>
            </w:r>
            <w:r>
              <w:rPr>
                <w:rFonts w:cs="Times New Roman"/>
                <w:color w:val="auto"/>
                <w:highlight w:val="none"/>
                <w:u w:val="single"/>
                <w:lang w:val="en-US"/>
              </w:rPr>
              <w:t xml:space="preserve">0 </w:t>
            </w:r>
            <w:r>
              <w:rPr>
                <w:rFonts w:cs="Times New Roman"/>
                <w:color w:val="auto"/>
                <w:highlight w:val="none"/>
              </w:rPr>
              <w:t>日历天（从投标截止之日算起）。在此期限内，凡符合本招标文件要求的投标文件均保持有效。</w:t>
            </w:r>
          </w:p>
        </w:tc>
      </w:tr>
      <w:tr w14:paraId="74271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EFA433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3CB9E2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top"/>
          </w:tcPr>
          <w:p w14:paraId="4622FD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7FB0AF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E77D5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22</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63574B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签字或盖章要求</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top"/>
          </w:tcPr>
          <w:p w14:paraId="4371D5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投标文件须按格式文件要求签字或盖章</w:t>
            </w:r>
          </w:p>
        </w:tc>
      </w:tr>
      <w:tr w14:paraId="3006C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B4C3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6C33CF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703E4D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正本一份，副本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份。密封后递交</w:t>
            </w:r>
            <w:r>
              <w:rPr>
                <w:rFonts w:hint="eastAsia" w:ascii="宋体" w:hAnsi="宋体" w:cs="宋体"/>
                <w:color w:val="auto"/>
                <w:szCs w:val="21"/>
                <w:highlight w:val="none"/>
                <w:lang w:eastAsia="zh-CN"/>
              </w:rPr>
              <w:t>。</w:t>
            </w:r>
          </w:p>
        </w:tc>
      </w:tr>
      <w:tr w14:paraId="556356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16F928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2D3824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45C9A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投标文件按顺序装订</w:t>
            </w:r>
          </w:p>
        </w:tc>
      </w:tr>
      <w:tr w14:paraId="5076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FC3CC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25</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100DF8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投标文件封套上应载明的信息</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64B6ED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投标人地址：</w:t>
            </w:r>
          </w:p>
          <w:p w14:paraId="7667C5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投标人名称：</w:t>
            </w:r>
          </w:p>
          <w:p w14:paraId="665A39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 xml:space="preserve">                                   （项目名称）投标文件</w:t>
            </w:r>
          </w:p>
          <w:p w14:paraId="478676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在 2026年4月29日15时00分前不得开启</w:t>
            </w:r>
          </w:p>
        </w:tc>
      </w:tr>
      <w:tr w14:paraId="749EC6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vMerge w:val="restart"/>
            <w:tcBorders>
              <w:top w:val="single" w:color="auto" w:sz="8" w:space="0"/>
              <w:left w:val="single" w:color="auto" w:sz="12" w:space="0"/>
              <w:right w:val="single" w:color="auto" w:sz="8" w:space="0"/>
            </w:tcBorders>
            <w:shd w:val="clear" w:color="auto" w:fill="auto"/>
            <w:vAlign w:val="center"/>
          </w:tcPr>
          <w:p w14:paraId="78C9B9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26</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5451D4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2"/>
                <w:highlight w:val="none"/>
                <w:lang w:val="en-US"/>
              </w:rPr>
            </w:pPr>
            <w:r>
              <w:rPr>
                <w:rFonts w:hint="eastAsia" w:ascii="宋体"/>
                <w:b/>
                <w:bCs/>
                <w:color w:val="auto"/>
                <w:sz w:val="21"/>
                <w:szCs w:val="21"/>
                <w:highlight w:val="none"/>
              </w:rPr>
              <w:t>投标截止时间</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6DFD52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 xml:space="preserve"> 2026年4月29日15时00分（北京时间）</w:t>
            </w:r>
          </w:p>
        </w:tc>
      </w:tr>
      <w:tr w14:paraId="3ABBF3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852" w:type="dxa"/>
            <w:vMerge w:val="continue"/>
            <w:tcBorders>
              <w:left w:val="single" w:color="auto" w:sz="12" w:space="0"/>
              <w:right w:val="single" w:color="auto" w:sz="8" w:space="0"/>
            </w:tcBorders>
            <w:shd w:val="clear" w:color="auto" w:fill="auto"/>
            <w:vAlign w:val="center"/>
          </w:tcPr>
          <w:p w14:paraId="4E2FD7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0B3A79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2E00EA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开标时间：2026年4月29日15时00分</w:t>
            </w:r>
          </w:p>
          <w:p w14:paraId="6B32B9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开标地点：滁州市花园东路766号公交总公司二楼会议室</w:t>
            </w:r>
          </w:p>
        </w:tc>
      </w:tr>
      <w:tr w14:paraId="555E6F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0" w:hRule="atLeast"/>
        </w:trPr>
        <w:tc>
          <w:tcPr>
            <w:tcW w:w="852" w:type="dxa"/>
            <w:vMerge w:val="continue"/>
            <w:tcBorders>
              <w:left w:val="single" w:color="auto" w:sz="12" w:space="0"/>
              <w:bottom w:val="single" w:color="auto" w:sz="8" w:space="0"/>
              <w:right w:val="single" w:color="auto" w:sz="8" w:space="0"/>
            </w:tcBorders>
            <w:shd w:val="clear" w:color="auto" w:fill="auto"/>
            <w:vAlign w:val="center"/>
          </w:tcPr>
          <w:p w14:paraId="766772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015EF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15D73B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密封情况：由投标人或其推选的代表检查投标文件的密封情况 ；</w:t>
            </w:r>
          </w:p>
          <w:p w14:paraId="0C3CD1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开标顺序：由代理机构开启投标文件，报评标委员会评审。</w:t>
            </w:r>
          </w:p>
        </w:tc>
      </w:tr>
      <w:tr w14:paraId="70EE49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A84B5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27</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22A41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40C5B3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163F52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7B6D34F">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645CD606">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2659A7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0D62F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B6CDB13">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783903BB">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是否授权评标委员会确定中标候选人</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50AF5131">
            <w:pPr>
              <w:pStyle w:val="17"/>
              <w:keepNext w:val="0"/>
              <w:keepLines w:val="0"/>
              <w:pageBreakBefore w:val="0"/>
              <w:widowControl/>
              <w:kinsoku/>
              <w:wordWrap/>
              <w:overflowPunct/>
              <w:topLinePunct w:val="0"/>
              <w:autoSpaceDE w:val="0"/>
              <w:autoSpaceDN/>
              <w:bidi w:val="0"/>
              <w:adjustRightInd/>
              <w:snapToGrid/>
              <w:spacing w:line="340" w:lineRule="exact"/>
              <w:ind w:left="0" w:leftChars="0" w:right="0" w:rightChars="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是，推荐的中标候选人数</w:t>
            </w:r>
            <w:r>
              <w:rPr>
                <w:rFonts w:hint="eastAsia" w:cs="宋体"/>
                <w:color w:val="auto"/>
                <w:szCs w:val="21"/>
                <w:highlight w:val="none"/>
                <w:lang w:val="en-US" w:eastAsia="zh-CN"/>
              </w:rPr>
              <w:t>3</w:t>
            </w:r>
            <w:r>
              <w:rPr>
                <w:rFonts w:hint="eastAsia" w:ascii="宋体" w:hAnsi="宋体" w:cs="宋体"/>
                <w:color w:val="auto"/>
                <w:szCs w:val="21"/>
                <w:highlight w:val="none"/>
              </w:rPr>
              <w:t>名，并标明排序。</w:t>
            </w:r>
          </w:p>
        </w:tc>
      </w:tr>
      <w:tr w14:paraId="1B5BC7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1109EFA">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30</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74D455C5">
            <w:pPr>
              <w:pStyle w:val="17"/>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60118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cs="宋体"/>
                <w:color w:val="auto"/>
                <w:szCs w:val="21"/>
                <w:highlight w:val="none"/>
              </w:rPr>
            </w:pPr>
            <w:r>
              <w:rPr>
                <w:rFonts w:hint="eastAsia" w:ascii="宋体" w:hAnsi="宋体" w:eastAsia="宋体" w:cs="Times New Roman"/>
                <w:color w:val="auto"/>
                <w:kern w:val="2"/>
                <w:sz w:val="21"/>
                <w:szCs w:val="21"/>
                <w:highlight w:val="none"/>
                <w:u w:color="auto"/>
                <w:lang w:val="en-US" w:eastAsia="zh-CN" w:bidi="ar"/>
              </w:rPr>
              <w:t>同招标公告发布媒介</w:t>
            </w:r>
          </w:p>
        </w:tc>
      </w:tr>
      <w:tr w14:paraId="7292D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E3D4C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4C7FBC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6283BB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49BAF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88CA6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32</w:t>
            </w:r>
          </w:p>
        </w:tc>
        <w:tc>
          <w:tcPr>
            <w:tcW w:w="2302" w:type="dxa"/>
            <w:tcBorders>
              <w:top w:val="single" w:color="auto" w:sz="8" w:space="0"/>
              <w:left w:val="single" w:color="auto" w:sz="8" w:space="0"/>
              <w:bottom w:val="single" w:color="auto" w:sz="8" w:space="0"/>
              <w:right w:val="single" w:color="auto" w:sz="8" w:space="0"/>
            </w:tcBorders>
            <w:shd w:val="clear" w:color="auto" w:fill="auto"/>
            <w:vAlign w:val="center"/>
          </w:tcPr>
          <w:p w14:paraId="2B901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color w:val="auto"/>
                <w:sz w:val="21"/>
                <w:szCs w:val="21"/>
                <w:highlight w:val="none"/>
              </w:rPr>
              <w:t>履约担保</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4FECEE20">
            <w:pPr>
              <w:pStyle w:val="17"/>
              <w:keepNext w:val="0"/>
              <w:keepLines w:val="0"/>
              <w:pageBreakBefore w:val="0"/>
              <w:widowControl/>
              <w:kinsoku/>
              <w:wordWrap/>
              <w:overflowPunct/>
              <w:topLinePunct w:val="0"/>
              <w:autoSpaceDE w:val="0"/>
              <w:autoSpaceDN/>
              <w:bidi w:val="0"/>
              <w:adjustRightInd/>
              <w:snapToGrid/>
              <w:spacing w:line="340" w:lineRule="exact"/>
              <w:ind w:left="0" w:leftChars="0" w:right="0" w:rightChars="0"/>
              <w:textAlignment w:val="auto"/>
              <w:rPr>
                <w:rFonts w:hint="eastAsia" w:ascii="宋体" w:hAnsi="宋体" w:eastAsia="宋体" w:cs="宋体"/>
                <w:color w:val="auto"/>
                <w:kern w:val="2"/>
                <w:sz w:val="21"/>
                <w:szCs w:val="21"/>
                <w:highlight w:val="none"/>
                <w:u w:color="000000"/>
                <w:lang w:val="en-US" w:eastAsia="zh-CN" w:bidi="ar"/>
              </w:rPr>
            </w:pPr>
            <w:r>
              <w:rPr>
                <w:rFonts w:hint="eastAsia" w:cs="宋体"/>
                <w:b w:val="0"/>
                <w:bCs w:val="0"/>
                <w:color w:val="auto"/>
                <w:sz w:val="21"/>
                <w:szCs w:val="21"/>
                <w:highlight w:val="none"/>
                <w:lang w:val="en-US" w:eastAsia="zh-CN"/>
              </w:rPr>
              <w:t>本项目不</w:t>
            </w:r>
            <w:r>
              <w:rPr>
                <w:rFonts w:hint="eastAsia" w:ascii="宋体" w:hAnsi="宋体" w:eastAsia="宋体" w:cs="宋体"/>
                <w:b w:val="0"/>
                <w:bCs w:val="0"/>
                <w:color w:val="auto"/>
                <w:sz w:val="21"/>
                <w:szCs w:val="21"/>
                <w:highlight w:val="none"/>
              </w:rPr>
              <w:t>收取履约担保</w:t>
            </w:r>
          </w:p>
        </w:tc>
      </w:tr>
      <w:tr w14:paraId="4CCB49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60" w:hRule="atLeast"/>
        </w:trPr>
        <w:tc>
          <w:tcPr>
            <w:tcW w:w="3154"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60EB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kern w:val="2"/>
                <w:highlight w:val="none"/>
                <w:lang w:val="en-US"/>
              </w:rPr>
            </w:pPr>
            <w:r>
              <w:rPr>
                <w:rFonts w:hint="eastAsia" w:ascii="宋体"/>
                <w:color w:val="auto"/>
                <w:sz w:val="21"/>
                <w:szCs w:val="21"/>
                <w:highlight w:val="none"/>
              </w:rPr>
              <w:t>付款方式、时间、条件</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1C2E7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在本合同服务期限届满，中标人提交经招标人确认的实际参检人数，按实结算，单价按本合同确定的价格执行，招标人在收到中标人提供的符合要求的发票后向中标人支付全部体检费用。</w:t>
            </w:r>
          </w:p>
          <w:p w14:paraId="18EC463A">
            <w:pPr>
              <w:pStyle w:val="2"/>
              <w:keepNext w:val="0"/>
              <w:keepLines w:val="0"/>
              <w:suppressLineNumbers w:val="0"/>
              <w:spacing w:before="0" w:beforeAutospacing="0" w:after="0" w:afterAutospacing="0"/>
              <w:ind w:left="0" w:leftChars="0" w:right="0" w:firstLine="0" w:firstLineChars="0"/>
              <w:rPr>
                <w:rFonts w:hint="default"/>
                <w:color w:val="auto"/>
                <w:highlight w:val="none"/>
                <w:lang w:val="en-US" w:eastAsia="zh-CN"/>
              </w:rPr>
            </w:pPr>
            <w:r>
              <w:rPr>
                <w:rFonts w:hint="eastAsia"/>
                <w:b/>
                <w:bCs/>
                <w:color w:val="auto"/>
                <w:highlight w:val="none"/>
                <w:lang w:val="en-US" w:eastAsia="zh-CN"/>
              </w:rPr>
              <w:t>注：本项目中标后由滁州市公共交通有限公司统一签订合同，其中巴士公司及驾校人员体检发票开具及费用支付等，由各主体单位分别据实办理。</w:t>
            </w:r>
          </w:p>
        </w:tc>
      </w:tr>
      <w:tr w14:paraId="40840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5" w:hRule="atLeast"/>
        </w:trPr>
        <w:tc>
          <w:tcPr>
            <w:tcW w:w="3154"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0D65C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top"/>
          </w:tcPr>
          <w:p w14:paraId="11277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282C4C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07FEE5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154"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B1B2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386C9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14D10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6BD4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6182C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51B7DF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154"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98E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138" w:type="dxa"/>
            <w:tcBorders>
              <w:top w:val="single" w:color="auto" w:sz="8" w:space="0"/>
              <w:left w:val="single" w:color="auto" w:sz="8" w:space="0"/>
              <w:bottom w:val="single" w:color="auto" w:sz="8" w:space="0"/>
              <w:right w:val="single" w:color="auto" w:sz="12" w:space="0"/>
            </w:tcBorders>
            <w:shd w:val="clear" w:color="auto" w:fill="auto"/>
            <w:vAlign w:val="center"/>
          </w:tcPr>
          <w:p w14:paraId="1F905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bl>
    <w:p w14:paraId="2FC6DF62">
      <w:pPr>
        <w:rPr>
          <w:rFonts w:hint="eastAsia" w:ascii="宋体" w:hAnsi="宋体" w:eastAsia="宋体" w:cs="宋体"/>
          <w:b/>
          <w:bCs w:val="0"/>
          <w:color w:val="auto"/>
          <w:kern w:val="0"/>
          <w:sz w:val="28"/>
          <w:szCs w:val="28"/>
          <w:highlight w:val="none"/>
          <w:u w:color="000000"/>
          <w:lang w:val="en-US" w:eastAsia="zh-CN" w:bidi="ar"/>
        </w:rPr>
      </w:pPr>
      <w:bookmarkStart w:id="21" w:name="_Toc122"/>
      <w:bookmarkEnd w:id="21"/>
      <w:r>
        <w:rPr>
          <w:rFonts w:hint="eastAsia" w:ascii="宋体" w:hAnsi="宋体" w:eastAsia="宋体" w:cs="宋体"/>
          <w:b/>
          <w:bCs w:val="0"/>
          <w:color w:val="auto"/>
          <w:kern w:val="0"/>
          <w:sz w:val="28"/>
          <w:szCs w:val="28"/>
          <w:highlight w:val="none"/>
          <w:u w:color="000000"/>
          <w:lang w:val="en-US" w:eastAsia="zh-CN" w:bidi="ar"/>
        </w:rPr>
        <w:br w:type="page"/>
      </w:r>
    </w:p>
    <w:p w14:paraId="23D77EA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4AD443B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2" w:name="_Toc26859"/>
      <w:bookmarkEnd w:id="22"/>
      <w:bookmarkStart w:id="23"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3"/>
    </w:p>
    <w:p w14:paraId="6AC15DC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52E34D9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33F1D03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52312A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71D9B87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7443B0B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1071904">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5DA969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726A63E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778810F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783F6470">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2.招标范围：</w:t>
      </w:r>
    </w:p>
    <w:p w14:paraId="4D69571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63AA0AF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74E7037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3.标包划分：</w:t>
      </w:r>
    </w:p>
    <w:p w14:paraId="2583EA0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4112CBB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14:paraId="457F0FD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3D64D8E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6E8B24B2">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w:t>
      </w:r>
    </w:p>
    <w:p w14:paraId="62D1504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6.评标办法：</w:t>
      </w:r>
    </w:p>
    <w:p w14:paraId="4EB9F703">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综合评分法。</w:t>
      </w:r>
      <w:r>
        <w:rPr>
          <w:rFonts w:hint="eastAsia" w:ascii="宋体" w:hAnsi="宋体" w:eastAsia="宋体" w:cs="宋体"/>
          <w:color w:val="auto"/>
          <w:kern w:val="0"/>
          <w:sz w:val="21"/>
          <w:szCs w:val="21"/>
          <w:highlight w:val="none"/>
          <w:u w:color="000000"/>
          <w:lang w:val="en-US" w:eastAsia="zh-CN" w:bidi="ar"/>
        </w:rPr>
        <w:t>（详见第三章评标办法）</w:t>
      </w:r>
    </w:p>
    <w:p w14:paraId="06A5765C">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7.投标人资格：</w:t>
      </w:r>
    </w:p>
    <w:p w14:paraId="6B428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64C2EA27">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8. 投标费用</w:t>
      </w:r>
    </w:p>
    <w:p w14:paraId="5EA0970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4776C506">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9.</w:t>
      </w:r>
      <w:bookmarkStart w:id="24" w:name="_Toc152042315"/>
      <w:bookmarkEnd w:id="24"/>
      <w:bookmarkStart w:id="25" w:name="_Toc247513962"/>
      <w:bookmarkEnd w:id="25"/>
      <w:bookmarkStart w:id="26" w:name="_Toc247527563"/>
      <w:bookmarkEnd w:id="26"/>
      <w:bookmarkStart w:id="27" w:name="_Toc152045539"/>
      <w:bookmarkEnd w:id="27"/>
      <w:bookmarkStart w:id="28" w:name="_Toc296602429"/>
      <w:bookmarkEnd w:id="28"/>
      <w:bookmarkStart w:id="29" w:name="_Toc144974507"/>
      <w:bookmarkEnd w:id="29"/>
      <w:bookmarkStart w:id="30"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0"/>
    </w:p>
    <w:p w14:paraId="5A9E9FA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0330DADC">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392F02A5">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0EF81DF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1EDC07C6">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无论投标人是否到现场实地踏勘，中标后签订合同时和履约过程中，投标人不得以不完全了解现场情况或现场情况与招标文件描述不一致等为由，提出任何形式的增加工程造价或索赔的要求。</w:t>
      </w:r>
    </w:p>
    <w:p w14:paraId="75F1527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3EC8F99F">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4D9FB2DF">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11. 联合投标</w:t>
      </w:r>
    </w:p>
    <w:p w14:paraId="78475F1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1C005DC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12.招标代理费</w:t>
      </w:r>
    </w:p>
    <w:p w14:paraId="5F63D64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2A6BEB2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13.投标人应注意的事项</w:t>
      </w:r>
    </w:p>
    <w:p w14:paraId="13687850">
      <w:pPr>
        <w:spacing w:line="360" w:lineRule="auto"/>
        <w:ind w:firstLine="420" w:firstLineChars="200"/>
        <w:rPr>
          <w:rFonts w:hint="eastAsia" w:ascii="宋体"/>
          <w:color w:val="auto"/>
          <w:szCs w:val="21"/>
          <w:highlight w:val="none"/>
        </w:rPr>
      </w:pPr>
      <w:bookmarkStart w:id="31" w:name="_Toc10668_WPSOffice_Level3"/>
      <w:bookmarkEnd w:id="31"/>
      <w:bookmarkStart w:id="32" w:name="_Toc24655"/>
      <w:bookmarkEnd w:id="32"/>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CAC1B54">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39F0ED82">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1D68F1B">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5A14DE95">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（1）国家对本次投标货物和服务的生产、调试、验收、维修等有关法律、法规及行业管理标准；</w:t>
      </w:r>
    </w:p>
    <w:p w14:paraId="2E8DF077">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46C0E4D8">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1EB03C01">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2928C152">
      <w:pPr>
        <w:spacing w:line="440" w:lineRule="exact"/>
        <w:ind w:firstLine="527" w:firstLineChars="250"/>
        <w:rPr>
          <w:rFonts w:ascii="宋体"/>
          <w:bCs/>
          <w:color w:val="auto"/>
          <w:szCs w:val="21"/>
          <w:highlight w:val="none"/>
        </w:rPr>
      </w:pPr>
      <w:r>
        <w:rPr>
          <w:rFonts w:hint="eastAsia" w:ascii="宋体"/>
          <w:b/>
          <w:color w:val="auto"/>
          <w:szCs w:val="21"/>
          <w:highlight w:val="none"/>
        </w:rPr>
        <w:t>14.保密</w:t>
      </w:r>
    </w:p>
    <w:p w14:paraId="5F94D63E">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14:paraId="42C59A29">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4484443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15. 招标文件的编制依据</w:t>
      </w:r>
    </w:p>
    <w:p w14:paraId="626BCB3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32F109F7">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14:paraId="6FE5F9C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B0F7DB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59F38EB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124E69F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61EB1B4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1D55A6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1219C2B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14:paraId="734DEAC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5762F9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14AB70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33E060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50F7FA27">
      <w:pPr>
        <w:spacing w:line="440" w:lineRule="exact"/>
        <w:ind w:firstLine="422" w:firstLineChars="200"/>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21998768">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网上留言或书面形式提出。招标人将在收到异议之日起3日内作出答复；作出答复前，将暂停招标投标活动。</w:t>
      </w:r>
    </w:p>
    <w:p w14:paraId="1302C95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60FD2CD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14:paraId="0B07EA4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b/>
          <w:bCs w:val="0"/>
          <w:color w:val="auto"/>
          <w:kern w:val="0"/>
          <w:sz w:val="21"/>
          <w:szCs w:val="21"/>
          <w:highlight w:val="none"/>
          <w:u w:color="000000"/>
          <w:lang w:val="en-US" w:eastAsia="zh-CN" w:bidi="ar"/>
        </w:rPr>
        <w:t>滁州市城投工程咨询管理有限公司（https://www.czctgczx.com/）</w:t>
      </w:r>
      <w:r>
        <w:rPr>
          <w:rFonts w:hint="eastAsia" w:ascii="宋体" w:hAnsi="宋体" w:eastAsia="宋体" w:cs="宋体"/>
          <w:bCs/>
          <w:color w:val="auto"/>
          <w:kern w:val="0"/>
          <w:sz w:val="21"/>
          <w:szCs w:val="21"/>
          <w:highlight w:val="none"/>
          <w:u w:color="000000"/>
          <w:lang w:val="en-US" w:eastAsia="zh-CN" w:bidi="ar"/>
        </w:rPr>
        <w:t>发出。</w:t>
      </w:r>
    </w:p>
    <w:p w14:paraId="750D24EA">
      <w:pPr>
        <w:spacing w:line="440" w:lineRule="exact"/>
        <w:ind w:firstLine="422" w:firstLineChars="200"/>
        <w:rPr>
          <w:rFonts w:hint="eastAsia" w:ascii="宋体" w:hAnsi="宋体" w:eastAsia="宋体" w:cs="宋体"/>
          <w:b/>
          <w:bCs w:val="0"/>
          <w:color w:val="auto"/>
          <w:kern w:val="0"/>
          <w:sz w:val="21"/>
          <w:szCs w:val="21"/>
          <w:highlight w:val="none"/>
          <w:u w:color="000000"/>
          <w:lang w:val="en-US" w:eastAsia="zh-CN" w:bidi="ar"/>
        </w:rPr>
      </w:pPr>
      <w:bookmarkStart w:id="33" w:name="_Toc1549_WPSOffice_Level3"/>
      <w:bookmarkEnd w:id="33"/>
      <w:bookmarkStart w:id="34" w:name="_Toc9710"/>
      <w:r>
        <w:rPr>
          <w:rFonts w:hint="eastAsia" w:ascii="宋体" w:hAnsi="宋体" w:eastAsia="宋体" w:cs="宋体"/>
          <w:b/>
          <w:bCs w:val="0"/>
          <w:color w:val="auto"/>
          <w:kern w:val="0"/>
          <w:sz w:val="21"/>
          <w:szCs w:val="21"/>
          <w:highlight w:val="none"/>
          <w:u w:color="000000"/>
          <w:lang w:val="en-US" w:eastAsia="zh-CN" w:bidi="ar"/>
        </w:rPr>
        <w:t>19.样品</w:t>
      </w:r>
      <w:bookmarkEnd w:id="34"/>
      <w:r>
        <w:rPr>
          <w:rFonts w:hint="eastAsia" w:ascii="宋体" w:hAnsi="宋体" w:eastAsia="宋体" w:cs="宋体"/>
          <w:b/>
          <w:bCs w:val="0"/>
          <w:color w:val="auto"/>
          <w:kern w:val="0"/>
          <w:sz w:val="21"/>
          <w:szCs w:val="21"/>
          <w:highlight w:val="none"/>
          <w:u w:color="000000"/>
          <w:lang w:val="en-US" w:eastAsia="zh-CN" w:bidi="ar"/>
        </w:rPr>
        <w:t>（本项目不采用）</w:t>
      </w:r>
    </w:p>
    <w:p w14:paraId="5930A809">
      <w:pPr>
        <w:spacing w:line="440" w:lineRule="exact"/>
        <w:ind w:firstLine="420" w:firstLineChars="200"/>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b w:val="0"/>
          <w:bCs/>
          <w:color w:val="auto"/>
          <w:kern w:val="0"/>
          <w:sz w:val="21"/>
          <w:szCs w:val="21"/>
          <w:highlight w:val="none"/>
          <w:u w:color="000000"/>
          <w:lang w:val="en-US" w:eastAsia="zh-CN" w:bidi="ar"/>
        </w:rPr>
        <w:t>19.1 凡需要设置样品情形时，必须明确是否需要随样品提交检测报告，并明确检测机构的要求、检测内容、成交样品封存等事项。 评标委员会无法判断样品是否合格且样品需要提供给第三方权威检测机构检测的,在供应商提供采购人认可的第三方权威检测机构检测报告后，</w:t>
      </w:r>
      <w:r>
        <w:rPr>
          <w:rFonts w:hint="eastAsia" w:ascii="宋体" w:hAnsi="宋体" w:eastAsia="宋体" w:cs="宋体"/>
          <w:color w:val="auto"/>
          <w:kern w:val="0"/>
          <w:sz w:val="21"/>
          <w:szCs w:val="21"/>
          <w:highlight w:val="none"/>
          <w:u w:color="000000"/>
          <w:lang w:val="en-US" w:eastAsia="zh-CN" w:bidi="ar"/>
        </w:rPr>
        <w:t xml:space="preserve"> 评标委员会</w:t>
      </w:r>
      <w:r>
        <w:rPr>
          <w:rFonts w:hint="eastAsia" w:ascii="宋体" w:hAnsi="宋体" w:eastAsia="宋体" w:cs="宋体"/>
          <w:b w:val="0"/>
          <w:bCs/>
          <w:color w:val="auto"/>
          <w:kern w:val="0"/>
          <w:sz w:val="21"/>
          <w:szCs w:val="21"/>
          <w:highlight w:val="none"/>
          <w:u w:color="000000"/>
          <w:lang w:val="en-US" w:eastAsia="zh-CN" w:bidi="ar"/>
        </w:rPr>
        <w:t>推荐的成交候选供应商方可生效，采购人或代理机构发布中标（成交）结果公告。招标文件中应明确样品送检方式、检测费用支付方法、供应商在规定时间内无法提供第三方权威检测机构检测报告的处理方式。</w:t>
      </w:r>
      <w:r>
        <w:rPr>
          <w:rFonts w:hint="eastAsia" w:ascii="宋体" w:hAnsi="宋体" w:eastAsia="宋体" w:cs="宋体"/>
          <w:b/>
          <w:bCs w:val="0"/>
          <w:color w:val="auto"/>
          <w:kern w:val="0"/>
          <w:sz w:val="21"/>
          <w:szCs w:val="21"/>
          <w:highlight w:val="none"/>
          <w:u w:color="000000"/>
          <w:lang w:val="en-US" w:eastAsia="zh-CN" w:bidi="ar"/>
        </w:rPr>
        <w:t>（本项目不需要提供样品）</w:t>
      </w:r>
    </w:p>
    <w:p w14:paraId="189BF0A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7CC29CFE">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 投标的语言及度量衡单位</w:t>
      </w:r>
    </w:p>
    <w:p w14:paraId="2838AFF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20.1投标人的投标文件、以及投标人与招标人就投标的所有往来函电，均须使用简体中文。</w:t>
      </w:r>
    </w:p>
    <w:p w14:paraId="08FBF0A0">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20.2除招标文件中另有规定外，投标文件所使用的度量衡均须采用法定计量单位。</w:t>
      </w:r>
    </w:p>
    <w:p w14:paraId="440973A6">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Times New Roman"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21. 投标文件的组成</w:t>
      </w:r>
    </w:p>
    <w:p w14:paraId="79013D94">
      <w:pPr>
        <w:keepNext w:val="0"/>
        <w:keepLines w:val="0"/>
        <w:widowControl/>
        <w:suppressLineNumbers w:val="0"/>
        <w:spacing w:before="0" w:beforeAutospacing="0" w:after="0" w:afterAutospacing="0" w:line="400" w:lineRule="exact"/>
        <w:ind w:left="0" w:right="0" w:firstLine="630" w:firstLineChars="3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21.1投标文件由投标文件一（资信证明文件）、投标文件二（技术标）和投标文件三（商务标）三部分组成。</w:t>
      </w:r>
    </w:p>
    <w:p w14:paraId="7F3B7388">
      <w:pPr>
        <w:keepNext w:val="0"/>
        <w:keepLines w:val="0"/>
        <w:widowControl/>
        <w:suppressLineNumbers w:val="0"/>
        <w:spacing w:before="0" w:beforeAutospacing="0" w:after="0" w:afterAutospacing="0" w:line="400" w:lineRule="exact"/>
        <w:ind w:left="0" w:right="0" w:firstLine="630" w:firstLineChars="3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21.2投标文件的编制</w:t>
      </w:r>
    </w:p>
    <w:p w14:paraId="0B3032CD">
      <w:pPr>
        <w:keepNext w:val="0"/>
        <w:keepLines w:val="0"/>
        <w:widowControl/>
        <w:numPr>
          <w:ilvl w:val="0"/>
          <w:numId w:val="2"/>
        </w:numPr>
        <w:suppressLineNumbers w:val="0"/>
        <w:spacing w:before="0" w:beforeAutospacing="0" w:after="0" w:afterAutospacing="0" w:line="380" w:lineRule="exact"/>
        <w:ind w:left="0" w:right="0" w:firstLine="424" w:firstLineChars="202"/>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投标文件应按第六章“投标文件格式文本”进行编写，如有必要，可以增加附页，作为投标文件的组成部分。</w:t>
      </w:r>
    </w:p>
    <w:p w14:paraId="16960D08">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713B501F">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22.1投标报价文件中的单价和总价全部采用人民币表示。</w:t>
      </w:r>
    </w:p>
    <w:p w14:paraId="5C730B72">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22.2投标人只允许有一个方案、一个报价。</w:t>
      </w:r>
    </w:p>
    <w:p w14:paraId="5367C9B9">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22.3投标报价的综合单价包括完成本项目全部供货及服务的一切费用：包括但不限于设备费、材料费（含</w:t>
      </w:r>
      <w:r>
        <w:rPr>
          <w:rFonts w:hint="eastAsia"/>
          <w:color w:val="auto"/>
          <w:highlight w:val="none"/>
          <w:lang w:val="en-US" w:eastAsia="zh-CN"/>
        </w:rPr>
        <w:t>辅材）</w:t>
      </w:r>
      <w:r>
        <w:rPr>
          <w:rFonts w:hint="eastAsia" w:ascii="宋体" w:hAnsi="宋体" w:eastAsia="宋体" w:cs="宋体"/>
          <w:color w:val="auto"/>
          <w:kern w:val="0"/>
          <w:sz w:val="21"/>
          <w:szCs w:val="21"/>
          <w:highlight w:val="none"/>
          <w:u w:color="000000"/>
          <w:lang w:val="en-US" w:eastAsia="zh-CN" w:bidi="ar"/>
        </w:rPr>
        <w:t>、装卸费、运输费、管理费、其他费用（如包装费、仓储费、保管费）、调试费、利润、招标代理费、专家评审费、售后服务费、税金</w:t>
      </w:r>
      <w:r>
        <w:rPr>
          <w:rFonts w:hint="eastAsia" w:ascii="宋体" w:hAnsi="宋体" w:eastAsia="宋体" w:cs="宋体"/>
          <w:color w:val="auto"/>
          <w:szCs w:val="21"/>
          <w:highlight w:val="none"/>
          <w:lang w:val="en-US" w:eastAsia="zh-CN"/>
        </w:rPr>
        <w:t>费用等，</w:t>
      </w:r>
      <w:r>
        <w:rPr>
          <w:rFonts w:hint="eastAsia" w:ascii="宋体" w:hAnsi="宋体" w:eastAsia="宋体" w:cs="宋体"/>
          <w:color w:val="auto"/>
          <w:kern w:val="0"/>
          <w:sz w:val="21"/>
          <w:szCs w:val="21"/>
          <w:highlight w:val="none"/>
          <w:u w:color="000000"/>
          <w:lang w:val="en-US" w:eastAsia="zh-CN" w:bidi="ar"/>
        </w:rPr>
        <w:t>政策性文件规定及合同包含的所有风险和责任等、货物送至招标人指定地点前的各项应有费用，</w:t>
      </w:r>
      <w:r>
        <w:rPr>
          <w:rFonts w:hint="eastAsia" w:ascii="宋体" w:hAnsi="宋体" w:eastAsia="宋体" w:cs="宋体"/>
          <w:color w:val="auto"/>
          <w:szCs w:val="21"/>
          <w:highlight w:val="none"/>
          <w:lang w:val="en-US" w:eastAsia="zh-CN"/>
        </w:rPr>
        <w:t>采购人后期不再追加任何费用</w:t>
      </w:r>
      <w:r>
        <w:rPr>
          <w:rFonts w:hint="eastAsia" w:ascii="宋体" w:hAnsi="宋体" w:eastAsia="宋体" w:cs="宋体"/>
          <w:color w:val="auto"/>
          <w:kern w:val="0"/>
          <w:sz w:val="21"/>
          <w:szCs w:val="21"/>
          <w:highlight w:val="none"/>
          <w:u w:color="000000"/>
          <w:lang w:val="en-US" w:eastAsia="zh-CN" w:bidi="ar"/>
        </w:rPr>
        <w:t>。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08CE0C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22.4投标报价的价格是完成项目全部内容（包括后期的相关服务）的价格，其单价即为履行合同的固定总价。</w:t>
      </w:r>
    </w:p>
    <w:p w14:paraId="2CCC22B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22.5投标报价应由法定代表人或被授权人签署。</w:t>
      </w:r>
    </w:p>
    <w:p w14:paraId="772E0E7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22.6投标人的投标报价不得超过最高限价，否则将作为无效投标处理。</w:t>
      </w:r>
    </w:p>
    <w:p w14:paraId="3C42C18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22.7</w:t>
      </w:r>
      <w:r>
        <w:rPr>
          <w:rFonts w:hint="eastAsia" w:ascii="宋体" w:hAnsi="宋体" w:eastAsia="宋体" w:cs="宋体"/>
          <w:color w:val="auto"/>
          <w:kern w:val="0"/>
          <w:sz w:val="21"/>
          <w:szCs w:val="21"/>
          <w:highlight w:val="none"/>
          <w:u w:color="000000"/>
          <w:lang w:val="en-US" w:eastAsia="zh-CN" w:bidi="ar"/>
        </w:rPr>
        <w:t>总投标价中不得包含招标文件要求以外的内容，否则，在评标时不予核减，但在授予合同时，招标人有权将这部分价格从其中标价格中扣除。</w:t>
      </w:r>
    </w:p>
    <w:p w14:paraId="6A1C4A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41D01DC">
      <w:pPr>
        <w:spacing w:line="440" w:lineRule="exact"/>
        <w:ind w:firstLine="403" w:firstLineChars="192"/>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9596125">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val="en-US" w:eastAsia="zh-CN"/>
        </w:rPr>
        <w:t>0</w:t>
      </w:r>
      <w:r>
        <w:rPr>
          <w:rFonts w:hint="eastAsia" w:ascii="宋体"/>
          <w:color w:val="auto"/>
          <w:szCs w:val="21"/>
          <w:highlight w:val="none"/>
        </w:rPr>
        <w:t>投标人不得对从第三方采购货物的随机备品、备件另行收费，否则在计算评标价时这部分费用将不予扣除，在授予合同时将从中标价格中扣除该部分费用。</w:t>
      </w:r>
    </w:p>
    <w:p w14:paraId="5A233971">
      <w:pPr>
        <w:spacing w:line="440" w:lineRule="exact"/>
        <w:ind w:firstLine="403" w:firstLineChars="192"/>
        <w:rPr>
          <w:rFonts w:hint="eastAsia" w:ascii="宋体" w:hAnsi="宋体" w:eastAsia="宋体" w:cs="宋体"/>
          <w:b/>
          <w:bCs w:val="0"/>
          <w:color w:val="auto"/>
          <w:kern w:val="0"/>
          <w:sz w:val="21"/>
          <w:szCs w:val="21"/>
          <w:highlight w:val="none"/>
          <w:u w:color="000000"/>
          <w:lang w:val="en-US" w:eastAsia="zh-CN" w:bidi="ar"/>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投标人应根据</w:t>
      </w:r>
      <w:r>
        <w:rPr>
          <w:rFonts w:hint="eastAsia" w:ascii="宋体"/>
          <w:color w:val="auto"/>
          <w:szCs w:val="21"/>
          <w:highlight w:val="none"/>
          <w:lang w:eastAsia="zh-CN"/>
        </w:rPr>
        <w:t>货物</w:t>
      </w:r>
      <w:r>
        <w:rPr>
          <w:rFonts w:hint="eastAsia" w:ascii="宋体"/>
          <w:color w:val="auto"/>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auto"/>
          <w:szCs w:val="21"/>
          <w:highlight w:val="none"/>
          <w:lang w:eastAsia="zh-CN"/>
        </w:rPr>
        <w:t>质保</w:t>
      </w:r>
      <w:r>
        <w:rPr>
          <w:rFonts w:hint="eastAsia" w:ascii="宋体"/>
          <w:color w:val="auto"/>
          <w:szCs w:val="21"/>
          <w:highlight w:val="none"/>
        </w:rPr>
        <w:t>期内采购人均无需为维护维修保养所需的专用工具和备品备件另行支付费用。</w:t>
      </w:r>
    </w:p>
    <w:p w14:paraId="5CA1185D">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592944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57E9DE2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3D5F9A9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4C6CAFBF">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3743E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5BDF4CE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5" w:name="_Toc6570_WPSOffice_Level3"/>
      <w:bookmarkEnd w:id="35"/>
      <w:bookmarkStart w:id="36"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6"/>
    </w:p>
    <w:p w14:paraId="62F99162">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color w:val="auto"/>
          <w:highlight w:val="none"/>
          <w:lang w:val="en-US"/>
        </w:rPr>
      </w:pPr>
      <w:bookmarkStart w:id="37" w:name="_Toc30407_WPSOffice_Level3"/>
      <w:bookmarkEnd w:id="37"/>
      <w:bookmarkStart w:id="38" w:name="_Toc490"/>
      <w:bookmarkEnd w:id="38"/>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744D5FF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w:t>
      </w:r>
      <w:r>
        <w:rPr>
          <w:rFonts w:hint="eastAsia" w:ascii="宋体" w:hAnsi="宋体" w:eastAsia="宋体" w:cs="宋体"/>
          <w:b/>
          <w:bCs/>
          <w:color w:val="auto"/>
          <w:kern w:val="0"/>
          <w:sz w:val="21"/>
          <w:szCs w:val="21"/>
          <w:highlight w:val="none"/>
          <w:u w:color="000000"/>
          <w:lang w:val="en-US" w:eastAsia="zh-CN" w:bidi="ar"/>
        </w:rPr>
        <w:t>正本1份，副本2份。</w:t>
      </w:r>
    </w:p>
    <w:p w14:paraId="330DCC9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21541337">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 投标文件的提交</w:t>
      </w:r>
    </w:p>
    <w:p w14:paraId="5757242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 投标人须在投标人须知前附表规定的投标截止时间前递交投标文件。</w:t>
      </w:r>
    </w:p>
    <w:p w14:paraId="4A6F75B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27．投标文件的</w:t>
      </w:r>
      <w:r>
        <w:rPr>
          <w:rFonts w:hint="eastAsia" w:ascii="宋体"/>
          <w:b/>
          <w:color w:val="auto"/>
          <w:szCs w:val="21"/>
          <w:highlight w:val="none"/>
        </w:rPr>
        <w:t>修改与撤回</w:t>
      </w:r>
    </w:p>
    <w:p w14:paraId="14DB4E0B">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u w:color="000000"/>
          <w:lang w:val="en-US" w:eastAsia="zh-CN" w:bidi="ar"/>
        </w:rPr>
        <w:t>27.1</w:t>
      </w:r>
      <w:r>
        <w:rPr>
          <w:rFonts w:hint="eastAsia" w:ascii="宋体" w:hAnsi="宋体" w:eastAsia="宋体" w:cs="宋体"/>
          <w:color w:val="auto"/>
          <w:szCs w:val="21"/>
          <w:highlight w:val="none"/>
        </w:rPr>
        <w:t>在投标人须知前附表规定的投标截止时间前，投标人可以修改或撤回已递交的投标文件，但应以书面形式通知招标人</w:t>
      </w:r>
      <w:r>
        <w:rPr>
          <w:rFonts w:hint="eastAsia" w:ascii="宋体" w:hAnsi="宋体" w:eastAsia="宋体" w:cs="宋体"/>
          <w:color w:val="auto"/>
          <w:szCs w:val="21"/>
          <w:highlight w:val="none"/>
          <w:lang w:eastAsia="zh-CN"/>
        </w:rPr>
        <w:t>。</w:t>
      </w:r>
    </w:p>
    <w:p w14:paraId="4BBD3E14">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2 投标人修改或撤回已递交投标文件的书面通知应按照本章的要求签字或盖章。招标人收到书面通知后，投标人签到登记。</w:t>
      </w:r>
    </w:p>
    <w:p w14:paraId="54A5C8EF">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.3 投标人撤回投标文件的，招标人自收到投标人书面撤回通知之日起5日内退还已收取的投标保证金。</w:t>
      </w:r>
    </w:p>
    <w:p w14:paraId="57C85067">
      <w:pPr>
        <w:spacing w:line="440" w:lineRule="exact"/>
        <w:ind w:firstLine="315" w:firstLineChars="150"/>
        <w:jc w:val="left"/>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.4 修改的内容为投标文件的组成部分。修改的投标文件应按照本章第3条、第4条规定进行编制、密封、标记和递交，并标明“修改”字样。</w:t>
      </w:r>
    </w:p>
    <w:p w14:paraId="167D3E38">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54989F76">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highlight w:val="none"/>
          <w:lang w:val="en-US"/>
        </w:rPr>
      </w:pPr>
      <w:bookmarkStart w:id="39" w:name="_Toc28864"/>
      <w:bookmarkEnd w:id="39"/>
      <w:bookmarkStart w:id="40" w:name="_Toc8453_WPSOffice_Level3"/>
      <w:r>
        <w:rPr>
          <w:rFonts w:hint="eastAsia" w:ascii="宋体" w:hAnsi="宋体" w:eastAsia="宋体" w:cs="宋体"/>
          <w:b/>
          <w:bCs w:val="0"/>
          <w:color w:val="auto"/>
          <w:kern w:val="0"/>
          <w:sz w:val="21"/>
          <w:szCs w:val="21"/>
          <w:highlight w:val="none"/>
          <w:u w:color="000000"/>
          <w:lang w:val="en-US" w:eastAsia="zh-CN" w:bidi="ar"/>
        </w:rPr>
        <w:t>28.</w:t>
      </w:r>
      <w:r>
        <w:rPr>
          <w:rFonts w:hint="eastAsia" w:ascii="黑体" w:hAnsi="宋体" w:eastAsia="黑体" w:cs="宋体"/>
          <w:b/>
          <w:bCs w:val="0"/>
          <w:color w:val="auto"/>
          <w:kern w:val="0"/>
          <w:sz w:val="21"/>
          <w:szCs w:val="21"/>
          <w:highlight w:val="none"/>
          <w:u w:color="000000"/>
          <w:lang w:val="en-US" w:eastAsia="zh-CN" w:bidi="ar"/>
        </w:rPr>
        <w:t>开标</w:t>
      </w:r>
    </w:p>
    <w:p w14:paraId="6A9D764F">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716F647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28.1.1招标人投标须知前附表规定的提交投标文件的截止时间和地点公开开标。</w:t>
      </w:r>
    </w:p>
    <w:p w14:paraId="4E9F0D26">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48B0B5D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spacing w:val="-8"/>
          <w:highlight w:val="none"/>
          <w:lang w:val="en-US"/>
        </w:rPr>
      </w:pPr>
      <w:bookmarkStart w:id="41" w:name="_Toc15542_WPSOffice_Level3"/>
      <w:bookmarkEnd w:id="41"/>
      <w:r>
        <w:rPr>
          <w:rFonts w:hint="eastAsia" w:ascii="宋体" w:hAnsi="宋体" w:eastAsia="宋体" w:cs="宋体"/>
          <w:color w:val="auto"/>
          <w:kern w:val="0"/>
          <w:sz w:val="21"/>
          <w:szCs w:val="21"/>
          <w:highlight w:val="none"/>
          <w:u w:color="000000"/>
          <w:lang w:val="en-US" w:eastAsia="zh-CN" w:bidi="ar"/>
        </w:rPr>
        <w:t>28.2.1招标人可以邀请相关监管部门参加。</w:t>
      </w:r>
    </w:p>
    <w:p w14:paraId="3F48EB85">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37DD40AD">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239611C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5743512A">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（2）宣布采购人、代理机构主持人、见证人等有关人员姓名；</w:t>
      </w:r>
    </w:p>
    <w:p w14:paraId="735A820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（3）按照投标人须知前附表规定检查投标文件的密封情况；</w:t>
      </w:r>
    </w:p>
    <w:p w14:paraId="2D285411">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（4）按照投标人须知前附表的规定确定并宣布投标文件开标顺序；</w:t>
      </w:r>
    </w:p>
    <w:p w14:paraId="1025D04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（5）公布投标人投标报价、服务期及其他内容，并记录在案；</w:t>
      </w:r>
    </w:p>
    <w:p w14:paraId="05814CD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（6）开标结束。</w:t>
      </w:r>
    </w:p>
    <w:p w14:paraId="5199A559">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29.开标异议</w:t>
      </w:r>
    </w:p>
    <w:p w14:paraId="12282E5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2A56D8A0">
      <w:pPr>
        <w:keepNext w:val="0"/>
        <w:keepLines w:val="0"/>
        <w:widowControl/>
        <w:suppressLineNumbers w:val="0"/>
        <w:spacing w:before="0" w:beforeAutospacing="0" w:after="0" w:afterAutospacing="0" w:line="44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30.评标委员会</w:t>
      </w:r>
    </w:p>
    <w:p w14:paraId="6692561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  评标委员会的组成</w:t>
      </w:r>
    </w:p>
    <w:p w14:paraId="56ECA4D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1AC46D9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778609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60F2DF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37DCF1D">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9652FF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8A37F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6546C18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1AE1271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4E85C25D">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 评标</w:t>
      </w:r>
    </w:p>
    <w:p w14:paraId="74F417C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章“评标办法”没有规定的方法、评审因素和标准，不作为评标依据。</w:t>
      </w:r>
    </w:p>
    <w:p w14:paraId="16FB25C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BF55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3787805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2" w:name="_Toc5272_WPSOffice_Level3"/>
      <w:bookmarkEnd w:id="42"/>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239840B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66AEB9B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24B6FED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55E067A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790071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w:t>
      </w:r>
      <w:r>
        <w:rPr>
          <w:rFonts w:hint="eastAsia" w:ascii="宋体" w:hAnsi="Times New Roman" w:eastAsia="宋体" w:cs="Times New Roman"/>
          <w:color w:val="auto"/>
          <w:szCs w:val="21"/>
          <w:highlight w:val="none"/>
          <w:lang w:val="en-US" w:eastAsia="zh-CN"/>
        </w:rPr>
        <w:t>监督机构</w:t>
      </w:r>
      <w:r>
        <w:rPr>
          <w:rFonts w:hint="eastAsia" w:ascii="宋体" w:hAnsi="Times New Roman" w:eastAsia="宋体" w:cs="Times New Roman"/>
          <w:color w:val="auto"/>
          <w:szCs w:val="21"/>
          <w:highlight w:val="none"/>
        </w:rPr>
        <w:t>认为需要重新进行评标的，评标委员会成员应当按照</w:t>
      </w:r>
      <w:r>
        <w:rPr>
          <w:rFonts w:hint="eastAsia" w:ascii="宋体" w:hAnsi="Times New Roman" w:eastAsia="宋体" w:cs="Times New Roman"/>
          <w:color w:val="auto"/>
          <w:szCs w:val="21"/>
          <w:highlight w:val="none"/>
          <w:lang w:val="en-US" w:eastAsia="zh-CN"/>
        </w:rPr>
        <w:t>监督机构</w:t>
      </w:r>
      <w:r>
        <w:rPr>
          <w:rFonts w:hint="eastAsia" w:ascii="宋体" w:hAnsi="Times New Roman" w:eastAsia="宋体" w:cs="Times New Roman"/>
          <w:color w:val="auto"/>
          <w:szCs w:val="21"/>
          <w:highlight w:val="none"/>
        </w:rPr>
        <w:t>要求重新评标。</w:t>
      </w:r>
    </w:p>
    <w:p w14:paraId="533D7249">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3F1E3AF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7387E4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1ECDF35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3744451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32.重新招标 </w:t>
      </w:r>
    </w:p>
    <w:p w14:paraId="3852496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32.1有下列情形之一的，招标人将重新招标：</w:t>
      </w:r>
    </w:p>
    <w:p w14:paraId="647E17F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71E5C48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187ED21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14:paraId="16CD28F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40"/>
    </w:p>
    <w:p w14:paraId="5B550AF8">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33. 中标公示</w:t>
      </w:r>
    </w:p>
    <w:p w14:paraId="5194FB3D">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w:t>
      </w:r>
    </w:p>
    <w:p w14:paraId="3357FD6B">
      <w:pPr>
        <w:keepNext w:val="0"/>
        <w:keepLines w:val="0"/>
        <w:pageBreakBefore w:val="0"/>
        <w:widowControl w:val="0"/>
        <w:numPr>
          <w:ilvl w:val="0"/>
          <w:numId w:val="0"/>
        </w:numPr>
        <w:kinsoku/>
        <w:overflowPunct/>
        <w:topLinePunct w:val="0"/>
        <w:autoSpaceDE/>
        <w:autoSpaceDN/>
        <w:bidi w:val="0"/>
        <w:spacing w:line="420" w:lineRule="exact"/>
        <w:ind w:firstLine="521" w:firstLineChars="247"/>
        <w:jc w:val="left"/>
        <w:textAlignment w:val="auto"/>
        <w:rPr>
          <w:rFonts w:hint="eastAsia" w:ascii="宋体" w:hAnsi="Times New Roman" w:eastAsia="宋体" w:cs="Times New Roman"/>
          <w:b/>
          <w:color w:val="auto"/>
          <w:spacing w:val="0"/>
          <w:sz w:val="21"/>
          <w:szCs w:val="21"/>
          <w:highlight w:val="none"/>
        </w:rPr>
      </w:pPr>
      <w:r>
        <w:rPr>
          <w:rFonts w:hint="eastAsia" w:ascii="宋体" w:hAnsi="Times New Roman" w:eastAsia="宋体" w:cs="Times New Roman"/>
          <w:b/>
          <w:color w:val="auto"/>
          <w:spacing w:val="0"/>
          <w:kern w:val="2"/>
          <w:sz w:val="21"/>
          <w:szCs w:val="21"/>
          <w:highlight w:val="none"/>
          <w:lang w:val="en-US" w:eastAsia="zh-CN" w:bidi="ar-SA"/>
        </w:rPr>
        <w:t>34.</w:t>
      </w:r>
      <w:r>
        <w:rPr>
          <w:rFonts w:hint="eastAsia" w:ascii="宋体" w:hAnsi="Times New Roman" w:eastAsia="宋体" w:cs="Times New Roman"/>
          <w:b/>
          <w:color w:val="auto"/>
          <w:spacing w:val="0"/>
          <w:sz w:val="21"/>
          <w:szCs w:val="21"/>
          <w:highlight w:val="none"/>
        </w:rPr>
        <w:t>评标结果异议</w:t>
      </w:r>
    </w:p>
    <w:p w14:paraId="5635C324">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34.1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5BDCBBBC">
      <w:pPr>
        <w:keepNext w:val="0"/>
        <w:keepLines w:val="0"/>
        <w:pageBreakBefore w:val="0"/>
        <w:widowControl w:val="0"/>
        <w:numPr>
          <w:ilvl w:val="0"/>
          <w:numId w:val="0"/>
        </w:numPr>
        <w:kinsoku/>
        <w:overflowPunct/>
        <w:topLinePunct w:val="0"/>
        <w:autoSpaceDE/>
        <w:autoSpaceDN/>
        <w:bidi w:val="0"/>
        <w:spacing w:line="420" w:lineRule="exact"/>
        <w:ind w:firstLine="521" w:firstLineChars="247"/>
        <w:jc w:val="left"/>
        <w:textAlignment w:val="auto"/>
        <w:rPr>
          <w:rFonts w:hint="default" w:ascii="宋体" w:hAnsi="Times New Roman" w:eastAsia="宋体" w:cs="Times New Roman"/>
          <w:b/>
          <w:color w:val="auto"/>
          <w:spacing w:val="0"/>
          <w:sz w:val="21"/>
          <w:szCs w:val="21"/>
          <w:highlight w:val="none"/>
          <w:lang w:val="en-US" w:eastAsia="zh-CN"/>
        </w:rPr>
      </w:pPr>
      <w:r>
        <w:rPr>
          <w:rFonts w:hint="default" w:ascii="宋体" w:hAnsi="Times New Roman" w:eastAsia="宋体" w:cs="Times New Roman"/>
          <w:b/>
          <w:color w:val="auto"/>
          <w:spacing w:val="0"/>
          <w:kern w:val="2"/>
          <w:sz w:val="21"/>
          <w:szCs w:val="21"/>
          <w:highlight w:val="none"/>
          <w:lang w:val="en-US" w:eastAsia="zh-CN" w:bidi="ar-SA"/>
        </w:rPr>
        <w:t>3</w:t>
      </w:r>
      <w:r>
        <w:rPr>
          <w:rFonts w:hint="eastAsia" w:ascii="宋体" w:hAnsi="Times New Roman" w:eastAsia="宋体" w:cs="Times New Roman"/>
          <w:b/>
          <w:color w:val="auto"/>
          <w:spacing w:val="0"/>
          <w:kern w:val="2"/>
          <w:sz w:val="21"/>
          <w:szCs w:val="21"/>
          <w:highlight w:val="none"/>
          <w:lang w:val="en-US" w:eastAsia="zh-CN" w:bidi="ar-SA"/>
        </w:rPr>
        <w:t>5</w:t>
      </w:r>
      <w:r>
        <w:rPr>
          <w:rFonts w:hint="default" w:ascii="宋体" w:hAnsi="Times New Roman" w:eastAsia="宋体" w:cs="Times New Roman"/>
          <w:b/>
          <w:color w:val="auto"/>
          <w:spacing w:val="0"/>
          <w:kern w:val="2"/>
          <w:sz w:val="21"/>
          <w:szCs w:val="21"/>
          <w:highlight w:val="none"/>
          <w:lang w:val="en-US" w:eastAsia="zh-CN" w:bidi="ar-SA"/>
        </w:rPr>
        <w:t>.</w:t>
      </w:r>
      <w:r>
        <w:rPr>
          <w:rFonts w:hint="eastAsia" w:ascii="宋体" w:hAnsi="Times New Roman" w:eastAsia="宋体" w:cs="Times New Roman"/>
          <w:b/>
          <w:color w:val="auto"/>
          <w:spacing w:val="0"/>
          <w:sz w:val="21"/>
          <w:szCs w:val="21"/>
          <w:highlight w:val="none"/>
        </w:rPr>
        <w:t>定标</w:t>
      </w:r>
    </w:p>
    <w:p w14:paraId="20D9B4C5">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35.1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39B0AAB0">
      <w:pPr>
        <w:keepNext w:val="0"/>
        <w:keepLines w:val="0"/>
        <w:pageBreakBefore w:val="0"/>
        <w:widowControl w:val="0"/>
        <w:numPr>
          <w:ilvl w:val="0"/>
          <w:numId w:val="0"/>
        </w:numPr>
        <w:kinsoku/>
        <w:overflowPunct/>
        <w:topLinePunct w:val="0"/>
        <w:autoSpaceDE/>
        <w:autoSpaceDN/>
        <w:bidi w:val="0"/>
        <w:spacing w:line="420" w:lineRule="exact"/>
        <w:ind w:firstLine="521" w:firstLineChars="247"/>
        <w:jc w:val="left"/>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kern w:val="2"/>
          <w:sz w:val="21"/>
          <w:szCs w:val="21"/>
          <w:highlight w:val="none"/>
          <w:lang w:val="en-US" w:eastAsia="zh-CN" w:bidi="ar-SA"/>
        </w:rPr>
        <w:t>36.</w:t>
      </w:r>
      <w:r>
        <w:rPr>
          <w:rFonts w:hint="eastAsia" w:ascii="宋体" w:hAnsi="Times New Roman" w:eastAsia="宋体" w:cs="Times New Roman"/>
          <w:b/>
          <w:color w:val="auto"/>
          <w:spacing w:val="0"/>
          <w:sz w:val="21"/>
          <w:szCs w:val="21"/>
          <w:highlight w:val="none"/>
          <w:lang w:val="en-US" w:eastAsia="zh-CN"/>
        </w:rPr>
        <w:t>中标通知</w:t>
      </w:r>
    </w:p>
    <w:p w14:paraId="22247478">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color w:val="auto"/>
          <w:highlight w:val="none"/>
        </w:rPr>
      </w:pPr>
      <w:r>
        <w:rPr>
          <w:rFonts w:hint="eastAsia" w:ascii="宋体" w:hAnsi="Times New Roman" w:eastAsia="宋体" w:cs="Times New Roman"/>
          <w:color w:val="auto"/>
          <w:spacing w:val="0"/>
          <w:sz w:val="21"/>
          <w:szCs w:val="21"/>
          <w:highlight w:val="none"/>
          <w:lang w:val="en-US" w:eastAsia="zh-CN"/>
        </w:rPr>
        <w:t>36.1在本招标文件规定的投标有效期内，招标人向中标人发出中标通知书，同时将中标结果通知未中标的投标人。</w:t>
      </w:r>
    </w:p>
    <w:p w14:paraId="2E6BC3F7">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Times New Roman" w:eastAsia="宋体" w:cs="Times New Roman"/>
          <w:b/>
          <w:color w:val="auto"/>
          <w:spacing w:val="0"/>
          <w:sz w:val="21"/>
          <w:szCs w:val="21"/>
          <w:highlight w:val="none"/>
          <w:lang w:val="en-US" w:eastAsia="zh-CN"/>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bookmarkStart w:id="43" w:name="_Toc7247"/>
      <w:bookmarkEnd w:id="43"/>
      <w:r>
        <w:rPr>
          <w:rFonts w:hint="eastAsia" w:ascii="宋体" w:hAnsi="Times New Roman" w:eastAsia="宋体" w:cs="Times New Roman"/>
          <w:b/>
          <w:color w:val="auto"/>
          <w:spacing w:val="0"/>
          <w:sz w:val="21"/>
          <w:szCs w:val="21"/>
          <w:highlight w:val="none"/>
          <w:lang w:val="en-US" w:eastAsia="zh-CN"/>
        </w:rPr>
        <w:t xml:space="preserve"> 37.</w:t>
      </w:r>
      <w:bookmarkStart w:id="44" w:name="_Toc217446068"/>
      <w:r>
        <w:rPr>
          <w:rFonts w:hint="eastAsia" w:ascii="宋体" w:hAnsi="Times New Roman" w:eastAsia="宋体" w:cs="Times New Roman"/>
          <w:b/>
          <w:color w:val="auto"/>
          <w:spacing w:val="0"/>
          <w:sz w:val="21"/>
          <w:szCs w:val="21"/>
          <w:highlight w:val="none"/>
          <w:lang w:val="en-US" w:eastAsia="zh-CN"/>
        </w:rPr>
        <w:t>履约保证金</w:t>
      </w:r>
      <w:bookmarkEnd w:id="44"/>
    </w:p>
    <w:p w14:paraId="693D96ED">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bookmarkStart w:id="45" w:name="_Toc316_WPSOffice_Level3"/>
      <w:bookmarkEnd w:id="45"/>
      <w:bookmarkStart w:id="46" w:name="_Toc23484"/>
      <w:r>
        <w:rPr>
          <w:rFonts w:hint="eastAsia" w:ascii="宋体" w:hAnsi="Times New Roman" w:eastAsia="宋体" w:cs="Times New Roman"/>
          <w:color w:val="auto"/>
          <w:spacing w:val="0"/>
          <w:sz w:val="21"/>
          <w:szCs w:val="21"/>
          <w:highlight w:val="none"/>
          <w:lang w:val="en-US" w:eastAsia="zh-CN"/>
        </w:rPr>
        <w:t>37.1</w:t>
      </w:r>
      <w:bookmarkEnd w:id="46"/>
      <w:r>
        <w:rPr>
          <w:rFonts w:hint="eastAsia" w:ascii="宋体" w:hAnsi="Times New Roman" w:eastAsia="宋体" w:cs="Times New Roman"/>
          <w:color w:val="auto"/>
          <w:spacing w:val="0"/>
          <w:sz w:val="21"/>
          <w:szCs w:val="21"/>
          <w:highlight w:val="none"/>
          <w:lang w:val="en-US" w:eastAsia="zh-CN"/>
        </w:rPr>
        <w:t>详见投标人须知前附表要求。</w:t>
      </w:r>
    </w:p>
    <w:p w14:paraId="0303DA42">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31AB1442">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38.对招标人的纪律要求 </w:t>
      </w:r>
    </w:p>
    <w:p w14:paraId="315EA03B">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38.1招标人不得泄漏招标投标活动中应当保密的情况和资料，不得与投标人串通损害国家利益，社会公共利益或者他人合法权益。 </w:t>
      </w:r>
    </w:p>
    <w:p w14:paraId="42DEA0D3">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39.对投标人的纪律要求 </w:t>
      </w:r>
    </w:p>
    <w:p w14:paraId="7EA28199">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39.1投标人不得相互串通投标或者与招标人串通投标，不得向招标人或者评标委员会成员行贿谋取中标，不得以他人名义投标或者以其他方式弄虚作假骗取中标；投标人不得以任何方式干扰、影响评标工作。</w:t>
      </w:r>
    </w:p>
    <w:p w14:paraId="168C7FCB">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40.对评标委员会成员的纪律要求 </w:t>
      </w:r>
    </w:p>
    <w:p w14:paraId="797A6083">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40.1</w:t>
      </w:r>
      <w:r>
        <w:rPr>
          <w:rFonts w:hint="eastAsia" w:ascii="宋体" w:hAnsi="Times New Roman" w:eastAsia="宋体" w:cs="Times New Roman"/>
          <w:color w:val="auto"/>
          <w:spacing w:val="0"/>
          <w:sz w:val="21"/>
          <w:szCs w:val="21"/>
          <w:highlight w:val="none"/>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22F43D8">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41.对与评标活动有关的工作人员的纪律要求 </w:t>
      </w:r>
    </w:p>
    <w:p w14:paraId="3103B3B3">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10"/>
          <w:sz w:val="21"/>
          <w:szCs w:val="21"/>
          <w:highlight w:val="none"/>
          <w:u w:color="000000"/>
          <w:lang w:val="en-US" w:eastAsia="zh-CN" w:bidi="ar"/>
        </w:rPr>
        <w:t>41.1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ECB02E">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7BDAA6B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42. 投诉</w:t>
      </w:r>
    </w:p>
    <w:p w14:paraId="54AF5F12">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Times New Roman" w:eastAsia="宋体" w:cs="Times New Roman"/>
          <w:color w:val="auto"/>
          <w:kern w:val="10"/>
          <w:szCs w:val="21"/>
          <w:highlight w:val="none"/>
          <w:lang w:val="en-US" w:eastAsia="zh-CN"/>
        </w:rPr>
        <w:t>42.1</w:t>
      </w:r>
      <w:r>
        <w:rPr>
          <w:rFonts w:hint="eastAsia" w:ascii="宋体" w:hAnsi="宋体" w:cs="宋体"/>
          <w:color w:val="auto"/>
          <w:szCs w:val="21"/>
          <w:highlight w:val="none"/>
        </w:rPr>
        <w:t>投标人或者其他利害关系人认为招标投标活动违反法律、法规和规章规定的，有权向相关行政监督部门投诉。投诉应当有明确的请求和必要的证明材料。</w:t>
      </w:r>
    </w:p>
    <w:p w14:paraId="37C06B5E">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lang w:val="en-US" w:eastAsia="zh-CN"/>
        </w:rPr>
        <w:t>42.2</w:t>
      </w:r>
      <w:r>
        <w:rPr>
          <w:rFonts w:hint="eastAsia" w:ascii="宋体" w:hAnsi="宋体" w:cs="宋体"/>
          <w:color w:val="auto"/>
          <w:szCs w:val="21"/>
          <w:highlight w:val="none"/>
        </w:rPr>
        <w:t>投标人和其他利害关系人对招标文件、开标和评标结果事项投诉的，应当按照投标人须知的规定先向招标人提出异议。</w:t>
      </w:r>
      <w:r>
        <w:rPr>
          <w:rFonts w:hint="eastAsia" w:ascii="宋体" w:hAnsi="Times New Roman" w:eastAsia="宋体" w:cs="Times New Roman"/>
          <w:color w:val="auto"/>
          <w:kern w:val="10"/>
          <w:szCs w:val="21"/>
          <w:highlight w:val="none"/>
        </w:rPr>
        <w:t>异议答复期间不计算在第</w:t>
      </w:r>
      <w:r>
        <w:rPr>
          <w:rFonts w:hint="eastAsia" w:ascii="宋体" w:hAnsi="Times New Roman" w:eastAsia="宋体" w:cs="Times New Roman"/>
          <w:color w:val="auto"/>
          <w:kern w:val="10"/>
          <w:szCs w:val="21"/>
          <w:highlight w:val="none"/>
          <w:lang w:val="en-US" w:eastAsia="zh-CN"/>
        </w:rPr>
        <w:t>34.1</w:t>
      </w:r>
      <w:r>
        <w:rPr>
          <w:rFonts w:hint="eastAsia" w:ascii="宋体" w:hAnsi="Times New Roman" w:eastAsia="宋体" w:cs="Times New Roman"/>
          <w:color w:val="auto"/>
          <w:kern w:val="10"/>
          <w:szCs w:val="21"/>
          <w:highlight w:val="none"/>
        </w:rPr>
        <w:t>项规定的期限内。</w:t>
      </w:r>
    </w:p>
    <w:p w14:paraId="399E1FB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0075B6ED">
      <w:pPr>
        <w:rPr>
          <w:rFonts w:hint="eastAsia" w:ascii="宋体" w:hAnsi="宋体" w:eastAsia="宋体" w:cs="宋体"/>
          <w:b/>
          <w:bCs w:val="0"/>
          <w:color w:val="auto"/>
          <w:kern w:val="44"/>
          <w:sz w:val="28"/>
          <w:szCs w:val="28"/>
          <w:highlight w:val="none"/>
          <w:u w:color="000000"/>
          <w:lang w:val="en-US" w:eastAsia="zh-CN" w:bidi="ar"/>
        </w:rPr>
      </w:pPr>
      <w:r>
        <w:rPr>
          <w:rFonts w:hint="eastAsia" w:ascii="宋体" w:hAnsi="宋体" w:eastAsia="宋体" w:cs="宋体"/>
          <w:b/>
          <w:bCs w:val="0"/>
          <w:color w:val="auto"/>
          <w:kern w:val="44"/>
          <w:sz w:val="28"/>
          <w:szCs w:val="28"/>
          <w:highlight w:val="none"/>
          <w:u w:color="000000"/>
          <w:lang w:val="en-US" w:eastAsia="zh-CN" w:bidi="ar"/>
        </w:rPr>
        <w:br w:type="page"/>
      </w:r>
    </w:p>
    <w:p w14:paraId="0E05B1BF">
      <w:pPr>
        <w:numPr>
          <w:ilvl w:val="0"/>
          <w:numId w:val="0"/>
        </w:numPr>
        <w:spacing w:before="156" w:beforeLines="50" w:after="156" w:afterLines="50"/>
        <w:jc w:val="center"/>
        <w:outlineLvl w:val="0"/>
        <w:rPr>
          <w:rFonts w:hint="default" w:ascii="宋体" w:hAnsi="宋体" w:eastAsia="宋体" w:cs="宋体"/>
          <w:b/>
          <w:bCs w:val="0"/>
          <w:color w:val="auto"/>
          <w:kern w:val="44"/>
          <w:sz w:val="32"/>
          <w:szCs w:val="32"/>
          <w:highlight w:val="none"/>
          <w:u w:color="000000"/>
          <w:lang w:val="en-US" w:eastAsia="zh-CN" w:bidi="ar"/>
        </w:rPr>
      </w:pPr>
      <w:bookmarkStart w:id="47" w:name="_Toc29327"/>
      <w:r>
        <w:rPr>
          <w:rFonts w:hint="eastAsia" w:ascii="宋体" w:hAnsi="宋体" w:eastAsia="宋体" w:cs="宋体"/>
          <w:b/>
          <w:bCs w:val="0"/>
          <w:color w:val="auto"/>
          <w:kern w:val="44"/>
          <w:sz w:val="32"/>
          <w:szCs w:val="32"/>
          <w:highlight w:val="none"/>
          <w:u w:color="000000"/>
          <w:lang w:val="en-US" w:eastAsia="zh-CN" w:bidi="ar"/>
        </w:rPr>
        <w:t>第三章 评标办法</w:t>
      </w:r>
      <w:bookmarkEnd w:id="47"/>
      <w:r>
        <w:rPr>
          <w:rFonts w:hint="eastAsia" w:ascii="宋体" w:hAnsi="宋体" w:eastAsia="宋体" w:cs="宋体"/>
          <w:b/>
          <w:bCs w:val="0"/>
          <w:color w:val="auto"/>
          <w:kern w:val="44"/>
          <w:sz w:val="32"/>
          <w:szCs w:val="32"/>
          <w:highlight w:val="none"/>
          <w:u w:color="000000"/>
          <w:lang w:val="en-US" w:eastAsia="zh-CN" w:bidi="ar"/>
        </w:rPr>
        <w:t xml:space="preserve"> </w:t>
      </w:r>
    </w:p>
    <w:p w14:paraId="49FB071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bookmarkStart w:id="48" w:name="_Toc9679_WPSOffice_Level2"/>
      <w:r>
        <w:rPr>
          <w:rFonts w:hint="eastAsia" w:ascii="宋体" w:hAnsi="宋体" w:eastAsia="宋体" w:cs="宋体"/>
          <w:b/>
          <w:bCs w:val="0"/>
          <w:color w:val="auto"/>
          <w:kern w:val="0"/>
          <w:sz w:val="24"/>
          <w:szCs w:val="24"/>
          <w:highlight w:val="none"/>
          <w:u w:color="000000"/>
          <w:lang w:val="en-US" w:eastAsia="zh-CN" w:bidi="ar"/>
        </w:rPr>
        <w:t>一</w:t>
      </w:r>
      <w:bookmarkEnd w:id="48"/>
      <w:r>
        <w:rPr>
          <w:rFonts w:hint="eastAsia" w:ascii="宋体" w:hAnsi="宋体" w:eastAsia="宋体" w:cs="宋体"/>
          <w:b/>
          <w:bCs w:val="0"/>
          <w:color w:val="auto"/>
          <w:kern w:val="0"/>
          <w:sz w:val="24"/>
          <w:szCs w:val="24"/>
          <w:highlight w:val="none"/>
          <w:u w:color="000000"/>
          <w:lang w:val="en-US" w:eastAsia="zh-CN" w:bidi="ar"/>
        </w:rPr>
        <w:t>、总则</w:t>
      </w:r>
    </w:p>
    <w:p w14:paraId="192817B9">
      <w:pPr>
        <w:spacing w:line="440" w:lineRule="exact"/>
        <w:ind w:firstLine="422" w:firstLineChars="200"/>
        <w:jc w:val="left"/>
        <w:rPr>
          <w:rFonts w:hint="eastAsia" w:ascii="黑体" w:eastAsia="黑体"/>
          <w:b/>
          <w:color w:val="auto"/>
          <w:szCs w:val="21"/>
          <w:highlight w:val="none"/>
        </w:rPr>
      </w:pPr>
      <w:bookmarkStart w:id="49" w:name="_Toc14651"/>
      <w:bookmarkEnd w:id="49"/>
      <w:bookmarkStart w:id="50" w:name="_Toc10907_WPSOffice_Level3"/>
      <w:r>
        <w:rPr>
          <w:rFonts w:hint="eastAsia" w:ascii="黑体" w:eastAsia="黑体"/>
          <w:b/>
          <w:color w:val="auto"/>
          <w:szCs w:val="21"/>
          <w:highlight w:val="none"/>
        </w:rPr>
        <w:t>1.本次评标采用综合评</w:t>
      </w:r>
      <w:r>
        <w:rPr>
          <w:rFonts w:hint="eastAsia" w:ascii="黑体" w:eastAsia="黑体"/>
          <w:b/>
          <w:color w:val="auto"/>
          <w:szCs w:val="21"/>
          <w:highlight w:val="none"/>
          <w:lang w:val="en-US" w:eastAsia="zh-CN"/>
        </w:rPr>
        <w:t>估</w:t>
      </w:r>
      <w:r>
        <w:rPr>
          <w:rFonts w:hint="eastAsia" w:ascii="黑体" w:eastAsia="黑体"/>
          <w:b/>
          <w:color w:val="auto"/>
          <w:szCs w:val="21"/>
          <w:highlight w:val="none"/>
        </w:rPr>
        <w:t>法</w:t>
      </w:r>
      <w:bookmarkEnd w:id="50"/>
    </w:p>
    <w:p w14:paraId="4D2D6AD2">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本次评标采用</w:t>
      </w:r>
      <w:r>
        <w:rPr>
          <w:rFonts w:hint="eastAsia" w:ascii="宋体" w:hAnsi="宋体" w:cs="宋体"/>
          <w:color w:val="auto"/>
          <w:szCs w:val="21"/>
          <w:highlight w:val="none"/>
          <w:lang w:val="en-US" w:eastAsia="zh-CN"/>
        </w:rPr>
        <w:t>综合评分</w:t>
      </w:r>
      <w:r>
        <w:rPr>
          <w:rFonts w:hint="eastAsia" w:ascii="宋体" w:hAnsi="宋体" w:cs="宋体"/>
          <w:color w:val="auto"/>
          <w:szCs w:val="21"/>
          <w:highlight w:val="none"/>
        </w:rPr>
        <w:t>法。评标委员会对满足招标文件实质性要求的投标文件，按照本章规定的评分标准进行打分，并按总得分由高到低顺序推荐中标候选人应当不超过3名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，并标明排序，但投标报价低于其成本的除外。如总得分相等，以投标报价低的优先，投标报价仍相等由招标人随机抽取确定排名。</w:t>
      </w:r>
    </w:p>
    <w:p w14:paraId="4EEDB8A5">
      <w:pPr>
        <w:spacing w:line="440" w:lineRule="exact"/>
        <w:ind w:firstLine="422" w:firstLineChars="200"/>
        <w:jc w:val="left"/>
        <w:rPr>
          <w:rFonts w:hint="eastAsia" w:ascii="黑体" w:eastAsia="黑体"/>
          <w:b/>
          <w:color w:val="auto"/>
          <w:szCs w:val="21"/>
          <w:highlight w:val="none"/>
          <w:lang w:val="en-US"/>
        </w:rPr>
      </w:pPr>
      <w:r>
        <w:rPr>
          <w:rFonts w:hint="eastAsia" w:ascii="黑体" w:eastAsia="黑体"/>
          <w:b/>
          <w:color w:val="auto"/>
          <w:szCs w:val="21"/>
          <w:highlight w:val="none"/>
          <w:lang w:val="en-US" w:eastAsia="zh-CN"/>
        </w:rPr>
        <w:t>2．评标程序</w:t>
      </w:r>
    </w:p>
    <w:p w14:paraId="33F7CC70">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2.1投标文件的初审</w:t>
      </w:r>
    </w:p>
    <w:p w14:paraId="23297797">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14:paraId="282FA98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14:paraId="1EB14FEA">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2.2投标文件的澄清</w:t>
      </w:r>
    </w:p>
    <w:p w14:paraId="0FDCA073">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2FC0D17E">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E54D520">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 招标人不接受投标单位主动提出的澄清。</w:t>
      </w:r>
    </w:p>
    <w:p w14:paraId="239F6B06">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2.3比较与评价</w:t>
      </w:r>
    </w:p>
    <w:p w14:paraId="3B9F42ED">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2．3.1按招标文件中规定的评标方法和标准，对资格性检查和符合性检查合格的投标文件进行资信评估，综合比较与评价。 </w:t>
      </w:r>
    </w:p>
    <w:p w14:paraId="4B451C4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2.4推荐中标候选人名单</w:t>
      </w:r>
    </w:p>
    <w:p w14:paraId="619CEDA9">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2.4.1中标候选人数量应当根据采购需要确定，但必须按顺序排列中标候选人。</w:t>
      </w:r>
    </w:p>
    <w:p w14:paraId="16ADA49A">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2.5在投标文件的审查、澄清、评价和比较以及授予合同过程中，投标人对招标人和评标委员会成员施加影响的任何行为，都将导致取消其中标资格。</w:t>
      </w:r>
    </w:p>
    <w:p w14:paraId="09D8A921">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p>
    <w:p w14:paraId="7B35792E">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p>
    <w:p w14:paraId="5DD8E075">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二、投标文件审查</w:t>
      </w:r>
    </w:p>
    <w:p w14:paraId="7BB38948">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bookmarkStart w:id="51" w:name="_Toc9092_WPSOffice_Level3"/>
      <w:bookmarkEnd w:id="51"/>
      <w:r>
        <w:rPr>
          <w:rFonts w:hint="eastAsia" w:ascii="黑体" w:hAnsi="宋体" w:eastAsia="黑体" w:cs="宋体"/>
          <w:b/>
          <w:bCs w:val="0"/>
          <w:color w:val="auto"/>
          <w:kern w:val="0"/>
          <w:sz w:val="21"/>
          <w:szCs w:val="21"/>
          <w:highlight w:val="none"/>
          <w:u w:color="000000"/>
          <w:lang w:val="en-US" w:eastAsia="zh-CN" w:bidi="ar"/>
        </w:rPr>
        <w:t>3.资格性审查</w:t>
      </w:r>
    </w:p>
    <w:p w14:paraId="42E8BAF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3.1评审细则</w:t>
      </w:r>
    </w:p>
    <w:tbl>
      <w:tblPr>
        <w:tblStyle w:val="28"/>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18E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444F6D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黑体" w:hAnsi="宋体" w:eastAsia="黑体" w:cs="黑体"/>
                <w:b/>
                <w:bCs/>
                <w:color w:val="auto"/>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0DB50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C343AC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评审标准</w:t>
            </w:r>
          </w:p>
        </w:tc>
      </w:tr>
      <w:tr w14:paraId="17EF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4" w:hRule="atLeast"/>
        </w:trPr>
        <w:tc>
          <w:tcPr>
            <w:tcW w:w="725" w:type="dxa"/>
            <w:vMerge w:val="restart"/>
            <w:tcBorders>
              <w:top w:val="single" w:color="auto" w:sz="4" w:space="0"/>
              <w:left w:val="single" w:color="auto" w:sz="4" w:space="0"/>
              <w:right w:val="single" w:color="auto" w:sz="4" w:space="0"/>
            </w:tcBorders>
            <w:shd w:val="clear" w:color="auto" w:fill="auto"/>
            <w:vAlign w:val="center"/>
          </w:tcPr>
          <w:p w14:paraId="3149E88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235" w:type="dxa"/>
            <w:vMerge w:val="restart"/>
            <w:tcBorders>
              <w:top w:val="single" w:color="auto" w:sz="4" w:space="0"/>
              <w:left w:val="single" w:color="auto" w:sz="4" w:space="0"/>
              <w:right w:val="single" w:color="auto" w:sz="4" w:space="0"/>
            </w:tcBorders>
            <w:shd w:val="clear" w:color="auto" w:fill="auto"/>
            <w:vAlign w:val="center"/>
          </w:tcPr>
          <w:p w14:paraId="12737F1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重要要求</w:t>
            </w:r>
          </w:p>
        </w:tc>
        <w:tc>
          <w:tcPr>
            <w:tcW w:w="3009" w:type="dxa"/>
            <w:tcBorders>
              <w:top w:val="single" w:color="auto" w:sz="4" w:space="0"/>
              <w:left w:val="single" w:color="auto" w:sz="4" w:space="0"/>
              <w:right w:val="single" w:color="auto" w:sz="4" w:space="0"/>
            </w:tcBorders>
            <w:shd w:val="clear" w:color="auto" w:fill="auto"/>
            <w:vAlign w:val="center"/>
          </w:tcPr>
          <w:p w14:paraId="1DAD92A8">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w:t>
            </w:r>
            <w:r>
              <w:rPr>
                <w:rFonts w:hint="default" w:ascii="Times New Roman" w:hAnsi="Times New Roman" w:eastAsia="宋体" w:cs="Times New Roman"/>
                <w:color w:val="auto"/>
                <w:kern w:val="2"/>
                <w:sz w:val="21"/>
                <w:szCs w:val="21"/>
                <w:highlight w:val="none"/>
                <w:u w:color="000000"/>
                <w:lang w:val="en-US" w:eastAsia="zh-CN" w:bidi="ar"/>
              </w:rPr>
              <w:t>1</w:t>
            </w:r>
            <w:r>
              <w:rPr>
                <w:rFonts w:hint="eastAsia" w:ascii="宋体" w:hAnsi="宋体" w:eastAsia="宋体" w:cs="宋体"/>
                <w:color w:val="auto"/>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auto"/>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89DD8F0">
            <w:pPr>
              <w:keepNext w:val="0"/>
              <w:keepLines w:val="0"/>
              <w:widowControl/>
              <w:suppressLineNumbers w:val="0"/>
              <w:spacing w:before="0" w:beforeAutospacing="0" w:after="0" w:afterAutospacing="0" w:line="320" w:lineRule="exact"/>
              <w:ind w:left="0" w:leftChars="0" w:right="0" w:rightChars="0"/>
              <w:jc w:val="left"/>
              <w:rPr>
                <w:rFonts w:hint="eastAsia" w:ascii="宋体" w:hAnsi="宋体" w:eastAsia="宋体" w:cs="宋体"/>
                <w:color w:val="auto"/>
                <w:kern w:val="2"/>
                <w:highlight w:val="none"/>
                <w:lang w:val="en-US"/>
              </w:rPr>
            </w:pPr>
            <w:r>
              <w:rPr>
                <w:rFonts w:hint="eastAsia" w:ascii="宋体" w:hAnsi="宋体" w:eastAsia="宋体" w:cs="宋体"/>
                <w:b/>
                <w:bCs w:val="0"/>
                <w:color w:val="auto"/>
                <w:kern w:val="2"/>
                <w:sz w:val="21"/>
                <w:szCs w:val="21"/>
                <w:highlight w:val="none"/>
                <w:u w:color="000000"/>
                <w:lang w:val="en-US" w:eastAsia="zh-CN" w:bidi="ar"/>
              </w:rPr>
              <w:t xml:space="preserve"> </w:t>
            </w:r>
            <w:r>
              <w:rPr>
                <w:rFonts w:hint="eastAsia" w:ascii="宋体" w:hAnsi="宋体" w:eastAsia="宋体" w:cs="宋体"/>
                <w:color w:val="auto"/>
                <w:kern w:val="2"/>
                <w:sz w:val="21"/>
                <w:szCs w:val="21"/>
                <w:highlight w:val="none"/>
                <w:u w:color="000000"/>
                <w:lang w:val="en-US" w:eastAsia="zh-CN" w:bidi="ar"/>
              </w:rPr>
              <w:t>法定代表人身份证明和有效身份复印件（或授权委托书及委托代理人有效身份证复印件）</w:t>
            </w:r>
          </w:p>
        </w:tc>
      </w:tr>
      <w:tr w14:paraId="3B71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547328B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1BE2C28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01BEA978">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（2）营业执照等证明文件</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348A810D">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（1）投标人为企业（包括合伙企业）的，应提供有效的营业执照；</w:t>
            </w:r>
          </w:p>
          <w:p w14:paraId="45E4933B">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（2）投标人为事业单位的，应提供有效的事业单位法人证书；</w:t>
            </w:r>
          </w:p>
          <w:p w14:paraId="297FD810">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（3）投标人是非企业机构的，应提供有效的执业许可证或登记证书等证明文件；</w:t>
            </w:r>
          </w:p>
        </w:tc>
      </w:tr>
      <w:tr w14:paraId="2C6C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6511B45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p>
        </w:tc>
        <w:tc>
          <w:tcPr>
            <w:tcW w:w="1235" w:type="dxa"/>
            <w:vMerge w:val="continue"/>
            <w:tcBorders>
              <w:left w:val="single" w:color="auto" w:sz="4" w:space="0"/>
              <w:right w:val="single" w:color="auto" w:sz="4" w:space="0"/>
            </w:tcBorders>
            <w:shd w:val="clear" w:color="auto" w:fill="auto"/>
            <w:vAlign w:val="center"/>
          </w:tcPr>
          <w:p w14:paraId="3470A17B">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7F43A105">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4"/>
                <w:highlight w:val="none"/>
                <w:lang w:val="en-US" w:eastAsia="zh-CN" w:bidi="ar-SA"/>
              </w:rPr>
            </w:pPr>
            <w:r>
              <w:rPr>
                <w:rFonts w:hint="eastAsia" w:ascii="宋体" w:hAnsi="宋体"/>
                <w:color w:val="auto"/>
                <w:szCs w:val="21"/>
                <w:highlight w:val="none"/>
                <w:lang w:val="en-US" w:eastAsia="zh-CN"/>
              </w:rPr>
              <w:t>（3）</w:t>
            </w:r>
            <w:r>
              <w:rPr>
                <w:rFonts w:hint="eastAsia" w:ascii="宋体" w:hAnsi="宋体" w:eastAsia="宋体" w:cs="宋体"/>
                <w:color w:val="auto"/>
                <w:kern w:val="2"/>
                <w:sz w:val="21"/>
                <w:szCs w:val="21"/>
                <w:highlight w:val="none"/>
                <w:u w:color="000000"/>
                <w:lang w:val="en-US" w:eastAsia="zh-CN" w:bidi="ar"/>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598B555D">
            <w:pPr>
              <w:keepNext w:val="0"/>
              <w:keepLines w:val="0"/>
              <w:widowControl/>
              <w:suppressLineNumbers w:val="0"/>
              <w:spacing w:before="0" w:beforeAutospacing="0" w:after="0" w:afterAutospacing="0" w:line="360" w:lineRule="exact"/>
              <w:ind w:left="0" w:leftChars="0" w:right="0" w:rightChars="0"/>
              <w:jc w:val="both"/>
              <w:rPr>
                <w:rFonts w:hint="default" w:ascii="宋体" w:hAnsi="宋体" w:eastAsia="宋体" w:cs="宋体"/>
                <w:color w:val="auto"/>
                <w:kern w:val="2"/>
                <w:sz w:val="21"/>
                <w:szCs w:val="24"/>
                <w:highlight w:val="none"/>
                <w:lang w:val="en-US" w:eastAsia="zh-CN" w:bidi="ar-SA"/>
              </w:rPr>
            </w:pPr>
            <w:r>
              <w:rPr>
                <w:rFonts w:hint="eastAsia"/>
                <w:color w:val="auto"/>
                <w:highlight w:val="none"/>
              </w:rPr>
              <w:t>格式见附件，检验标书</w:t>
            </w:r>
          </w:p>
        </w:tc>
      </w:tr>
      <w:tr w14:paraId="2303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5" w:type="dxa"/>
            <w:vMerge w:val="continue"/>
            <w:tcBorders>
              <w:left w:val="single" w:color="auto" w:sz="4" w:space="0"/>
              <w:right w:val="single" w:color="auto" w:sz="4" w:space="0"/>
            </w:tcBorders>
            <w:shd w:val="clear" w:color="auto" w:fill="auto"/>
            <w:vAlign w:val="center"/>
          </w:tcPr>
          <w:p w14:paraId="774F29C4">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25E191DC">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FF81ED7">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highlight w:val="none"/>
                <w:lang w:val="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C809B52">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highlight w:val="none"/>
                <w:lang w:val="en-US"/>
              </w:rPr>
            </w:pPr>
            <w:r>
              <w:rPr>
                <w:rFonts w:hint="eastAsia"/>
                <w:color w:val="auto"/>
                <w:highlight w:val="none"/>
              </w:rPr>
              <w:t>格式见附件，检验标书</w:t>
            </w:r>
          </w:p>
        </w:tc>
      </w:tr>
    </w:tbl>
    <w:p w14:paraId="7ED28E6D">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4.符合性审查</w:t>
      </w:r>
    </w:p>
    <w:p w14:paraId="2181E05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auto"/>
          <w:highlight w:val="none"/>
          <w:lang w:val="en-US"/>
        </w:rPr>
      </w:pPr>
      <w:bookmarkStart w:id="52" w:name="_Toc4660368"/>
      <w:bookmarkEnd w:id="52"/>
      <w:r>
        <w:rPr>
          <w:rFonts w:hint="eastAsia" w:ascii="宋体" w:hAnsi="宋体" w:eastAsia="宋体" w:cs="宋体"/>
          <w:color w:val="auto"/>
          <w:kern w:val="0"/>
          <w:sz w:val="21"/>
          <w:szCs w:val="21"/>
          <w:highlight w:val="none"/>
          <w:u w:color="000000"/>
          <w:lang w:val="en-US" w:eastAsia="zh-CN" w:bidi="ar"/>
        </w:rPr>
        <w:t>4.1评审细则</w:t>
      </w:r>
    </w:p>
    <w:tbl>
      <w:tblPr>
        <w:tblStyle w:val="28"/>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4781"/>
      </w:tblGrid>
      <w:tr w14:paraId="10E6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8980ED">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序号</w:t>
            </w:r>
          </w:p>
        </w:tc>
        <w:tc>
          <w:tcPr>
            <w:tcW w:w="3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264AE">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审查因素</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5380317D">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审查内容</w:t>
            </w:r>
          </w:p>
        </w:tc>
      </w:tr>
      <w:tr w14:paraId="0E0D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A61AE">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DD99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投标文件的有效性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9EDAF1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（1）投标文件签署</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210749B6">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签字、盖章符合要求。</w:t>
            </w:r>
          </w:p>
        </w:tc>
      </w:tr>
      <w:tr w14:paraId="666D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39271">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AC806">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2AA11C8">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（2）投标方案</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116BC72F">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只能有一个方案投标。</w:t>
            </w:r>
          </w:p>
        </w:tc>
      </w:tr>
      <w:tr w14:paraId="2C23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2E8D9">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FF4EE">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B673917">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（3）报价唯一</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3B82B95B">
            <w:pPr>
              <w:keepNext w:val="0"/>
              <w:keepLines w:val="0"/>
              <w:widowControl/>
              <w:suppressLineNumbers w:val="0"/>
              <w:spacing w:before="0" w:beforeAutospacing="0" w:after="0" w:afterAutospacing="0" w:line="320" w:lineRule="atLeast"/>
              <w:ind w:left="0" w:leftChars="0" w:right="0" w:rightChars="0"/>
              <w:jc w:val="both"/>
              <w:rPr>
                <w:rFonts w:hint="default" w:ascii="宋体" w:hAnsi="宋体" w:eastAsia="宋体" w:cs="宋体"/>
                <w:color w:val="auto"/>
                <w:kern w:val="2"/>
                <w:highlight w:val="none"/>
                <w:lang w:val="en-US"/>
              </w:rPr>
            </w:pPr>
            <w:r>
              <w:rPr>
                <w:rFonts w:hint="eastAsia" w:ascii="宋体" w:hAnsi="宋体" w:cs="宋体"/>
                <w:color w:val="auto"/>
                <w:szCs w:val="21"/>
                <w:highlight w:val="none"/>
              </w:rPr>
              <w:t>只能有一个报价</w:t>
            </w:r>
            <w:r>
              <w:rPr>
                <w:rFonts w:hint="eastAsia" w:ascii="宋体" w:hAnsi="宋体" w:eastAsia="宋体" w:cs="仿宋_GB2312"/>
                <w:color w:val="auto"/>
                <w:kern w:val="2"/>
                <w:sz w:val="21"/>
                <w:szCs w:val="21"/>
                <w:highlight w:val="none"/>
                <w:u w:color="000000"/>
                <w:lang w:val="en-US" w:eastAsia="zh-CN" w:bidi="ar"/>
              </w:rPr>
              <w:t>。</w:t>
            </w:r>
          </w:p>
        </w:tc>
      </w:tr>
      <w:tr w14:paraId="7131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76B9F">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0077C">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2A1960A">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 xml:space="preserve"> (4) 投标文件的有效期</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0F0FF6DB">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完全响应。</w:t>
            </w:r>
          </w:p>
        </w:tc>
      </w:tr>
      <w:tr w14:paraId="201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3"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A828E">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A5E542">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投标文件的完整性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3AAC0D0">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（5）投标文件份数</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13009B54">
            <w:pPr>
              <w:keepNext w:val="0"/>
              <w:keepLines w:val="0"/>
              <w:widowControl/>
              <w:suppressLineNumbers w:val="0"/>
              <w:spacing w:before="0" w:beforeAutospacing="0" w:after="0" w:afterAutospacing="0" w:line="400" w:lineRule="exact"/>
              <w:ind w:left="0" w:leftChars="0" w:right="0" w:rightChars="0"/>
              <w:jc w:val="both"/>
              <w:rPr>
                <w:rFonts w:hint="eastAsia" w:ascii="黑体" w:hAnsi="宋体" w:eastAsia="黑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符合招标文件要求。</w:t>
            </w:r>
          </w:p>
        </w:tc>
      </w:tr>
      <w:tr w14:paraId="437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72055">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08FCE">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A899EC4">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（6）投标文件形式内容</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1CB15617">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投标文件内容清晰、齐全无遗漏。</w:t>
            </w:r>
          </w:p>
        </w:tc>
      </w:tr>
      <w:tr w14:paraId="7CF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6CB95B6A">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w:t>
            </w:r>
          </w:p>
        </w:tc>
        <w:tc>
          <w:tcPr>
            <w:tcW w:w="1000" w:type="dxa"/>
            <w:vMerge w:val="restart"/>
            <w:tcBorders>
              <w:top w:val="single" w:color="auto" w:sz="4" w:space="0"/>
              <w:left w:val="single" w:color="auto" w:sz="4" w:space="0"/>
              <w:right w:val="single" w:color="auto" w:sz="4" w:space="0"/>
            </w:tcBorders>
            <w:shd w:val="clear" w:color="auto" w:fill="auto"/>
            <w:vAlign w:val="center"/>
          </w:tcPr>
          <w:p w14:paraId="21125A9A">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2"/>
                <w:highlight w:val="none"/>
                <w:lang w:val="en-US"/>
              </w:rPr>
            </w:pPr>
            <w:r>
              <w:rPr>
                <w:rFonts w:hint="default" w:ascii="宋体" w:hAnsi="宋体" w:eastAsia="宋体" w:cs="宋体"/>
                <w:color w:val="auto"/>
                <w:kern w:val="2"/>
                <w:highlight w:val="none"/>
                <w:lang w:val="en-US"/>
              </w:rPr>
              <w:t>标书的响应程度</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58E822D4">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（7）技术参数响应程度</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5EA4D4AF">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 xml:space="preserve">最大限度满足招标文件要求。 </w:t>
            </w:r>
          </w:p>
        </w:tc>
      </w:tr>
      <w:tr w14:paraId="2D0A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14:paraId="3101B178">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2"/>
                <w:highlight w:val="none"/>
                <w:lang w:val="en-US"/>
              </w:rPr>
            </w:pPr>
          </w:p>
        </w:tc>
        <w:tc>
          <w:tcPr>
            <w:tcW w:w="1000" w:type="dxa"/>
            <w:vMerge w:val="continue"/>
            <w:tcBorders>
              <w:left w:val="single" w:color="auto" w:sz="4" w:space="0"/>
              <w:bottom w:val="single" w:color="auto" w:sz="4" w:space="0"/>
              <w:right w:val="single" w:color="auto" w:sz="4" w:space="0"/>
            </w:tcBorders>
            <w:shd w:val="clear" w:color="auto" w:fill="auto"/>
            <w:vAlign w:val="center"/>
          </w:tcPr>
          <w:p w14:paraId="35707D40">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2"/>
                <w:highlight w:val="none"/>
                <w:lang w:val="en-US"/>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BBE171A">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auto"/>
                <w:kern w:val="2"/>
                <w:sz w:val="21"/>
                <w:szCs w:val="24"/>
                <w:highlight w:val="none"/>
                <w:lang w:val="en-US" w:eastAsia="zh-CN" w:bidi="ar-SA"/>
              </w:rPr>
            </w:pPr>
            <w:r>
              <w:rPr>
                <w:rFonts w:hint="eastAsia" w:ascii="宋体" w:hAnsi="宋体" w:eastAsia="宋体" w:cs="仿宋_GB2312"/>
                <w:color w:val="auto"/>
                <w:kern w:val="2"/>
                <w:sz w:val="21"/>
                <w:szCs w:val="21"/>
                <w:highlight w:val="none"/>
                <w:u w:color="000000"/>
                <w:lang w:val="en-US" w:eastAsia="zh-CN" w:bidi="ar"/>
              </w:rPr>
              <w:t>（8）商务条款响应程度</w:t>
            </w:r>
          </w:p>
        </w:tc>
        <w:tc>
          <w:tcPr>
            <w:tcW w:w="4781" w:type="dxa"/>
            <w:tcBorders>
              <w:top w:val="single" w:color="auto" w:sz="4" w:space="0"/>
              <w:left w:val="single" w:color="auto" w:sz="4" w:space="0"/>
              <w:bottom w:val="single" w:color="auto" w:sz="4" w:space="0"/>
              <w:right w:val="single" w:color="auto" w:sz="4" w:space="0"/>
            </w:tcBorders>
            <w:shd w:val="clear" w:color="auto" w:fill="auto"/>
            <w:vAlign w:val="center"/>
          </w:tcPr>
          <w:p w14:paraId="66EE30D6">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auto"/>
                <w:kern w:val="2"/>
                <w:sz w:val="21"/>
                <w:szCs w:val="24"/>
                <w:highlight w:val="none"/>
                <w:lang w:val="en-US" w:eastAsia="zh-CN" w:bidi="ar-SA"/>
              </w:rPr>
            </w:pPr>
            <w:r>
              <w:rPr>
                <w:rFonts w:hint="eastAsia" w:ascii="宋体" w:hAnsi="宋体" w:eastAsia="宋体" w:cs="仿宋_GB2312"/>
                <w:color w:val="auto"/>
                <w:kern w:val="2"/>
                <w:sz w:val="21"/>
                <w:szCs w:val="21"/>
                <w:highlight w:val="none"/>
                <w:u w:color="000000"/>
                <w:lang w:val="en-US" w:eastAsia="zh-CN" w:bidi="ar"/>
              </w:rPr>
              <w:t>最大限度满足招标文件要求。不满足者按评分细则进行评审评分。</w:t>
            </w:r>
          </w:p>
        </w:tc>
      </w:tr>
    </w:tbl>
    <w:p w14:paraId="664B21A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59D9AF5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2B3D6D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4.4只有通过初审的投标人才能进入下一步程序。</w:t>
      </w:r>
    </w:p>
    <w:p w14:paraId="5B2B2827">
      <w:pPr>
        <w:widowControl w:val="0"/>
        <w:numPr>
          <w:ilvl w:val="0"/>
          <w:numId w:val="3"/>
        </w:numPr>
        <w:snapToGrid w:val="0"/>
        <w:spacing w:before="156" w:beforeLines="50" w:after="156" w:afterLines="50" w:line="440" w:lineRule="exact"/>
        <w:jc w:val="center"/>
        <w:outlineLvl w:val="1"/>
        <w:rPr>
          <w:rFonts w:hint="eastAsia" w:ascii="宋体"/>
          <w:b/>
          <w:color w:val="auto"/>
          <w:sz w:val="28"/>
          <w:szCs w:val="28"/>
          <w:highlight w:val="none"/>
        </w:rPr>
      </w:pPr>
      <w:r>
        <w:rPr>
          <w:rFonts w:hint="eastAsia" w:ascii="宋体"/>
          <w:b/>
          <w:color w:val="auto"/>
          <w:sz w:val="28"/>
          <w:szCs w:val="28"/>
          <w:highlight w:val="none"/>
        </w:rPr>
        <w:t>比较与评价</w:t>
      </w:r>
    </w:p>
    <w:p w14:paraId="122F92FB">
      <w:pPr>
        <w:numPr>
          <w:ilvl w:val="0"/>
          <w:numId w:val="0"/>
        </w:numPr>
        <w:spacing w:line="440" w:lineRule="exact"/>
        <w:ind w:right="36" w:rightChars="17" w:firstLine="422" w:firstLineChars="200"/>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5、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04195D89">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lang w:val="en-US" w:eastAsia="zh-CN"/>
        </w:rPr>
        <w:t>5.1</w:t>
      </w:r>
      <w:r>
        <w:rPr>
          <w:rFonts w:hint="eastAsia" w:ascii="宋体" w:hAnsi="宋体" w:cs="宋体"/>
          <w:b/>
          <w:bCs/>
          <w:color w:val="auto"/>
          <w:szCs w:val="21"/>
          <w:highlight w:val="none"/>
        </w:rPr>
        <w:t>资信标评审（</w:t>
      </w:r>
      <w:r>
        <w:rPr>
          <w:rFonts w:hint="eastAsia" w:ascii="宋体" w:hAnsi="宋体" w:cs="宋体"/>
          <w:b/>
          <w:bCs/>
          <w:color w:val="auto"/>
          <w:szCs w:val="21"/>
          <w:highlight w:val="none"/>
          <w:lang w:val="en-US" w:eastAsia="zh-CN"/>
        </w:rPr>
        <w:t>60</w:t>
      </w:r>
      <w:r>
        <w:rPr>
          <w:rFonts w:hint="eastAsia" w:ascii="宋体" w:hAnsi="宋体" w:cs="宋体"/>
          <w:b/>
          <w:bCs/>
          <w:color w:val="auto"/>
          <w:szCs w:val="21"/>
          <w:highlight w:val="none"/>
        </w:rPr>
        <w:t>分）</w:t>
      </w:r>
    </w:p>
    <w:tbl>
      <w:tblPr>
        <w:tblStyle w:val="2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2"/>
        <w:gridCol w:w="768"/>
        <w:gridCol w:w="4117"/>
        <w:gridCol w:w="2924"/>
      </w:tblGrid>
      <w:tr w14:paraId="5AD0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95" w:type="dxa"/>
            <w:noWrap w:val="0"/>
            <w:vAlign w:val="center"/>
          </w:tcPr>
          <w:p w14:paraId="25A7A97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72" w:type="dxa"/>
            <w:noWrap w:val="0"/>
            <w:vAlign w:val="center"/>
          </w:tcPr>
          <w:p w14:paraId="753B338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768" w:type="dxa"/>
            <w:noWrap w:val="0"/>
            <w:vAlign w:val="center"/>
          </w:tcPr>
          <w:p w14:paraId="322DA1F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117" w:type="dxa"/>
            <w:noWrap w:val="0"/>
            <w:vAlign w:val="center"/>
          </w:tcPr>
          <w:p w14:paraId="2FCE88E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c>
          <w:tcPr>
            <w:tcW w:w="2924" w:type="dxa"/>
            <w:noWrap w:val="0"/>
            <w:vAlign w:val="center"/>
          </w:tcPr>
          <w:p w14:paraId="0676606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须提供的证明材料</w:t>
            </w:r>
          </w:p>
        </w:tc>
      </w:tr>
      <w:tr w14:paraId="20BA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641CF9E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28"/>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272" w:type="dxa"/>
            <w:noWrap w:val="0"/>
            <w:vAlign w:val="center"/>
          </w:tcPr>
          <w:p w14:paraId="3170BCD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投标人业绩</w:t>
            </w:r>
          </w:p>
        </w:tc>
        <w:tc>
          <w:tcPr>
            <w:tcW w:w="768" w:type="dxa"/>
            <w:noWrap w:val="0"/>
            <w:vAlign w:val="center"/>
          </w:tcPr>
          <w:p w14:paraId="6079E29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4117" w:type="dxa"/>
            <w:noWrap w:val="0"/>
            <w:vAlign w:val="center"/>
          </w:tcPr>
          <w:p w14:paraId="309198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年1月1日至投标截止</w:t>
            </w:r>
            <w:r>
              <w:rPr>
                <w:rFonts w:hint="eastAsia" w:ascii="宋体" w:hAnsi="宋体" w:eastAsia="宋体" w:cs="宋体"/>
                <w:color w:val="auto"/>
                <w:sz w:val="21"/>
                <w:szCs w:val="21"/>
                <w:highlight w:val="none"/>
                <w:lang w:val="en-US" w:eastAsia="zh-CN"/>
              </w:rPr>
              <w:t>日（以合同签订时间为准）</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一个</w:t>
            </w:r>
            <w:r>
              <w:rPr>
                <w:rFonts w:hint="eastAsia" w:ascii="宋体" w:hAnsi="宋体" w:eastAsia="宋体" w:cs="宋体"/>
                <w:color w:val="auto"/>
                <w:spacing w:val="-2"/>
                <w:position w:val="-3"/>
                <w:sz w:val="21"/>
                <w:szCs w:val="21"/>
                <w:highlight w:val="none"/>
                <w:lang w:val="en-US" w:eastAsia="zh-CN"/>
              </w:rPr>
              <w:t>集体体检服务业绩的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2A9C7F8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注：投标人投标时只须提供</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个评审业绩，若投标人提供业绩个数超过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个，则按照排列顺序从首个业绩开始评审至对应数量（</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个），超出部分业绩不进行评审。对应数量（</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个）内业绩不符合招标文件要求不得分的，不再补充评审超出部分业绩。如：提供</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个业绩即得满分的，按照投标文件排序评审第一、第二项业绩，其余超出部分不再评审”。</w:t>
            </w:r>
          </w:p>
        </w:tc>
        <w:tc>
          <w:tcPr>
            <w:tcW w:w="2924" w:type="dxa"/>
            <w:noWrap w:val="0"/>
            <w:vAlign w:val="center"/>
          </w:tcPr>
          <w:p w14:paraId="4806B97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4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投标文件中须提供业绩合同扫描件，合同中必须体现出双方签章页、合同签订时间、合同标的等评审因素等。</w:t>
            </w:r>
          </w:p>
        </w:tc>
      </w:tr>
      <w:tr w14:paraId="6305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46D2AE3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28"/>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2" w:type="dxa"/>
            <w:noWrap w:val="0"/>
            <w:vAlign w:val="center"/>
          </w:tcPr>
          <w:p w14:paraId="5F54C88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企业荣誉</w:t>
            </w:r>
          </w:p>
        </w:tc>
        <w:tc>
          <w:tcPr>
            <w:tcW w:w="768" w:type="dxa"/>
            <w:noWrap w:val="0"/>
            <w:vAlign w:val="center"/>
          </w:tcPr>
          <w:p w14:paraId="55C67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4117" w:type="dxa"/>
            <w:noWrap w:val="0"/>
            <w:vAlign w:val="center"/>
          </w:tcPr>
          <w:p w14:paraId="2EEC4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2023年1月1日以来（以证书或者证明文件的颁发时间为准），在健康管理相关工作中，投标人（或其所管项目）获得省级或以上荣誉的得5分，市级荣誉的得4分，区级荣誉的得3分，不合格或未提供的不得分。</w:t>
            </w:r>
          </w:p>
          <w:p w14:paraId="29B4C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注：提供的项目荣誉只计算评标分值对应的项目数量（本项为 1 个），按照排列顺序从首个荣誉开始评审至对应数量，超出部分不进行评审。</w:t>
            </w:r>
          </w:p>
        </w:tc>
        <w:tc>
          <w:tcPr>
            <w:tcW w:w="2924" w:type="dxa"/>
            <w:noWrap w:val="0"/>
            <w:vAlign w:val="center"/>
          </w:tcPr>
          <w:p w14:paraId="7549E28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40" w:leftChars="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投标文件中提供获奖证书或获奖的相关文件</w:t>
            </w:r>
          </w:p>
        </w:tc>
      </w:tr>
      <w:tr w14:paraId="26F3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0EBA470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28"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72" w:type="dxa"/>
            <w:noWrap w:val="0"/>
            <w:vAlign w:val="center"/>
          </w:tcPr>
          <w:p w14:paraId="7F11A50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w:t>
            </w:r>
          </w:p>
        </w:tc>
        <w:tc>
          <w:tcPr>
            <w:tcW w:w="768" w:type="dxa"/>
            <w:noWrap w:val="0"/>
            <w:vAlign w:val="center"/>
          </w:tcPr>
          <w:p w14:paraId="72FA86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4117" w:type="dxa"/>
            <w:noWrap w:val="0"/>
            <w:vAlign w:val="center"/>
          </w:tcPr>
          <w:p w14:paraId="2CECD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1.主检咨询室配备1名具有高级（副主任医师或以上）职称医生的，得4分，其他的不得分，本项满分4分。</w:t>
            </w:r>
          </w:p>
          <w:p w14:paraId="73D8D1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2.彩超室配备2名医生：每具有1个高级（副主任医师或以上）职称的得2分；每具有1个中级（主治医师）职称的得1分；其他的不得分，本项满分4分。</w:t>
            </w:r>
          </w:p>
          <w:p w14:paraId="444BFE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3.CT室配备2名医生：每具有1个高级（副主任医师或以上）职称的得2分；每具有1个中级（主治医师）职称的得1分；其他的不得分，本项满分4分。</w:t>
            </w:r>
          </w:p>
          <w:p w14:paraId="2D041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4.其他科室：每配备1名高级（副主任医师或以上）职称医生的得1分；每配备1名中级职称（主治医师）医生的得0.5分；其他的不得分，本项满分3分。</w:t>
            </w:r>
          </w:p>
          <w:p w14:paraId="24169C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注：以上人员不得兼任。</w:t>
            </w:r>
          </w:p>
        </w:tc>
        <w:tc>
          <w:tcPr>
            <w:tcW w:w="2924" w:type="dxa"/>
            <w:noWrap w:val="0"/>
            <w:vAlign w:val="center"/>
          </w:tcPr>
          <w:p w14:paraId="055B11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投标文件中须同时提供人员</w:t>
            </w:r>
            <w:r>
              <w:rPr>
                <w:rFonts w:hint="eastAsia" w:ascii="宋体" w:hAnsi="宋体" w:eastAsia="宋体" w:cs="宋体"/>
                <w:b/>
                <w:bCs/>
                <w:color w:val="auto"/>
                <w:sz w:val="21"/>
                <w:szCs w:val="21"/>
                <w:highlight w:val="none"/>
                <w:lang w:val="en-US" w:eastAsia="zh-CN"/>
              </w:rPr>
              <w:t>配备信息登记表（格式自拟）</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人员有效身份证扫描件和职称证书扫描件。</w:t>
            </w:r>
          </w:p>
        </w:tc>
      </w:tr>
      <w:tr w14:paraId="4DCA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shd w:val="clear" w:color="auto" w:fill="auto"/>
            <w:noWrap w:val="0"/>
            <w:vAlign w:val="center"/>
          </w:tcPr>
          <w:p w14:paraId="042A0B7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28"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489C9D3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投入主要体检设备</w:t>
            </w:r>
          </w:p>
        </w:tc>
        <w:tc>
          <w:tcPr>
            <w:tcW w:w="768" w:type="dxa"/>
            <w:shd w:val="clear" w:color="auto" w:fill="auto"/>
            <w:noWrap w:val="0"/>
            <w:vAlign w:val="center"/>
          </w:tcPr>
          <w:p w14:paraId="53F12C3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4117" w:type="dxa"/>
            <w:shd w:val="clear" w:color="auto" w:fill="auto"/>
            <w:noWrap w:val="0"/>
            <w:vAlign w:val="center"/>
          </w:tcPr>
          <w:p w14:paraId="26C458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1.投标人每提供一台螺旋CT仪器得2分，本项满分4分。</w:t>
            </w:r>
          </w:p>
          <w:p w14:paraId="3FAFF1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2.投标人每提供一台彩超仪器得2分，本项满6分。</w:t>
            </w:r>
          </w:p>
        </w:tc>
        <w:tc>
          <w:tcPr>
            <w:tcW w:w="2924" w:type="dxa"/>
            <w:shd w:val="clear" w:color="auto" w:fill="auto"/>
            <w:noWrap w:val="0"/>
            <w:vAlign w:val="center"/>
          </w:tcPr>
          <w:p w14:paraId="0847E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投标文件中须提供主要体检</w:t>
            </w:r>
            <w:r>
              <w:rPr>
                <w:rFonts w:hint="eastAsia" w:ascii="宋体" w:hAnsi="宋体" w:eastAsia="宋体" w:cs="宋体"/>
                <w:b/>
                <w:bCs/>
                <w:color w:val="auto"/>
                <w:sz w:val="21"/>
                <w:szCs w:val="21"/>
                <w:highlight w:val="none"/>
                <w:lang w:val="en-US" w:eastAsia="zh-CN"/>
              </w:rPr>
              <w:t>设备清单（格式自拟）</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且清单中须标明评审设备的品牌和型号。</w:t>
            </w:r>
          </w:p>
        </w:tc>
      </w:tr>
      <w:tr w14:paraId="7366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shd w:val="clear" w:color="auto" w:fill="auto"/>
            <w:noWrap w:val="0"/>
            <w:vAlign w:val="center"/>
          </w:tcPr>
          <w:p w14:paraId="5C805CB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28"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72" w:type="dxa"/>
            <w:shd w:val="clear" w:color="auto" w:fill="auto"/>
            <w:noWrap w:val="0"/>
            <w:vAlign w:val="center"/>
          </w:tcPr>
          <w:p w14:paraId="39EF0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p>
          <w:p w14:paraId="7939E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接待能力</w:t>
            </w:r>
          </w:p>
          <w:p w14:paraId="36431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768" w:type="dxa"/>
            <w:shd w:val="clear" w:color="auto" w:fill="auto"/>
            <w:noWrap w:val="0"/>
            <w:vAlign w:val="center"/>
          </w:tcPr>
          <w:p w14:paraId="5852C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p>
          <w:p w14:paraId="000BD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p w14:paraId="20D41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p>
        </w:tc>
        <w:tc>
          <w:tcPr>
            <w:tcW w:w="4117" w:type="dxa"/>
            <w:shd w:val="clear" w:color="auto" w:fill="auto"/>
            <w:noWrap w:val="0"/>
            <w:vAlign w:val="center"/>
          </w:tcPr>
          <w:p w14:paraId="752A1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评标委员会根据各投标人投标文件中提供</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相关证明材料</w:t>
            </w:r>
            <w:r>
              <w:rPr>
                <w:rFonts w:hint="eastAsia" w:ascii="宋体" w:hAnsi="宋体" w:eastAsia="宋体" w:cs="宋体"/>
                <w:color w:val="auto"/>
                <w:sz w:val="21"/>
                <w:szCs w:val="21"/>
                <w:highlight w:val="none"/>
                <w:lang w:val="en-US" w:eastAsia="zh-CN"/>
              </w:rPr>
              <w:t>或</w:t>
            </w:r>
            <w:r>
              <w:rPr>
                <w:rFonts w:hint="eastAsia" w:ascii="宋体" w:hAnsi="宋体" w:cs="宋体"/>
                <w:color w:val="auto"/>
                <w:sz w:val="21"/>
                <w:szCs w:val="21"/>
                <w:highlight w:val="none"/>
                <w:lang w:val="en-US" w:eastAsia="zh-CN"/>
              </w:rPr>
              <w:t>承诺材料（格式自拟）</w:t>
            </w:r>
            <w:r>
              <w:rPr>
                <w:rFonts w:hint="eastAsia" w:ascii="宋体" w:hAnsi="宋体" w:eastAsia="宋体" w:cs="宋体"/>
                <w:color w:val="auto"/>
                <w:sz w:val="21"/>
                <w:szCs w:val="21"/>
                <w:highlight w:val="none"/>
                <w:lang w:eastAsia="zh-CN"/>
              </w:rPr>
              <w:t>进行综合评分。</w:t>
            </w:r>
          </w:p>
          <w:p w14:paraId="6B070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1.投标人自有体检场所距离滁州市公共交通有限公司办公地点（花园路766号），单程距离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6公里的得4分，6公里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单程距离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15公里的得2分，</w:t>
            </w:r>
            <w:r>
              <w:rPr>
                <w:rFonts w:hint="eastAsia" w:ascii="宋体" w:hAnsi="宋体" w:eastAsia="宋体" w:cs="宋体"/>
                <w:color w:val="auto"/>
                <w:sz w:val="21"/>
                <w:szCs w:val="21"/>
                <w:highlight w:val="none"/>
                <w:lang w:eastAsia="zh-CN"/>
              </w:rPr>
              <w:t>否则</w:t>
            </w:r>
            <w:r>
              <w:rPr>
                <w:rFonts w:hint="eastAsia" w:ascii="宋体" w:hAnsi="宋体" w:eastAsia="宋体" w:cs="宋体"/>
                <w:color w:val="auto"/>
                <w:sz w:val="21"/>
                <w:szCs w:val="21"/>
                <w:highlight w:val="none"/>
                <w:lang w:val="en-US" w:eastAsia="zh-CN"/>
              </w:rPr>
              <w:t>不得分。</w:t>
            </w:r>
          </w:p>
          <w:p w14:paraId="3B64BD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.体检结果送达时限，体检后 5 天内（含）送达，得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分；7 天内（含）送达得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分；超过 7 天得 0 分。</w:t>
            </w:r>
          </w:p>
          <w:p w14:paraId="134AD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.提供体检专场，有得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分，无得 0 分。</w:t>
            </w:r>
          </w:p>
          <w:p w14:paraId="16FE5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.提供免费停车位，有得 2 分，无得 0 分。</w:t>
            </w:r>
          </w:p>
        </w:tc>
        <w:tc>
          <w:tcPr>
            <w:tcW w:w="2924" w:type="dxa"/>
            <w:shd w:val="clear" w:color="auto" w:fill="auto"/>
            <w:noWrap w:val="0"/>
            <w:vAlign w:val="center"/>
          </w:tcPr>
          <w:p w14:paraId="1FFB35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lang w:eastAsia="zh-CN"/>
              </w:rPr>
              <w:t>提供相关证明材料</w:t>
            </w:r>
            <w:r>
              <w:rPr>
                <w:rFonts w:hint="eastAsia" w:ascii="宋体" w:hAnsi="宋体" w:eastAsia="宋体" w:cs="宋体"/>
                <w:b/>
                <w:bCs/>
                <w:color w:val="auto"/>
                <w:sz w:val="21"/>
                <w:szCs w:val="21"/>
                <w:highlight w:val="none"/>
                <w:lang w:val="en-US" w:eastAsia="zh-CN"/>
              </w:rPr>
              <w:t>或</w:t>
            </w:r>
            <w:r>
              <w:rPr>
                <w:rFonts w:hint="eastAsia" w:ascii="宋体" w:hAnsi="宋体" w:cs="宋体"/>
                <w:b/>
                <w:bCs/>
                <w:color w:val="auto"/>
                <w:sz w:val="21"/>
                <w:szCs w:val="21"/>
                <w:highlight w:val="none"/>
                <w:lang w:val="en-US" w:eastAsia="zh-CN"/>
              </w:rPr>
              <w:t>承诺材料（格式自拟）</w:t>
            </w:r>
          </w:p>
        </w:tc>
      </w:tr>
    </w:tbl>
    <w:p w14:paraId="58F84A5A">
      <w:pPr>
        <w:spacing w:line="440" w:lineRule="exact"/>
        <w:ind w:firstLine="211" w:firstLineChars="100"/>
        <w:jc w:val="left"/>
        <w:rPr>
          <w:rFonts w:hint="eastAsia" w:ascii="宋体" w:hAnsi="宋体"/>
          <w:b/>
          <w:color w:val="auto"/>
          <w:szCs w:val="21"/>
          <w:highlight w:val="none"/>
          <w:lang w:val="en-US" w:eastAsia="zh-CN"/>
        </w:rPr>
      </w:pPr>
      <w:r>
        <w:rPr>
          <w:rFonts w:hint="eastAsia" w:ascii="宋体" w:hAnsi="宋体"/>
          <w:b/>
          <w:color w:val="auto"/>
          <w:szCs w:val="21"/>
          <w:highlight w:val="none"/>
        </w:rPr>
        <w:t>注</w:t>
      </w:r>
      <w:r>
        <w:rPr>
          <w:rFonts w:hint="eastAsia" w:ascii="宋体"/>
          <w:b/>
          <w:color w:val="auto"/>
          <w:szCs w:val="21"/>
          <w:highlight w:val="none"/>
        </w:rPr>
        <w:t>：各评委得分的平均值为投标人资信标得分，分值保留两位小数点。</w:t>
      </w:r>
    </w:p>
    <w:p w14:paraId="63FD2726">
      <w:pPr>
        <w:numPr>
          <w:ilvl w:val="0"/>
          <w:numId w:val="0"/>
        </w:numPr>
        <w:spacing w:line="440" w:lineRule="exact"/>
        <w:ind w:right="36" w:rightChars="17" w:firstLine="422" w:firstLineChars="200"/>
        <w:jc w:val="left"/>
        <w:rPr>
          <w:rFonts w:hint="eastAsia" w:ascii="宋体" w:hAnsi="宋体" w:eastAsia="宋体" w:cs="宋体"/>
          <w:b/>
          <w:color w:val="auto"/>
          <w:sz w:val="21"/>
          <w:szCs w:val="21"/>
          <w:highlight w:val="none"/>
        </w:rPr>
      </w:pPr>
      <w:r>
        <w:rPr>
          <w:rFonts w:hint="eastAsia" w:ascii="宋体" w:hAnsi="宋体"/>
          <w:b/>
          <w:color w:val="auto"/>
          <w:szCs w:val="21"/>
          <w:highlight w:val="none"/>
          <w:lang w:val="en-US" w:eastAsia="zh-CN"/>
        </w:rPr>
        <w:t>5.2</w:t>
      </w:r>
      <w:r>
        <w:rPr>
          <w:rFonts w:hint="eastAsia" w:ascii="宋体" w:hAnsi="宋体" w:eastAsia="宋体" w:cs="宋体"/>
          <w:b/>
          <w:color w:val="auto"/>
          <w:sz w:val="21"/>
          <w:szCs w:val="21"/>
          <w:highlight w:val="none"/>
          <w:lang w:val="en-US" w:eastAsia="zh-CN"/>
        </w:rPr>
        <w:t>技术</w:t>
      </w:r>
      <w:r>
        <w:rPr>
          <w:rFonts w:hint="eastAsia" w:ascii="宋体" w:hAnsi="宋体" w:eastAsia="宋体" w:cs="宋体"/>
          <w:b/>
          <w:color w:val="auto"/>
          <w:sz w:val="21"/>
          <w:szCs w:val="21"/>
          <w:highlight w:val="none"/>
        </w:rPr>
        <w:t>标评审细则（</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p w14:paraId="2397899E">
      <w:pPr>
        <w:pStyle w:val="2"/>
        <w:rPr>
          <w:rFonts w:hint="eastAsia" w:ascii="宋体" w:hAnsi="宋体" w:eastAsia="宋体" w:cs="宋体"/>
          <w:b/>
          <w:color w:val="auto"/>
          <w:sz w:val="21"/>
          <w:szCs w:val="21"/>
          <w:highlight w:val="none"/>
        </w:rPr>
      </w:pPr>
    </w:p>
    <w:tbl>
      <w:tblPr>
        <w:tblStyle w:val="28"/>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1"/>
        <w:gridCol w:w="736"/>
        <w:gridCol w:w="4708"/>
        <w:gridCol w:w="2025"/>
      </w:tblGrid>
      <w:tr w14:paraId="4973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2" w:type="dxa"/>
            <w:noWrap w:val="0"/>
            <w:vAlign w:val="center"/>
          </w:tcPr>
          <w:p w14:paraId="7D1BB8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序号     </w:t>
            </w:r>
          </w:p>
        </w:tc>
        <w:tc>
          <w:tcPr>
            <w:tcW w:w="1521" w:type="dxa"/>
            <w:noWrap w:val="0"/>
            <w:vAlign w:val="center"/>
          </w:tcPr>
          <w:p w14:paraId="31A28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736" w:type="dxa"/>
            <w:noWrap w:val="0"/>
            <w:vAlign w:val="center"/>
          </w:tcPr>
          <w:p w14:paraId="15EB2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708" w:type="dxa"/>
            <w:noWrap w:val="0"/>
            <w:vAlign w:val="center"/>
          </w:tcPr>
          <w:p w14:paraId="0E8DF0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c>
          <w:tcPr>
            <w:tcW w:w="2025" w:type="dxa"/>
            <w:noWrap w:val="0"/>
            <w:vAlign w:val="center"/>
          </w:tcPr>
          <w:p w14:paraId="0B15D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须提供的证明材料</w:t>
            </w:r>
          </w:p>
        </w:tc>
      </w:tr>
      <w:tr w14:paraId="3957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757B972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521" w:type="dxa"/>
            <w:noWrap w:val="0"/>
            <w:vAlign w:val="center"/>
          </w:tcPr>
          <w:p w14:paraId="747B1838">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体检流程</w:t>
            </w:r>
          </w:p>
          <w:p w14:paraId="388F6D19">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和现场引</w:t>
            </w:r>
          </w:p>
          <w:p w14:paraId="56337D0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导方案</w:t>
            </w:r>
          </w:p>
        </w:tc>
        <w:tc>
          <w:tcPr>
            <w:tcW w:w="736" w:type="dxa"/>
            <w:noWrap w:val="0"/>
            <w:vAlign w:val="center"/>
          </w:tcPr>
          <w:p w14:paraId="33737876">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4708" w:type="dxa"/>
            <w:noWrap w:val="0"/>
            <w:vAlign w:val="center"/>
          </w:tcPr>
          <w:p w14:paraId="40CF2B44">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针对本项目实际情况，制定具体的体检流程和现场引导方案，根据</w:t>
            </w:r>
            <w:r>
              <w:rPr>
                <w:rFonts w:hint="eastAsia" w:ascii="宋体" w:hAnsi="宋体" w:eastAsia="宋体" w:cs="宋体"/>
                <w:color w:val="auto"/>
                <w:spacing w:val="-2"/>
                <w:position w:val="-2"/>
                <w:sz w:val="21"/>
                <w:szCs w:val="21"/>
                <w:highlight w:val="none"/>
                <w:lang w:val="en-US" w:eastAsia="zh-CN"/>
              </w:rPr>
              <w:t>招标</w:t>
            </w:r>
            <w:r>
              <w:rPr>
                <w:rFonts w:hint="default" w:ascii="宋体" w:hAnsi="宋体" w:eastAsia="宋体" w:cs="宋体"/>
                <w:color w:val="auto"/>
                <w:spacing w:val="-2"/>
                <w:position w:val="-2"/>
                <w:sz w:val="21"/>
                <w:szCs w:val="21"/>
                <w:highlight w:val="none"/>
                <w:lang w:val="en-US" w:eastAsia="zh-CN"/>
              </w:rPr>
              <w:t>文件要求及</w:t>
            </w:r>
            <w:r>
              <w:rPr>
                <w:rFonts w:hint="eastAsia" w:ascii="宋体" w:hAnsi="宋体" w:eastAsia="宋体" w:cs="宋体"/>
                <w:color w:val="auto"/>
                <w:spacing w:val="-2"/>
                <w:position w:val="-2"/>
                <w:sz w:val="21"/>
                <w:szCs w:val="21"/>
                <w:highlight w:val="none"/>
                <w:lang w:val="en-US" w:eastAsia="zh-CN"/>
              </w:rPr>
              <w:t>投标人</w:t>
            </w:r>
            <w:r>
              <w:rPr>
                <w:rFonts w:hint="default" w:ascii="宋体" w:hAnsi="宋体" w:eastAsia="宋体" w:cs="宋体"/>
                <w:color w:val="auto"/>
                <w:spacing w:val="-2"/>
                <w:position w:val="-2"/>
                <w:sz w:val="21"/>
                <w:szCs w:val="21"/>
                <w:highlight w:val="none"/>
                <w:lang w:val="en-US" w:eastAsia="zh-CN"/>
              </w:rPr>
              <w:t>提供的体检流程和现场引导方案，进行综合评审</w:t>
            </w:r>
            <w:r>
              <w:rPr>
                <w:rFonts w:hint="eastAsia" w:ascii="宋体" w:hAnsi="宋体" w:eastAsia="宋体" w:cs="宋体"/>
                <w:color w:val="auto"/>
                <w:spacing w:val="-2"/>
                <w:position w:val="-2"/>
                <w:sz w:val="21"/>
                <w:szCs w:val="21"/>
                <w:highlight w:val="none"/>
                <w:lang w:val="en-US" w:eastAsia="zh-CN"/>
              </w:rPr>
              <w:t>：</w:t>
            </w:r>
            <w:r>
              <w:rPr>
                <w:rFonts w:hint="default" w:ascii="宋体" w:hAnsi="宋体" w:eastAsia="宋体" w:cs="宋体"/>
                <w:color w:val="auto"/>
                <w:spacing w:val="-2"/>
                <w:position w:val="-2"/>
                <w:sz w:val="21"/>
                <w:szCs w:val="21"/>
                <w:highlight w:val="none"/>
                <w:lang w:val="en-US" w:eastAsia="zh-CN"/>
              </w:rPr>
              <w:t xml:space="preserve"> </w:t>
            </w:r>
          </w:p>
          <w:p w14:paraId="2BF47A8C">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 xml:space="preserve">（1）方案清晰具体，完整详细，可行性、实用性、针对性强的，得5分； </w:t>
            </w:r>
          </w:p>
          <w:p w14:paraId="6FB6A71E">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（2）方案较为完整详细，具有可行性、实用性和针对性的</w:t>
            </w:r>
            <w:r>
              <w:rPr>
                <w:rFonts w:hint="eastAsia" w:ascii="宋体" w:hAnsi="宋体" w:eastAsia="宋体" w:cs="宋体"/>
                <w:color w:val="auto"/>
                <w:spacing w:val="-2"/>
                <w:position w:val="-2"/>
                <w:sz w:val="21"/>
                <w:szCs w:val="21"/>
                <w:highlight w:val="none"/>
                <w:lang w:val="en-US" w:eastAsia="zh-CN"/>
              </w:rPr>
              <w:t>，</w:t>
            </w:r>
            <w:r>
              <w:rPr>
                <w:rFonts w:hint="default" w:ascii="宋体" w:hAnsi="宋体" w:eastAsia="宋体" w:cs="宋体"/>
                <w:color w:val="auto"/>
                <w:spacing w:val="-2"/>
                <w:position w:val="-2"/>
                <w:sz w:val="21"/>
                <w:szCs w:val="21"/>
                <w:highlight w:val="none"/>
                <w:lang w:val="en-US" w:eastAsia="zh-CN"/>
              </w:rPr>
              <w:t xml:space="preserve">得 </w:t>
            </w:r>
            <w:r>
              <w:rPr>
                <w:rFonts w:hint="eastAsia" w:ascii="宋体" w:hAnsi="宋体" w:eastAsia="宋体" w:cs="宋体"/>
                <w:color w:val="auto"/>
                <w:spacing w:val="-2"/>
                <w:position w:val="-2"/>
                <w:sz w:val="21"/>
                <w:szCs w:val="21"/>
                <w:highlight w:val="none"/>
                <w:lang w:val="en-US" w:eastAsia="zh-CN"/>
              </w:rPr>
              <w:t>3</w:t>
            </w:r>
            <w:r>
              <w:rPr>
                <w:rFonts w:hint="default" w:ascii="宋体" w:hAnsi="宋体" w:eastAsia="宋体" w:cs="宋体"/>
                <w:color w:val="auto"/>
                <w:spacing w:val="-2"/>
                <w:position w:val="-2"/>
                <w:sz w:val="21"/>
                <w:szCs w:val="21"/>
                <w:highlight w:val="none"/>
                <w:lang w:val="en-US" w:eastAsia="zh-CN"/>
              </w:rPr>
              <w:t xml:space="preserve">分； </w:t>
            </w:r>
          </w:p>
          <w:p w14:paraId="01F73C7C">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（3）方案有待提升，可行性、实用性、针对性有待改善的，得</w:t>
            </w:r>
            <w:r>
              <w:rPr>
                <w:rFonts w:hint="eastAsia" w:ascii="宋体" w:hAnsi="宋体" w:eastAsia="宋体" w:cs="宋体"/>
                <w:color w:val="auto"/>
                <w:spacing w:val="-2"/>
                <w:position w:val="-2"/>
                <w:sz w:val="21"/>
                <w:szCs w:val="21"/>
                <w:highlight w:val="none"/>
                <w:lang w:val="en-US" w:eastAsia="zh-CN"/>
              </w:rPr>
              <w:t>1</w:t>
            </w:r>
            <w:r>
              <w:rPr>
                <w:rFonts w:hint="default" w:ascii="宋体" w:hAnsi="宋体" w:eastAsia="宋体" w:cs="宋体"/>
                <w:color w:val="auto"/>
                <w:spacing w:val="-2"/>
                <w:position w:val="-2"/>
                <w:sz w:val="21"/>
                <w:szCs w:val="21"/>
                <w:highlight w:val="none"/>
                <w:lang w:val="en-US" w:eastAsia="zh-CN"/>
              </w:rPr>
              <w:t xml:space="preserve">分； </w:t>
            </w:r>
          </w:p>
          <w:p w14:paraId="502A3667">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z w:val="21"/>
                <w:szCs w:val="21"/>
                <w:highlight w:val="none"/>
              </w:rPr>
            </w:pPr>
            <w:r>
              <w:rPr>
                <w:rFonts w:hint="default" w:ascii="宋体" w:hAnsi="宋体" w:eastAsia="宋体" w:cs="宋体"/>
                <w:color w:val="auto"/>
                <w:spacing w:val="-2"/>
                <w:position w:val="-2"/>
                <w:sz w:val="21"/>
                <w:szCs w:val="21"/>
                <w:highlight w:val="none"/>
                <w:lang w:val="en-US" w:eastAsia="zh-CN"/>
              </w:rPr>
              <w:t>（4）未提供或提供的明显不符合要求的不得分</w:t>
            </w:r>
            <w:r>
              <w:rPr>
                <w:rFonts w:hint="eastAsia" w:ascii="宋体" w:hAnsi="宋体" w:eastAsia="宋体" w:cs="宋体"/>
                <w:color w:val="auto"/>
                <w:spacing w:val="-2"/>
                <w:position w:val="-2"/>
                <w:sz w:val="21"/>
                <w:szCs w:val="21"/>
                <w:highlight w:val="none"/>
                <w:lang w:val="en-US" w:eastAsia="zh-CN"/>
              </w:rPr>
              <w:t>。</w:t>
            </w:r>
          </w:p>
        </w:tc>
        <w:tc>
          <w:tcPr>
            <w:tcW w:w="2025" w:type="dxa"/>
            <w:noWrap w:val="0"/>
            <w:vAlign w:val="center"/>
          </w:tcPr>
          <w:p w14:paraId="32234F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评审核验投标文件中的下述文件：</w:t>
            </w:r>
          </w:p>
          <w:p w14:paraId="0A5B52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投标文件须能充分有效反映出本评分项内容</w:t>
            </w:r>
          </w:p>
        </w:tc>
      </w:tr>
      <w:tr w14:paraId="0AA9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2" w:type="dxa"/>
            <w:noWrap w:val="0"/>
            <w:vAlign w:val="center"/>
          </w:tcPr>
          <w:p w14:paraId="090E1B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521" w:type="dxa"/>
            <w:noWrap w:val="0"/>
            <w:vAlign w:val="center"/>
          </w:tcPr>
          <w:p w14:paraId="7A2F6320">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应急处置</w:t>
            </w:r>
          </w:p>
          <w:p w14:paraId="1852AF6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预案</w:t>
            </w:r>
          </w:p>
        </w:tc>
        <w:tc>
          <w:tcPr>
            <w:tcW w:w="736" w:type="dxa"/>
            <w:noWrap w:val="0"/>
            <w:vAlign w:val="center"/>
          </w:tcPr>
          <w:p w14:paraId="65AF0D80">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4708" w:type="dxa"/>
            <w:noWrap w:val="0"/>
            <w:vAlign w:val="center"/>
          </w:tcPr>
          <w:p w14:paraId="01D4A4C4">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对于可能发生的突发情况，提供应急处置预案，根据</w:t>
            </w:r>
            <w:r>
              <w:rPr>
                <w:rFonts w:hint="eastAsia" w:ascii="宋体" w:hAnsi="宋体" w:eastAsia="宋体" w:cs="宋体"/>
                <w:color w:val="auto"/>
                <w:spacing w:val="-2"/>
                <w:position w:val="-2"/>
                <w:sz w:val="21"/>
                <w:szCs w:val="21"/>
                <w:highlight w:val="none"/>
                <w:lang w:val="en-US" w:eastAsia="zh-CN"/>
              </w:rPr>
              <w:t>投标人</w:t>
            </w:r>
            <w:r>
              <w:rPr>
                <w:rFonts w:hint="default" w:ascii="宋体" w:hAnsi="宋体" w:eastAsia="宋体" w:cs="宋体"/>
                <w:color w:val="auto"/>
                <w:spacing w:val="-2"/>
                <w:position w:val="-2"/>
                <w:sz w:val="21"/>
                <w:szCs w:val="21"/>
                <w:highlight w:val="none"/>
                <w:lang w:val="en-US" w:eastAsia="zh-CN"/>
              </w:rPr>
              <w:t xml:space="preserve">提供的应急预案流程及措施进行综合评审： </w:t>
            </w:r>
          </w:p>
          <w:p w14:paraId="62FF3067">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 xml:space="preserve">（1）应急处置预案清晰具体，完整详细，可行性、实用性、针对性强的，得5分； </w:t>
            </w:r>
          </w:p>
          <w:p w14:paraId="1F3CA387">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（2）应急处置预案较为完整详细，具有可行性、实用性和针对性的，得</w:t>
            </w:r>
            <w:r>
              <w:rPr>
                <w:rFonts w:hint="eastAsia" w:ascii="宋体" w:hAnsi="宋体" w:eastAsia="宋体" w:cs="宋体"/>
                <w:color w:val="auto"/>
                <w:spacing w:val="-2"/>
                <w:position w:val="-2"/>
                <w:sz w:val="21"/>
                <w:szCs w:val="21"/>
                <w:highlight w:val="none"/>
                <w:lang w:val="en-US" w:eastAsia="zh-CN"/>
              </w:rPr>
              <w:t>3</w:t>
            </w:r>
            <w:r>
              <w:rPr>
                <w:rFonts w:hint="default" w:ascii="宋体" w:hAnsi="宋体" w:eastAsia="宋体" w:cs="宋体"/>
                <w:color w:val="auto"/>
                <w:spacing w:val="-2"/>
                <w:position w:val="-2"/>
                <w:sz w:val="21"/>
                <w:szCs w:val="21"/>
                <w:highlight w:val="none"/>
                <w:lang w:val="en-US" w:eastAsia="zh-CN"/>
              </w:rPr>
              <w:t xml:space="preserve">分； </w:t>
            </w:r>
          </w:p>
          <w:p w14:paraId="15981BED">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（3）应急处置预案有待提升，可行性、实用性、针对性有待改善的，得</w:t>
            </w:r>
            <w:r>
              <w:rPr>
                <w:rFonts w:hint="eastAsia" w:ascii="宋体" w:hAnsi="宋体" w:eastAsia="宋体" w:cs="宋体"/>
                <w:color w:val="auto"/>
                <w:spacing w:val="-2"/>
                <w:position w:val="-2"/>
                <w:sz w:val="21"/>
                <w:szCs w:val="21"/>
                <w:highlight w:val="none"/>
                <w:lang w:val="en-US" w:eastAsia="zh-CN"/>
              </w:rPr>
              <w:t>1</w:t>
            </w:r>
            <w:r>
              <w:rPr>
                <w:rFonts w:hint="default" w:ascii="宋体" w:hAnsi="宋体" w:eastAsia="宋体" w:cs="宋体"/>
                <w:color w:val="auto"/>
                <w:spacing w:val="-2"/>
                <w:position w:val="-2"/>
                <w:sz w:val="21"/>
                <w:szCs w:val="21"/>
                <w:highlight w:val="none"/>
                <w:lang w:val="en-US" w:eastAsia="zh-CN"/>
              </w:rPr>
              <w:t xml:space="preserve">分； </w:t>
            </w:r>
          </w:p>
          <w:p w14:paraId="582BDFAE">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（4）未提供或提供的明显不符合要求的不得分。</w:t>
            </w:r>
          </w:p>
        </w:tc>
        <w:tc>
          <w:tcPr>
            <w:tcW w:w="2025" w:type="dxa"/>
            <w:noWrap w:val="0"/>
            <w:vAlign w:val="center"/>
          </w:tcPr>
          <w:p w14:paraId="49A8FD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评审核验投标文件中的下述文件：</w:t>
            </w:r>
          </w:p>
          <w:p w14:paraId="1AFA07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投标文件须能充分有效反映出本评分项内容</w:t>
            </w:r>
          </w:p>
        </w:tc>
      </w:tr>
      <w:tr w14:paraId="2027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82" w:type="dxa"/>
            <w:noWrap w:val="0"/>
            <w:vAlign w:val="center"/>
          </w:tcPr>
          <w:p w14:paraId="73BD1B5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21" w:type="dxa"/>
            <w:noWrap w:val="0"/>
            <w:vAlign w:val="center"/>
          </w:tcPr>
          <w:p w14:paraId="551669A5">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体检质量</w:t>
            </w:r>
          </w:p>
          <w:p w14:paraId="49B25E9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保证措施</w:t>
            </w:r>
          </w:p>
        </w:tc>
        <w:tc>
          <w:tcPr>
            <w:tcW w:w="736" w:type="dxa"/>
            <w:noWrap w:val="0"/>
            <w:vAlign w:val="center"/>
          </w:tcPr>
          <w:p w14:paraId="3903E144">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4708" w:type="dxa"/>
            <w:noWrap w:val="0"/>
            <w:vAlign w:val="center"/>
          </w:tcPr>
          <w:p w14:paraId="44C0FF95">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针对本项目实际情况，制定具体的体检质量保证措施，根据</w:t>
            </w:r>
            <w:r>
              <w:rPr>
                <w:rFonts w:hint="eastAsia" w:ascii="宋体" w:hAnsi="宋体" w:eastAsia="宋体" w:cs="宋体"/>
                <w:color w:val="auto"/>
                <w:spacing w:val="-2"/>
                <w:position w:val="-2"/>
                <w:sz w:val="21"/>
                <w:szCs w:val="21"/>
                <w:highlight w:val="none"/>
                <w:lang w:val="en-US" w:eastAsia="zh-CN"/>
              </w:rPr>
              <w:t>招标</w:t>
            </w:r>
            <w:r>
              <w:rPr>
                <w:rFonts w:hint="default" w:ascii="宋体" w:hAnsi="宋体" w:eastAsia="宋体" w:cs="宋体"/>
                <w:color w:val="auto"/>
                <w:spacing w:val="-2"/>
                <w:position w:val="-2"/>
                <w:sz w:val="21"/>
                <w:szCs w:val="21"/>
                <w:highlight w:val="none"/>
                <w:lang w:val="en-US" w:eastAsia="zh-CN"/>
              </w:rPr>
              <w:t>文件要求及</w:t>
            </w:r>
            <w:r>
              <w:rPr>
                <w:rFonts w:hint="eastAsia" w:ascii="宋体" w:hAnsi="宋体" w:eastAsia="宋体" w:cs="宋体"/>
                <w:color w:val="auto"/>
                <w:spacing w:val="-2"/>
                <w:position w:val="-2"/>
                <w:sz w:val="21"/>
                <w:szCs w:val="21"/>
                <w:highlight w:val="none"/>
                <w:lang w:val="en-US" w:eastAsia="zh-CN"/>
              </w:rPr>
              <w:t>投标人</w:t>
            </w:r>
            <w:r>
              <w:rPr>
                <w:rFonts w:hint="default" w:ascii="宋体" w:hAnsi="宋体" w:eastAsia="宋体" w:cs="宋体"/>
                <w:color w:val="auto"/>
                <w:spacing w:val="-2"/>
                <w:position w:val="-2"/>
                <w:sz w:val="21"/>
                <w:szCs w:val="21"/>
                <w:highlight w:val="none"/>
                <w:lang w:val="en-US" w:eastAsia="zh-CN"/>
              </w:rPr>
              <w:t>提供的体检质量保证措施，进行综合评审</w:t>
            </w:r>
            <w:r>
              <w:rPr>
                <w:rFonts w:hint="eastAsia" w:ascii="宋体" w:hAnsi="宋体" w:eastAsia="宋体" w:cs="宋体"/>
                <w:color w:val="auto"/>
                <w:spacing w:val="-2"/>
                <w:position w:val="-2"/>
                <w:sz w:val="21"/>
                <w:szCs w:val="21"/>
                <w:highlight w:val="none"/>
                <w:lang w:val="en-US" w:eastAsia="zh-CN"/>
              </w:rPr>
              <w:t>：</w:t>
            </w:r>
            <w:r>
              <w:rPr>
                <w:rFonts w:hint="default" w:ascii="宋体" w:hAnsi="宋体" w:eastAsia="宋体" w:cs="宋体"/>
                <w:color w:val="auto"/>
                <w:spacing w:val="-2"/>
                <w:position w:val="-2"/>
                <w:sz w:val="21"/>
                <w:szCs w:val="21"/>
                <w:highlight w:val="none"/>
                <w:lang w:val="en-US" w:eastAsia="zh-CN"/>
              </w:rPr>
              <w:t xml:space="preserve"> </w:t>
            </w:r>
          </w:p>
          <w:p w14:paraId="5AEBFA99">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 xml:space="preserve">（1）措施内容清晰具体，完整详细，可行性、实用性、针对性强的，得5分； </w:t>
            </w:r>
          </w:p>
          <w:p w14:paraId="3AC7AF97">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（2）措施内容较为完整详细，具有可行性、实用性和针对性的，得</w:t>
            </w:r>
            <w:r>
              <w:rPr>
                <w:rFonts w:hint="eastAsia" w:ascii="宋体" w:hAnsi="宋体" w:eastAsia="宋体" w:cs="宋体"/>
                <w:color w:val="auto"/>
                <w:spacing w:val="-2"/>
                <w:position w:val="-2"/>
                <w:sz w:val="21"/>
                <w:szCs w:val="21"/>
                <w:highlight w:val="none"/>
                <w:lang w:val="en-US" w:eastAsia="zh-CN"/>
              </w:rPr>
              <w:t>3</w:t>
            </w:r>
            <w:r>
              <w:rPr>
                <w:rFonts w:hint="default" w:ascii="宋体" w:hAnsi="宋体" w:eastAsia="宋体" w:cs="宋体"/>
                <w:color w:val="auto"/>
                <w:spacing w:val="-2"/>
                <w:position w:val="-2"/>
                <w:sz w:val="21"/>
                <w:szCs w:val="21"/>
                <w:highlight w:val="none"/>
                <w:lang w:val="en-US" w:eastAsia="zh-CN"/>
              </w:rPr>
              <w:t xml:space="preserve">分； </w:t>
            </w:r>
          </w:p>
          <w:p w14:paraId="6BAA5BB8">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（3）措施内容有待提升，可行性、实用性、针对性有待改善的，得</w:t>
            </w:r>
            <w:r>
              <w:rPr>
                <w:rFonts w:hint="eastAsia" w:ascii="宋体" w:hAnsi="宋体" w:eastAsia="宋体" w:cs="宋体"/>
                <w:color w:val="auto"/>
                <w:spacing w:val="-2"/>
                <w:position w:val="-2"/>
                <w:sz w:val="21"/>
                <w:szCs w:val="21"/>
                <w:highlight w:val="none"/>
                <w:lang w:val="en-US" w:eastAsia="zh-CN"/>
              </w:rPr>
              <w:t>1</w:t>
            </w:r>
            <w:r>
              <w:rPr>
                <w:rFonts w:hint="default" w:ascii="宋体" w:hAnsi="宋体" w:eastAsia="宋体" w:cs="宋体"/>
                <w:color w:val="auto"/>
                <w:spacing w:val="-2"/>
                <w:position w:val="-2"/>
                <w:sz w:val="21"/>
                <w:szCs w:val="21"/>
                <w:highlight w:val="none"/>
                <w:lang w:val="en-US" w:eastAsia="zh-CN"/>
              </w:rPr>
              <w:t xml:space="preserve">分； </w:t>
            </w:r>
          </w:p>
          <w:p w14:paraId="7C374ACB">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（4）未提供或提供的明显不符合要求的不得分。</w:t>
            </w:r>
          </w:p>
        </w:tc>
        <w:tc>
          <w:tcPr>
            <w:tcW w:w="2025" w:type="dxa"/>
            <w:noWrap w:val="0"/>
            <w:vAlign w:val="center"/>
          </w:tcPr>
          <w:p w14:paraId="3977CA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评审核验投标文件中的下述文件：</w:t>
            </w:r>
          </w:p>
          <w:p w14:paraId="1F92BD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投标文件须能充分有效反映出本评分项内容</w:t>
            </w:r>
          </w:p>
        </w:tc>
      </w:tr>
      <w:tr w14:paraId="214C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4D346D0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21" w:type="dxa"/>
            <w:noWrap w:val="0"/>
            <w:vAlign w:val="center"/>
          </w:tcPr>
          <w:p w14:paraId="5CB670AB">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体检保密</w:t>
            </w:r>
          </w:p>
          <w:p w14:paraId="19AD30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措施</w:t>
            </w:r>
          </w:p>
        </w:tc>
        <w:tc>
          <w:tcPr>
            <w:tcW w:w="736" w:type="dxa"/>
            <w:noWrap w:val="0"/>
            <w:vAlign w:val="center"/>
          </w:tcPr>
          <w:p w14:paraId="2E86DE82">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4708" w:type="dxa"/>
            <w:noWrap w:val="0"/>
            <w:vAlign w:val="center"/>
          </w:tcPr>
          <w:p w14:paraId="4BFDD022">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rPr>
            </w:pPr>
            <w:r>
              <w:rPr>
                <w:rFonts w:hint="eastAsia" w:ascii="宋体" w:hAnsi="宋体" w:eastAsia="宋体" w:cs="宋体"/>
                <w:color w:val="auto"/>
                <w:spacing w:val="-2"/>
                <w:position w:val="-2"/>
                <w:sz w:val="21"/>
                <w:szCs w:val="21"/>
                <w:highlight w:val="none"/>
                <w:lang w:val="en-US" w:eastAsia="zh-CN"/>
              </w:rPr>
              <w:t>根据投标人针对本项目特点提供体检保密措施，包含但不限</w:t>
            </w:r>
            <w:r>
              <w:rPr>
                <w:rFonts w:hint="default" w:ascii="宋体" w:hAnsi="宋体" w:eastAsia="宋体" w:cs="宋体"/>
                <w:color w:val="auto"/>
                <w:spacing w:val="-2"/>
                <w:position w:val="-2"/>
                <w:sz w:val="21"/>
                <w:szCs w:val="21"/>
                <w:highlight w:val="none"/>
                <w:lang w:val="en-US" w:eastAsia="zh-CN"/>
              </w:rPr>
              <w:t xml:space="preserve">于项目保密制度，体检人员信息与隐私保护等进行综合评审： </w:t>
            </w:r>
          </w:p>
          <w:p w14:paraId="79CBC423">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rPr>
            </w:pPr>
            <w:r>
              <w:rPr>
                <w:rFonts w:hint="default" w:ascii="宋体" w:hAnsi="宋体" w:eastAsia="宋体" w:cs="宋体"/>
                <w:color w:val="auto"/>
                <w:spacing w:val="-2"/>
                <w:position w:val="-2"/>
                <w:sz w:val="21"/>
                <w:szCs w:val="21"/>
                <w:highlight w:val="none"/>
                <w:lang w:val="en-US" w:eastAsia="zh-CN"/>
              </w:rPr>
              <w:t xml:space="preserve">（1）体检保密措施清晰具体，完整详细，可行性、实用性、针对性强的，得5分； </w:t>
            </w:r>
          </w:p>
          <w:p w14:paraId="5C9F8B84">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rPr>
            </w:pPr>
            <w:r>
              <w:rPr>
                <w:rFonts w:hint="default" w:ascii="宋体" w:hAnsi="宋体" w:eastAsia="宋体" w:cs="宋体"/>
                <w:color w:val="auto"/>
                <w:spacing w:val="-2"/>
                <w:position w:val="-2"/>
                <w:sz w:val="21"/>
                <w:szCs w:val="21"/>
                <w:highlight w:val="none"/>
                <w:lang w:val="en-US" w:eastAsia="zh-CN"/>
              </w:rPr>
              <w:t>（2）体检保密措施较为完整详细，具有可行性、实用性和针对性的，得</w:t>
            </w:r>
            <w:r>
              <w:rPr>
                <w:rFonts w:hint="eastAsia" w:ascii="宋体" w:hAnsi="宋体" w:eastAsia="宋体" w:cs="宋体"/>
                <w:color w:val="auto"/>
                <w:spacing w:val="-2"/>
                <w:position w:val="-2"/>
                <w:sz w:val="21"/>
                <w:szCs w:val="21"/>
                <w:highlight w:val="none"/>
                <w:lang w:val="en-US" w:eastAsia="zh-CN"/>
              </w:rPr>
              <w:t>3</w:t>
            </w:r>
            <w:r>
              <w:rPr>
                <w:rFonts w:hint="default" w:ascii="宋体" w:hAnsi="宋体" w:eastAsia="宋体" w:cs="宋体"/>
                <w:color w:val="auto"/>
                <w:spacing w:val="-2"/>
                <w:position w:val="-2"/>
                <w:sz w:val="21"/>
                <w:szCs w:val="21"/>
                <w:highlight w:val="none"/>
                <w:lang w:val="en-US" w:eastAsia="zh-CN"/>
              </w:rPr>
              <w:t xml:space="preserve">分； </w:t>
            </w:r>
          </w:p>
          <w:p w14:paraId="70EBAD87">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rPr>
            </w:pPr>
            <w:r>
              <w:rPr>
                <w:rFonts w:hint="default" w:ascii="宋体" w:hAnsi="宋体" w:eastAsia="宋体" w:cs="宋体"/>
                <w:color w:val="auto"/>
                <w:spacing w:val="-2"/>
                <w:position w:val="-2"/>
                <w:sz w:val="21"/>
                <w:szCs w:val="21"/>
                <w:highlight w:val="none"/>
                <w:lang w:val="en-US" w:eastAsia="zh-CN"/>
              </w:rPr>
              <w:t>（3）体检保密措施有待提升，可行性、实用性、针对性有待改善的，得</w:t>
            </w:r>
            <w:r>
              <w:rPr>
                <w:rFonts w:hint="eastAsia" w:ascii="宋体" w:hAnsi="宋体" w:eastAsia="宋体" w:cs="宋体"/>
                <w:color w:val="auto"/>
                <w:spacing w:val="-2"/>
                <w:position w:val="-2"/>
                <w:sz w:val="21"/>
                <w:szCs w:val="21"/>
                <w:highlight w:val="none"/>
                <w:lang w:val="en-US" w:eastAsia="zh-CN"/>
              </w:rPr>
              <w:t>1</w:t>
            </w:r>
            <w:r>
              <w:rPr>
                <w:rFonts w:hint="default" w:ascii="宋体" w:hAnsi="宋体" w:eastAsia="宋体" w:cs="宋体"/>
                <w:color w:val="auto"/>
                <w:spacing w:val="-2"/>
                <w:position w:val="-2"/>
                <w:sz w:val="21"/>
                <w:szCs w:val="21"/>
                <w:highlight w:val="none"/>
                <w:lang w:val="en-US" w:eastAsia="zh-CN"/>
              </w:rPr>
              <w:t xml:space="preserve">分； </w:t>
            </w:r>
          </w:p>
          <w:p w14:paraId="7DD17EA4">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z w:val="21"/>
                <w:szCs w:val="21"/>
                <w:highlight w:val="none"/>
                <w:lang w:eastAsia="zh-CN"/>
              </w:rPr>
            </w:pPr>
            <w:r>
              <w:rPr>
                <w:rFonts w:hint="default" w:ascii="宋体" w:hAnsi="宋体" w:eastAsia="宋体" w:cs="宋体"/>
                <w:color w:val="auto"/>
                <w:spacing w:val="-2"/>
                <w:position w:val="-2"/>
                <w:sz w:val="21"/>
                <w:szCs w:val="21"/>
                <w:highlight w:val="none"/>
                <w:lang w:val="en-US" w:eastAsia="zh-CN"/>
              </w:rPr>
              <w:t>（4）未提供或提供的明显不符合要求的不得分。</w:t>
            </w:r>
          </w:p>
        </w:tc>
        <w:tc>
          <w:tcPr>
            <w:tcW w:w="2025" w:type="dxa"/>
            <w:noWrap w:val="0"/>
            <w:vAlign w:val="center"/>
          </w:tcPr>
          <w:p w14:paraId="2249CC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评审核验投标文件中的下述文件：</w:t>
            </w:r>
          </w:p>
          <w:p w14:paraId="12C150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投标文件须能充分有效反映出本评分项内容</w:t>
            </w:r>
          </w:p>
        </w:tc>
      </w:tr>
      <w:tr w14:paraId="237C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572285C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1" w:type="dxa"/>
            <w:noWrap w:val="0"/>
            <w:vAlign w:val="center"/>
          </w:tcPr>
          <w:p w14:paraId="7A43F56A">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其他服务</w:t>
            </w:r>
          </w:p>
          <w:p w14:paraId="18BC6E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方案</w:t>
            </w:r>
          </w:p>
        </w:tc>
        <w:tc>
          <w:tcPr>
            <w:tcW w:w="736" w:type="dxa"/>
            <w:noWrap w:val="0"/>
            <w:vAlign w:val="center"/>
          </w:tcPr>
          <w:p w14:paraId="38D33990">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4708" w:type="dxa"/>
            <w:noWrap w:val="0"/>
            <w:vAlign w:val="center"/>
          </w:tcPr>
          <w:p w14:paraId="3D8B4EA8">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体检方案中有涉及对职工的心理疏导、体检项目分析介绍详细，餐饮配备齐备、体检结果报告送达及时性，以及阳性体征回访、解答、跟踪服务等进行综合评审</w:t>
            </w:r>
            <w:r>
              <w:rPr>
                <w:rFonts w:hint="eastAsia" w:ascii="宋体" w:hAnsi="宋体" w:eastAsia="宋体" w:cs="宋体"/>
                <w:color w:val="auto"/>
                <w:spacing w:val="-2"/>
                <w:position w:val="-2"/>
                <w:sz w:val="21"/>
                <w:szCs w:val="21"/>
                <w:highlight w:val="none"/>
                <w:lang w:val="en-US" w:eastAsia="zh-CN"/>
              </w:rPr>
              <w:t>：</w:t>
            </w:r>
            <w:r>
              <w:rPr>
                <w:rFonts w:hint="default" w:ascii="宋体" w:hAnsi="宋体" w:eastAsia="宋体" w:cs="宋体"/>
                <w:color w:val="auto"/>
                <w:spacing w:val="-2"/>
                <w:position w:val="-2"/>
                <w:sz w:val="21"/>
                <w:szCs w:val="21"/>
                <w:highlight w:val="none"/>
                <w:lang w:val="en-US" w:eastAsia="zh-CN"/>
              </w:rPr>
              <w:t xml:space="preserve"> </w:t>
            </w:r>
          </w:p>
          <w:p w14:paraId="784C43B8">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 xml:space="preserve">（1）服务内容清晰具体，完整详细，可行性、实用性、针对性强的，得5分； </w:t>
            </w:r>
          </w:p>
          <w:p w14:paraId="6F9367E5">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（2）服务内容较为完整详细，具有可行性、实用性和针对性的，得</w:t>
            </w:r>
            <w:r>
              <w:rPr>
                <w:rFonts w:hint="eastAsia" w:ascii="宋体" w:hAnsi="宋体" w:eastAsia="宋体" w:cs="宋体"/>
                <w:color w:val="auto"/>
                <w:spacing w:val="-2"/>
                <w:position w:val="-2"/>
                <w:sz w:val="21"/>
                <w:szCs w:val="21"/>
                <w:highlight w:val="none"/>
                <w:lang w:val="en-US" w:eastAsia="zh-CN"/>
              </w:rPr>
              <w:t>3</w:t>
            </w:r>
            <w:r>
              <w:rPr>
                <w:rFonts w:hint="default" w:ascii="宋体" w:hAnsi="宋体" w:eastAsia="宋体" w:cs="宋体"/>
                <w:color w:val="auto"/>
                <w:spacing w:val="-2"/>
                <w:position w:val="-2"/>
                <w:sz w:val="21"/>
                <w:szCs w:val="21"/>
                <w:highlight w:val="none"/>
                <w:lang w:val="en-US" w:eastAsia="zh-CN"/>
              </w:rPr>
              <w:t xml:space="preserve">分； </w:t>
            </w:r>
          </w:p>
          <w:p w14:paraId="1637B8CC">
            <w:pPr>
              <w:keepNext w:val="0"/>
              <w:keepLines w:val="0"/>
              <w:suppressLineNumbers w:val="0"/>
              <w:spacing w:before="0" w:beforeAutospacing="0" w:after="0" w:afterAutospacing="0" w:line="360" w:lineRule="exact"/>
              <w:ind w:left="0" w:leftChars="0" w:right="0" w:firstLine="0" w:firstLineChars="0"/>
              <w:rPr>
                <w:rFonts w:hint="default"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（3）服务内容有待提升，可行性、实用性、针对性有待改善的，得</w:t>
            </w:r>
            <w:r>
              <w:rPr>
                <w:rFonts w:hint="eastAsia" w:ascii="宋体" w:hAnsi="宋体" w:eastAsia="宋体" w:cs="宋体"/>
                <w:color w:val="auto"/>
                <w:spacing w:val="-2"/>
                <w:position w:val="-2"/>
                <w:sz w:val="21"/>
                <w:szCs w:val="21"/>
                <w:highlight w:val="none"/>
                <w:lang w:val="en-US" w:eastAsia="zh-CN"/>
              </w:rPr>
              <w:t>1</w:t>
            </w:r>
            <w:r>
              <w:rPr>
                <w:rFonts w:hint="default" w:ascii="宋体" w:hAnsi="宋体" w:eastAsia="宋体" w:cs="宋体"/>
                <w:color w:val="auto"/>
                <w:spacing w:val="-2"/>
                <w:position w:val="-2"/>
                <w:sz w:val="21"/>
                <w:szCs w:val="21"/>
                <w:highlight w:val="none"/>
                <w:lang w:val="en-US" w:eastAsia="zh-CN"/>
              </w:rPr>
              <w:t xml:space="preserve">分； </w:t>
            </w:r>
          </w:p>
          <w:p w14:paraId="31EAFC05">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z w:val="21"/>
                <w:szCs w:val="21"/>
                <w:highlight w:val="none"/>
                <w:lang w:eastAsia="zh-CN"/>
              </w:rPr>
            </w:pPr>
            <w:r>
              <w:rPr>
                <w:rFonts w:hint="default" w:ascii="宋体" w:hAnsi="宋体" w:eastAsia="宋体" w:cs="宋体"/>
                <w:color w:val="auto"/>
                <w:spacing w:val="-2"/>
                <w:position w:val="-2"/>
                <w:sz w:val="21"/>
                <w:szCs w:val="21"/>
                <w:highlight w:val="none"/>
                <w:lang w:val="en-US" w:eastAsia="zh-CN"/>
              </w:rPr>
              <w:t>（4）未提供或提供的明显不符合要求的不得分</w:t>
            </w:r>
            <w:r>
              <w:rPr>
                <w:rFonts w:hint="eastAsia" w:ascii="宋体" w:hAnsi="宋体" w:eastAsia="宋体" w:cs="宋体"/>
                <w:color w:val="auto"/>
                <w:spacing w:val="-2"/>
                <w:position w:val="-2"/>
                <w:sz w:val="21"/>
                <w:szCs w:val="21"/>
                <w:highlight w:val="none"/>
                <w:lang w:val="en-US" w:eastAsia="zh-CN"/>
              </w:rPr>
              <w:t>。</w:t>
            </w:r>
          </w:p>
        </w:tc>
        <w:tc>
          <w:tcPr>
            <w:tcW w:w="2025" w:type="dxa"/>
            <w:noWrap w:val="0"/>
            <w:vAlign w:val="center"/>
          </w:tcPr>
          <w:p w14:paraId="6E409D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评审核验投标文件中的下述文件：</w:t>
            </w:r>
          </w:p>
          <w:p w14:paraId="6472E6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投标文件须能充分有效反映出本评分项内容</w:t>
            </w:r>
          </w:p>
        </w:tc>
      </w:tr>
      <w:tr w14:paraId="1DFC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02E0543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1" w:type="dxa"/>
            <w:noWrap w:val="0"/>
            <w:vAlign w:val="center"/>
          </w:tcPr>
          <w:p w14:paraId="132B9D81">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体检特色</w:t>
            </w:r>
          </w:p>
          <w:p w14:paraId="1963F81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服务方案</w:t>
            </w:r>
          </w:p>
        </w:tc>
        <w:tc>
          <w:tcPr>
            <w:tcW w:w="736" w:type="dxa"/>
            <w:noWrap w:val="0"/>
            <w:vAlign w:val="center"/>
          </w:tcPr>
          <w:p w14:paraId="12031979">
            <w:pPr>
              <w:keepNext w:val="0"/>
              <w:keepLines w:val="0"/>
              <w:widowControl/>
              <w:suppressLineNumbers w:val="0"/>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4708" w:type="dxa"/>
            <w:noWrap w:val="0"/>
            <w:vAlign w:val="center"/>
          </w:tcPr>
          <w:p w14:paraId="29A45883">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lang w:val="en-US" w:eastAsia="zh-CN"/>
              </w:rPr>
            </w:pPr>
            <w:r>
              <w:rPr>
                <w:rFonts w:hint="eastAsia" w:ascii="宋体" w:hAnsi="宋体" w:eastAsia="宋体" w:cs="宋体"/>
                <w:color w:val="auto"/>
                <w:spacing w:val="-2"/>
                <w:position w:val="-2"/>
                <w:sz w:val="21"/>
                <w:szCs w:val="21"/>
                <w:highlight w:val="none"/>
                <w:lang w:val="en-US" w:eastAsia="zh-CN"/>
              </w:rPr>
              <w:t>根据各投标人的特色服务方案的实用性，包括体检后相关的</w:t>
            </w:r>
            <w:r>
              <w:rPr>
                <w:rFonts w:hint="default" w:ascii="宋体" w:hAnsi="宋体" w:eastAsia="宋体" w:cs="宋体"/>
                <w:color w:val="auto"/>
                <w:spacing w:val="-2"/>
                <w:position w:val="-2"/>
                <w:sz w:val="21"/>
                <w:szCs w:val="21"/>
                <w:highlight w:val="none"/>
                <w:lang w:val="en-US" w:eastAsia="zh-CN"/>
              </w:rPr>
              <w:t>重大疾病隐患提醒、健康档案管理、报告解读、专家讲座、绿色就医通道等配套服务情况综合评审</w:t>
            </w:r>
            <w:r>
              <w:rPr>
                <w:rFonts w:hint="eastAsia" w:ascii="宋体" w:hAnsi="宋体" w:eastAsia="宋体" w:cs="宋体"/>
                <w:color w:val="auto"/>
                <w:spacing w:val="-2"/>
                <w:position w:val="-2"/>
                <w:sz w:val="21"/>
                <w:szCs w:val="21"/>
                <w:highlight w:val="none"/>
                <w:lang w:val="en-US" w:eastAsia="zh-CN"/>
              </w:rPr>
              <w:t>：</w:t>
            </w:r>
          </w:p>
          <w:p w14:paraId="05BDCFFC">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 xml:space="preserve">（1）服务内容清晰具体，完整详细，可行性、实用性、针对性强的，得5分； </w:t>
            </w:r>
          </w:p>
          <w:p w14:paraId="138E1765">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（2）服务内容较为完整详细，具有可行性、实用性和针对性的，得</w:t>
            </w:r>
            <w:r>
              <w:rPr>
                <w:rFonts w:hint="eastAsia" w:ascii="宋体" w:hAnsi="宋体" w:eastAsia="宋体" w:cs="宋体"/>
                <w:color w:val="auto"/>
                <w:spacing w:val="-2"/>
                <w:position w:val="-2"/>
                <w:sz w:val="21"/>
                <w:szCs w:val="21"/>
                <w:highlight w:val="none"/>
                <w:lang w:val="en-US" w:eastAsia="zh-CN"/>
              </w:rPr>
              <w:t>3</w:t>
            </w:r>
            <w:r>
              <w:rPr>
                <w:rFonts w:hint="default" w:ascii="宋体" w:hAnsi="宋体" w:eastAsia="宋体" w:cs="宋体"/>
                <w:color w:val="auto"/>
                <w:spacing w:val="-2"/>
                <w:position w:val="-2"/>
                <w:sz w:val="21"/>
                <w:szCs w:val="21"/>
                <w:highlight w:val="none"/>
                <w:lang w:val="en-US" w:eastAsia="zh-CN"/>
              </w:rPr>
              <w:t xml:space="preserve">分； </w:t>
            </w:r>
          </w:p>
          <w:p w14:paraId="5ACE91DC">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pacing w:val="-2"/>
                <w:position w:val="-2"/>
                <w:sz w:val="21"/>
                <w:szCs w:val="21"/>
                <w:highlight w:val="none"/>
                <w:lang w:val="en-US" w:eastAsia="zh-CN"/>
              </w:rPr>
            </w:pPr>
            <w:r>
              <w:rPr>
                <w:rFonts w:hint="default" w:ascii="宋体" w:hAnsi="宋体" w:eastAsia="宋体" w:cs="宋体"/>
                <w:color w:val="auto"/>
                <w:spacing w:val="-2"/>
                <w:position w:val="-2"/>
                <w:sz w:val="21"/>
                <w:szCs w:val="21"/>
                <w:highlight w:val="none"/>
                <w:lang w:val="en-US" w:eastAsia="zh-CN"/>
              </w:rPr>
              <w:t>（3）服务内容有待提升，可行性、实用性、针对性有待改善的，得</w:t>
            </w:r>
            <w:r>
              <w:rPr>
                <w:rFonts w:hint="eastAsia" w:ascii="宋体" w:hAnsi="宋体" w:eastAsia="宋体" w:cs="宋体"/>
                <w:color w:val="auto"/>
                <w:spacing w:val="-2"/>
                <w:position w:val="-2"/>
                <w:sz w:val="21"/>
                <w:szCs w:val="21"/>
                <w:highlight w:val="none"/>
                <w:lang w:val="en-US" w:eastAsia="zh-CN"/>
              </w:rPr>
              <w:t>1</w:t>
            </w:r>
            <w:r>
              <w:rPr>
                <w:rFonts w:hint="default" w:ascii="宋体" w:hAnsi="宋体" w:eastAsia="宋体" w:cs="宋体"/>
                <w:color w:val="auto"/>
                <w:spacing w:val="-2"/>
                <w:position w:val="-2"/>
                <w:sz w:val="21"/>
                <w:szCs w:val="21"/>
                <w:highlight w:val="none"/>
                <w:lang w:val="en-US" w:eastAsia="zh-CN"/>
              </w:rPr>
              <w:t xml:space="preserve">分； </w:t>
            </w:r>
          </w:p>
          <w:p w14:paraId="3E6A930A">
            <w:pPr>
              <w:keepNext w:val="0"/>
              <w:keepLines w:val="0"/>
              <w:suppressLineNumbers w:val="0"/>
              <w:spacing w:before="0" w:beforeAutospacing="0" w:after="0" w:afterAutospacing="0" w:line="360" w:lineRule="exact"/>
              <w:ind w:left="0" w:leftChars="0" w:right="0" w:firstLine="0" w:firstLineChars="0"/>
              <w:rPr>
                <w:rFonts w:hint="eastAsia" w:ascii="宋体" w:hAnsi="宋体" w:eastAsia="宋体" w:cs="宋体"/>
                <w:color w:val="auto"/>
                <w:sz w:val="21"/>
                <w:szCs w:val="21"/>
                <w:highlight w:val="none"/>
                <w:lang w:eastAsia="zh-CN"/>
              </w:rPr>
            </w:pPr>
            <w:r>
              <w:rPr>
                <w:rFonts w:hint="default" w:ascii="宋体" w:hAnsi="宋体" w:eastAsia="宋体" w:cs="宋体"/>
                <w:color w:val="auto"/>
                <w:spacing w:val="-2"/>
                <w:position w:val="-2"/>
                <w:sz w:val="21"/>
                <w:szCs w:val="21"/>
                <w:highlight w:val="none"/>
                <w:lang w:val="en-US" w:eastAsia="zh-CN"/>
              </w:rPr>
              <w:t>（4）未提供或提供的明显不符合要求的不得分</w:t>
            </w:r>
            <w:r>
              <w:rPr>
                <w:rFonts w:hint="eastAsia" w:ascii="宋体" w:hAnsi="宋体" w:eastAsia="宋体" w:cs="宋体"/>
                <w:color w:val="auto"/>
                <w:spacing w:val="-2"/>
                <w:position w:val="-2"/>
                <w:sz w:val="21"/>
                <w:szCs w:val="21"/>
                <w:highlight w:val="none"/>
                <w:lang w:val="en-US" w:eastAsia="zh-CN"/>
              </w:rPr>
              <w:t>。</w:t>
            </w:r>
          </w:p>
        </w:tc>
        <w:tc>
          <w:tcPr>
            <w:tcW w:w="2025" w:type="dxa"/>
            <w:noWrap w:val="0"/>
            <w:vAlign w:val="center"/>
          </w:tcPr>
          <w:p w14:paraId="71AD05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评审核验投标文件中的下述文件：</w:t>
            </w:r>
          </w:p>
          <w:p w14:paraId="7A0B03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投标文件须能充分有效反映出本评分项内容</w:t>
            </w:r>
          </w:p>
        </w:tc>
      </w:tr>
    </w:tbl>
    <w:p w14:paraId="36F24056">
      <w:pPr>
        <w:pStyle w:val="2"/>
        <w:ind w:left="0" w:leftChars="0" w:firstLine="0" w:firstLineChars="0"/>
        <w:rPr>
          <w:rFonts w:hint="eastAsia" w:ascii="宋体" w:hAnsi="宋体" w:eastAsia="宋体" w:cs="宋体"/>
          <w:b/>
          <w:color w:val="auto"/>
          <w:sz w:val="21"/>
          <w:szCs w:val="21"/>
          <w:highlight w:val="none"/>
        </w:rPr>
      </w:pPr>
    </w:p>
    <w:p w14:paraId="07F3AB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5.3</w:t>
      </w:r>
      <w:r>
        <w:rPr>
          <w:rFonts w:hint="eastAsia" w:ascii="宋体" w:hAnsi="宋体"/>
          <w:b/>
          <w:color w:val="auto"/>
          <w:szCs w:val="21"/>
          <w:highlight w:val="none"/>
        </w:rPr>
        <w:t>商务标评审细则</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10</w:t>
      </w:r>
      <w:r>
        <w:rPr>
          <w:rFonts w:hint="eastAsia" w:ascii="宋体" w:hAnsi="宋体"/>
          <w:b/>
          <w:color w:val="auto"/>
          <w:szCs w:val="21"/>
          <w:highlight w:val="none"/>
        </w:rPr>
        <w:t>分</w:t>
      </w:r>
      <w:r>
        <w:rPr>
          <w:rFonts w:hint="eastAsia" w:ascii="宋体" w:hAnsi="宋体"/>
          <w:b/>
          <w:color w:val="auto"/>
          <w:szCs w:val="21"/>
          <w:highlight w:val="none"/>
          <w:lang w:eastAsia="zh-CN"/>
        </w:rPr>
        <w:t>）</w:t>
      </w:r>
    </w:p>
    <w:tbl>
      <w:tblPr>
        <w:tblStyle w:val="2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30"/>
        <w:gridCol w:w="771"/>
        <w:gridCol w:w="6505"/>
      </w:tblGrid>
      <w:tr w14:paraId="35A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46" w:type="dxa"/>
            <w:noWrap w:val="0"/>
            <w:vAlign w:val="center"/>
          </w:tcPr>
          <w:p w14:paraId="3A748141">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序号</w:t>
            </w:r>
          </w:p>
        </w:tc>
        <w:tc>
          <w:tcPr>
            <w:tcW w:w="1230" w:type="dxa"/>
            <w:noWrap w:val="0"/>
            <w:vAlign w:val="center"/>
          </w:tcPr>
          <w:p w14:paraId="4322DF35">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评分因素</w:t>
            </w:r>
          </w:p>
        </w:tc>
        <w:tc>
          <w:tcPr>
            <w:tcW w:w="771" w:type="dxa"/>
            <w:noWrap w:val="0"/>
            <w:vAlign w:val="center"/>
          </w:tcPr>
          <w:p w14:paraId="500921D9">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分值</w:t>
            </w:r>
          </w:p>
        </w:tc>
        <w:tc>
          <w:tcPr>
            <w:tcW w:w="6505" w:type="dxa"/>
            <w:noWrap w:val="0"/>
            <w:vAlign w:val="center"/>
          </w:tcPr>
          <w:p w14:paraId="31770D1B">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评审细则</w:t>
            </w:r>
          </w:p>
        </w:tc>
      </w:tr>
      <w:tr w14:paraId="20F7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46" w:type="dxa"/>
            <w:noWrap w:val="0"/>
            <w:vAlign w:val="center"/>
          </w:tcPr>
          <w:p w14:paraId="4D7B8E4C">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w:t>
            </w:r>
          </w:p>
        </w:tc>
        <w:tc>
          <w:tcPr>
            <w:tcW w:w="1230" w:type="dxa"/>
            <w:noWrap w:val="0"/>
            <w:vAlign w:val="center"/>
          </w:tcPr>
          <w:p w14:paraId="0A13EE8B">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报价</w:t>
            </w:r>
          </w:p>
        </w:tc>
        <w:tc>
          <w:tcPr>
            <w:tcW w:w="771" w:type="dxa"/>
            <w:noWrap w:val="0"/>
            <w:vAlign w:val="center"/>
          </w:tcPr>
          <w:p w14:paraId="050C8266">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10分</w:t>
            </w:r>
          </w:p>
        </w:tc>
        <w:tc>
          <w:tcPr>
            <w:tcW w:w="6505" w:type="dxa"/>
            <w:noWrap w:val="0"/>
            <w:vAlign w:val="center"/>
          </w:tcPr>
          <w:p w14:paraId="4F54B095">
            <w:pPr>
              <w:keepNext w:val="0"/>
              <w:keepLines w:val="0"/>
              <w:suppressLineNumbers w:val="0"/>
              <w:spacing w:before="0" w:beforeAutospacing="0" w:after="0" w:afterAutospacing="0" w:line="440" w:lineRule="exact"/>
              <w:ind w:left="0" w:right="0"/>
              <w:jc w:val="both"/>
              <w:rPr>
                <w:rFonts w:hint="eastAsia" w:ascii="宋体" w:hAnsi="宋体"/>
                <w:color w:val="auto"/>
                <w:szCs w:val="21"/>
                <w:highlight w:val="none"/>
              </w:rPr>
            </w:pPr>
            <w:r>
              <w:rPr>
                <w:rFonts w:hint="eastAsia" w:ascii="宋体" w:hAnsi="宋体"/>
                <w:color w:val="auto"/>
                <w:szCs w:val="21"/>
                <w:highlight w:val="none"/>
                <w:lang w:val="en-US" w:eastAsia="zh-CN"/>
              </w:rPr>
              <w:t>采购人</w:t>
            </w:r>
            <w:r>
              <w:rPr>
                <w:rFonts w:hint="eastAsia" w:ascii="宋体" w:hAnsi="宋体"/>
                <w:color w:val="auto"/>
                <w:szCs w:val="21"/>
                <w:highlight w:val="none"/>
              </w:rPr>
              <w:t>设置投标报价最高限价，各投标人有效报价不得高于最高限价，否则，其投标文件按无效标处理。</w:t>
            </w:r>
          </w:p>
          <w:p w14:paraId="565C2306">
            <w:pPr>
              <w:keepNext w:val="0"/>
              <w:keepLines w:val="0"/>
              <w:suppressLineNumbers w:val="0"/>
              <w:spacing w:before="0" w:beforeAutospacing="0" w:after="0" w:afterAutospacing="0" w:line="440" w:lineRule="exact"/>
              <w:ind w:left="0" w:right="0"/>
              <w:jc w:val="both"/>
              <w:rPr>
                <w:rFonts w:hint="eastAsia" w:ascii="宋体" w:hAnsi="宋体"/>
                <w:color w:val="auto"/>
                <w:szCs w:val="21"/>
                <w:highlight w:val="none"/>
              </w:rPr>
            </w:pPr>
            <w:r>
              <w:rPr>
                <w:rFonts w:hint="eastAsia" w:ascii="宋体" w:hAnsi="宋体"/>
                <w:color w:val="auto"/>
                <w:szCs w:val="21"/>
                <w:highlight w:val="none"/>
              </w:rPr>
              <w:t>1.评审基准价=所有有效投标人的最低报价；其得分为满分；</w:t>
            </w:r>
          </w:p>
          <w:p w14:paraId="37A05E19">
            <w:pPr>
              <w:keepNext w:val="0"/>
              <w:keepLines w:val="0"/>
              <w:suppressLineNumbers w:val="0"/>
              <w:spacing w:before="0" w:beforeAutospacing="0" w:after="0" w:afterAutospacing="0" w:line="440" w:lineRule="exact"/>
              <w:ind w:left="0" w:right="0"/>
              <w:jc w:val="both"/>
              <w:rPr>
                <w:rFonts w:hint="eastAsia" w:ascii="宋体" w:hAnsi="宋体"/>
                <w:color w:val="auto"/>
                <w:szCs w:val="21"/>
                <w:highlight w:val="none"/>
              </w:rPr>
            </w:pPr>
            <w:r>
              <w:rPr>
                <w:rFonts w:hint="eastAsia" w:ascii="宋体" w:hAnsi="宋体"/>
                <w:color w:val="auto"/>
                <w:szCs w:val="21"/>
                <w:highlight w:val="none"/>
              </w:rPr>
              <w:t>2.其它报价得分=评审基准价/投标报价*满分，小数点后保留两位小数，第三位四舍五入；</w:t>
            </w:r>
          </w:p>
          <w:p w14:paraId="09B2FF7F">
            <w:pPr>
              <w:keepNext w:val="0"/>
              <w:keepLines w:val="0"/>
              <w:suppressLineNumbers w:val="0"/>
              <w:spacing w:before="0" w:beforeAutospacing="0" w:after="0" w:afterAutospacing="0" w:line="440" w:lineRule="exact"/>
              <w:ind w:left="0" w:right="0"/>
              <w:jc w:val="both"/>
              <w:rPr>
                <w:rFonts w:hint="eastAsia" w:ascii="宋体" w:hAnsi="Times New Roman" w:eastAsia="宋体" w:cs="Times New Roman"/>
                <w:b/>
                <w:bCs/>
                <w:color w:val="auto"/>
                <w:szCs w:val="21"/>
                <w:highlight w:val="none"/>
                <w:lang w:val="en-US" w:eastAsia="zh-CN"/>
              </w:rPr>
            </w:pPr>
            <w:r>
              <w:rPr>
                <w:rFonts w:hint="eastAsia" w:ascii="宋体" w:hAnsi="宋体"/>
                <w:color w:val="auto"/>
                <w:szCs w:val="21"/>
                <w:highlight w:val="none"/>
              </w:rPr>
              <w:t>3.本项分值由评审委员会负责组织计算。</w:t>
            </w:r>
          </w:p>
        </w:tc>
      </w:tr>
    </w:tbl>
    <w:p w14:paraId="0329FB48">
      <w:pPr>
        <w:spacing w:line="440" w:lineRule="exact"/>
        <w:rPr>
          <w:rFonts w:hint="eastAsia" w:ascii="宋体" w:hAnsi="Times New Roman" w:eastAsia="宋体" w:cs="Times New Roman"/>
          <w:b w:val="0"/>
          <w:bCs w:val="0"/>
          <w:color w:val="auto"/>
          <w:szCs w:val="21"/>
          <w:highlight w:val="none"/>
          <w:lang w:val="en-US" w:eastAsia="zh-CN"/>
        </w:rPr>
      </w:pPr>
      <w:r>
        <w:rPr>
          <w:rFonts w:hint="eastAsia" w:ascii="宋体" w:hAnsi="Times New Roman" w:eastAsia="宋体" w:cs="Times New Roman"/>
          <w:b w:val="0"/>
          <w:bCs w:val="0"/>
          <w:color w:val="auto"/>
          <w:szCs w:val="21"/>
          <w:highlight w:val="none"/>
          <w:lang w:val="en-US" w:eastAsia="zh-CN"/>
        </w:rPr>
        <w:t>特别说明：</w:t>
      </w:r>
    </w:p>
    <w:p w14:paraId="69AFF0D4">
      <w:pPr>
        <w:spacing w:line="400" w:lineRule="exact"/>
        <w:ind w:firstLine="420" w:firstLineChars="200"/>
        <w:rPr>
          <w:rFonts w:hint="eastAsia"/>
          <w:color w:val="auto"/>
          <w:highlight w:val="none"/>
        </w:rPr>
      </w:pPr>
      <w:r>
        <w:rPr>
          <w:rFonts w:hint="eastAsia" w:ascii="宋体" w:hAnsi="Times New Roman" w:eastAsia="宋体" w:cs="Times New Roman"/>
          <w:b w:val="0"/>
          <w:bCs w:val="0"/>
          <w:color w:val="auto"/>
          <w:szCs w:val="21"/>
          <w:highlight w:val="none"/>
          <w:lang w:val="en-US" w:eastAsia="zh-CN"/>
        </w:rPr>
        <w:t>以上分值均保留二位小数，小数点后第三位四舍五入。</w:t>
      </w:r>
    </w:p>
    <w:p w14:paraId="5A0B60CA">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四、推荐中标候选人</w:t>
      </w:r>
    </w:p>
    <w:p w14:paraId="1CD26040">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color w:val="auto"/>
          <w:szCs w:val="21"/>
          <w:highlight w:val="none"/>
          <w:lang w:val="en-US" w:eastAsia="zh-CN"/>
        </w:rPr>
        <w:t>7.</w:t>
      </w:r>
      <w:r>
        <w:rPr>
          <w:rFonts w:hint="eastAsia" w:ascii="宋体" w:hAnsi="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5972937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8.无效投标条款</w:t>
      </w:r>
    </w:p>
    <w:p w14:paraId="4E7CC32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8.1投标人存在下列情形的招标人将拒收投标文件：</w:t>
      </w:r>
    </w:p>
    <w:p w14:paraId="4BE8559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 未在投标截止时间前递交投标文件的，投标将被拒绝。</w:t>
      </w:r>
    </w:p>
    <w:p w14:paraId="3E1FD35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8.2其他无效投标情况：</w:t>
      </w:r>
    </w:p>
    <w:p w14:paraId="284DB5D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6A89C8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（2）投标人有串通投标、视为串通投标、弄虚作假、行贿等违法行为。</w:t>
      </w:r>
    </w:p>
    <w:p w14:paraId="7AB7F34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（3）投标文件没有对招标文件的实质性要求和条件作出响应。</w:t>
      </w:r>
    </w:p>
    <w:p w14:paraId="4D7439E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（4）未按规定的格式填写导致实质性内容不全以及实质上不响应，或者关键字迹模糊、无法辨认。</w:t>
      </w:r>
    </w:p>
    <w:p w14:paraId="554A476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（5）同一投标人提交两个以上不同的投标文件或者投标报价，但招标文件规定提交备选投标的除外。</w:t>
      </w:r>
    </w:p>
    <w:p w14:paraId="33FB65E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（6）投标文件中存在招标人不能接受的其他实质性条件。</w:t>
      </w:r>
    </w:p>
    <w:p w14:paraId="69CDE36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（7）投标人拒不按照要求对投标文件进行澄清、说明、补正的，或评标委员会根据招标文件的规定对招标文件的计算错误进行修正后，投标人不接受修正的投标报价的。</w:t>
      </w:r>
    </w:p>
    <w:p w14:paraId="1A60E9E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（8）投标人单方面出现其他投标人材料。</w:t>
      </w:r>
    </w:p>
    <w:p w14:paraId="085C0E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（9）法律、法规规定的其他情形。</w:t>
      </w:r>
    </w:p>
    <w:p w14:paraId="71ED626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9.投标文件的澄清和补正</w:t>
      </w:r>
    </w:p>
    <w:p w14:paraId="7779F7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229EA7E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9.2澄清、说明和补正不得改变投标文件的实质性内容（算术性错误修正的除外）。投标人的书面澄清、说明和补正属于投标文件的组成部分。</w:t>
      </w:r>
    </w:p>
    <w:p w14:paraId="20D0BD8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9.3评标委员会对投标人提交的澄清、说明和补正有疑问的，可以要求投标人进一步澄清、说明或补正、直至满足评标委员会的要求。</w:t>
      </w:r>
    </w:p>
    <w:p w14:paraId="5E89B86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按照投标文件规定进行澄清、补正后的投标报价经投标人的法定代表人或其委托代理人确认后即为该投标人的最终投标报价。投标人一旦中标，此报价即为中标价。</w:t>
      </w:r>
    </w:p>
    <w:p w14:paraId="1C46649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9.4评委会修正错误的原则：</w:t>
      </w:r>
    </w:p>
    <w:p w14:paraId="21901E5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9.4.1如果数字表示的金额和用文字表示的金额不一致时，以文字表示的金额为准；当投标数量与招标数量不一致时，以招标数量为准；当分项报价清单、投标函的总报价与开标一览表不一致时，以开标一览表为准。</w:t>
      </w:r>
    </w:p>
    <w:p w14:paraId="2FD03B5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9.4.2如果单价与数量的乘积和总价不一致，以单价为准，修正总价及开标一览表；当单价小数点有明显的错位时，评委会将以总价为准，并修正其单价；投标的数量与招标的数量不一致时，以招标数量为准。</w:t>
      </w:r>
    </w:p>
    <w:p w14:paraId="5C12420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bookmarkStart w:id="53" w:name="_Toc95223440"/>
      <w:r>
        <w:rPr>
          <w:rFonts w:hint="eastAsia" w:ascii="宋体"/>
          <w:color w:val="auto"/>
          <w:szCs w:val="21"/>
          <w:highlight w:val="none"/>
          <w:lang w:val="en-US" w:eastAsia="zh-CN"/>
        </w:rPr>
        <w:t>10.评分标准</w:t>
      </w:r>
      <w:bookmarkEnd w:id="53"/>
    </w:p>
    <w:p w14:paraId="5947D62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10.1评分标准：见资信、商务评分表。</w:t>
      </w:r>
    </w:p>
    <w:p w14:paraId="757B8CC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11.评审结果</w:t>
      </w:r>
    </w:p>
    <w:p w14:paraId="57BEE5A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11.1评标委员会按照总得分由高到低顺序推荐中标候选人。</w:t>
      </w:r>
    </w:p>
    <w:p w14:paraId="115465A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11.2评标委员会完成评标后，应当向招标人提交书面评标报告。评标报告应当如实记载以下内容：</w:t>
      </w:r>
    </w:p>
    <w:p w14:paraId="3260853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（1）基本情况和数据表。</w:t>
      </w:r>
    </w:p>
    <w:p w14:paraId="5AE081C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（2）评标委员会成员名单。</w:t>
      </w:r>
    </w:p>
    <w:p w14:paraId="418B2D7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（3）开标记录。</w:t>
      </w:r>
    </w:p>
    <w:p w14:paraId="255A1B5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（4）符合要求的投标人一览表。</w:t>
      </w:r>
    </w:p>
    <w:p w14:paraId="271695D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（5）否决投标情况说明。</w:t>
      </w:r>
    </w:p>
    <w:p w14:paraId="35E25A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（6）评标标准、评标方法或者评标因素。</w:t>
      </w:r>
    </w:p>
    <w:p w14:paraId="72BA362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（7）评标情况一览表。</w:t>
      </w:r>
    </w:p>
    <w:p w14:paraId="1EC93D0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（8）经评审的投标人排序。</w:t>
      </w:r>
    </w:p>
    <w:p w14:paraId="1EC468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（9）推荐的中标候选人名单与签订合同前要处理的事宜。</w:t>
      </w:r>
    </w:p>
    <w:p w14:paraId="4CEC19E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（10）澄清、说明、补正事项纪要。</w:t>
      </w:r>
    </w:p>
    <w:p w14:paraId="0C332DB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08E48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12.其他</w:t>
      </w:r>
    </w:p>
    <w:p w14:paraId="012B585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b/>
          <w:color w:val="auto"/>
          <w:sz w:val="32"/>
          <w:szCs w:val="32"/>
          <w:highlight w:val="none"/>
        </w:rPr>
      </w:pPr>
      <w:r>
        <w:rPr>
          <w:rFonts w:hint="eastAsia" w:ascii="宋体"/>
          <w:color w:val="auto"/>
          <w:szCs w:val="21"/>
          <w:highlight w:val="none"/>
          <w:lang w:val="en-US" w:eastAsia="zh-CN"/>
        </w:rPr>
        <w:t>投标人提供的与投标文件有关的各类证书、证明、文件、资料等的真实性、合法性由投标人负全责。</w:t>
      </w:r>
      <w:bookmarkStart w:id="54" w:name="_Toc9683"/>
      <w:bookmarkStart w:id="55" w:name="_Toc17330"/>
    </w:p>
    <w:p w14:paraId="36AB1C72">
      <w:pPr>
        <w:spacing w:before="156" w:beforeLines="50" w:after="156" w:afterLines="50"/>
        <w:jc w:val="center"/>
        <w:outlineLvl w:val="0"/>
        <w:rPr>
          <w:rFonts w:hint="eastAsia" w:ascii="宋体"/>
          <w:b/>
          <w:color w:val="auto"/>
          <w:sz w:val="32"/>
          <w:szCs w:val="32"/>
          <w:highlight w:val="none"/>
        </w:rPr>
      </w:pPr>
    </w:p>
    <w:p w14:paraId="6788DD1B">
      <w:pPr>
        <w:spacing w:before="156" w:beforeLines="50" w:after="156" w:afterLines="50"/>
        <w:jc w:val="center"/>
        <w:outlineLvl w:val="0"/>
        <w:rPr>
          <w:rFonts w:hint="eastAsia" w:ascii="宋体"/>
          <w:b/>
          <w:color w:val="auto"/>
          <w:sz w:val="32"/>
          <w:szCs w:val="32"/>
          <w:highlight w:val="none"/>
        </w:rPr>
      </w:pPr>
    </w:p>
    <w:p w14:paraId="46AB91BE">
      <w:pPr>
        <w:pStyle w:val="14"/>
        <w:rPr>
          <w:rFonts w:hint="eastAsia" w:ascii="宋体"/>
          <w:b/>
          <w:color w:val="auto"/>
          <w:sz w:val="32"/>
          <w:szCs w:val="32"/>
          <w:highlight w:val="none"/>
        </w:rPr>
      </w:pPr>
    </w:p>
    <w:p w14:paraId="2C1F1DD6">
      <w:pPr>
        <w:pStyle w:val="15"/>
        <w:rPr>
          <w:rFonts w:hint="eastAsia" w:ascii="宋体"/>
          <w:b/>
          <w:color w:val="auto"/>
          <w:sz w:val="32"/>
          <w:szCs w:val="32"/>
          <w:highlight w:val="none"/>
        </w:rPr>
      </w:pPr>
    </w:p>
    <w:p w14:paraId="51B921F0">
      <w:pPr>
        <w:rPr>
          <w:rFonts w:hint="eastAsia" w:ascii="宋体"/>
          <w:b/>
          <w:color w:val="auto"/>
          <w:sz w:val="32"/>
          <w:szCs w:val="32"/>
          <w:highlight w:val="none"/>
        </w:rPr>
      </w:pPr>
    </w:p>
    <w:p w14:paraId="0644D0F2">
      <w:pPr>
        <w:pStyle w:val="14"/>
        <w:rPr>
          <w:rFonts w:hint="eastAsia" w:ascii="宋体"/>
          <w:b/>
          <w:color w:val="auto"/>
          <w:sz w:val="32"/>
          <w:szCs w:val="32"/>
          <w:highlight w:val="none"/>
        </w:rPr>
      </w:pPr>
    </w:p>
    <w:p w14:paraId="2835B093">
      <w:pPr>
        <w:pStyle w:val="14"/>
        <w:rPr>
          <w:rFonts w:hint="eastAsia"/>
          <w:color w:val="auto"/>
          <w:highlight w:val="none"/>
        </w:rPr>
      </w:pPr>
    </w:p>
    <w:p w14:paraId="6E2AF6A8">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第四章  采购需求</w:t>
      </w:r>
      <w:bookmarkEnd w:id="54"/>
    </w:p>
    <w:p w14:paraId="1DAE8078">
      <w:pPr>
        <w:pStyle w:val="67"/>
        <w:spacing w:line="360" w:lineRule="auto"/>
        <w:ind w:left="0" w:leftChars="0" w:firstLine="0" w:firstLineChars="0"/>
        <w:rPr>
          <w:rFonts w:hint="default" w:ascii="宋体" w:hAnsi="宋体" w:eastAsiaTheme="minorEastAsia" w:cstheme="minorBidi"/>
          <w:b/>
          <w:color w:val="auto"/>
          <w:kern w:val="2"/>
          <w:sz w:val="21"/>
          <w:szCs w:val="21"/>
          <w:highlight w:val="none"/>
          <w:lang w:val="en-US" w:eastAsia="zh-CN" w:bidi="ar-SA"/>
        </w:rPr>
      </w:pPr>
      <w:r>
        <w:rPr>
          <w:rFonts w:hint="eastAsia" w:ascii="宋体" w:hAnsi="宋体" w:eastAsiaTheme="minorEastAsia" w:cstheme="minorBidi"/>
          <w:b/>
          <w:color w:val="auto"/>
          <w:kern w:val="2"/>
          <w:sz w:val="21"/>
          <w:szCs w:val="21"/>
          <w:highlight w:val="none"/>
          <w:lang w:val="en-US" w:eastAsia="zh-CN" w:bidi="ar-SA"/>
        </w:rPr>
        <w:t>一、</w:t>
      </w:r>
      <w:r>
        <w:rPr>
          <w:rFonts w:hint="eastAsia" w:ascii="宋体" w:hAnsi="宋体" w:cstheme="minorBidi"/>
          <w:b/>
          <w:color w:val="auto"/>
          <w:kern w:val="2"/>
          <w:sz w:val="21"/>
          <w:szCs w:val="21"/>
          <w:highlight w:val="none"/>
          <w:lang w:val="en-US" w:eastAsia="zh-CN" w:bidi="ar-SA"/>
        </w:rPr>
        <w:t>项目概况</w:t>
      </w:r>
    </w:p>
    <w:p w14:paraId="72650A0D">
      <w:pPr>
        <w:numPr>
          <w:ilvl w:val="0"/>
          <w:numId w:val="0"/>
        </w:numPr>
        <w:spacing w:line="360" w:lineRule="auto"/>
        <w:ind w:firstLine="420" w:firstLineChars="200"/>
        <w:rPr>
          <w:rFonts w:hint="default" w:ascii="宋体" w:hAnsi="宋体" w:eastAsia="宋体" w:cs="宋体"/>
          <w:color w:val="auto"/>
          <w:kern w:val="0"/>
          <w:sz w:val="21"/>
          <w:szCs w:val="21"/>
          <w:highlight w:val="none"/>
          <w:u w:color="000000"/>
          <w:lang w:val="en-US" w:eastAsia="zh-CN" w:bidi="ar"/>
        </w:rPr>
      </w:pPr>
      <w:r>
        <w:rPr>
          <w:rFonts w:hint="eastAsia" w:ascii="宋体" w:hAnsi="宋体" w:cs="宋体"/>
          <w:color w:val="auto"/>
          <w:szCs w:val="21"/>
          <w:highlight w:val="none"/>
          <w:lang w:eastAsia="zh-CN"/>
        </w:rPr>
        <w:t>提供员工年度健康体检共计691人（其中</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lang w:eastAsia="zh-CN"/>
        </w:rPr>
        <w:t>巴士公司36人，驾校16人）。</w:t>
      </w:r>
    </w:p>
    <w:p w14:paraId="3675DAA2">
      <w:pPr>
        <w:numPr>
          <w:ilvl w:val="0"/>
          <w:numId w:val="0"/>
        </w:numPr>
        <w:spacing w:line="360" w:lineRule="auto"/>
        <w:rPr>
          <w:rFonts w:hint="eastAsia"/>
          <w:b/>
          <w:bCs/>
          <w:color w:val="auto"/>
          <w:highlight w:val="none"/>
          <w:lang w:val="en-US" w:eastAsia="zh-CN"/>
        </w:rPr>
      </w:pPr>
      <w:r>
        <w:rPr>
          <w:rFonts w:hint="eastAsia"/>
          <w:b/>
          <w:bCs/>
          <w:color w:val="auto"/>
          <w:highlight w:val="none"/>
          <w:lang w:val="en-US" w:eastAsia="zh-CN"/>
        </w:rPr>
        <w:t>二、体检项目</w:t>
      </w:r>
    </w:p>
    <w:tbl>
      <w:tblPr>
        <w:tblStyle w:val="28"/>
        <w:tblW w:w="9613" w:type="dxa"/>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689"/>
        <w:gridCol w:w="1791"/>
        <w:gridCol w:w="4928"/>
        <w:gridCol w:w="582"/>
        <w:gridCol w:w="566"/>
        <w:gridCol w:w="567"/>
      </w:tblGrid>
      <w:tr w14:paraId="774E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rPr>
            </w:pPr>
            <w:r>
              <w:rPr>
                <w:rFonts w:hint="default" w:ascii="宋体" w:hAnsi="宋体" w:eastAsia="宋体" w:cs="宋体"/>
                <w:b/>
                <w:bCs/>
                <w:i w:val="0"/>
                <w:iCs w:val="0"/>
                <w:color w:val="auto"/>
                <w:kern w:val="0"/>
                <w:sz w:val="22"/>
                <w:szCs w:val="22"/>
                <w:highlight w:val="none"/>
                <w:u w:val="none"/>
                <w:lang w:val="en-US" w:eastAsia="zh-CN" w:bidi="ar"/>
              </w:rPr>
              <w:t xml:space="preserve"> 序号</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7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rPr>
            </w:pPr>
            <w:r>
              <w:rPr>
                <w:rFonts w:hint="default" w:ascii="宋体" w:hAnsi="宋体" w:eastAsia="宋体" w:cs="宋体"/>
                <w:b/>
                <w:bCs/>
                <w:i w:val="0"/>
                <w:iCs w:val="0"/>
                <w:color w:val="auto"/>
                <w:kern w:val="0"/>
                <w:sz w:val="22"/>
                <w:szCs w:val="22"/>
                <w:highlight w:val="none"/>
                <w:u w:val="none"/>
                <w:lang w:val="en-US" w:eastAsia="zh-CN" w:bidi="ar"/>
              </w:rPr>
              <w:t>体检项目</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0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rPr>
            </w:pPr>
            <w:r>
              <w:rPr>
                <w:rFonts w:hint="default" w:ascii="宋体" w:hAnsi="宋体" w:eastAsia="宋体" w:cs="宋体"/>
                <w:b/>
                <w:bCs/>
                <w:i w:val="0"/>
                <w:iCs w:val="0"/>
                <w:color w:val="auto"/>
                <w:kern w:val="0"/>
                <w:sz w:val="22"/>
                <w:szCs w:val="22"/>
                <w:highlight w:val="none"/>
                <w:u w:val="none"/>
                <w:lang w:val="en-US" w:eastAsia="zh-CN" w:bidi="ar"/>
              </w:rPr>
              <w:t>项目意义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14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rPr>
            </w:pPr>
            <w:r>
              <w:rPr>
                <w:rFonts w:hint="default" w:ascii="宋体" w:hAnsi="宋体" w:eastAsia="宋体" w:cs="宋体"/>
                <w:b/>
                <w:bCs/>
                <w:i w:val="0"/>
                <w:iCs w:val="0"/>
                <w:color w:val="auto"/>
                <w:kern w:val="0"/>
                <w:sz w:val="22"/>
                <w:szCs w:val="22"/>
                <w:highlight w:val="none"/>
                <w:u w:val="none"/>
                <w:lang w:val="en-US" w:eastAsia="zh-CN" w:bidi="ar"/>
              </w:rPr>
              <w:t>男</w:t>
            </w:r>
          </w:p>
        </w:tc>
        <w:tc>
          <w:tcPr>
            <w:tcW w:w="566" w:type="dxa"/>
            <w:tcBorders>
              <w:top w:val="single" w:color="000000" w:sz="4" w:space="0"/>
              <w:left w:val="single" w:color="000000" w:sz="4" w:space="0"/>
              <w:bottom w:val="single" w:color="000000" w:sz="4" w:space="0"/>
              <w:right w:val="nil"/>
            </w:tcBorders>
            <w:shd w:val="clear" w:color="auto" w:fill="auto"/>
            <w:vAlign w:val="center"/>
          </w:tcPr>
          <w:p w14:paraId="7CEE4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rPr>
            </w:pPr>
            <w:r>
              <w:rPr>
                <w:rFonts w:hint="default" w:ascii="宋体" w:hAnsi="宋体" w:eastAsia="宋体" w:cs="宋体"/>
                <w:b/>
                <w:bCs/>
                <w:i w:val="0"/>
                <w:iCs w:val="0"/>
                <w:color w:val="auto"/>
                <w:kern w:val="0"/>
                <w:sz w:val="22"/>
                <w:szCs w:val="22"/>
                <w:highlight w:val="none"/>
                <w:u w:val="none"/>
                <w:lang w:val="en-US" w:eastAsia="zh-CN" w:bidi="ar"/>
              </w:rPr>
              <w:t>女</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rPr>
            </w:pPr>
            <w:r>
              <w:rPr>
                <w:rFonts w:hint="default" w:ascii="宋体" w:hAnsi="宋体" w:eastAsia="宋体" w:cs="宋体"/>
                <w:b/>
                <w:bCs/>
                <w:i w:val="0"/>
                <w:iCs w:val="0"/>
                <w:color w:val="auto"/>
                <w:kern w:val="0"/>
                <w:sz w:val="22"/>
                <w:szCs w:val="22"/>
                <w:highlight w:val="none"/>
                <w:u w:val="none"/>
                <w:lang w:val="en-US" w:eastAsia="zh-CN" w:bidi="ar"/>
              </w:rPr>
              <w:t>女未婚</w:t>
            </w:r>
          </w:p>
        </w:tc>
      </w:tr>
      <w:tr w14:paraId="321A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F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一般检查</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82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身高、体重、体 重指数(BMI)、血 压测量</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F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发现高血压及其他异常</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了解身高、体重、血压、肥胖、消瘦情况</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F33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2"/>
                <w:szCs w:val="22"/>
                <w:highlight w:val="none"/>
                <w:u w:val="none"/>
              </w:rPr>
            </w:pPr>
            <w:r>
              <w:rPr>
                <w:rFonts w:hint="default" w:ascii="Arial" w:hAnsi="Arial" w:eastAsia="宋体" w:cs="Arial"/>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D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3CB9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AA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D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内科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4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胸部、心(心率、</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心律、心音、心 界)、肺、腹部  (肝、胆、脾、 肾 )</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8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发现浅表淋巴结、皮肤、甲状腺、前列腺及乳腺等异常</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3B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0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1B07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80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A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外科</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皮肤、浅表淋巴  结、甲状腺、脊  柱、四肢关节、 肛门指诊(含前列腺)、外生殖器</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解淋巴结有无肿大，甲状腺，乳腺有无肿块， 肛诊(前列腺、直肠病变),外生殖器，四肢脊柱有无畸形等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3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8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90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3E39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B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4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3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尿常规</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尿液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蛋白质(PRO)、葡萄糖(GL)、胆红素(BIL)、尿胆原  (URO)、酮体(KET)、亚硝酸盐(NIT)、白细胞(LEU), 尿比重(SG)、尿酸碱度(pH)、隐血(OBT)、镜检红  细胞、镜检白细胞、尿Ve、尿镜检(包括红细胞、 白细胞、管型、结品等有形成分</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对泌尿道疾病，黄疸、糖尿病等有诊断价值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A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55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53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00D7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5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8B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血常规</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D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70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白细胞，红细胞，血红蛋白，红细胞压积，红细胞 平均体积，平均血红蛋白量，平均血红蛋白浓  度，血小板，红细胞分布宽度SD,红细胞分布宽 度CV,血小板分布宽度，平均血小板体积，大血 小板比率(五分类)(P_LCR),血小板压积(五分</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类)(PCT),中性细胞数，淋巴细胞数，嗜碱性粒  细胞比率，淋巴细胞比率，中性细胞比率，单核细胞计数，嗜碱性粒细胞，嗜酸性粒细胞比率， 单核细胞比率，嗜酸性粒细胞</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血液中有形成分分析：了解红细胞计数、白细 胞计数和血小板计数，查有无贫血、感染、凝血功能障碍等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E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19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2EA0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2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6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9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空腹血糖</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6D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C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空腹血糖，了解血糖情况，诊断糖尿病</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D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11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0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4707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7 </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B5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血脂4项</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7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总胆固醇(TC)</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8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增高：家族性高胆固醇血症、动脉硬化、冠心 病、肾病综合征、糖尿病、长期高脂饮食、妊 娠期。</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降低：严重肝脏损坏、肿瘤、结核、甲亢、消 化不良。</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6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4D67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6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8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4E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CB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血清甘油三酯 (TG)</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D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增高：动脉粥样硬化，糖尿病，肾病综合征， 家族性高脂血症。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6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E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7234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A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9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27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28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高密度脂蛋白 (HDL-C)</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7F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用于冠心病、高甘油三脂血症、肝功能损害、 肝硬化、急性胆囊炎等疾病的筛检。</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C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4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F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2112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10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74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低密度脂蛋白 (LDL-G)</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0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是动脉粥样硬化、冠心病的危险信号，用于甲 亢、急、慢性肝炎、肝硬化、甲低、糖尿病、 肾病综合征疾病的筛检。</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C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A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165E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6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11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肝功8项</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7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丙氨酸氨基转移酶（ALT）、天门冬氨酸氨基转移酶（AST)、γ-谷氨酰基转移酶（GGT)、碱性磷酸酶（ALP)、总蛋白（TPO)总胆红素（TBIL）、直接胆红素（DBIL)、间接胆红素（IBIL)</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D1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CA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0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084E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A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12 </w:t>
            </w:r>
          </w:p>
        </w:tc>
        <w:tc>
          <w:tcPr>
            <w:tcW w:w="689" w:type="dxa"/>
            <w:tcBorders>
              <w:top w:val="single" w:color="000000" w:sz="4" w:space="0"/>
              <w:left w:val="single" w:color="000000" w:sz="4" w:space="0"/>
              <w:bottom w:val="nil"/>
              <w:right w:val="single" w:color="000000" w:sz="4" w:space="0"/>
            </w:tcBorders>
            <w:shd w:val="clear" w:color="auto" w:fill="auto"/>
            <w:vAlign w:val="center"/>
          </w:tcPr>
          <w:p w14:paraId="3417C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肾功能3项</w:t>
            </w: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4CCC4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8" w:space="0"/>
              <w:left w:val="single" w:color="000000" w:sz="8" w:space="0"/>
              <w:bottom w:val="nil"/>
              <w:right w:val="single" w:color="000000" w:sz="8" w:space="0"/>
            </w:tcBorders>
            <w:shd w:val="clear" w:color="auto" w:fill="auto"/>
            <w:vAlign w:val="center"/>
          </w:tcPr>
          <w:p w14:paraId="60243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血清尿素（BUN)、血清肌酐（CREA)、血清尿酸（UA)、</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7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C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D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1DF9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13 </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66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男性肿瘤标志物6项</w:t>
            </w: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2A025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甲胎蛋白</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B76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vMerge w:val="restart"/>
            <w:tcBorders>
              <w:top w:val="single" w:color="000000" w:sz="4" w:space="0"/>
              <w:left w:val="single" w:color="000000" w:sz="4" w:space="0"/>
              <w:bottom w:val="single" w:color="000000" w:sz="4" w:space="0"/>
              <w:right w:val="nil"/>
            </w:tcBorders>
            <w:shd w:val="clear" w:color="auto" w:fill="auto"/>
            <w:vAlign w:val="center"/>
          </w:tcPr>
          <w:p w14:paraId="351F91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AE6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A15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14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5A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08788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6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癌胚抗原</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00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6EA54F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B5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53C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F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15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79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7DAAE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3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糖类抗原19-9 （CA19-9)</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AA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645250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63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B9E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0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16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60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7E7C4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72"/>
                <w:color w:val="auto"/>
                <w:highlight w:val="none"/>
                <w:lang w:val="en-US" w:eastAsia="zh-CN" w:bidi="ar"/>
              </w:rPr>
              <w:t>总前列腺特异性抗原    （T-PSA)</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C1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38DC87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B8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721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17 </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70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7866D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Style w:val="72"/>
                <w:color w:val="auto"/>
                <w:highlight w:val="none"/>
                <w:lang w:val="en-US" w:eastAsia="zh-CN" w:bidi="ar"/>
              </w:rPr>
              <w:t>游离前列腺特异性抗原   （F-PSA)</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4B3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3323DD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35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A1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2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18 </w:t>
            </w:r>
          </w:p>
        </w:tc>
        <w:tc>
          <w:tcPr>
            <w:tcW w:w="6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AF9C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D10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D2E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铁蛋白</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45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3D2D1A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417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EAC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auto" w:sz="4" w:space="0"/>
            </w:tcBorders>
            <w:shd w:val="clear" w:color="auto" w:fill="auto"/>
            <w:vAlign w:val="center"/>
          </w:tcPr>
          <w:p w14:paraId="6A252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19 </w:t>
            </w: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350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女性肿瘤标志物5项</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A39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C3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甲胎蛋白</w:t>
            </w:r>
          </w:p>
        </w:tc>
        <w:tc>
          <w:tcPr>
            <w:tcW w:w="58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86BDC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restart"/>
            <w:tcBorders>
              <w:top w:val="single" w:color="000000" w:sz="4" w:space="0"/>
              <w:left w:val="single" w:color="000000" w:sz="4" w:space="0"/>
              <w:bottom w:val="single" w:color="000000" w:sz="4" w:space="0"/>
              <w:right w:val="nil"/>
            </w:tcBorders>
            <w:shd w:val="clear" w:color="auto" w:fill="auto"/>
            <w:vAlign w:val="center"/>
          </w:tcPr>
          <w:p w14:paraId="75C01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89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512A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4B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20 </w:t>
            </w: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273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E0AE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CD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癌胚抗原</w:t>
            </w:r>
          </w:p>
        </w:tc>
        <w:tc>
          <w:tcPr>
            <w:tcW w:w="58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5A882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593471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28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BCD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auto" w:sz="4" w:space="0"/>
            </w:tcBorders>
            <w:shd w:val="clear" w:color="auto" w:fill="auto"/>
            <w:vAlign w:val="center"/>
          </w:tcPr>
          <w:p w14:paraId="7759B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21 </w:t>
            </w: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64D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079D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60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糖类抗原19-9 （CA19-9)</w:t>
            </w:r>
          </w:p>
        </w:tc>
        <w:tc>
          <w:tcPr>
            <w:tcW w:w="58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1B854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05C1FDB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7B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5B0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0A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22 </w:t>
            </w: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FAB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D6209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98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糖类抗原15-3 （CA15-3)</w:t>
            </w:r>
          </w:p>
        </w:tc>
        <w:tc>
          <w:tcPr>
            <w:tcW w:w="58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516CF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3B3D74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33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C70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90" w:type="dxa"/>
            <w:tcBorders>
              <w:top w:val="single" w:color="000000" w:sz="4" w:space="0"/>
              <w:left w:val="single" w:color="000000" w:sz="4" w:space="0"/>
              <w:bottom w:val="single" w:color="000000" w:sz="4" w:space="0"/>
              <w:right w:val="single" w:color="auto" w:sz="4" w:space="0"/>
            </w:tcBorders>
            <w:shd w:val="clear" w:color="auto" w:fill="auto"/>
            <w:vAlign w:val="center"/>
          </w:tcPr>
          <w:p w14:paraId="6E1A2B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23 </w:t>
            </w:r>
          </w:p>
        </w:tc>
        <w:tc>
          <w:tcPr>
            <w:tcW w:w="68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6286A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791" w:type="dxa"/>
            <w:tcBorders>
              <w:top w:val="single" w:color="auto" w:sz="4" w:space="0"/>
              <w:left w:val="single" w:color="000000" w:sz="4" w:space="0"/>
              <w:bottom w:val="nil"/>
              <w:right w:val="single" w:color="000000" w:sz="4" w:space="0"/>
            </w:tcBorders>
            <w:shd w:val="clear" w:color="auto" w:fill="auto"/>
            <w:vAlign w:val="center"/>
          </w:tcPr>
          <w:p w14:paraId="7E91E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血液</w:t>
            </w:r>
          </w:p>
        </w:tc>
        <w:tc>
          <w:tcPr>
            <w:tcW w:w="49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97B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糖类抗原125（CA150）</w:t>
            </w: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5D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vMerge w:val="continue"/>
            <w:tcBorders>
              <w:top w:val="single" w:color="000000" w:sz="4" w:space="0"/>
              <w:left w:val="single" w:color="000000" w:sz="4" w:space="0"/>
              <w:bottom w:val="single" w:color="000000" w:sz="4" w:space="0"/>
              <w:right w:val="nil"/>
            </w:tcBorders>
            <w:shd w:val="clear" w:color="auto" w:fill="auto"/>
            <w:vAlign w:val="center"/>
          </w:tcPr>
          <w:p w14:paraId="69BDB0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9A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5C2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24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B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妇检+TCT(已婚女)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DC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6C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宫预癌细胞学检查技术、女性宫颈癌筛查首选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top"/>
          </w:tcPr>
          <w:p w14:paraId="60FFC925">
            <w:pPr>
              <w:keepNext w:val="0"/>
              <w:keepLines w:val="0"/>
              <w:suppressLineNumbers w:val="0"/>
              <w:spacing w:before="0" w:beforeAutospacing="0" w:after="0" w:afterAutospacing="0"/>
              <w:ind w:left="0" w:right="0"/>
              <w:jc w:val="left"/>
              <w:rPr>
                <w:rFonts w:hint="default" w:ascii="Arial" w:hAnsi="Arial" w:eastAsia="宋体" w:cs="Arial"/>
                <w:i w:val="0"/>
                <w:iCs w:val="0"/>
                <w:color w:val="auto"/>
                <w:sz w:val="22"/>
                <w:szCs w:val="22"/>
                <w:highlight w:val="none"/>
                <w:u w:val="none"/>
              </w:rPr>
            </w:pPr>
          </w:p>
        </w:tc>
        <w:tc>
          <w:tcPr>
            <w:tcW w:w="566" w:type="dxa"/>
            <w:tcBorders>
              <w:top w:val="single" w:color="000000" w:sz="4" w:space="0"/>
              <w:left w:val="single" w:color="000000" w:sz="4" w:space="0"/>
              <w:bottom w:val="single" w:color="000000" w:sz="4" w:space="0"/>
              <w:right w:val="nil"/>
            </w:tcBorders>
            <w:shd w:val="clear" w:color="auto" w:fill="auto"/>
            <w:vAlign w:val="center"/>
          </w:tcPr>
          <w:p w14:paraId="74CC4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F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3848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25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3C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胸部CT(云胶片)</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60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通过CT断层摄影检查有无肺炎、肺结节、肺气肿、肺结核、</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早期肺癌、有无心脏、主动脉、纵隔、肋骨等疾病</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ED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nil"/>
            </w:tcBorders>
            <w:shd w:val="clear" w:color="auto" w:fill="auto"/>
            <w:vAlign w:val="center"/>
          </w:tcPr>
          <w:p w14:paraId="4FDD6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9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3092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F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26 </w:t>
            </w:r>
          </w:p>
        </w:tc>
        <w:tc>
          <w:tcPr>
            <w:tcW w:w="689" w:type="dxa"/>
            <w:vMerge w:val="restart"/>
            <w:tcBorders>
              <w:top w:val="nil"/>
              <w:left w:val="single" w:color="000000" w:sz="4" w:space="0"/>
              <w:bottom w:val="single" w:color="000000" w:sz="4" w:space="0"/>
              <w:right w:val="single" w:color="000000" w:sz="4" w:space="0"/>
            </w:tcBorders>
            <w:shd w:val="clear" w:color="auto" w:fill="auto"/>
            <w:vAlign w:val="center"/>
          </w:tcPr>
          <w:p w14:paraId="0D9F2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彩超</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F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肝、胆、脾、胰、双肾</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检测腹腔各脏器的大小、结构是否正常，了解肝、胆、</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胰、脾及肾等器官的状态，对有无结石、炎症、肿物</w:t>
            </w:r>
            <w:r>
              <w:rPr>
                <w:rFonts w:hint="default" w:ascii="宋体" w:hAnsi="宋体" w:eastAsia="宋体" w:cs="宋体"/>
                <w:i w:val="0"/>
                <w:iCs w:val="0"/>
                <w:color w:val="auto"/>
                <w:kern w:val="0"/>
                <w:sz w:val="22"/>
                <w:szCs w:val="22"/>
                <w:highlight w:val="none"/>
                <w:u w:val="none"/>
                <w:lang w:val="en-US" w:eastAsia="zh-CN" w:bidi="ar"/>
              </w:rPr>
              <w:br w:type="textWrapping"/>
            </w:r>
            <w:r>
              <w:rPr>
                <w:rFonts w:hint="default" w:ascii="宋体" w:hAnsi="宋体" w:eastAsia="宋体" w:cs="宋体"/>
                <w:i w:val="0"/>
                <w:iCs w:val="0"/>
                <w:color w:val="auto"/>
                <w:kern w:val="0"/>
                <w:sz w:val="22"/>
                <w:szCs w:val="22"/>
                <w:highlight w:val="none"/>
                <w:u w:val="none"/>
                <w:lang w:val="en-US" w:eastAsia="zh-CN" w:bidi="ar"/>
              </w:rPr>
              <w:t>等病变具有诊断意义。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7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2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32C2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0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27 </w:t>
            </w: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3DF0C5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B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前列腺</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BB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检测前列腺的大小、形态、内部回声，对于前</w:t>
            </w:r>
            <w:r>
              <w:rPr>
                <w:rStyle w:val="73"/>
                <w:color w:val="auto"/>
                <w:highlight w:val="none"/>
                <w:lang w:val="en-US" w:eastAsia="zh-CN" w:bidi="ar"/>
              </w:rPr>
              <w:t xml:space="preserve"> 列腺肥大、前列腺肿瘤等具有诊断意义。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FD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nil"/>
            </w:tcBorders>
            <w:shd w:val="clear" w:color="auto" w:fill="auto"/>
            <w:vAlign w:val="center"/>
          </w:tcPr>
          <w:p w14:paraId="79EA92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4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2368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28 </w:t>
            </w: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3B9F01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F8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乳腺彩超</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DC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检测双侧乳腺肿块及四周的血管情况，根据病</w:t>
            </w:r>
            <w:r>
              <w:rPr>
                <w:rStyle w:val="73"/>
                <w:color w:val="auto"/>
                <w:highlight w:val="none"/>
                <w:lang w:val="en-US" w:eastAsia="zh-CN" w:bidi="ar"/>
              </w:rPr>
              <w:t xml:space="preserve">  灶的形态、血流量与脉冲多普勒频谱分析结果， 判定病灶的性质，有效地检测出乳腺的增生、 结节、肿瘤。</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B6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7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6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4F4C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29 </w:t>
            </w: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1F7128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9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甲状腺彩超</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5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检测双侧甲状腺的大小形态、血流情况、有无结节、占位、周围淋巴结有无肿大。在甲亢、甲状腺腺瘤、甲状腺癌的诊断有一定价值。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C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5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152F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0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30 </w:t>
            </w: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1CF401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2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阴超(女已婚)</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56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用于观察小骨盆内的盆腔脏器。与腹部B超相比，阴超的图像更加清晰逼真、结果更准确，而且被检者也不用“憋尿”。特别适合于排卵监测、宫外孕的确诊、子宫占位性疾病以及多囊卵巢综合症和巧克力囊肿等疾病的诊断。</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18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tcBorders>
              <w:top w:val="single" w:color="000000" w:sz="4" w:space="0"/>
              <w:left w:val="single" w:color="000000" w:sz="4" w:space="0"/>
              <w:bottom w:val="single" w:color="000000" w:sz="4" w:space="0"/>
              <w:right w:val="nil"/>
            </w:tcBorders>
            <w:shd w:val="clear" w:color="auto" w:fill="auto"/>
            <w:vAlign w:val="center"/>
          </w:tcPr>
          <w:p w14:paraId="52F43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1B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37E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9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31 </w:t>
            </w:r>
          </w:p>
        </w:tc>
        <w:tc>
          <w:tcPr>
            <w:tcW w:w="689" w:type="dxa"/>
            <w:vMerge w:val="continue"/>
            <w:tcBorders>
              <w:top w:val="nil"/>
              <w:left w:val="single" w:color="000000" w:sz="4" w:space="0"/>
              <w:bottom w:val="single" w:color="000000" w:sz="4" w:space="0"/>
              <w:right w:val="single" w:color="000000" w:sz="4" w:space="0"/>
            </w:tcBorders>
            <w:shd w:val="clear" w:color="auto" w:fill="auto"/>
            <w:vAlign w:val="center"/>
          </w:tcPr>
          <w:p w14:paraId="445B8F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48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子宫、附件(女</w:t>
            </w:r>
            <w:r>
              <w:rPr>
                <w:rStyle w:val="73"/>
                <w:color w:val="auto"/>
                <w:highlight w:val="none"/>
                <w:lang w:val="en-US" w:eastAsia="zh-CN" w:bidi="ar"/>
              </w:rPr>
              <w:t xml:space="preserve"> 未婚)</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2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观察子宫、附件形态改变，诊断子宫有无增大、 肌瘤、囊肿、占位等病变，对包块和畸形的诊  断有重要意义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62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6" w:type="dxa"/>
            <w:tcBorders>
              <w:top w:val="single" w:color="000000" w:sz="4" w:space="0"/>
              <w:left w:val="single" w:color="000000" w:sz="4" w:space="0"/>
              <w:bottom w:val="single" w:color="000000" w:sz="4" w:space="0"/>
              <w:right w:val="nil"/>
            </w:tcBorders>
            <w:shd w:val="clear" w:color="auto" w:fill="auto"/>
            <w:vAlign w:val="center"/>
          </w:tcPr>
          <w:p w14:paraId="0F9953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0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2A38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F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32 </w:t>
            </w:r>
          </w:p>
        </w:tc>
        <w:tc>
          <w:tcPr>
            <w:tcW w:w="689" w:type="dxa"/>
            <w:tcBorders>
              <w:top w:val="single" w:color="000000" w:sz="4" w:space="0"/>
              <w:left w:val="single" w:color="000000" w:sz="4" w:space="0"/>
              <w:bottom w:val="nil"/>
              <w:right w:val="single" w:color="000000" w:sz="4" w:space="0"/>
            </w:tcBorders>
            <w:shd w:val="clear" w:color="auto" w:fill="auto"/>
            <w:vAlign w:val="center"/>
          </w:tcPr>
          <w:p w14:paraId="68D98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心电图</w:t>
            </w: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5F0E69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28" w:type="dxa"/>
            <w:tcBorders>
              <w:top w:val="single" w:color="000000" w:sz="4" w:space="0"/>
              <w:left w:val="single" w:color="000000" w:sz="4" w:space="0"/>
              <w:bottom w:val="nil"/>
              <w:right w:val="single" w:color="000000" w:sz="4" w:space="0"/>
            </w:tcBorders>
            <w:shd w:val="clear" w:color="auto" w:fill="auto"/>
            <w:vAlign w:val="center"/>
          </w:tcPr>
          <w:p w14:paraId="08B8F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诊断心率失常，对冠心病及心脏病有提示诊断作用</w:t>
            </w:r>
          </w:p>
        </w:tc>
        <w:tc>
          <w:tcPr>
            <w:tcW w:w="582" w:type="dxa"/>
            <w:tcBorders>
              <w:top w:val="single" w:color="000000" w:sz="4" w:space="0"/>
              <w:left w:val="single" w:color="000000" w:sz="4" w:space="0"/>
              <w:bottom w:val="nil"/>
              <w:right w:val="single" w:color="000000" w:sz="4" w:space="0"/>
            </w:tcBorders>
            <w:shd w:val="clear" w:color="auto" w:fill="auto"/>
            <w:vAlign w:val="center"/>
          </w:tcPr>
          <w:p w14:paraId="1EAF7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nil"/>
              <w:right w:val="nil"/>
            </w:tcBorders>
            <w:shd w:val="clear" w:color="auto" w:fill="auto"/>
            <w:vAlign w:val="center"/>
          </w:tcPr>
          <w:p w14:paraId="44252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28A2A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5991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0" w:type="dxa"/>
            <w:tcBorders>
              <w:top w:val="single" w:color="000000" w:sz="4" w:space="0"/>
              <w:left w:val="single" w:color="000000" w:sz="4" w:space="0"/>
              <w:bottom w:val="nil"/>
              <w:right w:val="single" w:color="000000" w:sz="4" w:space="0"/>
            </w:tcBorders>
            <w:shd w:val="clear" w:color="auto" w:fill="auto"/>
            <w:vAlign w:val="center"/>
          </w:tcPr>
          <w:p w14:paraId="3804F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33 </w:t>
            </w:r>
          </w:p>
        </w:tc>
        <w:tc>
          <w:tcPr>
            <w:tcW w:w="689" w:type="dxa"/>
            <w:tcBorders>
              <w:top w:val="single" w:color="000000" w:sz="4" w:space="0"/>
              <w:left w:val="single" w:color="000000" w:sz="4" w:space="0"/>
              <w:bottom w:val="nil"/>
              <w:right w:val="single" w:color="000000" w:sz="4" w:space="0"/>
            </w:tcBorders>
            <w:shd w:val="clear" w:color="auto" w:fill="auto"/>
            <w:vAlign w:val="center"/>
          </w:tcPr>
          <w:p w14:paraId="49C42B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C13尿素呼气试验</w:t>
            </w:r>
          </w:p>
        </w:tc>
        <w:tc>
          <w:tcPr>
            <w:tcW w:w="1791" w:type="dxa"/>
            <w:tcBorders>
              <w:top w:val="single" w:color="000000" w:sz="4" w:space="0"/>
              <w:left w:val="single" w:color="000000" w:sz="4" w:space="0"/>
              <w:bottom w:val="nil"/>
              <w:right w:val="single" w:color="000000" w:sz="4" w:space="0"/>
            </w:tcBorders>
            <w:shd w:val="clear" w:color="auto" w:fill="auto"/>
            <w:vAlign w:val="center"/>
          </w:tcPr>
          <w:p w14:paraId="581518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28" w:type="dxa"/>
            <w:tcBorders>
              <w:top w:val="single" w:color="000000" w:sz="4" w:space="0"/>
              <w:left w:val="single" w:color="000000" w:sz="4" w:space="0"/>
              <w:bottom w:val="nil"/>
              <w:right w:val="single" w:color="000000" w:sz="4" w:space="0"/>
            </w:tcBorders>
            <w:shd w:val="clear" w:color="auto" w:fill="auto"/>
            <w:vAlign w:val="center"/>
          </w:tcPr>
          <w:p w14:paraId="1A26B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通过呼气检测幽门螺旋杆菌的方法、协助诊断消化性溃疡、炎症和预测胃癌风险性（无放射性，适合所有人群）</w:t>
            </w:r>
          </w:p>
        </w:tc>
        <w:tc>
          <w:tcPr>
            <w:tcW w:w="582" w:type="dxa"/>
            <w:tcBorders>
              <w:top w:val="single" w:color="000000" w:sz="4" w:space="0"/>
              <w:left w:val="single" w:color="000000" w:sz="4" w:space="0"/>
              <w:bottom w:val="nil"/>
              <w:right w:val="single" w:color="000000" w:sz="4" w:space="0"/>
            </w:tcBorders>
            <w:shd w:val="clear" w:color="auto" w:fill="auto"/>
            <w:vAlign w:val="center"/>
          </w:tcPr>
          <w:p w14:paraId="6137E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6" w:type="dxa"/>
            <w:tcBorders>
              <w:top w:val="single" w:color="000000" w:sz="4" w:space="0"/>
              <w:left w:val="single" w:color="000000" w:sz="4" w:space="0"/>
              <w:bottom w:val="nil"/>
              <w:right w:val="single" w:color="000000" w:sz="4" w:space="0"/>
            </w:tcBorders>
            <w:shd w:val="clear" w:color="auto" w:fill="auto"/>
            <w:vAlign w:val="center"/>
          </w:tcPr>
          <w:p w14:paraId="14779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c>
          <w:tcPr>
            <w:tcW w:w="567" w:type="dxa"/>
            <w:tcBorders>
              <w:top w:val="single" w:color="000000" w:sz="4" w:space="0"/>
              <w:left w:val="single" w:color="000000" w:sz="4" w:space="0"/>
              <w:bottom w:val="nil"/>
              <w:right w:val="single" w:color="000000" w:sz="4" w:space="0"/>
            </w:tcBorders>
            <w:shd w:val="clear" w:color="auto" w:fill="auto"/>
            <w:vAlign w:val="center"/>
          </w:tcPr>
          <w:p w14:paraId="047D3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w:t>
            </w:r>
          </w:p>
        </w:tc>
      </w:tr>
      <w:tr w14:paraId="4CB8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6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F84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选择项目（职工可根据需要2选1）</w:t>
            </w:r>
          </w:p>
        </w:tc>
      </w:tr>
      <w:tr w14:paraId="34E9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490" w:type="dxa"/>
            <w:tcBorders>
              <w:top w:val="nil"/>
              <w:left w:val="single" w:color="000000" w:sz="4" w:space="0"/>
              <w:bottom w:val="single" w:color="000000" w:sz="4" w:space="0"/>
              <w:right w:val="single" w:color="000000" w:sz="4" w:space="0"/>
            </w:tcBorders>
            <w:shd w:val="clear" w:color="auto" w:fill="auto"/>
            <w:vAlign w:val="center"/>
          </w:tcPr>
          <w:p w14:paraId="35910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34 </w:t>
            </w:r>
          </w:p>
        </w:tc>
        <w:tc>
          <w:tcPr>
            <w:tcW w:w="689" w:type="dxa"/>
            <w:tcBorders>
              <w:top w:val="nil"/>
              <w:left w:val="single" w:color="000000" w:sz="4" w:space="0"/>
              <w:bottom w:val="single" w:color="000000" w:sz="4" w:space="0"/>
              <w:right w:val="single" w:color="000000" w:sz="4" w:space="0"/>
            </w:tcBorders>
            <w:shd w:val="clear" w:color="auto" w:fill="auto"/>
            <w:vAlign w:val="center"/>
          </w:tcPr>
          <w:p w14:paraId="4794D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甲状腺功能三项</w:t>
            </w:r>
          </w:p>
        </w:tc>
        <w:tc>
          <w:tcPr>
            <w:tcW w:w="1791" w:type="dxa"/>
            <w:tcBorders>
              <w:top w:val="nil"/>
              <w:left w:val="single" w:color="000000" w:sz="4" w:space="0"/>
              <w:bottom w:val="single" w:color="000000" w:sz="4" w:space="0"/>
              <w:right w:val="single" w:color="000000" w:sz="4" w:space="0"/>
            </w:tcBorders>
            <w:shd w:val="clear" w:color="auto" w:fill="auto"/>
            <w:vAlign w:val="center"/>
          </w:tcPr>
          <w:p w14:paraId="5A62A1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4928" w:type="dxa"/>
            <w:tcBorders>
              <w:top w:val="nil"/>
              <w:left w:val="single" w:color="000000" w:sz="4" w:space="0"/>
              <w:bottom w:val="single" w:color="000000" w:sz="4" w:space="0"/>
              <w:right w:val="single" w:color="000000" w:sz="4" w:space="0"/>
            </w:tcBorders>
            <w:shd w:val="clear" w:color="auto" w:fill="auto"/>
            <w:vAlign w:val="center"/>
          </w:tcPr>
          <w:p w14:paraId="6AD60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促甲状腺激素（TSH）</w:t>
            </w:r>
            <w:r>
              <w:rPr>
                <w:rStyle w:val="74"/>
                <w:rFonts w:eastAsia="宋体"/>
                <w:color w:val="auto"/>
                <w:highlight w:val="none"/>
                <w:lang w:val="en-US" w:eastAsia="zh-CN" w:bidi="ar"/>
              </w:rPr>
              <w:t>‌</w:t>
            </w:r>
            <w:r>
              <w:rPr>
                <w:rStyle w:val="75"/>
                <w:color w:val="auto"/>
                <w:highlight w:val="none"/>
                <w:lang w:val="en-US" w:eastAsia="zh-CN" w:bidi="ar"/>
              </w:rPr>
              <w:t>、</w:t>
            </w:r>
            <w:r>
              <w:rPr>
                <w:rStyle w:val="74"/>
                <w:rFonts w:eastAsia="宋体"/>
                <w:color w:val="auto"/>
                <w:highlight w:val="none"/>
                <w:lang w:val="en-US" w:eastAsia="zh-CN" w:bidi="ar"/>
              </w:rPr>
              <w:t>‌</w:t>
            </w:r>
            <w:r>
              <w:rPr>
                <w:rStyle w:val="75"/>
                <w:color w:val="auto"/>
                <w:highlight w:val="none"/>
                <w:lang w:val="en-US" w:eastAsia="zh-CN" w:bidi="ar"/>
              </w:rPr>
              <w:t>游离甲状腺素（FT4）</w:t>
            </w:r>
            <w:r>
              <w:rPr>
                <w:rStyle w:val="74"/>
                <w:rFonts w:eastAsia="宋体"/>
                <w:color w:val="auto"/>
                <w:highlight w:val="none"/>
                <w:lang w:val="en-US" w:eastAsia="zh-CN" w:bidi="ar"/>
              </w:rPr>
              <w:t>‌</w:t>
            </w:r>
            <w:r>
              <w:rPr>
                <w:rStyle w:val="75"/>
                <w:color w:val="auto"/>
                <w:highlight w:val="none"/>
                <w:lang w:val="en-US" w:eastAsia="zh-CN" w:bidi="ar"/>
              </w:rPr>
              <w:t>和</w:t>
            </w:r>
            <w:r>
              <w:rPr>
                <w:rStyle w:val="74"/>
                <w:rFonts w:eastAsia="宋体"/>
                <w:color w:val="auto"/>
                <w:highlight w:val="none"/>
                <w:lang w:val="en-US" w:eastAsia="zh-CN" w:bidi="ar"/>
              </w:rPr>
              <w:t>‌</w:t>
            </w:r>
            <w:r>
              <w:rPr>
                <w:rStyle w:val="75"/>
                <w:color w:val="auto"/>
                <w:highlight w:val="none"/>
                <w:lang w:val="en-US" w:eastAsia="zh-CN" w:bidi="ar"/>
              </w:rPr>
              <w:t>游离三碘甲状腺原氨酸（FT3）</w:t>
            </w:r>
          </w:p>
        </w:tc>
        <w:tc>
          <w:tcPr>
            <w:tcW w:w="582" w:type="dxa"/>
            <w:tcBorders>
              <w:top w:val="nil"/>
              <w:left w:val="single" w:color="000000" w:sz="4" w:space="0"/>
              <w:bottom w:val="single" w:color="000000" w:sz="4" w:space="0"/>
              <w:right w:val="single" w:color="000000" w:sz="4" w:space="0"/>
            </w:tcBorders>
            <w:shd w:val="clear" w:color="auto" w:fill="auto"/>
            <w:vAlign w:val="center"/>
          </w:tcPr>
          <w:p w14:paraId="26705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566" w:type="dxa"/>
            <w:tcBorders>
              <w:top w:val="nil"/>
              <w:left w:val="single" w:color="000000" w:sz="4" w:space="0"/>
              <w:bottom w:val="single" w:color="000000" w:sz="4" w:space="0"/>
              <w:right w:val="single" w:color="000000" w:sz="4" w:space="0"/>
            </w:tcBorders>
            <w:shd w:val="clear" w:color="auto" w:fill="auto"/>
            <w:vAlign w:val="center"/>
          </w:tcPr>
          <w:p w14:paraId="1CD4D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567" w:type="dxa"/>
            <w:tcBorders>
              <w:top w:val="nil"/>
              <w:left w:val="single" w:color="000000" w:sz="4" w:space="0"/>
              <w:bottom w:val="single" w:color="000000" w:sz="4" w:space="0"/>
              <w:right w:val="single" w:color="000000" w:sz="4" w:space="0"/>
            </w:tcBorders>
            <w:shd w:val="clear" w:color="auto" w:fill="auto"/>
            <w:vAlign w:val="center"/>
          </w:tcPr>
          <w:p w14:paraId="7AF2D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r w14:paraId="03E8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9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rPr>
            </w:pPr>
            <w:r>
              <w:rPr>
                <w:rFonts w:hint="default" w:ascii="宋体" w:hAnsi="宋体" w:eastAsia="宋体" w:cs="宋体"/>
                <w:i w:val="0"/>
                <w:iCs w:val="0"/>
                <w:color w:val="auto"/>
                <w:kern w:val="0"/>
                <w:sz w:val="22"/>
                <w:szCs w:val="22"/>
                <w:highlight w:val="none"/>
                <w:u w:val="none"/>
                <w:lang w:val="en-US" w:eastAsia="zh-CN" w:bidi="ar"/>
              </w:rPr>
              <w:t xml:space="preserve">35 </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E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彩超</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8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劲动脉</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top"/>
          </w:tcPr>
          <w:p w14:paraId="45B6A248">
            <w:pPr>
              <w:keepNext w:val="0"/>
              <w:keepLines w:val="0"/>
              <w:suppressLineNumbers w:val="0"/>
              <w:spacing w:before="0" w:beforeAutospacing="0" w:after="0" w:afterAutospacing="0"/>
              <w:ind w:left="0" w:right="0"/>
              <w:jc w:val="center"/>
              <w:rPr>
                <w:rFonts w:hint="default" w:ascii="Arial" w:hAnsi="Arial" w:eastAsia="宋体" w:cs="Arial"/>
                <w:i w:val="0"/>
                <w:iCs w:val="0"/>
                <w:color w:val="auto"/>
                <w:sz w:val="22"/>
                <w:szCs w:val="22"/>
                <w:highlight w:val="none"/>
                <w:u w:val="none"/>
              </w:rPr>
            </w:pPr>
          </w:p>
        </w:tc>
        <w:tc>
          <w:tcPr>
            <w:tcW w:w="582" w:type="dxa"/>
            <w:tcBorders>
              <w:top w:val="nil"/>
              <w:left w:val="single" w:color="000000" w:sz="4" w:space="0"/>
              <w:bottom w:val="single" w:color="000000" w:sz="4" w:space="0"/>
              <w:right w:val="single" w:color="000000" w:sz="4" w:space="0"/>
            </w:tcBorders>
            <w:shd w:val="clear" w:color="auto" w:fill="auto"/>
            <w:vAlign w:val="center"/>
          </w:tcPr>
          <w:p w14:paraId="56144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566" w:type="dxa"/>
            <w:tcBorders>
              <w:top w:val="nil"/>
              <w:left w:val="single" w:color="000000" w:sz="4" w:space="0"/>
              <w:bottom w:val="single" w:color="000000" w:sz="4" w:space="0"/>
              <w:right w:val="single" w:color="000000" w:sz="4" w:space="0"/>
            </w:tcBorders>
            <w:shd w:val="clear" w:color="auto" w:fill="auto"/>
            <w:vAlign w:val="center"/>
          </w:tcPr>
          <w:p w14:paraId="6172E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567" w:type="dxa"/>
            <w:tcBorders>
              <w:top w:val="nil"/>
              <w:left w:val="single" w:color="000000" w:sz="4" w:space="0"/>
              <w:bottom w:val="single" w:color="000000" w:sz="4" w:space="0"/>
              <w:right w:val="single" w:color="000000" w:sz="4" w:space="0"/>
            </w:tcBorders>
            <w:shd w:val="clear" w:color="auto" w:fill="auto"/>
            <w:vAlign w:val="center"/>
          </w:tcPr>
          <w:p w14:paraId="5C7AD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r>
    </w:tbl>
    <w:p w14:paraId="6933A6B0">
      <w:pPr>
        <w:numPr>
          <w:ilvl w:val="0"/>
          <w:numId w:val="0"/>
        </w:numPr>
        <w:spacing w:line="360" w:lineRule="auto"/>
        <w:rPr>
          <w:rFonts w:hint="eastAsia"/>
          <w:b/>
          <w:bCs/>
          <w:color w:val="auto"/>
          <w:highlight w:val="none"/>
          <w:lang w:val="en-US" w:eastAsia="zh-CN"/>
        </w:rPr>
      </w:pPr>
      <w:r>
        <w:rPr>
          <w:rFonts w:hint="eastAsia"/>
          <w:b/>
          <w:bCs/>
          <w:color w:val="auto"/>
          <w:highlight w:val="none"/>
          <w:lang w:val="en-US" w:eastAsia="zh-CN"/>
        </w:rPr>
        <w:t>三、服务要求</w:t>
      </w:r>
    </w:p>
    <w:p w14:paraId="5DB8DB28">
      <w:pPr>
        <w:spacing w:line="360" w:lineRule="auto"/>
        <w:ind w:firstLine="420" w:firstLineChars="200"/>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 服务能力要求：拥有专业且资质齐全的医疗体检团队、配套先进的体检设备，具备一定规模体检服务的场地条件及服务保障能力，近年内无重大医疗事故、无违法违规经营等不良从业记录。</w:t>
      </w:r>
    </w:p>
    <w:p w14:paraId="629F500C">
      <w:pPr>
        <w:spacing w:line="360" w:lineRule="auto"/>
        <w:ind w:firstLine="420" w:firstLineChars="200"/>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2.服务流程要求：建立规范完善的体检服务流程，能够为职工提供便捷高效的体检预约、现场专人引导、体检报告发放、一对一健康咨询等一站式服务，全力保障体检服务质量与服务效率。</w:t>
      </w:r>
    </w:p>
    <w:p w14:paraId="241E7F5A">
      <w:pPr>
        <w:spacing w:line="360" w:lineRule="auto"/>
        <w:ind w:firstLine="420" w:firstLineChars="200"/>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体检服务内容：需提供符合医学规范、项目全面的基础体检套餐，核心项目包含血常规、尿常规、肝功能、肾功能、血脂血糖、腹部彩超、心电图、胸片等基础体检项目；同时配套提供专业体检报告解读、个性化健康咨询、体检异常指标跟进等增值服务，保障体检服务的专业性、便捷性与安全性。</w:t>
      </w:r>
    </w:p>
    <w:p w14:paraId="63121946">
      <w:pPr>
        <w:numPr>
          <w:ilvl w:val="0"/>
          <w:numId w:val="0"/>
        </w:numPr>
        <w:spacing w:line="360" w:lineRule="auto"/>
        <w:rPr>
          <w:rFonts w:hint="eastAsia"/>
          <w:b/>
          <w:bCs/>
          <w:color w:val="auto"/>
          <w:highlight w:val="none"/>
          <w:lang w:val="en-US" w:eastAsia="zh-CN"/>
        </w:rPr>
      </w:pPr>
      <w:r>
        <w:rPr>
          <w:rFonts w:hint="eastAsia"/>
          <w:b/>
          <w:bCs/>
          <w:color w:val="auto"/>
          <w:highlight w:val="none"/>
          <w:lang w:val="en-US" w:eastAsia="zh-CN"/>
        </w:rPr>
        <w:t>四、报价要求</w:t>
      </w:r>
    </w:p>
    <w:p w14:paraId="0AF448B6">
      <w:pPr>
        <w:spacing w:line="360" w:lineRule="auto"/>
        <w:ind w:firstLine="420" w:firstLineChars="200"/>
        <w:rPr>
          <w:rFonts w:hint="eastAsia" w:ascii="宋体" w:hAnsi="Times New Roman" w:eastAsia="宋体" w:cs="Times New Roman"/>
          <w:b/>
          <w:bCs w:val="0"/>
          <w:color w:val="auto"/>
          <w:kern w:val="2"/>
          <w:sz w:val="32"/>
          <w:szCs w:val="32"/>
          <w:highlight w:val="none"/>
          <w:lang w:val="en-US" w:eastAsia="zh-CN" w:bidi="ar-SA"/>
        </w:rPr>
      </w:pPr>
      <w:bookmarkStart w:id="56" w:name="_Toc8283"/>
      <w:bookmarkStart w:id="57" w:name="_Toc18794"/>
      <w:r>
        <w:rPr>
          <w:rFonts w:hint="eastAsia"/>
          <w:b w:val="0"/>
          <w:bCs w:val="0"/>
          <w:color w:val="auto"/>
          <w:highlight w:val="none"/>
          <w:lang w:val="en-US" w:eastAsia="zh-CN"/>
        </w:rPr>
        <w:t>投标人所报价格包含提供以上服务所需全部费用，投标人报价包含服务（货物）、利润、税金、政策性文件规定及合同包含的所有风险、责任、义务等，即为完成招标文件要求的服务（货物）内容所包含的一切应有费用。项目服务过程中所出现的任何遗漏，必须由中标人免费提供，采购人将不再支付任何费用，投标人须自行考虑投标风险。</w:t>
      </w:r>
      <w:bookmarkEnd w:id="56"/>
      <w:bookmarkEnd w:id="57"/>
    </w:p>
    <w:p w14:paraId="32AE77E5">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16F02E7B">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385E290A">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485DECC6">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47021AFE">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1891310E">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74CBCCA6">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00F5F864">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60EC2EA3">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28628365">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4D6620DD">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23D817D7">
      <w:pPr>
        <w:jc w:val="center"/>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55"/>
    </w:p>
    <w:p w14:paraId="37648B94">
      <w:pPr>
        <w:pageBreakBefore w:val="0"/>
        <w:widowControl/>
        <w:numPr>
          <w:ilvl w:val="0"/>
          <w:numId w:val="0"/>
        </w:numPr>
        <w:kinsoku/>
        <w:wordWrap/>
        <w:overflowPunct/>
        <w:topLinePunct w:val="0"/>
        <w:autoSpaceDE/>
        <w:autoSpaceDN/>
        <w:bidi w:val="0"/>
        <w:adjustRightInd/>
        <w:spacing w:before="156" w:beforeLines="50" w:after="156" w:afterLines="50" w:line="360" w:lineRule="exact"/>
        <w:ind w:left="0" w:leftChars="0" w:firstLine="0" w:firstLineChars="0"/>
        <w:jc w:val="center"/>
        <w:textAlignment w:val="baseline"/>
        <w:outlineLvl w:val="1"/>
        <w:rPr>
          <w:rFonts w:hint="eastAsia" w:ascii="宋体" w:hAnsi="宋体" w:cs="宋体"/>
          <w:b/>
          <w:color w:val="auto"/>
          <w:sz w:val="30"/>
          <w:szCs w:val="30"/>
          <w:highlight w:val="none"/>
        </w:rPr>
      </w:pPr>
      <w:r>
        <w:rPr>
          <w:rFonts w:hint="default" w:ascii="宋体" w:hAnsi="宋体" w:eastAsia="宋体" w:cs="宋体"/>
          <w:b/>
          <w:color w:val="auto"/>
          <w:kern w:val="2"/>
          <w:sz w:val="30"/>
          <w:szCs w:val="30"/>
          <w:highlight w:val="none"/>
          <w:lang w:val="en-US" w:eastAsia="zh-CN" w:bidi="ar-SA"/>
        </w:rPr>
        <w:t>一</w:t>
      </w:r>
      <w:r>
        <w:rPr>
          <w:rFonts w:hint="eastAsia" w:ascii="宋体" w:hAnsi="宋体" w:cs="宋体"/>
          <w:b/>
          <w:color w:val="auto"/>
          <w:sz w:val="28"/>
          <w:szCs w:val="28"/>
          <w:highlight w:val="none"/>
        </w:rPr>
        <w:t xml:space="preserve">  合同协议书（格式</w:t>
      </w:r>
      <w:r>
        <w:rPr>
          <w:rFonts w:hint="eastAsia" w:ascii="宋体" w:hAnsi="宋体" w:cs="宋体"/>
          <w:b/>
          <w:color w:val="auto"/>
          <w:sz w:val="28"/>
          <w:szCs w:val="28"/>
          <w:highlight w:val="none"/>
          <w:lang w:val="en-US" w:eastAsia="zh-CN"/>
        </w:rPr>
        <w:t>仅供参考</w:t>
      </w:r>
      <w:r>
        <w:rPr>
          <w:rFonts w:hint="eastAsia" w:ascii="宋体" w:hAnsi="宋体" w:cs="宋体"/>
          <w:b/>
          <w:color w:val="auto"/>
          <w:sz w:val="28"/>
          <w:szCs w:val="28"/>
          <w:highlight w:val="none"/>
        </w:rPr>
        <w:t>）</w:t>
      </w:r>
    </w:p>
    <w:p w14:paraId="5FF171D1">
      <w:pPr>
        <w:spacing w:line="360" w:lineRule="auto"/>
        <w:jc w:val="center"/>
        <w:outlineLvl w:val="1"/>
        <w:rPr>
          <w:rFonts w:asciiTheme="minorEastAsia" w:hAnsiTheme="minorEastAsia" w:eastAsiaTheme="minorEastAsia"/>
          <w:b/>
          <w:color w:val="auto"/>
          <w:sz w:val="24"/>
          <w:highlight w:val="none"/>
        </w:rPr>
      </w:pPr>
      <w:bookmarkStart w:id="58" w:name="_Toc2449"/>
      <w:bookmarkStart w:id="59" w:name="_Toc24238"/>
      <w:r>
        <w:rPr>
          <w:rFonts w:hint="eastAsia" w:asciiTheme="minorEastAsia" w:hAnsiTheme="minorEastAsia" w:eastAsiaTheme="minorEastAsia"/>
          <w:b/>
          <w:color w:val="auto"/>
          <w:sz w:val="24"/>
          <w:highlight w:val="none"/>
        </w:rPr>
        <w:t>第一部分 合同书</w:t>
      </w:r>
      <w:bookmarkEnd w:id="58"/>
    </w:p>
    <w:p w14:paraId="56C308D9">
      <w:pPr>
        <w:spacing w:before="120" w:line="480" w:lineRule="auto"/>
        <w:ind w:left="960"/>
        <w:rPr>
          <w:rFonts w:ascii="宋体" w:hAnsi="宋体" w:eastAsia="宋体" w:cs="宋体"/>
          <w:color w:val="auto"/>
          <w:sz w:val="24"/>
          <w:highlight w:val="none"/>
        </w:rPr>
      </w:pPr>
    </w:p>
    <w:p w14:paraId="656CE30B">
      <w:pPr>
        <w:spacing w:before="120" w:line="480" w:lineRule="auto"/>
        <w:ind w:left="960"/>
        <w:rPr>
          <w:rFonts w:ascii="宋体" w:hAnsi="宋体" w:eastAsia="宋体" w:cs="宋体"/>
          <w:color w:val="auto"/>
          <w:sz w:val="24"/>
          <w:highlight w:val="none"/>
        </w:rPr>
      </w:pPr>
    </w:p>
    <w:p w14:paraId="7C04E06B">
      <w:pPr>
        <w:spacing w:before="120" w:line="480" w:lineRule="auto"/>
        <w:ind w:left="960"/>
        <w:rPr>
          <w:rFonts w:ascii="宋体" w:hAnsi="宋体" w:eastAsia="宋体" w:cs="宋体"/>
          <w:color w:val="auto"/>
          <w:sz w:val="24"/>
          <w:highlight w:val="none"/>
        </w:rPr>
      </w:pPr>
    </w:p>
    <w:p w14:paraId="72EAE8F9">
      <w:pPr>
        <w:spacing w:before="120" w:line="480" w:lineRule="auto"/>
        <w:ind w:left="96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4E7929DC">
      <w:pPr>
        <w:spacing w:before="120" w:line="480" w:lineRule="auto"/>
        <w:ind w:left="960"/>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p>
    <w:p w14:paraId="41616E1E">
      <w:pPr>
        <w:spacing w:before="120" w:line="480" w:lineRule="auto"/>
        <w:ind w:left="96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p>
    <w:p w14:paraId="1B91D50D">
      <w:pPr>
        <w:spacing w:before="120" w:line="480" w:lineRule="auto"/>
        <w:ind w:left="960"/>
        <w:rPr>
          <w:rFonts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03D69D18">
      <w:pPr>
        <w:spacing w:before="120" w:line="480" w:lineRule="auto"/>
        <w:ind w:firstLine="840" w:firstLineChars="4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0CE13570">
      <w:pPr>
        <w:spacing w:before="120" w:line="480" w:lineRule="auto"/>
        <w:ind w:firstLine="840" w:firstLineChars="400"/>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02F4A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03CA20E">
      <w:pPr>
        <w:spacing w:line="360" w:lineRule="auto"/>
        <w:ind w:firstLine="435"/>
        <w:rPr>
          <w:rFonts w:ascii="宋体" w:hAnsi="宋体" w:eastAsia="宋体" w:cs="宋体"/>
          <w:color w:val="auto"/>
          <w:szCs w:val="21"/>
          <w:highlight w:val="none"/>
        </w:rPr>
      </w:pPr>
      <w:r>
        <w:rPr>
          <w:rFonts w:hint="eastAsia" w:ascii="宋体" w:hAnsi="宋体" w:eastAsia="宋体" w:cs="宋体"/>
          <w:i/>
          <w:iCs/>
          <w:color w:val="auto"/>
          <w:szCs w:val="21"/>
          <w:highlight w:val="none"/>
          <w:u w:val="single"/>
        </w:rPr>
        <w:t>（采购人名称）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以下简称：甲方</w:t>
      </w:r>
      <w:r>
        <w:rPr>
          <w:rFonts w:hint="eastAsia" w:ascii="宋体" w:hAnsi="宋体" w:eastAsia="宋体" w:cs="宋体"/>
          <w:color w:val="auto"/>
          <w:szCs w:val="21"/>
          <w:highlight w:val="none"/>
        </w:rPr>
        <w:t>）通过</w:t>
      </w:r>
      <w:r>
        <w:rPr>
          <w:rFonts w:hint="eastAsia" w:ascii="宋体" w:hAnsi="宋体" w:eastAsia="宋体" w:cs="宋体"/>
          <w:color w:val="auto"/>
          <w:szCs w:val="21"/>
          <w:highlight w:val="none"/>
          <w:u w:val="single"/>
        </w:rPr>
        <w:t>公开招标</w:t>
      </w:r>
      <w:r>
        <w:rPr>
          <w:rFonts w:hint="eastAsia" w:ascii="宋体" w:hAnsi="宋体" w:eastAsia="宋体" w:cs="宋体"/>
          <w:color w:val="auto"/>
          <w:szCs w:val="21"/>
          <w:highlight w:val="none"/>
        </w:rPr>
        <w:t>方式采购活动，经评标委员会评定，</w:t>
      </w:r>
      <w:r>
        <w:rPr>
          <w:rFonts w:hint="eastAsia" w:ascii="宋体" w:hAnsi="宋体" w:eastAsia="宋体" w:cs="宋体"/>
          <w:i/>
          <w:iCs/>
          <w:color w:val="auto"/>
          <w:szCs w:val="21"/>
          <w:highlight w:val="none"/>
          <w:u w:val="single"/>
        </w:rPr>
        <w:t>（中标人名称）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以下简称：乙方</w:t>
      </w:r>
      <w:r>
        <w:rPr>
          <w:rFonts w:hint="eastAsia" w:ascii="宋体" w:hAnsi="宋体" w:eastAsia="宋体" w:cs="宋体"/>
          <w:color w:val="auto"/>
          <w:szCs w:val="21"/>
          <w:highlight w:val="none"/>
        </w:rPr>
        <w:t>）为本项目中标人，现按照采购文件确定的事项签订本合同。</w:t>
      </w:r>
    </w:p>
    <w:p w14:paraId="153F615B">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根据《中华人民共和国民法典》等相关法律法规之规定，按照平等、自愿、公平和诚实信用的原则，经甲方和乙方协商一致，约定以下合同条款，以兹共同遵守、全面履行。</w:t>
      </w:r>
    </w:p>
    <w:p w14:paraId="0119AC40">
      <w:pPr>
        <w:spacing w:line="360" w:lineRule="auto"/>
        <w:ind w:firstLine="437"/>
        <w:outlineLvl w:val="3"/>
        <w:rPr>
          <w:rFonts w:ascii="宋体" w:hAnsi="宋体" w:eastAsia="宋体" w:cs="宋体"/>
          <w:b/>
          <w:bCs/>
          <w:color w:val="auto"/>
          <w:szCs w:val="21"/>
          <w:highlight w:val="none"/>
          <w:lang w:val="zh-CN"/>
        </w:rPr>
      </w:pPr>
      <w:bookmarkStart w:id="60" w:name="_Toc2232"/>
      <w:bookmarkStart w:id="61" w:name="_Toc24059"/>
      <w:bookmarkStart w:id="62" w:name="_Toc3029"/>
      <w:r>
        <w:rPr>
          <w:rFonts w:hint="eastAsia" w:ascii="宋体" w:hAnsi="宋体" w:eastAsia="宋体" w:cs="宋体"/>
          <w:b/>
          <w:bCs/>
          <w:color w:val="auto"/>
          <w:szCs w:val="21"/>
          <w:highlight w:val="none"/>
          <w:lang w:val="zh-CN"/>
        </w:rPr>
        <w:t>1.1 合同组成部分</w:t>
      </w:r>
      <w:bookmarkEnd w:id="60"/>
      <w:bookmarkEnd w:id="61"/>
      <w:bookmarkEnd w:id="62"/>
    </w:p>
    <w:p w14:paraId="1C18FDF0">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C117B0">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1.1.1本合同及其补充合同、变更协议；</w:t>
      </w:r>
    </w:p>
    <w:p w14:paraId="15BF6E4E">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1.1.2中标通知书；</w:t>
      </w:r>
    </w:p>
    <w:p w14:paraId="26E56E35">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1.1.3投标文件（含澄清或者说明文件）；</w:t>
      </w:r>
    </w:p>
    <w:p w14:paraId="67136BAA">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1.1.4招标文件（含澄清或者修改文件）；</w:t>
      </w:r>
    </w:p>
    <w:p w14:paraId="371AAD07">
      <w:pPr>
        <w:spacing w:line="360" w:lineRule="auto"/>
        <w:ind w:firstLine="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1.1.5其他相关采购文件。</w:t>
      </w:r>
    </w:p>
    <w:p w14:paraId="3C351235">
      <w:pPr>
        <w:spacing w:line="360" w:lineRule="auto"/>
        <w:ind w:firstLine="437"/>
        <w:outlineLvl w:val="3"/>
        <w:rPr>
          <w:rFonts w:ascii="宋体" w:hAnsi="宋体" w:eastAsia="宋体" w:cs="宋体"/>
          <w:b/>
          <w:bCs/>
          <w:color w:val="auto"/>
          <w:szCs w:val="21"/>
          <w:highlight w:val="none"/>
          <w:lang w:val="zh-CN"/>
        </w:rPr>
      </w:pPr>
      <w:bookmarkStart w:id="63" w:name="_Toc6773"/>
      <w:bookmarkStart w:id="64" w:name="_Toc22185"/>
      <w:bookmarkStart w:id="65" w:name="_Toc2918"/>
      <w:bookmarkStart w:id="66" w:name="_Toc6311"/>
      <w:bookmarkStart w:id="67" w:name="_Toc18585"/>
      <w:r>
        <w:rPr>
          <w:rFonts w:hint="eastAsia" w:ascii="宋体" w:hAnsi="宋体" w:eastAsia="宋体" w:cs="宋体"/>
          <w:b/>
          <w:bCs/>
          <w:color w:val="auto"/>
          <w:szCs w:val="21"/>
          <w:highlight w:val="none"/>
          <w:lang w:val="zh-CN"/>
        </w:rPr>
        <w:t xml:space="preserve">1.2 </w:t>
      </w:r>
      <w:bookmarkEnd w:id="63"/>
      <w:bookmarkEnd w:id="64"/>
      <w:bookmarkEnd w:id="65"/>
      <w:bookmarkEnd w:id="66"/>
      <w:bookmarkEnd w:id="67"/>
      <w:r>
        <w:rPr>
          <w:rFonts w:hint="eastAsia" w:ascii="宋体" w:hAnsi="宋体" w:eastAsia="宋体" w:cs="宋体"/>
          <w:b/>
          <w:bCs/>
          <w:color w:val="auto"/>
          <w:szCs w:val="21"/>
          <w:highlight w:val="none"/>
          <w:lang w:val="zh-CN"/>
        </w:rPr>
        <w:t>服务</w:t>
      </w:r>
    </w:p>
    <w:p w14:paraId="35D264CE">
      <w:pPr>
        <w:spacing w:line="360" w:lineRule="auto"/>
        <w:ind w:firstLine="435"/>
        <w:rPr>
          <w:rFonts w:ascii="宋体" w:hAnsi="宋体" w:eastAsia="宋体" w:cs="宋体"/>
          <w:color w:val="auto"/>
          <w:szCs w:val="21"/>
          <w:highlight w:val="none"/>
          <w:u w:val="single"/>
        </w:rPr>
      </w:pPr>
      <w:r>
        <w:rPr>
          <w:rFonts w:hint="eastAsia" w:ascii="宋体" w:hAnsi="宋体" w:eastAsia="宋体" w:cs="宋体"/>
          <w:color w:val="auto"/>
          <w:szCs w:val="21"/>
          <w:highlight w:val="none"/>
        </w:rPr>
        <w:t>1.2.1服务名称：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001630">
      <w:pPr>
        <w:spacing w:line="360" w:lineRule="auto"/>
        <w:ind w:firstLine="435"/>
        <w:rPr>
          <w:rFonts w:ascii="宋体" w:hAnsi="宋体" w:eastAsia="宋体" w:cs="宋体"/>
          <w:color w:val="auto"/>
          <w:szCs w:val="21"/>
          <w:highlight w:val="none"/>
          <w:u w:val="single"/>
        </w:rPr>
      </w:pPr>
      <w:r>
        <w:rPr>
          <w:rFonts w:hint="eastAsia" w:ascii="宋体" w:hAnsi="宋体" w:eastAsia="宋体" w:cs="宋体"/>
          <w:color w:val="auto"/>
          <w:szCs w:val="21"/>
          <w:highlight w:val="none"/>
        </w:rPr>
        <w:t>1.2.2服务内容：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87EA23">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1.2.3服务质量：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E51B36">
      <w:pPr>
        <w:spacing w:line="360" w:lineRule="auto"/>
        <w:ind w:firstLine="437"/>
        <w:outlineLvl w:val="3"/>
        <w:rPr>
          <w:rFonts w:ascii="宋体" w:hAnsi="宋体" w:eastAsia="宋体" w:cs="宋体"/>
          <w:b/>
          <w:bCs/>
          <w:color w:val="auto"/>
          <w:szCs w:val="21"/>
          <w:highlight w:val="none"/>
          <w:lang w:val="zh-CN"/>
        </w:rPr>
      </w:pPr>
      <w:bookmarkStart w:id="68" w:name="_Toc23292"/>
      <w:bookmarkStart w:id="69" w:name="_Toc21631"/>
      <w:bookmarkStart w:id="70" w:name="_Toc21551"/>
      <w:r>
        <w:rPr>
          <w:rFonts w:hint="eastAsia" w:ascii="宋体" w:hAnsi="宋体" w:eastAsia="宋体" w:cs="宋体"/>
          <w:b/>
          <w:bCs/>
          <w:color w:val="auto"/>
          <w:szCs w:val="21"/>
          <w:highlight w:val="none"/>
          <w:lang w:val="zh-CN"/>
        </w:rPr>
        <w:t>1.3 价款</w:t>
      </w:r>
      <w:bookmarkEnd w:id="68"/>
      <w:bookmarkEnd w:id="69"/>
      <w:bookmarkEnd w:id="70"/>
    </w:p>
    <w:p w14:paraId="4257B8D6">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970576D">
      <w:pPr>
        <w:spacing w:line="360" w:lineRule="auto"/>
        <w:ind w:firstLine="435"/>
        <w:rPr>
          <w:rFonts w:ascii="宋体" w:hAnsi="宋体" w:eastAsia="宋体" w:cs="宋体"/>
          <w:color w:val="auto"/>
          <w:szCs w:val="21"/>
          <w:highlight w:val="none"/>
          <w:u w:val="single"/>
        </w:rPr>
      </w:pPr>
      <w:r>
        <w:rPr>
          <w:rFonts w:hint="eastAsia" w:ascii="宋体" w:hAnsi="宋体" w:eastAsia="宋体" w:cs="宋体"/>
          <w:color w:val="auto"/>
          <w:szCs w:val="21"/>
          <w:highlight w:val="none"/>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473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vAlign w:val="center"/>
          </w:tcPr>
          <w:p w14:paraId="13B255E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4317" w:type="dxa"/>
            <w:vAlign w:val="center"/>
          </w:tcPr>
          <w:p w14:paraId="36B69A2D">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分项名称</w:t>
            </w:r>
          </w:p>
        </w:tc>
        <w:tc>
          <w:tcPr>
            <w:tcW w:w="3237" w:type="dxa"/>
            <w:gridSpan w:val="2"/>
            <w:vAlign w:val="center"/>
          </w:tcPr>
          <w:p w14:paraId="4C39A54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分项价格</w:t>
            </w:r>
          </w:p>
        </w:tc>
      </w:tr>
      <w:tr w14:paraId="02F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0D6D129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4317" w:type="dxa"/>
            <w:vAlign w:val="center"/>
          </w:tcPr>
          <w:p w14:paraId="39CF7AE9">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c>
          <w:tcPr>
            <w:tcW w:w="3237" w:type="dxa"/>
            <w:gridSpan w:val="2"/>
            <w:vAlign w:val="center"/>
          </w:tcPr>
          <w:p w14:paraId="08C6AB16">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r>
      <w:tr w14:paraId="37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1DA9DE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4317" w:type="dxa"/>
            <w:vAlign w:val="center"/>
          </w:tcPr>
          <w:p w14:paraId="7513307F">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c>
          <w:tcPr>
            <w:tcW w:w="3237" w:type="dxa"/>
            <w:gridSpan w:val="2"/>
            <w:vAlign w:val="center"/>
          </w:tcPr>
          <w:p w14:paraId="1E79BA30">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r>
      <w:tr w14:paraId="144F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7B3E07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4317" w:type="dxa"/>
            <w:vAlign w:val="center"/>
          </w:tcPr>
          <w:p w14:paraId="47E055F7">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c>
          <w:tcPr>
            <w:tcW w:w="3237" w:type="dxa"/>
            <w:gridSpan w:val="2"/>
            <w:vAlign w:val="center"/>
          </w:tcPr>
          <w:p w14:paraId="757A7236">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r>
      <w:tr w14:paraId="7656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16075E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tc>
        <w:tc>
          <w:tcPr>
            <w:tcW w:w="4317" w:type="dxa"/>
            <w:vAlign w:val="center"/>
          </w:tcPr>
          <w:p w14:paraId="555C3283">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c>
          <w:tcPr>
            <w:tcW w:w="3237" w:type="dxa"/>
            <w:gridSpan w:val="2"/>
            <w:vAlign w:val="center"/>
          </w:tcPr>
          <w:p w14:paraId="7C11EDC0">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r>
      <w:tr w14:paraId="537B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152F929">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3237" w:type="dxa"/>
            <w:gridSpan w:val="2"/>
            <w:vAlign w:val="center"/>
          </w:tcPr>
          <w:p w14:paraId="4DF0107C">
            <w:pPr>
              <w:keepNext w:val="0"/>
              <w:keepLines w:val="0"/>
              <w:suppressLineNumbers w:val="0"/>
              <w:spacing w:before="0" w:beforeAutospacing="0" w:after="0" w:afterAutospacing="0"/>
              <w:ind w:left="0" w:right="0" w:firstLine="200"/>
              <w:jc w:val="center"/>
              <w:rPr>
                <w:rFonts w:hint="default" w:ascii="宋体" w:hAnsi="宋体" w:eastAsia="宋体" w:cs="宋体"/>
                <w:color w:val="auto"/>
                <w:szCs w:val="21"/>
                <w:highlight w:val="none"/>
              </w:rPr>
            </w:pPr>
          </w:p>
        </w:tc>
      </w:tr>
    </w:tbl>
    <w:p w14:paraId="475DE036">
      <w:pPr>
        <w:spacing w:line="360" w:lineRule="auto"/>
        <w:ind w:firstLine="437"/>
        <w:outlineLvl w:val="3"/>
        <w:rPr>
          <w:rFonts w:ascii="宋体" w:hAnsi="宋体" w:eastAsia="宋体" w:cs="宋体"/>
          <w:b/>
          <w:bCs/>
          <w:color w:val="auto"/>
          <w:szCs w:val="21"/>
          <w:highlight w:val="none"/>
          <w:lang w:val="zh-CN"/>
        </w:rPr>
      </w:pPr>
      <w:bookmarkStart w:id="71" w:name="_Toc22618"/>
      <w:bookmarkStart w:id="72" w:name="_Toc10340"/>
      <w:bookmarkStart w:id="73" w:name="_Toc1814"/>
      <w:r>
        <w:rPr>
          <w:rFonts w:hint="eastAsia" w:ascii="宋体" w:hAnsi="宋体" w:eastAsia="宋体" w:cs="宋体"/>
          <w:b/>
          <w:bCs/>
          <w:color w:val="auto"/>
          <w:szCs w:val="21"/>
          <w:highlight w:val="none"/>
          <w:lang w:val="zh-CN"/>
        </w:rPr>
        <w:t>1.4 付款方式和发票开具方式</w:t>
      </w:r>
      <w:bookmarkEnd w:id="71"/>
      <w:bookmarkEnd w:id="72"/>
      <w:bookmarkEnd w:id="73"/>
    </w:p>
    <w:p w14:paraId="74C25B49">
      <w:pPr>
        <w:spacing w:line="5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1.4.1付款方式：</w:t>
      </w:r>
    </w:p>
    <w:p w14:paraId="7ACCA43E">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1.4.2发票开具方式：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1E0867">
      <w:pPr>
        <w:spacing w:line="360" w:lineRule="auto"/>
        <w:ind w:firstLine="437"/>
        <w:outlineLvl w:val="3"/>
        <w:rPr>
          <w:rFonts w:ascii="宋体" w:hAnsi="宋体" w:eastAsia="宋体" w:cs="宋体"/>
          <w:b/>
          <w:bCs/>
          <w:color w:val="auto"/>
          <w:szCs w:val="21"/>
          <w:highlight w:val="none"/>
          <w:lang w:val="zh-CN"/>
        </w:rPr>
      </w:pPr>
      <w:bookmarkStart w:id="74" w:name="_Toc32071"/>
      <w:bookmarkStart w:id="75" w:name="_Toc19304"/>
      <w:bookmarkStart w:id="76" w:name="_Toc2846"/>
      <w:r>
        <w:rPr>
          <w:rFonts w:hint="eastAsia" w:ascii="宋体" w:hAnsi="宋体" w:eastAsia="宋体" w:cs="宋体"/>
          <w:b/>
          <w:bCs/>
          <w:color w:val="auto"/>
          <w:szCs w:val="21"/>
          <w:highlight w:val="none"/>
          <w:lang w:val="zh-CN"/>
        </w:rPr>
        <w:t>1.5 服务期限、地点和方式</w:t>
      </w:r>
      <w:bookmarkEnd w:id="74"/>
      <w:bookmarkEnd w:id="75"/>
      <w:bookmarkEnd w:id="76"/>
    </w:p>
    <w:p w14:paraId="17E9E2BD">
      <w:pPr>
        <w:spacing w:line="360" w:lineRule="auto"/>
        <w:ind w:firstLine="435"/>
        <w:rPr>
          <w:rFonts w:ascii="宋体" w:hAnsi="宋体" w:eastAsia="宋体" w:cs="宋体"/>
          <w:color w:val="auto"/>
          <w:szCs w:val="21"/>
          <w:highlight w:val="none"/>
          <w:u w:val="single"/>
        </w:rPr>
      </w:pPr>
      <w:r>
        <w:rPr>
          <w:rFonts w:hint="eastAsia" w:ascii="宋体" w:hAnsi="宋体" w:eastAsia="宋体" w:cs="宋体"/>
          <w:color w:val="auto"/>
          <w:szCs w:val="21"/>
          <w:highlight w:val="none"/>
        </w:rPr>
        <w:t>1.5.1服务期限：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7E5F502">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1.5.2服务地点：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914F28">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1.5.3服务方式：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099BB01">
      <w:pPr>
        <w:spacing w:line="360" w:lineRule="auto"/>
        <w:ind w:firstLine="437"/>
        <w:outlineLvl w:val="3"/>
        <w:rPr>
          <w:rFonts w:ascii="宋体" w:hAnsi="宋体" w:eastAsia="宋体" w:cs="宋体"/>
          <w:b/>
          <w:bCs/>
          <w:color w:val="auto"/>
          <w:szCs w:val="21"/>
          <w:highlight w:val="none"/>
          <w:lang w:val="zh-CN"/>
        </w:rPr>
      </w:pPr>
      <w:bookmarkStart w:id="77" w:name="_Toc21423"/>
      <w:bookmarkStart w:id="78" w:name="_Toc27250"/>
      <w:bookmarkStart w:id="79" w:name="_Toc19554"/>
      <w:r>
        <w:rPr>
          <w:rFonts w:hint="eastAsia" w:ascii="宋体" w:hAnsi="宋体" w:eastAsia="宋体" w:cs="宋体"/>
          <w:b/>
          <w:bCs/>
          <w:color w:val="auto"/>
          <w:szCs w:val="21"/>
          <w:highlight w:val="none"/>
          <w:lang w:val="zh-CN"/>
        </w:rPr>
        <w:t>1.6 违约责任</w:t>
      </w:r>
      <w:bookmarkEnd w:id="77"/>
      <w:bookmarkEnd w:id="78"/>
      <w:bookmarkEnd w:id="79"/>
    </w:p>
    <w:p w14:paraId="497F63CE">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10 </w:t>
      </w:r>
      <w:r>
        <w:rPr>
          <w:rFonts w:hint="eastAsia" w:ascii="宋体" w:hAnsi="宋体" w:eastAsia="宋体" w:cs="宋体"/>
          <w:color w:val="auto"/>
          <w:szCs w:val="21"/>
          <w:highlight w:val="none"/>
        </w:rPr>
        <w:t>%；迟延履行的违约金计算数额达到前述最高限额之日起，甲方有权在要求乙方支付违约金的同时，书面通知乙方解除本合同；</w:t>
      </w:r>
    </w:p>
    <w:p w14:paraId="722F93F7">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1</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14:paraId="6AC2727C">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117917">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4DFF21">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064B2B">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B0BB594">
      <w:pPr>
        <w:spacing w:line="360" w:lineRule="auto"/>
        <w:ind w:firstLine="437"/>
        <w:outlineLvl w:val="3"/>
        <w:rPr>
          <w:rFonts w:ascii="宋体" w:hAnsi="宋体" w:eastAsia="宋体" w:cs="宋体"/>
          <w:b/>
          <w:bCs/>
          <w:color w:val="auto"/>
          <w:szCs w:val="21"/>
          <w:highlight w:val="none"/>
          <w:lang w:val="zh-CN"/>
        </w:rPr>
      </w:pPr>
      <w:bookmarkStart w:id="80" w:name="_Toc28375"/>
      <w:bookmarkStart w:id="81" w:name="_Toc15583"/>
      <w:bookmarkStart w:id="82" w:name="_Toc16021"/>
      <w:r>
        <w:rPr>
          <w:rFonts w:hint="eastAsia" w:ascii="宋体" w:hAnsi="宋体" w:eastAsia="宋体" w:cs="宋体"/>
          <w:b/>
          <w:bCs/>
          <w:color w:val="auto"/>
          <w:szCs w:val="21"/>
          <w:highlight w:val="none"/>
          <w:lang w:val="zh-CN"/>
        </w:rPr>
        <w:t>1.7 合同争议的解决</w:t>
      </w:r>
      <w:bookmarkEnd w:id="80"/>
      <w:bookmarkEnd w:id="81"/>
      <w:bookmarkEnd w:id="82"/>
    </w:p>
    <w:p w14:paraId="139A2F85">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p w14:paraId="5B297CE9">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1.7.1将争议提交</w:t>
      </w:r>
      <w:r>
        <w:rPr>
          <w:rFonts w:hint="eastAsia" w:ascii="宋体" w:hAnsi="宋体" w:eastAsia="宋体" w:cs="宋体"/>
          <w:color w:val="auto"/>
          <w:szCs w:val="21"/>
          <w:highlight w:val="none"/>
          <w:u w:val="single"/>
        </w:rPr>
        <w:t xml:space="preserve"> 采购人所在地  </w:t>
      </w:r>
      <w:r>
        <w:rPr>
          <w:rFonts w:hint="eastAsia" w:ascii="宋体" w:hAnsi="宋体" w:eastAsia="宋体" w:cs="宋体"/>
          <w:color w:val="auto"/>
          <w:szCs w:val="21"/>
          <w:highlight w:val="none"/>
        </w:rPr>
        <w:t>仲裁委员会依申请仲裁时其现行有效的仲裁规则裁决；</w:t>
      </w:r>
    </w:p>
    <w:p w14:paraId="60D8B089">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1.7.2向</w:t>
      </w:r>
      <w:r>
        <w:rPr>
          <w:rFonts w:hint="eastAsia" w:ascii="宋体" w:hAnsi="宋体" w:eastAsia="宋体" w:cs="宋体"/>
          <w:color w:val="auto"/>
          <w:szCs w:val="21"/>
          <w:highlight w:val="none"/>
          <w:u w:val="single"/>
        </w:rPr>
        <w:t xml:space="preserve"> 项目所在地 </w:t>
      </w:r>
      <w:r>
        <w:rPr>
          <w:rFonts w:hint="eastAsia" w:ascii="宋体" w:hAnsi="宋体" w:eastAsia="宋体" w:cs="宋体"/>
          <w:color w:val="auto"/>
          <w:szCs w:val="21"/>
          <w:highlight w:val="none"/>
        </w:rPr>
        <w:t>人民法院起诉。</w:t>
      </w:r>
    </w:p>
    <w:p w14:paraId="4BF7AAF1">
      <w:pPr>
        <w:spacing w:line="360" w:lineRule="auto"/>
        <w:ind w:firstLine="437"/>
        <w:outlineLvl w:val="3"/>
        <w:rPr>
          <w:rFonts w:ascii="宋体" w:hAnsi="宋体" w:eastAsia="宋体" w:cs="宋体"/>
          <w:b/>
          <w:bCs/>
          <w:color w:val="auto"/>
          <w:szCs w:val="21"/>
          <w:highlight w:val="none"/>
          <w:lang w:val="zh-CN"/>
        </w:rPr>
      </w:pPr>
      <w:bookmarkStart w:id="83" w:name="_Toc7245"/>
      <w:bookmarkStart w:id="84" w:name="_Toc11173"/>
      <w:bookmarkStart w:id="85" w:name="_Toc15322"/>
      <w:r>
        <w:rPr>
          <w:rFonts w:hint="eastAsia" w:ascii="宋体" w:hAnsi="宋体" w:eastAsia="宋体" w:cs="宋体"/>
          <w:b/>
          <w:bCs/>
          <w:color w:val="auto"/>
          <w:szCs w:val="21"/>
          <w:highlight w:val="none"/>
          <w:lang w:val="zh-CN"/>
        </w:rPr>
        <w:t>1.8 合同生效</w:t>
      </w:r>
      <w:bookmarkEnd w:id="83"/>
      <w:bookmarkEnd w:id="84"/>
      <w:bookmarkEnd w:id="85"/>
    </w:p>
    <w:p w14:paraId="7303E740">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本合同自双方当事人盖章时生效。</w:t>
      </w:r>
    </w:p>
    <w:p w14:paraId="4EE0CCB8">
      <w:pPr>
        <w:autoSpaceDE w:val="0"/>
        <w:autoSpaceDN w:val="0"/>
        <w:adjustRightInd w:val="0"/>
        <w:spacing w:line="560" w:lineRule="exact"/>
        <w:rPr>
          <w:rFonts w:ascii="宋体" w:hAnsi="宋体" w:eastAsia="宋体" w:cs="宋体"/>
          <w:color w:val="auto"/>
          <w:szCs w:val="21"/>
          <w:highlight w:val="none"/>
          <w:lang w:val="zh-CN"/>
        </w:rPr>
      </w:pPr>
    </w:p>
    <w:p w14:paraId="03F48FF3">
      <w:pPr>
        <w:autoSpaceDE w:val="0"/>
        <w:autoSpaceDN w:val="0"/>
        <w:adjustRightInd w:val="0"/>
        <w:spacing w:line="560" w:lineRule="exact"/>
        <w:rPr>
          <w:rFonts w:ascii="宋体" w:hAnsi="宋体" w:eastAsia="宋体" w:cs="宋体"/>
          <w:color w:val="auto"/>
          <w:szCs w:val="21"/>
          <w:highlight w:val="none"/>
          <w:lang w:val="zh-CN"/>
        </w:rPr>
      </w:pPr>
    </w:p>
    <w:p w14:paraId="71FC105F">
      <w:pPr>
        <w:autoSpaceDE w:val="0"/>
        <w:autoSpaceDN w:val="0"/>
        <w:adjustRightInd w:val="0"/>
        <w:spacing w:line="560" w:lineRule="exact"/>
        <w:rPr>
          <w:rFonts w:ascii="宋体" w:hAnsi="宋体" w:eastAsia="宋体" w:cs="宋体"/>
          <w:color w:val="auto"/>
          <w:szCs w:val="21"/>
          <w:highlight w:val="none"/>
          <w:lang w:val="zh-CN"/>
        </w:rPr>
      </w:pPr>
    </w:p>
    <w:p w14:paraId="6439DDEF">
      <w:pPr>
        <w:autoSpaceDE w:val="0"/>
        <w:autoSpaceDN w:val="0"/>
        <w:adjustRightInd w:val="0"/>
        <w:spacing w:line="560" w:lineRule="exac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甲    方：</w:t>
      </w:r>
      <w:r>
        <w:rPr>
          <w:rFonts w:hint="eastAsia" w:ascii="宋体" w:hAnsi="宋体" w:eastAsia="宋体" w:cs="宋体"/>
          <w:bCs/>
          <w:color w:val="auto"/>
          <w:szCs w:val="21"/>
          <w:highlight w:val="none"/>
          <w:u w:val="single"/>
          <w:lang w:val="zh-CN"/>
        </w:rPr>
        <w:t xml:space="preserve">    （单位盖章）     </w:t>
      </w:r>
      <w:r>
        <w:rPr>
          <w:rFonts w:hint="eastAsia" w:ascii="宋体" w:hAnsi="宋体" w:eastAsia="宋体" w:cs="宋体"/>
          <w:bCs/>
          <w:color w:val="auto"/>
          <w:szCs w:val="21"/>
          <w:highlight w:val="none"/>
          <w:lang w:val="zh-CN"/>
        </w:rPr>
        <w:t xml:space="preserve">          乙方：</w:t>
      </w:r>
      <w:r>
        <w:rPr>
          <w:rFonts w:hint="eastAsia" w:ascii="宋体" w:hAnsi="宋体" w:eastAsia="宋体" w:cs="宋体"/>
          <w:bCs/>
          <w:color w:val="auto"/>
          <w:szCs w:val="21"/>
          <w:highlight w:val="none"/>
          <w:u w:val="single"/>
          <w:lang w:val="zh-CN"/>
        </w:rPr>
        <w:t xml:space="preserve">    （单位盖章）     </w:t>
      </w:r>
    </w:p>
    <w:p w14:paraId="5FACAFD8">
      <w:pPr>
        <w:autoSpaceDE w:val="0"/>
        <w:autoSpaceDN w:val="0"/>
        <w:adjustRightInd w:val="0"/>
        <w:spacing w:line="5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                               法定代表人</w:t>
      </w:r>
    </w:p>
    <w:p w14:paraId="526FD2CB">
      <w:pPr>
        <w:autoSpaceDE w:val="0"/>
        <w:autoSpaceDN w:val="0"/>
        <w:adjustRightInd w:val="0"/>
        <w:spacing w:line="56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或授权代表（签字）：                      或授权代表（签字）：</w:t>
      </w:r>
    </w:p>
    <w:p w14:paraId="54AB0E39">
      <w:pPr>
        <w:widowControl/>
        <w:spacing w:line="560" w:lineRule="exact"/>
        <w:jc w:val="left"/>
        <w:rPr>
          <w:rFonts w:ascii="宋体" w:hAnsi="宋体" w:eastAsia="宋体" w:cs="宋体"/>
          <w:bCs/>
          <w:color w:val="auto"/>
          <w:szCs w:val="21"/>
          <w:highlight w:val="none"/>
        </w:rPr>
      </w:pPr>
      <w:bookmarkStart w:id="86" w:name="_Toc331685783"/>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               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5448F3BC">
      <w:pPr>
        <w:widowControl/>
        <w:jc w:val="left"/>
        <w:rPr>
          <w:rFonts w:ascii="宋体" w:hAnsi="宋体" w:eastAsia="宋体" w:cs="宋体"/>
          <w:b/>
          <w:color w:val="auto"/>
          <w:szCs w:val="21"/>
          <w:highlight w:val="none"/>
        </w:rPr>
      </w:pPr>
    </w:p>
    <w:p w14:paraId="42B71B7A">
      <w:pPr>
        <w:pStyle w:val="8"/>
        <w:rPr>
          <w:rFonts w:ascii="宋体" w:hAnsi="宋体" w:eastAsia="宋体" w:cs="宋体"/>
          <w:color w:val="auto"/>
          <w:highlight w:val="none"/>
        </w:rPr>
      </w:pPr>
    </w:p>
    <w:p w14:paraId="4E333D6C">
      <w:pPr>
        <w:rPr>
          <w:rFonts w:ascii="宋体" w:hAnsi="宋体" w:eastAsia="宋体" w:cs="宋体"/>
          <w:color w:val="auto"/>
          <w:highlight w:val="none"/>
        </w:rPr>
      </w:pPr>
    </w:p>
    <w:p w14:paraId="65ADA1FF">
      <w:pPr>
        <w:pStyle w:val="8"/>
        <w:rPr>
          <w:rFonts w:ascii="宋体" w:hAnsi="宋体" w:eastAsia="宋体" w:cs="宋体"/>
          <w:color w:val="auto"/>
          <w:highlight w:val="none"/>
        </w:rPr>
      </w:pPr>
    </w:p>
    <w:p w14:paraId="0C587C40">
      <w:pPr>
        <w:rPr>
          <w:rFonts w:ascii="宋体" w:hAnsi="宋体" w:eastAsia="宋体" w:cs="宋体"/>
          <w:color w:val="auto"/>
          <w:highlight w:val="none"/>
        </w:rPr>
      </w:pPr>
    </w:p>
    <w:p w14:paraId="7C691892">
      <w:pPr>
        <w:pageBreakBefore/>
        <w:spacing w:line="360" w:lineRule="auto"/>
        <w:jc w:val="center"/>
        <w:outlineLvl w:val="2"/>
        <w:rPr>
          <w:rFonts w:ascii="宋体" w:hAnsi="宋体" w:eastAsia="宋体" w:cs="宋体"/>
          <w:b/>
          <w:color w:val="auto"/>
          <w:szCs w:val="21"/>
          <w:highlight w:val="none"/>
        </w:rPr>
      </w:pPr>
      <w:r>
        <w:rPr>
          <w:rFonts w:hint="eastAsia" w:ascii="宋体" w:hAnsi="宋体" w:eastAsia="宋体" w:cs="宋体"/>
          <w:b/>
          <w:color w:val="auto"/>
          <w:szCs w:val="21"/>
          <w:highlight w:val="none"/>
        </w:rPr>
        <w:t>第二部分 合同一般条款</w:t>
      </w:r>
      <w:bookmarkEnd w:id="86"/>
    </w:p>
    <w:p w14:paraId="1894B7BC">
      <w:pPr>
        <w:spacing w:line="360" w:lineRule="auto"/>
        <w:ind w:firstLine="437"/>
        <w:outlineLvl w:val="3"/>
        <w:rPr>
          <w:rFonts w:ascii="宋体" w:hAnsi="宋体" w:eastAsia="宋体" w:cs="宋体"/>
          <w:b/>
          <w:bCs/>
          <w:color w:val="auto"/>
          <w:szCs w:val="21"/>
          <w:highlight w:val="none"/>
          <w:lang w:val="zh-CN"/>
        </w:rPr>
      </w:pPr>
      <w:bookmarkStart w:id="87" w:name="_Ref467379205"/>
      <w:bookmarkStart w:id="88" w:name="_Ref467378404"/>
      <w:bookmarkStart w:id="89" w:name="_Ref467379195"/>
      <w:bookmarkStart w:id="90" w:name="_Toc19614"/>
      <w:bookmarkStart w:id="91" w:name="_Ref467379094"/>
      <w:bookmarkStart w:id="92" w:name="_Toc487900349"/>
      <w:bookmarkStart w:id="93" w:name="_Toc28763"/>
      <w:bookmarkStart w:id="94" w:name="_Toc279701240"/>
      <w:bookmarkStart w:id="95" w:name="_Ref467379225"/>
      <w:bookmarkStart w:id="96" w:name="_Ref467378499"/>
      <w:bookmarkStart w:id="97" w:name="_Ref467379214"/>
      <w:bookmarkStart w:id="98" w:name="_Toc259093669"/>
      <w:bookmarkStart w:id="99" w:name="_Ref467379101"/>
      <w:bookmarkStart w:id="100" w:name="_Toc16917"/>
      <w:bookmarkStart w:id="101" w:name="_Ref467379109"/>
      <w:bookmarkStart w:id="102" w:name="_Ref467378463"/>
      <w:r>
        <w:rPr>
          <w:rFonts w:hint="eastAsia" w:ascii="宋体" w:hAnsi="宋体" w:eastAsia="宋体" w:cs="宋体"/>
          <w:b/>
          <w:bCs/>
          <w:color w:val="auto"/>
          <w:szCs w:val="21"/>
          <w:highlight w:val="none"/>
          <w:lang w:val="zh-CN"/>
        </w:rPr>
        <w:t>2.1 定义</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207DEAE">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14:paraId="55A5BCA8">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2.1.1“合同”系指采购人和中标人签订的载明双方当事人所达成的协议，并包括所有的附件、附录和构成合同的其他文件。</w:t>
      </w:r>
    </w:p>
    <w:p w14:paraId="0387CE52">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2.1.2“合同价”系指根据合同约定，中标人在完全履行合同义务后，采购人应支付给中标人的价格。</w:t>
      </w:r>
    </w:p>
    <w:p w14:paraId="74A54C20">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2.1.3“服务”系指中标人根据合同约定应向采购人履行的除货物和工程以外的其他政府采购对象，包括采购人自身需要的服务和向社会公众提供的公共服务。</w:t>
      </w:r>
    </w:p>
    <w:p w14:paraId="088BEC8D">
      <w:pPr>
        <w:spacing w:line="360" w:lineRule="auto"/>
        <w:ind w:firstLine="435"/>
        <w:rPr>
          <w:rFonts w:ascii="宋体" w:hAnsi="宋体" w:eastAsia="宋体" w:cs="宋体"/>
          <w:color w:val="auto"/>
          <w:szCs w:val="21"/>
          <w:highlight w:val="none"/>
        </w:rPr>
      </w:pPr>
      <w:bookmarkStart w:id="103" w:name="_Ref467378840"/>
      <w:r>
        <w:rPr>
          <w:rFonts w:hint="eastAsia" w:ascii="宋体" w:hAnsi="宋体" w:eastAsia="宋体" w:cs="宋体"/>
          <w:color w:val="auto"/>
          <w:szCs w:val="21"/>
          <w:highlight w:val="none"/>
        </w:rPr>
        <w:t>2.1.4“甲方”系指与中标人签署合同的采购人</w:t>
      </w:r>
      <w:bookmarkEnd w:id="103"/>
      <w:r>
        <w:rPr>
          <w:rFonts w:hint="eastAsia" w:ascii="宋体" w:hAnsi="宋体" w:eastAsia="宋体" w:cs="宋体"/>
          <w:color w:val="auto"/>
          <w:szCs w:val="21"/>
          <w:highlight w:val="none"/>
        </w:rPr>
        <w:t>；采购人委托采购代理机构代表其与乙方签订合同的，采购人的授权委托书作为合同附件。</w:t>
      </w:r>
    </w:p>
    <w:p w14:paraId="188674E7">
      <w:pPr>
        <w:spacing w:line="360" w:lineRule="auto"/>
        <w:ind w:firstLine="435"/>
        <w:rPr>
          <w:rFonts w:ascii="宋体" w:hAnsi="宋体" w:eastAsia="宋体" w:cs="宋体"/>
          <w:color w:val="auto"/>
          <w:szCs w:val="21"/>
          <w:highlight w:val="none"/>
        </w:rPr>
      </w:pPr>
      <w:bookmarkStart w:id="104" w:name="_Ref467379400"/>
      <w:r>
        <w:rPr>
          <w:rFonts w:hint="eastAsia" w:ascii="宋体" w:hAnsi="宋体" w:eastAsia="宋体" w:cs="宋体"/>
          <w:color w:val="auto"/>
          <w:szCs w:val="21"/>
          <w:highlight w:val="none"/>
        </w:rPr>
        <w:t>2.1.5“乙方”系指根据合同约定提供服务的中标人</w:t>
      </w:r>
      <w:bookmarkEnd w:id="104"/>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990911">
      <w:pPr>
        <w:spacing w:line="360" w:lineRule="auto"/>
        <w:ind w:firstLine="435"/>
        <w:rPr>
          <w:rFonts w:ascii="宋体" w:hAnsi="宋体" w:eastAsia="宋体" w:cs="宋体"/>
          <w:color w:val="auto"/>
          <w:szCs w:val="21"/>
          <w:highlight w:val="none"/>
        </w:rPr>
      </w:pPr>
      <w:bookmarkStart w:id="105" w:name="_Ref467379436"/>
      <w:r>
        <w:rPr>
          <w:rFonts w:hint="eastAsia" w:ascii="宋体" w:hAnsi="宋体" w:eastAsia="宋体" w:cs="宋体"/>
          <w:color w:val="auto"/>
          <w:szCs w:val="21"/>
          <w:highlight w:val="none"/>
        </w:rPr>
        <w:t>2.1.6“现场”系指合同约定提供服务的地点。</w:t>
      </w:r>
      <w:bookmarkEnd w:id="105"/>
    </w:p>
    <w:p w14:paraId="6D8404BE">
      <w:pPr>
        <w:spacing w:line="360" w:lineRule="auto"/>
        <w:ind w:firstLine="437"/>
        <w:outlineLvl w:val="3"/>
        <w:rPr>
          <w:rFonts w:ascii="宋体" w:hAnsi="宋体" w:eastAsia="宋体" w:cs="宋体"/>
          <w:b/>
          <w:bCs/>
          <w:color w:val="auto"/>
          <w:szCs w:val="21"/>
          <w:highlight w:val="none"/>
          <w:lang w:val="zh-CN"/>
        </w:rPr>
      </w:pPr>
      <w:bookmarkStart w:id="106" w:name="_Toc259093670"/>
      <w:bookmarkStart w:id="107" w:name="_Toc27635"/>
      <w:bookmarkStart w:id="108" w:name="_Toc13336"/>
      <w:bookmarkStart w:id="109" w:name="_Toc279701241"/>
      <w:bookmarkStart w:id="110" w:name="_Toc487900350"/>
      <w:bookmarkStart w:id="111" w:name="_Toc32504"/>
      <w:r>
        <w:rPr>
          <w:rFonts w:hint="eastAsia" w:ascii="宋体" w:hAnsi="宋体" w:eastAsia="宋体" w:cs="宋体"/>
          <w:b/>
          <w:bCs/>
          <w:color w:val="auto"/>
          <w:szCs w:val="21"/>
          <w:highlight w:val="none"/>
          <w:lang w:val="zh-CN"/>
        </w:rPr>
        <w:t>2.2 技术规范</w:t>
      </w:r>
      <w:bookmarkEnd w:id="106"/>
      <w:bookmarkEnd w:id="107"/>
      <w:bookmarkEnd w:id="108"/>
      <w:bookmarkEnd w:id="109"/>
      <w:bookmarkEnd w:id="110"/>
      <w:bookmarkEnd w:id="111"/>
    </w:p>
    <w:p w14:paraId="221F6973">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453B7B7">
      <w:pPr>
        <w:spacing w:line="360" w:lineRule="auto"/>
        <w:ind w:firstLine="437"/>
        <w:outlineLvl w:val="3"/>
        <w:rPr>
          <w:rFonts w:ascii="宋体" w:hAnsi="宋体" w:eastAsia="宋体" w:cs="宋体"/>
          <w:b/>
          <w:bCs/>
          <w:color w:val="auto"/>
          <w:szCs w:val="21"/>
          <w:highlight w:val="none"/>
          <w:lang w:val="zh-CN"/>
        </w:rPr>
      </w:pPr>
      <w:bookmarkStart w:id="112" w:name="_Toc259093671"/>
      <w:bookmarkStart w:id="113" w:name="_Toc9829"/>
      <w:bookmarkStart w:id="114" w:name="_Toc27853"/>
      <w:bookmarkStart w:id="115" w:name="_Toc279701242"/>
      <w:bookmarkStart w:id="116" w:name="_Toc31634"/>
      <w:bookmarkStart w:id="117" w:name="_Toc487900351"/>
      <w:r>
        <w:rPr>
          <w:rFonts w:hint="eastAsia" w:ascii="宋体" w:hAnsi="宋体" w:eastAsia="宋体" w:cs="宋体"/>
          <w:b/>
          <w:bCs/>
          <w:color w:val="auto"/>
          <w:szCs w:val="21"/>
          <w:highlight w:val="none"/>
          <w:lang w:val="zh-CN"/>
        </w:rPr>
        <w:t>2.3 知识产权</w:t>
      </w:r>
      <w:bookmarkEnd w:id="112"/>
      <w:bookmarkEnd w:id="113"/>
      <w:bookmarkEnd w:id="114"/>
      <w:bookmarkEnd w:id="115"/>
      <w:bookmarkEnd w:id="116"/>
      <w:bookmarkEnd w:id="117"/>
    </w:p>
    <w:p w14:paraId="393E734C">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BC88F0">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2DA1C519">
      <w:pPr>
        <w:spacing w:line="360" w:lineRule="auto"/>
        <w:ind w:firstLine="437"/>
        <w:outlineLvl w:val="3"/>
        <w:rPr>
          <w:rFonts w:ascii="宋体" w:hAnsi="宋体" w:eastAsia="宋体" w:cs="宋体"/>
          <w:b/>
          <w:bCs/>
          <w:color w:val="auto"/>
          <w:szCs w:val="21"/>
          <w:highlight w:val="none"/>
          <w:lang w:val="zh-CN"/>
        </w:rPr>
      </w:pPr>
      <w:bookmarkStart w:id="118" w:name="_Ref467379536"/>
      <w:bookmarkStart w:id="119" w:name="_Ref467378591"/>
      <w:bookmarkStart w:id="120" w:name="_Ref467378541"/>
      <w:bookmarkStart w:id="121" w:name="_Ref467379527"/>
      <w:bookmarkStart w:id="122" w:name="_Toc487900354"/>
      <w:bookmarkStart w:id="123" w:name="_Ref467379542"/>
      <w:bookmarkStart w:id="124" w:name="_Toc259093674"/>
      <w:bookmarkStart w:id="125" w:name="_Toc279701245"/>
      <w:bookmarkStart w:id="126" w:name="_Toc26182"/>
      <w:bookmarkStart w:id="127" w:name="_Toc19074"/>
      <w:bookmarkStart w:id="128" w:name="_Toc30272"/>
      <w:r>
        <w:rPr>
          <w:rFonts w:hint="eastAsia" w:ascii="宋体" w:hAnsi="宋体" w:eastAsia="宋体" w:cs="宋体"/>
          <w:b/>
          <w:bCs/>
          <w:color w:val="auto"/>
          <w:szCs w:val="21"/>
          <w:highlight w:val="none"/>
          <w:lang w:val="zh-CN"/>
        </w:rPr>
        <w:t>2.</w:t>
      </w:r>
      <w:bookmarkEnd w:id="118"/>
      <w:bookmarkEnd w:id="119"/>
      <w:bookmarkEnd w:id="120"/>
      <w:bookmarkEnd w:id="121"/>
      <w:bookmarkEnd w:id="122"/>
      <w:bookmarkEnd w:id="123"/>
      <w:bookmarkEnd w:id="124"/>
      <w:bookmarkEnd w:id="125"/>
      <w:r>
        <w:rPr>
          <w:rFonts w:hint="eastAsia" w:ascii="宋体" w:hAnsi="宋体" w:eastAsia="宋体" w:cs="宋体"/>
          <w:b/>
          <w:bCs/>
          <w:color w:val="auto"/>
          <w:szCs w:val="21"/>
          <w:highlight w:val="none"/>
          <w:lang w:val="zh-CN"/>
        </w:rPr>
        <w:t>4 履约检查和问题反馈</w:t>
      </w:r>
      <w:bookmarkEnd w:id="126"/>
      <w:bookmarkEnd w:id="127"/>
      <w:bookmarkEnd w:id="128"/>
    </w:p>
    <w:p w14:paraId="2504F3D3">
      <w:pPr>
        <w:spacing w:line="360" w:lineRule="auto"/>
        <w:ind w:firstLine="435"/>
        <w:rPr>
          <w:rFonts w:ascii="宋体" w:hAnsi="宋体" w:eastAsia="宋体" w:cs="宋体"/>
          <w:color w:val="auto"/>
          <w:szCs w:val="21"/>
          <w:highlight w:val="none"/>
        </w:rPr>
      </w:pPr>
      <w:bookmarkStart w:id="129" w:name="_Toc186431854"/>
      <w:bookmarkStart w:id="130" w:name="_Toc279701247"/>
      <w:bookmarkStart w:id="131" w:name="_Toc487900357"/>
      <w:bookmarkStart w:id="132" w:name="_Ref467379807"/>
      <w:bookmarkStart w:id="133" w:name="_Ref467379793"/>
      <w:bookmarkStart w:id="134" w:name="_Toc259093676"/>
      <w:r>
        <w:rPr>
          <w:rFonts w:hint="eastAsia" w:ascii="宋体" w:hAnsi="宋体" w:eastAsia="宋体" w:cs="宋体"/>
          <w:color w:val="auto"/>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5DB1A0A1">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2.4.2合同履行期间，甲方有权将履行过程中出现的问题反馈给乙方，双方当事人应以书面形式约定需要完善和改进的内容</w:t>
      </w:r>
      <w:bookmarkEnd w:id="129"/>
      <w:bookmarkStart w:id="135" w:name="_Toc186431855"/>
      <w:r>
        <w:rPr>
          <w:rFonts w:hint="eastAsia" w:ascii="宋体" w:hAnsi="宋体" w:eastAsia="宋体" w:cs="宋体"/>
          <w:color w:val="auto"/>
          <w:szCs w:val="21"/>
          <w:highlight w:val="none"/>
        </w:rPr>
        <w:t>。</w:t>
      </w:r>
    </w:p>
    <w:bookmarkEnd w:id="135"/>
    <w:p w14:paraId="142811FC">
      <w:pPr>
        <w:spacing w:line="360" w:lineRule="auto"/>
        <w:ind w:firstLine="437"/>
        <w:outlineLvl w:val="3"/>
        <w:rPr>
          <w:rFonts w:ascii="宋体" w:hAnsi="宋体" w:eastAsia="宋体" w:cs="宋体"/>
          <w:b/>
          <w:bCs/>
          <w:color w:val="auto"/>
          <w:szCs w:val="21"/>
          <w:highlight w:val="none"/>
          <w:lang w:val="zh-CN"/>
        </w:rPr>
      </w:pPr>
      <w:bookmarkStart w:id="136" w:name="_Toc28451"/>
      <w:bookmarkStart w:id="137" w:name="_Toc7836"/>
      <w:bookmarkStart w:id="138" w:name="_Toc19219"/>
      <w:r>
        <w:rPr>
          <w:rFonts w:hint="eastAsia" w:ascii="宋体" w:hAnsi="宋体" w:eastAsia="宋体" w:cs="宋体"/>
          <w:b/>
          <w:bCs/>
          <w:color w:val="auto"/>
          <w:szCs w:val="21"/>
          <w:highlight w:val="none"/>
          <w:lang w:val="zh-CN"/>
        </w:rPr>
        <w:t>2.5 结算方式和付款条件</w:t>
      </w:r>
      <w:bookmarkEnd w:id="130"/>
      <w:bookmarkEnd w:id="131"/>
      <w:bookmarkEnd w:id="132"/>
      <w:bookmarkEnd w:id="133"/>
      <w:bookmarkEnd w:id="134"/>
      <w:bookmarkEnd w:id="136"/>
      <w:bookmarkEnd w:id="137"/>
      <w:bookmarkEnd w:id="138"/>
    </w:p>
    <w:p w14:paraId="0EBA4AEA">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45260707">
      <w:pPr>
        <w:spacing w:line="360" w:lineRule="auto"/>
        <w:ind w:firstLine="437"/>
        <w:outlineLvl w:val="3"/>
        <w:rPr>
          <w:rFonts w:ascii="宋体" w:hAnsi="宋体" w:eastAsia="宋体" w:cs="宋体"/>
          <w:b/>
          <w:bCs/>
          <w:color w:val="auto"/>
          <w:szCs w:val="21"/>
          <w:highlight w:val="none"/>
          <w:lang w:val="zh-CN"/>
        </w:rPr>
      </w:pPr>
      <w:bookmarkStart w:id="139" w:name="_Ref467379852"/>
      <w:bookmarkStart w:id="140" w:name="_Toc279701248"/>
      <w:bookmarkStart w:id="141" w:name="_Ref467379863"/>
      <w:bookmarkStart w:id="142" w:name="_Toc259093677"/>
      <w:bookmarkStart w:id="143" w:name="_Ref467379923"/>
      <w:bookmarkStart w:id="144" w:name="_Toc487900358"/>
      <w:bookmarkStart w:id="145" w:name="_Toc774"/>
      <w:bookmarkStart w:id="146" w:name="_Toc3225"/>
      <w:bookmarkStart w:id="147" w:name="_Toc16110"/>
      <w:r>
        <w:rPr>
          <w:rFonts w:hint="eastAsia" w:ascii="宋体" w:hAnsi="宋体" w:eastAsia="宋体" w:cs="宋体"/>
          <w:b/>
          <w:bCs/>
          <w:color w:val="auto"/>
          <w:szCs w:val="21"/>
          <w:highlight w:val="none"/>
          <w:lang w:val="zh-CN"/>
        </w:rPr>
        <w:t>2.6 技术资料</w:t>
      </w:r>
      <w:bookmarkEnd w:id="139"/>
      <w:bookmarkEnd w:id="140"/>
      <w:bookmarkEnd w:id="141"/>
      <w:bookmarkEnd w:id="142"/>
      <w:bookmarkEnd w:id="143"/>
      <w:bookmarkEnd w:id="144"/>
      <w:r>
        <w:rPr>
          <w:rFonts w:hint="eastAsia" w:ascii="宋体" w:hAnsi="宋体" w:eastAsia="宋体" w:cs="宋体"/>
          <w:b/>
          <w:bCs/>
          <w:color w:val="auto"/>
          <w:szCs w:val="21"/>
          <w:highlight w:val="none"/>
          <w:lang w:val="zh-CN"/>
        </w:rPr>
        <w:t>和保密义务</w:t>
      </w:r>
      <w:bookmarkEnd w:id="145"/>
      <w:bookmarkEnd w:id="146"/>
      <w:bookmarkEnd w:id="147"/>
    </w:p>
    <w:p w14:paraId="7B80A718">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2.6.1乙方有权依据合同约定和项目需要，向甲方了解有关情况，调阅有关资料等，甲方应予积极配合；</w:t>
      </w:r>
    </w:p>
    <w:p w14:paraId="0ABDC995">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2.6.2乙方有义务妥善保管和保护由甲方提供的前款信息和资料等；</w:t>
      </w:r>
    </w:p>
    <w:p w14:paraId="18A23339">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8463289">
      <w:pPr>
        <w:spacing w:line="360" w:lineRule="auto"/>
        <w:ind w:firstLine="437"/>
        <w:outlineLvl w:val="3"/>
        <w:rPr>
          <w:rFonts w:ascii="宋体" w:hAnsi="宋体" w:eastAsia="宋体" w:cs="宋体"/>
          <w:b/>
          <w:bCs/>
          <w:color w:val="auto"/>
          <w:szCs w:val="21"/>
          <w:highlight w:val="none"/>
          <w:lang w:val="zh-CN"/>
        </w:rPr>
      </w:pPr>
      <w:bookmarkStart w:id="148" w:name="_Toc7860"/>
      <w:r>
        <w:rPr>
          <w:rFonts w:hint="eastAsia" w:ascii="宋体" w:hAnsi="宋体" w:eastAsia="宋体" w:cs="宋体"/>
          <w:b/>
          <w:bCs/>
          <w:color w:val="auto"/>
          <w:szCs w:val="21"/>
          <w:highlight w:val="none"/>
          <w:lang w:val="zh-CN"/>
        </w:rPr>
        <w:t>2.7 质量保证</w:t>
      </w:r>
      <w:bookmarkEnd w:id="148"/>
    </w:p>
    <w:p w14:paraId="045DE70E">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2.7.1乙方应建立和完善履行合同的内部质量保证体系，并提供相关内部规章制度给甲方，以便甲方进行监督检查；</w:t>
      </w:r>
    </w:p>
    <w:p w14:paraId="697D215F">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2.7.2乙方应保证履行合同的人员数量和素质、软件和硬件设备的配置、场地、环境和设施等满足全面履行合同的要求，并应接受甲方的监督检查。</w:t>
      </w:r>
    </w:p>
    <w:p w14:paraId="51CA0637">
      <w:pPr>
        <w:spacing w:line="360" w:lineRule="auto"/>
        <w:ind w:firstLine="437"/>
        <w:outlineLvl w:val="3"/>
        <w:rPr>
          <w:rFonts w:ascii="宋体" w:hAnsi="宋体" w:eastAsia="宋体" w:cs="宋体"/>
          <w:b/>
          <w:color w:val="auto"/>
          <w:szCs w:val="21"/>
          <w:highlight w:val="none"/>
        </w:rPr>
      </w:pPr>
      <w:bookmarkStart w:id="149" w:name="_Toc22267"/>
      <w:r>
        <w:rPr>
          <w:rFonts w:hint="eastAsia" w:ascii="宋体" w:hAnsi="宋体" w:eastAsia="宋体" w:cs="宋体"/>
          <w:b/>
          <w:color w:val="auto"/>
          <w:szCs w:val="21"/>
          <w:highlight w:val="none"/>
        </w:rPr>
        <w:t>2.8 延迟履行</w:t>
      </w:r>
      <w:bookmarkEnd w:id="149"/>
    </w:p>
    <w:p w14:paraId="61EF2A97">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3F5491D">
      <w:pPr>
        <w:spacing w:line="360" w:lineRule="auto"/>
        <w:ind w:firstLine="437"/>
        <w:outlineLvl w:val="3"/>
        <w:rPr>
          <w:rFonts w:ascii="宋体" w:hAnsi="宋体" w:eastAsia="宋体" w:cs="宋体"/>
          <w:b/>
          <w:bCs/>
          <w:color w:val="auto"/>
          <w:szCs w:val="21"/>
          <w:highlight w:val="none"/>
          <w:lang w:val="zh-CN"/>
        </w:rPr>
      </w:pPr>
      <w:bookmarkStart w:id="150" w:name="_Toc7502"/>
      <w:bookmarkStart w:id="151" w:name="_Ref467378121"/>
      <w:bookmarkStart w:id="152" w:name="_Toc279701254"/>
      <w:bookmarkStart w:id="153" w:name="_Toc259093683"/>
      <w:bookmarkStart w:id="154" w:name="_Toc487900364"/>
      <w:r>
        <w:rPr>
          <w:rFonts w:hint="eastAsia" w:ascii="宋体" w:hAnsi="宋体" w:eastAsia="宋体" w:cs="宋体"/>
          <w:b/>
          <w:bCs/>
          <w:color w:val="auto"/>
          <w:szCs w:val="21"/>
          <w:highlight w:val="none"/>
          <w:lang w:val="zh-CN"/>
        </w:rPr>
        <w:t>2.9 合同变更</w:t>
      </w:r>
      <w:bookmarkEnd w:id="150"/>
    </w:p>
    <w:p w14:paraId="50AB18A8">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2.9.1双方当事人协商一致，可以签订书面补充合同的形式变更合同，但不得违背采购文件确定的事项；</w:t>
      </w:r>
    </w:p>
    <w:p w14:paraId="7F63697B">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2.9.2合同继续履行将损害国家利益和社会公共利益的，双方当事人应当以书面形式变更合同。有过错的一方应当承担赔偿责任，双方当事人都有过错的，各自承担相应的责任。</w:t>
      </w:r>
      <w:bookmarkStart w:id="155" w:name="_Toc279701259"/>
      <w:bookmarkStart w:id="156" w:name="_Toc487900369"/>
      <w:bookmarkStart w:id="157" w:name="_Toc259093688"/>
    </w:p>
    <w:p w14:paraId="50163152">
      <w:pPr>
        <w:spacing w:line="360" w:lineRule="auto"/>
        <w:ind w:firstLine="437"/>
        <w:outlineLvl w:val="3"/>
        <w:rPr>
          <w:rFonts w:ascii="宋体" w:hAnsi="宋体" w:eastAsia="宋体" w:cs="宋体"/>
          <w:b/>
          <w:bCs/>
          <w:color w:val="auto"/>
          <w:szCs w:val="21"/>
          <w:highlight w:val="none"/>
          <w:lang w:val="zh-CN"/>
        </w:rPr>
      </w:pPr>
      <w:bookmarkStart w:id="158" w:name="_Toc10366"/>
      <w:bookmarkStart w:id="159" w:name="_Toc15237"/>
      <w:bookmarkStart w:id="160" w:name="_Toc22955"/>
      <w:r>
        <w:rPr>
          <w:rFonts w:hint="eastAsia" w:ascii="宋体" w:hAnsi="宋体" w:eastAsia="宋体" w:cs="宋体"/>
          <w:b/>
          <w:bCs/>
          <w:color w:val="auto"/>
          <w:szCs w:val="21"/>
          <w:highlight w:val="none"/>
          <w:lang w:val="zh-CN"/>
        </w:rPr>
        <w:t>2.10 合同转让</w:t>
      </w:r>
      <w:bookmarkEnd w:id="155"/>
      <w:bookmarkEnd w:id="156"/>
      <w:bookmarkEnd w:id="157"/>
      <w:r>
        <w:rPr>
          <w:rFonts w:hint="eastAsia" w:ascii="宋体" w:hAnsi="宋体" w:eastAsia="宋体" w:cs="宋体"/>
          <w:b/>
          <w:bCs/>
          <w:color w:val="auto"/>
          <w:szCs w:val="21"/>
          <w:highlight w:val="none"/>
          <w:lang w:val="zh-CN"/>
        </w:rPr>
        <w:t>和分包</w:t>
      </w:r>
      <w:bookmarkEnd w:id="158"/>
      <w:bookmarkEnd w:id="159"/>
      <w:bookmarkEnd w:id="160"/>
    </w:p>
    <w:p w14:paraId="76BAFCE7">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3F2D06">
      <w:pPr>
        <w:spacing w:line="360" w:lineRule="auto"/>
        <w:ind w:firstLine="437"/>
        <w:outlineLvl w:val="3"/>
        <w:rPr>
          <w:rFonts w:ascii="宋体" w:hAnsi="宋体" w:eastAsia="宋体" w:cs="宋体"/>
          <w:b/>
          <w:bCs/>
          <w:color w:val="auto"/>
          <w:szCs w:val="21"/>
          <w:highlight w:val="none"/>
          <w:lang w:val="zh-CN"/>
        </w:rPr>
      </w:pPr>
      <w:bookmarkStart w:id="161" w:name="_Toc14066"/>
      <w:bookmarkStart w:id="162" w:name="_Toc13566"/>
      <w:bookmarkStart w:id="163" w:name="_Toc16508"/>
      <w:r>
        <w:rPr>
          <w:rFonts w:hint="eastAsia" w:ascii="宋体" w:hAnsi="宋体" w:eastAsia="宋体" w:cs="宋体"/>
          <w:b/>
          <w:bCs/>
          <w:color w:val="auto"/>
          <w:szCs w:val="21"/>
          <w:highlight w:val="none"/>
          <w:lang w:val="zh-CN"/>
        </w:rPr>
        <w:t>2.11 不可抗力</w:t>
      </w:r>
      <w:bookmarkEnd w:id="161"/>
      <w:bookmarkEnd w:id="162"/>
      <w:bookmarkEnd w:id="163"/>
    </w:p>
    <w:p w14:paraId="59B88470">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2.11.1如果任何一方遭遇法律规定的不可抗力，致使合同履行受阻时，履行合同的期限应予延长，延长的期限应相当于不可抗力所影响的时间；</w:t>
      </w:r>
    </w:p>
    <w:p w14:paraId="054E94C4">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2.11.2因不可抗力致使不能实现合同目的的，当事人可以解除合同；</w:t>
      </w:r>
    </w:p>
    <w:p w14:paraId="677841D2">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2.11.3因不可抗力致使合同有变更必要的，双方当事人应在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14:paraId="07CAFE51">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2.11.4受不可抗力影响的一方在不可抗力发生后，应在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14:paraId="10676FFC">
      <w:pPr>
        <w:spacing w:line="360" w:lineRule="auto"/>
        <w:ind w:firstLine="437"/>
        <w:outlineLvl w:val="3"/>
        <w:rPr>
          <w:rFonts w:ascii="宋体" w:hAnsi="宋体" w:eastAsia="宋体" w:cs="宋体"/>
          <w:b/>
          <w:bCs/>
          <w:color w:val="auto"/>
          <w:szCs w:val="21"/>
          <w:highlight w:val="none"/>
          <w:lang w:val="zh-CN"/>
        </w:rPr>
      </w:pPr>
      <w:bookmarkStart w:id="164" w:name="_Toc6969"/>
      <w:bookmarkStart w:id="165" w:name="_Toc279701255"/>
      <w:bookmarkStart w:id="166" w:name="_Toc30676"/>
      <w:bookmarkStart w:id="167" w:name="_Toc259093684"/>
      <w:bookmarkStart w:id="168" w:name="_Toc487900365"/>
      <w:bookmarkStart w:id="169" w:name="_Toc689"/>
      <w:r>
        <w:rPr>
          <w:rFonts w:hint="eastAsia" w:ascii="宋体" w:hAnsi="宋体" w:eastAsia="宋体" w:cs="宋体"/>
          <w:b/>
          <w:bCs/>
          <w:color w:val="auto"/>
          <w:szCs w:val="21"/>
          <w:highlight w:val="none"/>
          <w:lang w:val="zh-CN"/>
        </w:rPr>
        <w:t>2.12 税费</w:t>
      </w:r>
      <w:bookmarkEnd w:id="164"/>
      <w:bookmarkEnd w:id="165"/>
      <w:bookmarkEnd w:id="166"/>
      <w:bookmarkEnd w:id="167"/>
      <w:bookmarkEnd w:id="168"/>
      <w:bookmarkEnd w:id="169"/>
    </w:p>
    <w:p w14:paraId="2C8AD6D9">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与合同有关的一切税费，均按照中华人民共和国法律的相关规定缴纳。</w:t>
      </w:r>
    </w:p>
    <w:p w14:paraId="214F3809">
      <w:pPr>
        <w:spacing w:line="360" w:lineRule="auto"/>
        <w:ind w:firstLine="437"/>
        <w:outlineLvl w:val="3"/>
        <w:rPr>
          <w:rFonts w:ascii="宋体" w:hAnsi="宋体" w:eastAsia="宋体" w:cs="宋体"/>
          <w:b/>
          <w:bCs/>
          <w:color w:val="auto"/>
          <w:szCs w:val="21"/>
          <w:highlight w:val="none"/>
          <w:lang w:val="zh-CN"/>
        </w:rPr>
      </w:pPr>
      <w:bookmarkStart w:id="170" w:name="_Toc8298"/>
      <w:bookmarkStart w:id="171" w:name="_Toc487900368"/>
      <w:bookmarkStart w:id="172" w:name="_Toc279701258"/>
      <w:bookmarkStart w:id="173" w:name="_Toc259093687"/>
      <w:bookmarkStart w:id="174" w:name="_Toc7102"/>
      <w:bookmarkStart w:id="175" w:name="_Toc16959"/>
      <w:r>
        <w:rPr>
          <w:rFonts w:hint="eastAsia" w:ascii="宋体" w:hAnsi="宋体" w:eastAsia="宋体" w:cs="宋体"/>
          <w:b/>
          <w:bCs/>
          <w:color w:val="auto"/>
          <w:szCs w:val="21"/>
          <w:highlight w:val="none"/>
          <w:lang w:val="zh-CN"/>
        </w:rPr>
        <w:t>2.13 乙方破产</w:t>
      </w:r>
      <w:bookmarkEnd w:id="170"/>
      <w:bookmarkEnd w:id="171"/>
      <w:bookmarkEnd w:id="172"/>
      <w:bookmarkEnd w:id="173"/>
      <w:bookmarkEnd w:id="174"/>
      <w:bookmarkEnd w:id="175"/>
    </w:p>
    <w:p w14:paraId="6B28949D">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CA21DD5">
      <w:pPr>
        <w:spacing w:line="360" w:lineRule="auto"/>
        <w:ind w:firstLine="437"/>
        <w:outlineLvl w:val="3"/>
        <w:rPr>
          <w:rFonts w:ascii="宋体" w:hAnsi="宋体" w:eastAsia="宋体" w:cs="宋体"/>
          <w:b/>
          <w:color w:val="auto"/>
          <w:szCs w:val="21"/>
          <w:highlight w:val="none"/>
        </w:rPr>
      </w:pPr>
      <w:bookmarkStart w:id="176" w:name="_Toc15387"/>
      <w:bookmarkStart w:id="177" w:name="_Toc6134"/>
      <w:bookmarkStart w:id="178" w:name="_Toc29333"/>
      <w:r>
        <w:rPr>
          <w:rFonts w:hint="eastAsia" w:ascii="宋体" w:hAnsi="宋体" w:eastAsia="宋体" w:cs="宋体"/>
          <w:b/>
          <w:bCs/>
          <w:color w:val="auto"/>
          <w:szCs w:val="21"/>
          <w:highlight w:val="none"/>
          <w:lang w:val="zh-CN"/>
        </w:rPr>
        <w:t>2.14 合同中止、终止</w:t>
      </w:r>
      <w:bookmarkEnd w:id="176"/>
      <w:bookmarkEnd w:id="177"/>
      <w:bookmarkEnd w:id="178"/>
    </w:p>
    <w:p w14:paraId="68AF0D1C">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2.14.1双方当事人不得擅自中止或者终止合同；</w:t>
      </w:r>
    </w:p>
    <w:p w14:paraId="3B05CD50">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38E059BA">
      <w:pPr>
        <w:spacing w:line="360" w:lineRule="auto"/>
        <w:ind w:firstLine="437"/>
        <w:outlineLvl w:val="3"/>
        <w:rPr>
          <w:rFonts w:ascii="宋体" w:hAnsi="宋体" w:eastAsia="宋体" w:cs="宋体"/>
          <w:b/>
          <w:bCs/>
          <w:color w:val="auto"/>
          <w:szCs w:val="21"/>
          <w:highlight w:val="none"/>
          <w:lang w:val="zh-CN"/>
        </w:rPr>
      </w:pPr>
      <w:bookmarkStart w:id="179" w:name="_Toc14563"/>
      <w:bookmarkStart w:id="180" w:name="_Toc6596"/>
      <w:bookmarkStart w:id="181" w:name="_Toc1125"/>
      <w:r>
        <w:rPr>
          <w:rFonts w:hint="eastAsia" w:ascii="宋体" w:hAnsi="宋体" w:eastAsia="宋体" w:cs="宋体"/>
          <w:b/>
          <w:bCs/>
          <w:color w:val="auto"/>
          <w:szCs w:val="21"/>
          <w:highlight w:val="none"/>
          <w:lang w:val="zh-CN"/>
        </w:rPr>
        <w:t>2.15 检验和验收</w:t>
      </w:r>
      <w:bookmarkEnd w:id="179"/>
      <w:bookmarkEnd w:id="180"/>
      <w:bookmarkEnd w:id="181"/>
    </w:p>
    <w:p w14:paraId="7EAA755F">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2.15.1乙方按照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的约定，定期提交服务报告，甲方按照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的约定进行定期验收；</w:t>
      </w:r>
    </w:p>
    <w:p w14:paraId="5506C21A">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B022FFC">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2.15.3检验和验收标准、程序等具体内容以及前述验收书的效力详见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p>
    <w:bookmarkEnd w:id="151"/>
    <w:bookmarkEnd w:id="152"/>
    <w:bookmarkEnd w:id="153"/>
    <w:bookmarkEnd w:id="154"/>
    <w:p w14:paraId="2EA6D8CF">
      <w:pPr>
        <w:spacing w:line="360" w:lineRule="auto"/>
        <w:ind w:firstLine="437"/>
        <w:outlineLvl w:val="3"/>
        <w:rPr>
          <w:rFonts w:ascii="宋体" w:hAnsi="宋体" w:eastAsia="宋体" w:cs="宋体"/>
          <w:b/>
          <w:bCs/>
          <w:color w:val="auto"/>
          <w:szCs w:val="21"/>
          <w:highlight w:val="none"/>
        </w:rPr>
      </w:pPr>
      <w:bookmarkStart w:id="182" w:name="_Toc12773"/>
      <w:bookmarkStart w:id="183" w:name="_Toc259093692"/>
      <w:bookmarkStart w:id="184" w:name="_Toc18567"/>
      <w:bookmarkStart w:id="185" w:name="_Toc10330"/>
      <w:bookmarkStart w:id="186" w:name="_Toc279701263"/>
      <w:bookmarkStart w:id="187" w:name="_Toc487900373"/>
      <w:r>
        <w:rPr>
          <w:rFonts w:hint="eastAsia" w:ascii="宋体" w:hAnsi="宋体" w:eastAsia="宋体" w:cs="宋体"/>
          <w:b/>
          <w:bCs/>
          <w:color w:val="auto"/>
          <w:szCs w:val="21"/>
          <w:highlight w:val="none"/>
        </w:rPr>
        <w:t xml:space="preserve">2.16 </w:t>
      </w:r>
      <w:r>
        <w:rPr>
          <w:rFonts w:hint="eastAsia" w:ascii="宋体" w:hAnsi="宋体" w:eastAsia="宋体" w:cs="宋体"/>
          <w:b/>
          <w:bCs/>
          <w:color w:val="auto"/>
          <w:szCs w:val="21"/>
          <w:highlight w:val="none"/>
          <w:lang w:val="zh-CN"/>
        </w:rPr>
        <w:t>合同使用的文字和适用的法律</w:t>
      </w:r>
      <w:bookmarkEnd w:id="182"/>
      <w:bookmarkEnd w:id="183"/>
      <w:bookmarkEnd w:id="184"/>
      <w:bookmarkEnd w:id="185"/>
      <w:bookmarkEnd w:id="186"/>
      <w:bookmarkEnd w:id="187"/>
    </w:p>
    <w:p w14:paraId="2487CF80">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2.16.1合同使用汉语进行书写、变更和解释；</w:t>
      </w:r>
    </w:p>
    <w:p w14:paraId="79D481F9">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2.16.2合同适用中华人民共和国法律。</w:t>
      </w:r>
    </w:p>
    <w:p w14:paraId="363600B1">
      <w:pPr>
        <w:spacing w:line="360" w:lineRule="auto"/>
        <w:ind w:firstLine="437"/>
        <w:outlineLvl w:val="3"/>
        <w:rPr>
          <w:rFonts w:ascii="宋体" w:hAnsi="宋体" w:eastAsia="宋体" w:cs="宋体"/>
          <w:b/>
          <w:color w:val="auto"/>
          <w:szCs w:val="21"/>
          <w:highlight w:val="none"/>
        </w:rPr>
      </w:pPr>
      <w:bookmarkStart w:id="188" w:name="_Toc14001"/>
      <w:bookmarkStart w:id="189" w:name="_Toc19890"/>
      <w:bookmarkStart w:id="190" w:name="_Toc6885"/>
      <w:r>
        <w:rPr>
          <w:rFonts w:hint="eastAsia" w:ascii="宋体" w:hAnsi="宋体" w:eastAsia="宋体" w:cs="宋体"/>
          <w:b/>
          <w:bCs/>
          <w:color w:val="auto"/>
          <w:szCs w:val="21"/>
          <w:highlight w:val="none"/>
          <w:lang w:val="zh-CN"/>
        </w:rPr>
        <w:t>2.1</w:t>
      </w: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zh-CN"/>
        </w:rPr>
        <w:t xml:space="preserve"> 合同份数</w:t>
      </w:r>
      <w:bookmarkEnd w:id="188"/>
      <w:bookmarkEnd w:id="189"/>
      <w:bookmarkEnd w:id="190"/>
    </w:p>
    <w:p w14:paraId="14AECCED">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14:paraId="2E0C0FFE">
      <w:pPr>
        <w:spacing w:line="360" w:lineRule="auto"/>
        <w:jc w:val="center"/>
        <w:outlineLvl w:val="2"/>
        <w:rPr>
          <w:rFonts w:ascii="宋体" w:hAnsi="宋体" w:eastAsia="宋体" w:cs="宋体"/>
          <w:b/>
          <w:color w:val="auto"/>
          <w:szCs w:val="21"/>
          <w:highlight w:val="none"/>
        </w:rPr>
      </w:pPr>
      <w:bookmarkStart w:id="191" w:name="_Toc331685784"/>
      <w:r>
        <w:rPr>
          <w:rFonts w:hint="eastAsia" w:ascii="宋体" w:hAnsi="宋体" w:eastAsia="宋体" w:cs="宋体"/>
          <w:b/>
          <w:color w:val="auto"/>
          <w:szCs w:val="21"/>
          <w:highlight w:val="none"/>
        </w:rPr>
        <w:t>第三部分 合同专用条款</w:t>
      </w:r>
      <w:bookmarkEnd w:id="191"/>
    </w:p>
    <w:p w14:paraId="0DA1709F">
      <w:pPr>
        <w:spacing w:line="360" w:lineRule="auto"/>
        <w:ind w:firstLine="435"/>
        <w:rPr>
          <w:rFonts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26EB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6A7D85FA">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569" w:type="dxa"/>
            <w:vAlign w:val="center"/>
          </w:tcPr>
          <w:p w14:paraId="1190260A">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r>
      <w:tr w14:paraId="3563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25C4333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7569" w:type="dxa"/>
            <w:vAlign w:val="center"/>
          </w:tcPr>
          <w:p w14:paraId="158945A1">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0B32F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65CE336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7569" w:type="dxa"/>
            <w:vAlign w:val="center"/>
          </w:tcPr>
          <w:p w14:paraId="45E3701E">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3EC4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B96103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569" w:type="dxa"/>
            <w:vAlign w:val="center"/>
          </w:tcPr>
          <w:p w14:paraId="675FDAC2">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4F27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5C5A695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2.11.3</w:t>
            </w:r>
          </w:p>
        </w:tc>
        <w:tc>
          <w:tcPr>
            <w:tcW w:w="7569" w:type="dxa"/>
            <w:vAlign w:val="center"/>
          </w:tcPr>
          <w:p w14:paraId="4F736F6C">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6BCF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274884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2.11.4</w:t>
            </w:r>
          </w:p>
        </w:tc>
        <w:tc>
          <w:tcPr>
            <w:tcW w:w="7569" w:type="dxa"/>
            <w:vAlign w:val="center"/>
          </w:tcPr>
          <w:p w14:paraId="1E4FC8C0">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p>
        </w:tc>
      </w:tr>
      <w:tr w14:paraId="73EE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71B9A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2.15</w:t>
            </w:r>
          </w:p>
        </w:tc>
        <w:tc>
          <w:tcPr>
            <w:tcW w:w="7569" w:type="dxa"/>
            <w:vAlign w:val="center"/>
          </w:tcPr>
          <w:p w14:paraId="59FA6DEB">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p>
        </w:tc>
      </w:tr>
    </w:tbl>
    <w:p w14:paraId="62EB76E4">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2B92C43F">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46B2D51E">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415B277D">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21219302">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3C925CE6">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51680B93">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6627BD73">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3ABDEB1C">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6A3C441C">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72BF10D4">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63075CC4">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7EFC1603">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49C48915">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r>
        <w:rPr>
          <w:rFonts w:hint="eastAsia" w:ascii="宋体" w:hAnsi="宋体" w:eastAsia="宋体" w:cs="宋体"/>
          <w:b/>
          <w:bCs/>
          <w:color w:val="auto"/>
          <w:kern w:val="2"/>
          <w:sz w:val="32"/>
          <w:szCs w:val="32"/>
          <w:highlight w:val="none"/>
          <w:u w:color="auto"/>
          <w:lang w:val="en-US" w:eastAsia="zh-CN" w:bidi="ar"/>
        </w:rPr>
        <w:t>第六章 投标文件格式</w:t>
      </w:r>
      <w:bookmarkEnd w:id="59"/>
    </w:p>
    <w:p w14:paraId="120CE150">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5F4E56E">
      <w:pPr>
        <w:pStyle w:val="8"/>
        <w:rPr>
          <w:rFonts w:hint="eastAsia"/>
          <w:color w:val="auto"/>
          <w:highlight w:val="none"/>
          <w:lang w:val="en-US"/>
        </w:rPr>
      </w:pPr>
    </w:p>
    <w:p w14:paraId="588F5AEA">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p>
    <w:p w14:paraId="3853B827">
      <w:pPr>
        <w:keepNext w:val="0"/>
        <w:keepLines w:val="0"/>
        <w:widowControl/>
        <w:suppressLineNumbers w:val="0"/>
        <w:spacing w:before="0" w:beforeAutospacing="0" w:after="0" w:afterAutospacing="0" w:line="357" w:lineRule="atLeast"/>
        <w:ind w:left="0" w:right="0"/>
        <w:jc w:val="center"/>
        <w:outlineLvl w:val="1"/>
        <w:rPr>
          <w:rFonts w:hint="default" w:ascii="宋体" w:hAnsi="宋体" w:eastAsia="宋体" w:cs="宋体"/>
          <w:b/>
          <w:bCs w:val="0"/>
          <w:color w:val="auto"/>
          <w:sz w:val="44"/>
          <w:szCs w:val="44"/>
          <w:highlight w:val="none"/>
          <w:lang w:val="en-US"/>
        </w:rPr>
      </w:pPr>
      <w:bookmarkStart w:id="192" w:name="_Toc21573"/>
      <w:bookmarkEnd w:id="192"/>
      <w:bookmarkStart w:id="193" w:name="_Toc128_WPSOffice_Level1"/>
      <w:r>
        <w:rPr>
          <w:rFonts w:hint="eastAsia" w:ascii="宋体" w:hAnsi="宋体" w:eastAsia="宋体" w:cs="宋体"/>
          <w:b/>
          <w:bCs w:val="0"/>
          <w:color w:val="auto"/>
          <w:kern w:val="0"/>
          <w:sz w:val="44"/>
          <w:szCs w:val="44"/>
          <w:highlight w:val="none"/>
          <w:u w:color="000000"/>
          <w:lang w:val="en-US" w:eastAsia="zh-CN" w:bidi="ar"/>
        </w:rPr>
        <w:t>资格证明文件</w:t>
      </w:r>
      <w:bookmarkEnd w:id="193"/>
    </w:p>
    <w:p w14:paraId="2D36BF0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bookmarkStart w:id="194" w:name="_Toc19336_WPSOffice_Level2"/>
      <w:bookmarkEnd w:id="194"/>
      <w:r>
        <w:rPr>
          <w:rFonts w:hint="eastAsia" w:ascii="宋体" w:hAnsi="宋体" w:eastAsia="宋体" w:cs="宋体"/>
          <w:color w:val="auto"/>
          <w:kern w:val="0"/>
          <w:sz w:val="32"/>
          <w:szCs w:val="32"/>
          <w:highlight w:val="none"/>
          <w:u w:color="000000"/>
          <w:lang w:val="en-US" w:eastAsia="zh-CN" w:bidi="ar"/>
        </w:rPr>
        <w:t>（投标文件一）</w:t>
      </w:r>
    </w:p>
    <w:p w14:paraId="44ED10A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65B56242">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bookmarkStart w:id="195" w:name="_Toc7180_WPSOffice_Level3"/>
      <w:bookmarkEnd w:id="195"/>
      <w:r>
        <w:rPr>
          <w:rFonts w:hint="eastAsia" w:ascii="宋体" w:hAnsi="宋体" w:eastAsia="宋体" w:cs="宋体"/>
          <w:color w:val="auto"/>
          <w:kern w:val="0"/>
          <w:sz w:val="30"/>
          <w:szCs w:val="30"/>
          <w:highlight w:val="none"/>
          <w:u w:color="000000"/>
          <w:lang w:val="en-US" w:eastAsia="zh-CN" w:bidi="ar"/>
        </w:rPr>
        <w:t>项目名称：</w:t>
      </w:r>
    </w:p>
    <w:p w14:paraId="20D35E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AF8762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17FCF1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2A1E6E9">
      <w:pPr>
        <w:pStyle w:val="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1928ED4E">
      <w:pPr>
        <w:pStyle w:val="22"/>
        <w:widowControl/>
        <w:rPr>
          <w:color w:val="auto"/>
          <w:highlight w:val="none"/>
          <w:lang w:val="en-US"/>
        </w:rPr>
      </w:pPr>
      <w:r>
        <w:rPr>
          <w:color w:val="auto"/>
          <w:highlight w:val="none"/>
          <w:lang w:val="en-US"/>
        </w:rPr>
        <w:t xml:space="preserve"> </w:t>
      </w:r>
    </w:p>
    <w:p w14:paraId="32A585A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r>
        <w:rPr>
          <w:rFonts w:hint="eastAsia" w:ascii="宋体" w:hAnsi="宋体" w:eastAsia="宋体" w:cs="宋体"/>
          <w:color w:val="auto"/>
          <w:kern w:val="0"/>
          <w:sz w:val="28"/>
          <w:szCs w:val="28"/>
          <w:highlight w:val="none"/>
          <w:u w:color="000000"/>
          <w:lang w:val="en-US" w:eastAsia="zh-CN" w:bidi="ar"/>
        </w:rPr>
        <w:t xml:space="preserve"> </w:t>
      </w:r>
    </w:p>
    <w:p w14:paraId="3ECB319E">
      <w:pPr>
        <w:pStyle w:val="8"/>
        <w:rPr>
          <w:rFonts w:hint="eastAsia" w:ascii="宋体" w:hAnsi="宋体" w:eastAsia="宋体" w:cs="宋体"/>
          <w:color w:val="auto"/>
          <w:kern w:val="0"/>
          <w:sz w:val="28"/>
          <w:szCs w:val="28"/>
          <w:highlight w:val="none"/>
          <w:u w:color="000000"/>
          <w:lang w:val="en-US" w:eastAsia="zh-CN" w:bidi="ar"/>
        </w:rPr>
      </w:pPr>
    </w:p>
    <w:p w14:paraId="54B43FD9">
      <w:pPr>
        <w:rPr>
          <w:rFonts w:hint="eastAsia"/>
          <w:color w:val="auto"/>
          <w:highlight w:val="none"/>
          <w:lang w:val="en-US"/>
        </w:rPr>
      </w:pPr>
    </w:p>
    <w:p w14:paraId="340C2DA2">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DDED4FF">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rPr>
        <w:t>（签字或盖章）</w:t>
      </w:r>
    </w:p>
    <w:p w14:paraId="700D36A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20F6D3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196" w:name="_Toc14710_WPSOffice_Level1"/>
      <w:bookmarkEnd w:id="196"/>
      <w:r>
        <w:rPr>
          <w:rFonts w:hint="eastAsia" w:ascii="宋体" w:hAnsi="宋体" w:eastAsia="宋体" w:cs="宋体"/>
          <w:b/>
          <w:bCs w:val="0"/>
          <w:color w:val="auto"/>
          <w:kern w:val="0"/>
          <w:sz w:val="44"/>
          <w:szCs w:val="44"/>
          <w:highlight w:val="none"/>
          <w:u w:color="000000"/>
          <w:lang w:val="en-US" w:eastAsia="zh-CN" w:bidi="ar"/>
        </w:rPr>
        <w:t>目   录</w:t>
      </w:r>
    </w:p>
    <w:p w14:paraId="444419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6A39D228">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66C70C3B">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w:t>
      </w:r>
      <w:r>
        <w:rPr>
          <w:rFonts w:hint="eastAsia" w:ascii="宋体" w:hAnsi="宋体" w:eastAsia="宋体" w:cs="宋体"/>
          <w:color w:val="auto"/>
          <w:kern w:val="2"/>
          <w:sz w:val="21"/>
          <w:szCs w:val="21"/>
          <w:highlight w:val="none"/>
          <w:u w:color="000000"/>
          <w:lang w:val="en-US" w:eastAsia="zh-CN" w:bidi="ar"/>
        </w:rPr>
        <w:t>营业执照等证明文件</w:t>
      </w:r>
      <w:r>
        <w:rPr>
          <w:rFonts w:hint="eastAsia" w:ascii="宋体" w:hAnsi="Times New Roman" w:eastAsia="宋体" w:cs="Times New Roman"/>
          <w:color w:val="auto"/>
          <w:szCs w:val="21"/>
          <w:highlight w:val="none"/>
          <w:lang w:eastAsia="zh-CN"/>
        </w:rPr>
        <w:t>；</w:t>
      </w:r>
    </w:p>
    <w:p w14:paraId="29D410FB">
      <w:pPr>
        <w:spacing w:line="360" w:lineRule="auto"/>
        <w:ind w:firstLine="420" w:firstLineChars="200"/>
        <w:rPr>
          <w:rFonts w:hint="default"/>
          <w:color w:val="auto"/>
          <w:highlight w:val="none"/>
          <w:lang w:val="en-US"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7D6D867">
      <w:pPr>
        <w:spacing w:line="360" w:lineRule="auto"/>
        <w:ind w:firstLine="420"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服务承诺（格式见附件）</w:t>
      </w:r>
      <w:r>
        <w:rPr>
          <w:rFonts w:hint="eastAsia" w:ascii="宋体" w:hAnsi="Times New Roman" w:eastAsia="宋体" w:cs="Times New Roman"/>
          <w:color w:val="auto"/>
          <w:szCs w:val="21"/>
          <w:highlight w:val="none"/>
          <w:lang w:eastAsia="zh-CN"/>
        </w:rPr>
        <w:t>；</w:t>
      </w:r>
    </w:p>
    <w:p w14:paraId="00FD70B9">
      <w:pPr>
        <w:spacing w:line="360" w:lineRule="auto"/>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）招标文件中要求的资信评审（评分）的支持资料；</w:t>
      </w:r>
    </w:p>
    <w:p w14:paraId="744C3A3A">
      <w:pPr>
        <w:spacing w:line="360" w:lineRule="auto"/>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）投标人认为需要提供的其他资信证明材料。</w:t>
      </w:r>
    </w:p>
    <w:p w14:paraId="7E9F2B3F">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5C9E1F08">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22B5ADB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3939ED14">
      <w:pPr>
        <w:pStyle w:val="45"/>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1.法定代表人身份证明</w:t>
      </w:r>
    </w:p>
    <w:p w14:paraId="51C6AD87">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8CEEC8F">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1AF21D7">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F3E516">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21DBEB">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7E76273">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1AA5B8C1">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D21C05">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27ABD67B">
      <w:pPr>
        <w:keepNext w:val="0"/>
        <w:keepLines w:val="0"/>
        <w:pageBreakBefore w:val="0"/>
        <w:kinsoku/>
        <w:wordWrap w:val="0"/>
        <w:overflowPunct/>
        <w:topLinePunct w:val="0"/>
        <w:autoSpaceDE/>
        <w:autoSpaceDN/>
        <w:bidi w:val="0"/>
        <w:adjustRightInd/>
        <w:snapToGrid/>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7C967304">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132" w:firstLineChars="130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5B41E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”(项目名称、编号）</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标文件，全权处理与该项目投标、评审答疑、签订合同以及与合同执行有关的一切事务，其法律后果由我方承担。</w:t>
      </w:r>
    </w:p>
    <w:p w14:paraId="62D405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662218C">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2FD10C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附：委托</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人有效身份证</w:t>
      </w:r>
      <w:r>
        <w:rPr>
          <w:rFonts w:hint="eastAsia" w:ascii="宋体" w:hAnsi="宋体" w:eastAsia="宋体" w:cs="宋体"/>
          <w:color w:val="auto"/>
          <w:sz w:val="24"/>
          <w:szCs w:val="24"/>
          <w:highlight w:val="none"/>
          <w:lang w:val="en-US" w:eastAsia="zh-CN"/>
        </w:rPr>
        <w:t>复印件</w:t>
      </w:r>
    </w:p>
    <w:p w14:paraId="65F48A2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法定代表人有效身份证</w:t>
      </w:r>
      <w:r>
        <w:rPr>
          <w:rFonts w:hint="eastAsia" w:ascii="宋体" w:hAnsi="宋体" w:eastAsia="宋体" w:cs="宋体"/>
          <w:color w:val="auto"/>
          <w:sz w:val="24"/>
          <w:szCs w:val="24"/>
          <w:highlight w:val="none"/>
          <w:lang w:val="en-US" w:eastAsia="zh-CN"/>
        </w:rPr>
        <w:t>复印件</w:t>
      </w:r>
    </w:p>
    <w:p w14:paraId="17CB586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508E57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1F6CA00F">
      <w:pPr>
        <w:keepNext w:val="0"/>
        <w:keepLines w:val="0"/>
        <w:widowControl/>
        <w:suppressLineNumbers w:val="0"/>
        <w:spacing w:before="0" w:beforeAutospacing="0" w:after="0" w:afterAutospacing="0" w:line="357" w:lineRule="atLeast"/>
        <w:ind w:left="0" w:right="0" w:firstLine="2880" w:firstLineChars="1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投标人（盖单位章）：</w:t>
      </w:r>
    </w:p>
    <w:p w14:paraId="788098EB">
      <w:pPr>
        <w:keepNext w:val="0"/>
        <w:keepLines w:val="0"/>
        <w:widowControl/>
        <w:suppressLineNumbers w:val="0"/>
        <w:spacing w:before="0" w:beforeAutospacing="0" w:after="0" w:afterAutospacing="0" w:line="480" w:lineRule="exact"/>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法定代表人（身份证号码）：           （签字或盖章）</w:t>
      </w:r>
    </w:p>
    <w:p w14:paraId="507B1B41">
      <w:pPr>
        <w:keepNext w:val="0"/>
        <w:keepLines w:val="0"/>
        <w:widowControl/>
        <w:suppressLineNumbers w:val="0"/>
        <w:spacing w:before="0" w:beforeAutospacing="0" w:after="0" w:afterAutospacing="0" w:line="480" w:lineRule="exact"/>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委托代理人（身份证号码）：           （签字或盖章）</w:t>
      </w:r>
    </w:p>
    <w:p w14:paraId="465BFA0B">
      <w:pPr>
        <w:keepNext w:val="0"/>
        <w:keepLines w:val="0"/>
        <w:widowControl/>
        <w:suppressLineNumbers w:val="0"/>
        <w:spacing w:before="0" w:beforeAutospacing="0" w:after="0" w:afterAutospacing="0" w:line="480" w:lineRule="exact"/>
        <w:ind w:left="0" w:right="0" w:firstLine="2820" w:firstLineChars="1175"/>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年    月    日</w:t>
      </w:r>
    </w:p>
    <w:p w14:paraId="18574A00">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380AC080">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3FFE6D2">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EB99238">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21003282">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25B89C88">
      <w:pPr>
        <w:spacing w:line="500" w:lineRule="exact"/>
        <w:rPr>
          <w:rFonts w:ascii="宋体" w:hAnsi="宋体" w:eastAsia="宋体" w:cs="宋体"/>
          <w:color w:val="auto"/>
          <w:szCs w:val="21"/>
          <w:highlight w:val="none"/>
        </w:rPr>
      </w:pPr>
      <w:bookmarkStart w:id="197" w:name="_Toc451384148"/>
      <w:bookmarkStart w:id="198" w:name="_Toc425084385"/>
      <w:r>
        <w:rPr>
          <w:rFonts w:hint="eastAsia" w:ascii="宋体" w:hAnsi="宋体" w:eastAsia="宋体" w:cs="宋体"/>
          <w:color w:val="auto"/>
          <w:szCs w:val="21"/>
          <w:highlight w:val="none"/>
        </w:rPr>
        <w:t>本人以企业法定代表人的身份郑重承诺：</w:t>
      </w:r>
    </w:p>
    <w:p w14:paraId="471FB14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716308F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70E27A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BA6A37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4F3E7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537889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8D5ED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74E441B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5A85D41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7DF99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B4BCFB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5BC9A9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A33A82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19B214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46BBC7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投标单位（盖单位章）：          法定代表人（签字或盖章）：</w:t>
      </w:r>
    </w:p>
    <w:p w14:paraId="606FD9D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E8E98CC">
      <w:pPr>
        <w:widowControl/>
        <w:ind w:firstLine="420" w:firstLineChars="200"/>
        <w:jc w:val="left"/>
        <w:rPr>
          <w:rFonts w:asciiTheme="minorEastAsia" w:hAnsiTheme="minorEastAsia" w:eastAsiaTheme="minorEastAsia"/>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1C654CCC">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p>
    <w:bookmarkEnd w:id="197"/>
    <w:bookmarkEnd w:id="198"/>
    <w:p w14:paraId="3AD0CB13">
      <w:pPr>
        <w:keepNext/>
        <w:keepLines/>
        <w:spacing w:line="480" w:lineRule="auto"/>
        <w:jc w:val="center"/>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5DC6D8F">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5912353C">
      <w:pPr>
        <w:keepNext/>
        <w:keepLines/>
        <w:spacing w:line="480" w:lineRule="auto"/>
        <w:jc w:val="center"/>
        <w:outlineLvl w:val="2"/>
        <w:rPr>
          <w:rFonts w:hint="eastAsia" w:ascii="宋体" w:hAnsi="宋体" w:eastAsia="宋体" w:cs="宋体"/>
          <w:color w:val="auto"/>
          <w:sz w:val="21"/>
          <w:szCs w:val="21"/>
          <w:highlight w:val="none"/>
        </w:rPr>
      </w:pPr>
    </w:p>
    <w:p w14:paraId="5F946849">
      <w:pPr>
        <w:keepNext/>
        <w:keepLines/>
        <w:spacing w:line="480" w:lineRule="auto"/>
        <w:jc w:val="center"/>
        <w:outlineLvl w:val="2"/>
        <w:rPr>
          <w:b/>
          <w:bCs/>
          <w:color w:val="auto"/>
          <w:sz w:val="28"/>
          <w:szCs w:val="28"/>
          <w:highlight w:val="none"/>
        </w:rPr>
      </w:pPr>
      <w:r>
        <w:rPr>
          <w:rFonts w:hint="eastAsia"/>
          <w:b/>
          <w:bCs/>
          <w:color w:val="auto"/>
          <w:sz w:val="28"/>
          <w:szCs w:val="28"/>
          <w:highlight w:val="none"/>
        </w:rPr>
        <w:t>服务承诺书</w:t>
      </w:r>
    </w:p>
    <w:p w14:paraId="20ABDAA6">
      <w:pPr>
        <w:spacing w:line="480" w:lineRule="auto"/>
        <w:ind w:firstLine="480" w:firstLineChars="200"/>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677AD4F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w:t>
      </w:r>
      <w:r>
        <w:rPr>
          <w:rFonts w:hint="eastAsia" w:ascii="宋体" w:hAnsi="宋体" w:eastAsia="宋体" w:cs="Times New Roman"/>
          <w:color w:val="auto"/>
          <w:sz w:val="24"/>
          <w:highlight w:val="none"/>
        </w:rPr>
        <w:t>（投标人名称</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对本招标文件所有要求完全响应</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若有幸</w:t>
      </w:r>
      <w:r>
        <w:rPr>
          <w:rFonts w:hint="eastAsia" w:ascii="宋体" w:hAnsi="宋体" w:eastAsia="宋体" w:cs="Times New Roman"/>
          <w:color w:val="auto"/>
          <w:sz w:val="24"/>
          <w:highlight w:val="none"/>
          <w:lang w:val="en-US" w:eastAsia="zh-CN"/>
        </w:rPr>
        <w:t>成为中标人</w:t>
      </w:r>
      <w:r>
        <w:rPr>
          <w:rFonts w:hint="eastAsia" w:ascii="宋体" w:hAnsi="宋体" w:eastAsia="宋体" w:cs="Times New Roman"/>
          <w:color w:val="auto"/>
          <w:sz w:val="24"/>
          <w:highlight w:val="none"/>
        </w:rPr>
        <w:t>将严格按照以上承诺进行服务</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若发现有偏离且不能按招标人要求调整的，招标人有权终止合同重新招标，我方</w:t>
      </w:r>
      <w:r>
        <w:rPr>
          <w:rFonts w:hint="eastAsia" w:ascii="宋体" w:hAnsi="宋体"/>
          <w:color w:val="auto"/>
          <w:sz w:val="24"/>
          <w:highlight w:val="none"/>
          <w:lang w:val="en-US" w:eastAsia="zh-CN"/>
        </w:rPr>
        <w:t>承担因此产生的所有经济及工期责任。</w:t>
      </w:r>
    </w:p>
    <w:p w14:paraId="58256434">
      <w:pPr>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14:paraId="29BA5B63">
      <w:pPr>
        <w:pStyle w:val="8"/>
        <w:rPr>
          <w:rFonts w:hint="eastAsia"/>
          <w:color w:val="auto"/>
          <w:highlight w:val="none"/>
        </w:rPr>
      </w:pPr>
    </w:p>
    <w:p w14:paraId="7BEFC989">
      <w:pPr>
        <w:spacing w:line="440" w:lineRule="exact"/>
        <w:rPr>
          <w:rFonts w:ascii="宋体" w:hAnsi="宋体"/>
          <w:color w:val="auto"/>
          <w:sz w:val="24"/>
          <w:highlight w:val="none"/>
        </w:rPr>
      </w:pPr>
      <w:r>
        <w:rPr>
          <w:rFonts w:hint="eastAsia" w:ascii="宋体" w:hAnsi="宋体"/>
          <w:color w:val="auto"/>
          <w:sz w:val="24"/>
          <w:highlight w:val="none"/>
        </w:rPr>
        <w:t> </w:t>
      </w:r>
    </w:p>
    <w:p w14:paraId="50A49442">
      <w:pPr>
        <w:spacing w:line="440" w:lineRule="exact"/>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（签字或盖章）       </w:t>
      </w:r>
    </w:p>
    <w:p w14:paraId="7C3BBC84">
      <w:pPr>
        <w:spacing w:line="440" w:lineRule="exact"/>
        <w:rPr>
          <w:rFonts w:ascii="宋体" w:hAnsi="宋体"/>
          <w:color w:val="auto"/>
          <w:sz w:val="24"/>
          <w:highlight w:val="none"/>
          <w:u w:val="single"/>
        </w:rPr>
      </w:pPr>
      <w:r>
        <w:rPr>
          <w:rFonts w:hint="eastAsia" w:ascii="宋体" w:hAnsi="宋体"/>
          <w:color w:val="auto"/>
          <w:sz w:val="24"/>
          <w:highlight w:val="none"/>
        </w:rPr>
        <w:t xml:space="preserve">                                     </w:t>
      </w:r>
    </w:p>
    <w:p w14:paraId="416705A0">
      <w:pPr>
        <w:spacing w:line="440" w:lineRule="exact"/>
        <w:rPr>
          <w:rFonts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（盖单位章）    </w:t>
      </w:r>
    </w:p>
    <w:p w14:paraId="5E45D96E">
      <w:pPr>
        <w:spacing w:line="440" w:lineRule="exact"/>
        <w:ind w:firstLine="4320" w:firstLineChars="1800"/>
        <w:jc w:val="left"/>
        <w:rPr>
          <w:rFonts w:ascii="宋体" w:hAnsi="宋体"/>
          <w:color w:val="auto"/>
          <w:sz w:val="24"/>
          <w:highlight w:val="none"/>
        </w:rPr>
      </w:pPr>
    </w:p>
    <w:p w14:paraId="6F2C0244">
      <w:pPr>
        <w:pageBreakBefore w:val="0"/>
        <w:widowControl w:val="0"/>
        <w:kinsoku/>
        <w:wordWrap/>
        <w:overflowPunct/>
        <w:topLinePunct w:val="0"/>
        <w:autoSpaceDE/>
        <w:autoSpaceDN/>
        <w:bidi w:val="0"/>
        <w:spacing w:line="300" w:lineRule="exact"/>
        <w:ind w:firstLine="4320" w:firstLineChars="1800"/>
        <w:textAlignment w:val="auto"/>
        <w:rPr>
          <w:rFonts w:hint="eastAsia" w:ascii="宋体" w:hAnsi="宋体" w:eastAsia="宋体" w:cs="宋体"/>
          <w:color w:val="auto"/>
          <w:sz w:val="21"/>
          <w:szCs w:val="21"/>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6DF5AC10">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0F817501">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682EA8EE">
      <w:pPr>
        <w:pStyle w:val="14"/>
        <w:rPr>
          <w:rFonts w:hint="eastAsia"/>
          <w:color w:val="auto"/>
          <w:highlight w:val="none"/>
          <w:lang w:val="en-US" w:eastAsia="zh-CN"/>
        </w:rPr>
      </w:pPr>
    </w:p>
    <w:p w14:paraId="1B31A8CC">
      <w:pPr>
        <w:pStyle w:val="15"/>
        <w:rPr>
          <w:rFonts w:hint="eastAsia"/>
          <w:color w:val="auto"/>
          <w:highlight w:val="none"/>
          <w:lang w:val="en-US" w:eastAsia="zh-CN"/>
        </w:rPr>
      </w:pPr>
    </w:p>
    <w:p w14:paraId="07670FAD">
      <w:pPr>
        <w:rPr>
          <w:rFonts w:hint="eastAsia"/>
          <w:color w:val="auto"/>
          <w:highlight w:val="none"/>
          <w:lang w:val="en-US" w:eastAsia="zh-CN"/>
        </w:rPr>
      </w:pPr>
    </w:p>
    <w:p w14:paraId="700349CA">
      <w:pPr>
        <w:pStyle w:val="2"/>
        <w:rPr>
          <w:rFonts w:hint="eastAsia"/>
          <w:color w:val="auto"/>
          <w:highlight w:val="none"/>
          <w:lang w:val="en-US" w:eastAsia="zh-CN"/>
        </w:rPr>
      </w:pPr>
    </w:p>
    <w:p w14:paraId="4D63F2DE">
      <w:pPr>
        <w:pStyle w:val="2"/>
        <w:rPr>
          <w:rFonts w:hint="eastAsia"/>
          <w:color w:val="auto"/>
          <w:highlight w:val="none"/>
          <w:lang w:val="en-US" w:eastAsia="zh-CN"/>
        </w:rPr>
      </w:pPr>
    </w:p>
    <w:p w14:paraId="2CCFF907">
      <w:pPr>
        <w:pStyle w:val="2"/>
        <w:rPr>
          <w:rFonts w:hint="eastAsia"/>
          <w:color w:val="auto"/>
          <w:highlight w:val="none"/>
          <w:lang w:val="en-US" w:eastAsia="zh-CN"/>
        </w:rPr>
      </w:pPr>
    </w:p>
    <w:p w14:paraId="2C9E70A1">
      <w:pPr>
        <w:pStyle w:val="2"/>
        <w:rPr>
          <w:rFonts w:hint="eastAsia"/>
          <w:color w:val="auto"/>
          <w:highlight w:val="none"/>
          <w:lang w:val="en-US" w:eastAsia="zh-CN"/>
        </w:rPr>
      </w:pPr>
    </w:p>
    <w:p w14:paraId="2948D950">
      <w:pPr>
        <w:pStyle w:val="2"/>
        <w:rPr>
          <w:rFonts w:hint="eastAsia"/>
          <w:color w:val="auto"/>
          <w:highlight w:val="none"/>
          <w:lang w:val="en-US" w:eastAsia="zh-CN"/>
        </w:rPr>
      </w:pPr>
    </w:p>
    <w:p w14:paraId="304CBA92">
      <w:pPr>
        <w:pStyle w:val="2"/>
        <w:rPr>
          <w:rFonts w:hint="eastAsia"/>
          <w:color w:val="auto"/>
          <w:highlight w:val="none"/>
          <w:lang w:val="en-US" w:eastAsia="zh-CN"/>
        </w:rPr>
      </w:pPr>
    </w:p>
    <w:p w14:paraId="465395F0">
      <w:pPr>
        <w:pStyle w:val="2"/>
        <w:rPr>
          <w:rFonts w:hint="eastAsia"/>
          <w:color w:val="auto"/>
          <w:highlight w:val="none"/>
          <w:lang w:val="en-US" w:eastAsia="zh-CN"/>
        </w:rPr>
      </w:pPr>
    </w:p>
    <w:p w14:paraId="2CE530A7">
      <w:pPr>
        <w:pStyle w:val="2"/>
        <w:rPr>
          <w:rFonts w:hint="eastAsia"/>
          <w:color w:val="auto"/>
          <w:highlight w:val="none"/>
          <w:lang w:val="en-US" w:eastAsia="zh-CN"/>
        </w:rPr>
      </w:pPr>
    </w:p>
    <w:p w14:paraId="1914BC44">
      <w:pPr>
        <w:pStyle w:val="2"/>
        <w:rPr>
          <w:rFonts w:hint="eastAsia"/>
          <w:color w:val="auto"/>
          <w:highlight w:val="none"/>
          <w:lang w:val="en-US" w:eastAsia="zh-CN"/>
        </w:rPr>
      </w:pPr>
    </w:p>
    <w:p w14:paraId="0390F0B1">
      <w:pPr>
        <w:pStyle w:val="2"/>
        <w:rPr>
          <w:rFonts w:hint="eastAsia"/>
          <w:color w:val="auto"/>
          <w:highlight w:val="none"/>
          <w:lang w:val="en-US" w:eastAsia="zh-CN"/>
        </w:rPr>
      </w:pPr>
    </w:p>
    <w:p w14:paraId="6580C537">
      <w:pPr>
        <w:pStyle w:val="2"/>
        <w:rPr>
          <w:rFonts w:hint="eastAsia"/>
          <w:color w:val="auto"/>
          <w:highlight w:val="none"/>
          <w:lang w:val="en-US" w:eastAsia="zh-CN"/>
        </w:rPr>
      </w:pPr>
    </w:p>
    <w:p w14:paraId="62722C13">
      <w:pPr>
        <w:pStyle w:val="2"/>
        <w:rPr>
          <w:rFonts w:hint="eastAsia"/>
          <w:color w:val="auto"/>
          <w:highlight w:val="none"/>
          <w:lang w:val="en-US" w:eastAsia="zh-CN"/>
        </w:rPr>
      </w:pPr>
    </w:p>
    <w:p w14:paraId="48C70F9C">
      <w:pPr>
        <w:pStyle w:val="2"/>
        <w:rPr>
          <w:rFonts w:hint="eastAsia"/>
          <w:color w:val="auto"/>
          <w:highlight w:val="none"/>
          <w:lang w:val="en-US" w:eastAsia="zh-CN"/>
        </w:rPr>
      </w:pPr>
    </w:p>
    <w:p w14:paraId="3B9E868D">
      <w:pPr>
        <w:pStyle w:val="2"/>
        <w:rPr>
          <w:rFonts w:hint="eastAsia"/>
          <w:color w:val="auto"/>
          <w:highlight w:val="none"/>
          <w:lang w:val="en-US" w:eastAsia="zh-CN"/>
        </w:rPr>
      </w:pPr>
    </w:p>
    <w:p w14:paraId="11A9E71F">
      <w:pPr>
        <w:pStyle w:val="2"/>
        <w:rPr>
          <w:rFonts w:hint="eastAsia"/>
          <w:color w:val="auto"/>
          <w:highlight w:val="none"/>
          <w:lang w:val="en-US" w:eastAsia="zh-CN"/>
        </w:rPr>
      </w:pPr>
    </w:p>
    <w:p w14:paraId="222A88F9">
      <w:pPr>
        <w:keepNext w:val="0"/>
        <w:keepLines w:val="0"/>
        <w:widowControl/>
        <w:suppressLineNumbers w:val="0"/>
        <w:spacing w:before="0" w:beforeAutospacing="0" w:after="0" w:afterAutospacing="0" w:line="357" w:lineRule="atLeast"/>
        <w:ind w:left="0" w:right="0"/>
        <w:jc w:val="center"/>
        <w:outlineLvl w:val="1"/>
        <w:rPr>
          <w:rFonts w:hint="default"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技术标文件</w:t>
      </w:r>
    </w:p>
    <w:p w14:paraId="70434FF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（投标文件二）</w:t>
      </w:r>
    </w:p>
    <w:p w14:paraId="1EDE11CA">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2269330D">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2118754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8DE695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314DD4F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18AF2ED">
      <w:pPr>
        <w:pStyle w:val="8"/>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7C2C7F6">
      <w:pPr>
        <w:pStyle w:val="22"/>
        <w:widowControl/>
        <w:rPr>
          <w:color w:val="auto"/>
          <w:highlight w:val="none"/>
          <w:lang w:val="en-US"/>
        </w:rPr>
      </w:pPr>
      <w:r>
        <w:rPr>
          <w:color w:val="auto"/>
          <w:highlight w:val="none"/>
          <w:lang w:val="en-US"/>
        </w:rPr>
        <w:t xml:space="preserve"> </w:t>
      </w:r>
    </w:p>
    <w:p w14:paraId="46C5B2F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r>
        <w:rPr>
          <w:rFonts w:hint="eastAsia" w:ascii="宋体" w:hAnsi="宋体" w:eastAsia="宋体" w:cs="宋体"/>
          <w:color w:val="auto"/>
          <w:kern w:val="0"/>
          <w:sz w:val="28"/>
          <w:szCs w:val="28"/>
          <w:highlight w:val="none"/>
          <w:u w:color="000000"/>
          <w:lang w:val="en-US" w:eastAsia="zh-CN" w:bidi="ar"/>
        </w:rPr>
        <w:t xml:space="preserve"> </w:t>
      </w:r>
    </w:p>
    <w:p w14:paraId="32DEEBF8">
      <w:pPr>
        <w:pStyle w:val="14"/>
        <w:rPr>
          <w:rFonts w:hint="eastAsia"/>
          <w:color w:val="auto"/>
          <w:highlight w:val="none"/>
          <w:lang w:val="en-US" w:eastAsia="zh-CN"/>
        </w:rPr>
      </w:pPr>
    </w:p>
    <w:p w14:paraId="2A81B0E4">
      <w:pPr>
        <w:pStyle w:val="8"/>
        <w:rPr>
          <w:rFonts w:hint="eastAsia" w:ascii="宋体" w:hAnsi="宋体" w:eastAsia="宋体" w:cs="宋体"/>
          <w:color w:val="auto"/>
          <w:kern w:val="0"/>
          <w:sz w:val="28"/>
          <w:szCs w:val="28"/>
          <w:highlight w:val="none"/>
          <w:u w:color="000000"/>
          <w:lang w:val="en-US" w:eastAsia="zh-CN" w:bidi="ar"/>
        </w:rPr>
      </w:pPr>
    </w:p>
    <w:p w14:paraId="15EFB49E">
      <w:pPr>
        <w:rPr>
          <w:rFonts w:hint="eastAsia"/>
          <w:color w:val="auto"/>
          <w:highlight w:val="none"/>
          <w:lang w:val="en-US"/>
        </w:rPr>
      </w:pPr>
    </w:p>
    <w:p w14:paraId="45402A3E">
      <w:pPr>
        <w:pStyle w:val="14"/>
        <w:rPr>
          <w:rFonts w:hint="eastAsia"/>
          <w:color w:val="auto"/>
          <w:highlight w:val="none"/>
          <w:lang w:val="en-US"/>
        </w:rPr>
      </w:pPr>
    </w:p>
    <w:p w14:paraId="143113A5">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CBA3640">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rPr>
        <w:t>（签字或盖章）</w:t>
      </w:r>
    </w:p>
    <w:p w14:paraId="163DF647">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F321EA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r>
        <w:rPr>
          <w:rFonts w:hint="eastAsia" w:ascii="宋体" w:hAnsi="宋体" w:eastAsia="宋体" w:cs="宋体"/>
          <w:b/>
          <w:bCs w:val="0"/>
          <w:color w:val="auto"/>
          <w:kern w:val="0"/>
          <w:sz w:val="44"/>
          <w:szCs w:val="44"/>
          <w:highlight w:val="none"/>
          <w:u w:color="000000"/>
          <w:lang w:val="en-US" w:eastAsia="zh-CN" w:bidi="ar"/>
        </w:rPr>
        <w:t>目   录</w:t>
      </w:r>
    </w:p>
    <w:p w14:paraId="08FC299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15466216">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0FCAAC02">
      <w:pPr>
        <w:spacing w:line="360" w:lineRule="auto"/>
        <w:ind w:firstLine="420" w:firstLineChars="200"/>
        <w:rPr>
          <w:rFonts w:hint="default"/>
          <w:color w:val="auto"/>
          <w:highlight w:val="none"/>
          <w:lang w:val="en-US" w:eastAsia="zh-CN"/>
        </w:rPr>
      </w:pPr>
      <w:r>
        <w:rPr>
          <w:rFonts w:hint="eastAsia" w:ascii="宋体" w:hAnsi="Times New Roman" w:eastAsia="宋体" w:cs="Times New Roman"/>
          <w:color w:val="auto"/>
          <w:szCs w:val="21"/>
          <w:highlight w:val="none"/>
        </w:rPr>
        <w:t>（1）</w:t>
      </w:r>
      <w:r>
        <w:rPr>
          <w:rFonts w:hint="eastAsia" w:ascii="宋体" w:hAnsi="Times New Roman" w:eastAsia="宋体" w:cs="Times New Roman"/>
          <w:color w:val="auto"/>
          <w:szCs w:val="21"/>
          <w:highlight w:val="none"/>
          <w:lang w:val="en-US" w:eastAsia="zh-CN"/>
        </w:rPr>
        <w:t>招标文件中要求的技术标评审材料；</w:t>
      </w:r>
    </w:p>
    <w:p w14:paraId="1780FE7A">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lang w:eastAsia="zh-CN"/>
        </w:rPr>
        <w:t>）投标人认为需要提供的其他</w:t>
      </w:r>
      <w:r>
        <w:rPr>
          <w:rFonts w:hint="eastAsia" w:ascii="宋体" w:hAnsi="Times New Roman" w:eastAsia="宋体" w:cs="Times New Roman"/>
          <w:color w:val="auto"/>
          <w:szCs w:val="21"/>
          <w:highlight w:val="none"/>
          <w:lang w:val="en-US" w:eastAsia="zh-CN"/>
        </w:rPr>
        <w:t>技术标</w:t>
      </w:r>
      <w:r>
        <w:rPr>
          <w:rFonts w:hint="eastAsia" w:ascii="宋体" w:hAnsi="Times New Roman" w:eastAsia="宋体" w:cs="Times New Roman"/>
          <w:color w:val="auto"/>
          <w:szCs w:val="21"/>
          <w:highlight w:val="none"/>
          <w:lang w:eastAsia="zh-CN"/>
        </w:rPr>
        <w:t>证明材料。</w:t>
      </w:r>
    </w:p>
    <w:p w14:paraId="05542255">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7B7D267">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26F889C4">
      <w:pPr>
        <w:pStyle w:val="14"/>
        <w:rPr>
          <w:rFonts w:hint="eastAsia"/>
          <w:color w:val="auto"/>
          <w:highlight w:val="none"/>
          <w:lang w:val="en-US" w:eastAsia="zh-CN"/>
        </w:rPr>
      </w:pPr>
      <w:r>
        <w:rPr>
          <w:rFonts w:hint="default" w:ascii="Times New Roman" w:hAnsi="Times New Roman" w:eastAsia="宋体" w:cs="Times New Roman"/>
          <w:b/>
          <w:bCs w:val="0"/>
          <w:color w:val="auto"/>
          <w:kern w:val="0"/>
          <w:sz w:val="28"/>
          <w:szCs w:val="28"/>
          <w:highlight w:val="none"/>
          <w:lang w:val="en-US" w:eastAsia="zh-CN" w:bidi="ar"/>
        </w:rPr>
        <w:br w:type="page"/>
      </w:r>
    </w:p>
    <w:p w14:paraId="1A2A1CF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359730EC">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1F121AC1">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商务标</w:t>
      </w:r>
    </w:p>
    <w:p w14:paraId="7FAA22A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6"/>
          <w:szCs w:val="36"/>
          <w:highlight w:val="none"/>
          <w:lang w:val="en-US"/>
        </w:rPr>
      </w:pPr>
      <w:bookmarkStart w:id="199" w:name="_Toc27638_WPSOffice_Level2"/>
      <w:bookmarkEnd w:id="199"/>
      <w:r>
        <w:rPr>
          <w:rFonts w:hint="eastAsia" w:ascii="宋体" w:hAnsi="宋体" w:eastAsia="宋体" w:cs="宋体"/>
          <w:color w:val="auto"/>
          <w:kern w:val="0"/>
          <w:sz w:val="44"/>
          <w:szCs w:val="44"/>
          <w:highlight w:val="none"/>
          <w:u w:color="000000"/>
          <w:lang w:val="en-US" w:eastAsia="zh-CN" w:bidi="ar"/>
        </w:rPr>
        <w:t>（</w:t>
      </w:r>
      <w:r>
        <w:rPr>
          <w:rFonts w:hint="eastAsia" w:ascii="宋体" w:hAnsi="宋体" w:eastAsia="宋体" w:cs="宋体"/>
          <w:color w:val="auto"/>
          <w:kern w:val="0"/>
          <w:sz w:val="36"/>
          <w:szCs w:val="36"/>
          <w:highlight w:val="none"/>
          <w:u w:color="000000"/>
          <w:lang w:val="en-US" w:eastAsia="zh-CN" w:bidi="ar"/>
        </w:rPr>
        <w:t>投标文件三）</w:t>
      </w:r>
    </w:p>
    <w:p w14:paraId="36A53F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6"/>
          <w:szCs w:val="36"/>
          <w:highlight w:val="none"/>
          <w:lang w:val="en-US"/>
        </w:rPr>
      </w:pPr>
      <w:r>
        <w:rPr>
          <w:rFonts w:hint="eastAsia" w:ascii="宋体" w:hAnsi="宋体" w:eastAsia="宋体" w:cs="宋体"/>
          <w:color w:val="auto"/>
          <w:kern w:val="0"/>
          <w:sz w:val="36"/>
          <w:szCs w:val="36"/>
          <w:highlight w:val="none"/>
          <w:u w:color="000000"/>
          <w:lang w:val="en-US" w:eastAsia="zh-CN" w:bidi="ar"/>
        </w:rPr>
        <w:t xml:space="preserve"> </w:t>
      </w:r>
    </w:p>
    <w:p w14:paraId="50280E71">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项目名称：</w:t>
      </w:r>
      <w:r>
        <w:rPr>
          <w:rFonts w:hint="eastAsia" w:ascii="宋体" w:hAnsi="宋体" w:eastAsia="宋体" w:cs="宋体"/>
          <w:color w:val="auto"/>
          <w:kern w:val="0"/>
          <w:sz w:val="28"/>
          <w:szCs w:val="28"/>
          <w:highlight w:val="none"/>
          <w:u w:val="single" w:color="000000"/>
          <w:lang w:val="en-US" w:eastAsia="zh-CN" w:bidi="ar"/>
        </w:rPr>
        <w:t xml:space="preserve">           </w:t>
      </w:r>
    </w:p>
    <w:p w14:paraId="22ACBF2D">
      <w:pPr>
        <w:pStyle w:val="22"/>
        <w:widowControl/>
        <w:jc w:val="center"/>
        <w:rPr>
          <w:rFonts w:hint="eastAsia" w:ascii="宋体" w:hAnsi="宋体" w:eastAsia="宋体" w:cs="宋体"/>
          <w:color w:val="auto"/>
          <w:sz w:val="44"/>
          <w:szCs w:val="44"/>
          <w:highlight w:val="none"/>
          <w:lang w:val="en-US"/>
        </w:rPr>
      </w:pPr>
      <w:r>
        <w:rPr>
          <w:rFonts w:hint="eastAsia" w:ascii="宋体" w:hAnsi="宋体" w:eastAsia="宋体" w:cs="宋体"/>
          <w:color w:val="auto"/>
          <w:kern w:val="0"/>
          <w:sz w:val="44"/>
          <w:szCs w:val="44"/>
          <w:highlight w:val="none"/>
          <w:u w:color="000000"/>
          <w:lang w:val="en-US" w:eastAsia="zh-CN" w:bidi="ar"/>
        </w:rPr>
        <w:t xml:space="preserve"> </w:t>
      </w:r>
    </w:p>
    <w:p w14:paraId="398C7E9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C862AE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461693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5F7CE6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D2D90B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332C3A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F16047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r>
        <w:rPr>
          <w:rFonts w:hint="eastAsia" w:ascii="宋体" w:hAnsi="宋体" w:eastAsia="宋体" w:cs="宋体"/>
          <w:color w:val="auto"/>
          <w:kern w:val="0"/>
          <w:sz w:val="28"/>
          <w:szCs w:val="28"/>
          <w:highlight w:val="none"/>
          <w:u w:color="000000"/>
          <w:lang w:val="en-US" w:eastAsia="zh-CN" w:bidi="ar"/>
        </w:rPr>
        <w:t xml:space="preserve"> </w:t>
      </w:r>
    </w:p>
    <w:p w14:paraId="496AE596">
      <w:pPr>
        <w:pStyle w:val="8"/>
        <w:rPr>
          <w:rFonts w:hint="eastAsia" w:ascii="宋体" w:hAnsi="宋体" w:eastAsia="宋体" w:cs="宋体"/>
          <w:color w:val="auto"/>
          <w:kern w:val="0"/>
          <w:sz w:val="28"/>
          <w:szCs w:val="28"/>
          <w:highlight w:val="none"/>
          <w:u w:color="000000"/>
          <w:lang w:val="en-US" w:eastAsia="zh-CN" w:bidi="ar"/>
        </w:rPr>
      </w:pPr>
    </w:p>
    <w:p w14:paraId="46CF0AEC">
      <w:pPr>
        <w:rPr>
          <w:rFonts w:hint="eastAsia" w:ascii="宋体" w:hAnsi="宋体" w:eastAsia="宋体" w:cs="宋体"/>
          <w:color w:val="auto"/>
          <w:kern w:val="0"/>
          <w:sz w:val="28"/>
          <w:szCs w:val="28"/>
          <w:highlight w:val="none"/>
          <w:u w:color="000000"/>
          <w:lang w:val="en-US" w:eastAsia="zh-CN" w:bidi="ar"/>
        </w:rPr>
      </w:pPr>
    </w:p>
    <w:p w14:paraId="6E490D6E">
      <w:pPr>
        <w:pStyle w:val="8"/>
        <w:rPr>
          <w:rFonts w:hint="eastAsia"/>
          <w:color w:val="auto"/>
          <w:highlight w:val="none"/>
          <w:lang w:val="en-US"/>
        </w:rPr>
      </w:pPr>
    </w:p>
    <w:p w14:paraId="7BDFFA6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7A143B5">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4043AEED">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25CAB9E">
      <w:pPr>
        <w:rPr>
          <w:color w:val="auto"/>
          <w:highlight w:val="none"/>
          <w:lang w:val="en-US"/>
        </w:rPr>
      </w:pPr>
      <w:r>
        <w:rPr>
          <w:color w:val="auto"/>
          <w:highlight w:val="none"/>
          <w:lang w:val="en-US"/>
        </w:rPr>
        <w:br w:type="page"/>
      </w:r>
    </w:p>
    <w:p w14:paraId="29E3D448">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color w:val="auto"/>
          <w:highlight w:val="none"/>
          <w:lang w:val="en-US"/>
        </w:rPr>
        <w:t xml:space="preserve"> </w:t>
      </w: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14:paraId="70B4FE0E">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14:paraId="57AA3658">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w:t>
      </w:r>
      <w:r>
        <w:rPr>
          <w:rFonts w:hint="eastAsia" w:ascii="宋体" w:hAnsi="Calibri" w:eastAsia="宋体" w:cs="宋体"/>
          <w:color w:val="auto"/>
          <w:kern w:val="0"/>
          <w:sz w:val="21"/>
          <w:szCs w:val="21"/>
          <w:highlight w:val="none"/>
          <w:u w:color="000000"/>
          <w:lang w:val="en-US" w:eastAsia="zh-CN" w:bidi="ar"/>
        </w:rPr>
        <w:t>1）开标一览表（格式见附件）；</w:t>
      </w:r>
    </w:p>
    <w:p w14:paraId="2B9C84AB">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w:t>
      </w:r>
      <w:r>
        <w:rPr>
          <w:rFonts w:hint="eastAsia" w:ascii="宋体" w:hAnsi="Calibri" w:eastAsia="宋体" w:cs="宋体"/>
          <w:color w:val="auto"/>
          <w:kern w:val="0"/>
          <w:sz w:val="21"/>
          <w:szCs w:val="21"/>
          <w:highlight w:val="none"/>
          <w:u w:color="000000"/>
          <w:lang w:val="en-US" w:eastAsia="zh-CN" w:bidi="ar"/>
        </w:rPr>
        <w:t>2）投标函（格式见附件）；</w:t>
      </w:r>
    </w:p>
    <w:p w14:paraId="4F2F1182">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default" w:ascii="宋体" w:hAnsi="Calibri"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w:t>
      </w:r>
      <w:r>
        <w:rPr>
          <w:rFonts w:hint="eastAsia" w:ascii="宋体" w:hAnsi="Calibri"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zCs w:val="21"/>
          <w:highlight w:val="none"/>
          <w:lang w:val="en-US" w:eastAsia="zh-CN"/>
        </w:rPr>
        <w:t>投标报价清单（</w:t>
      </w:r>
      <w:r>
        <w:rPr>
          <w:rFonts w:hint="eastAsia" w:ascii="宋体" w:hAnsi="Calibri" w:eastAsia="宋体" w:cs="宋体"/>
          <w:color w:val="auto"/>
          <w:kern w:val="0"/>
          <w:sz w:val="21"/>
          <w:szCs w:val="21"/>
          <w:highlight w:val="none"/>
          <w:u w:color="000000"/>
          <w:lang w:val="en-US" w:eastAsia="zh-CN" w:bidi="ar"/>
        </w:rPr>
        <w:t>格式见附件</w:t>
      </w:r>
      <w:r>
        <w:rPr>
          <w:rFonts w:hint="eastAsia" w:ascii="宋体" w:hAnsi="Times New Roman" w:eastAsia="宋体" w:cs="Times New Roman"/>
          <w:color w:val="auto"/>
          <w:szCs w:val="21"/>
          <w:highlight w:val="none"/>
          <w:lang w:val="en-US" w:eastAsia="zh-CN"/>
        </w:rPr>
        <w:t>）</w:t>
      </w:r>
      <w:r>
        <w:rPr>
          <w:rFonts w:hint="eastAsia" w:ascii="宋体" w:hAnsi="Calibri" w:eastAsia="宋体" w:cs="宋体"/>
          <w:color w:val="auto"/>
          <w:kern w:val="0"/>
          <w:sz w:val="21"/>
          <w:szCs w:val="21"/>
          <w:highlight w:val="none"/>
          <w:u w:color="000000"/>
          <w:lang w:val="en-US" w:eastAsia="zh-CN" w:bidi="ar"/>
        </w:rPr>
        <w:t>；</w:t>
      </w:r>
    </w:p>
    <w:p w14:paraId="5D91BD13">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（4）投标人认为需要提供的其他材料（如有）。</w:t>
      </w:r>
    </w:p>
    <w:p w14:paraId="29945D62">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kern w:val="0"/>
          <w:sz w:val="32"/>
          <w:szCs w:val="32"/>
          <w:highlight w:val="none"/>
          <w:u w:color="000000"/>
          <w:lang w:val="en-US" w:eastAsia="zh-CN" w:bidi="ar"/>
        </w:rPr>
      </w:pPr>
      <w:r>
        <w:rPr>
          <w:rFonts w:hint="eastAsia" w:ascii="宋体" w:hAnsi="宋体" w:eastAsia="宋体" w:cs="宋体"/>
          <w:b/>
          <w:bCs w:val="0"/>
          <w:color w:val="auto"/>
          <w:kern w:val="0"/>
          <w:sz w:val="32"/>
          <w:szCs w:val="32"/>
          <w:highlight w:val="none"/>
          <w:u w:color="000000"/>
          <w:lang w:val="en-US" w:eastAsia="zh-CN" w:bidi="ar"/>
        </w:rPr>
        <w:t xml:space="preserve"> </w:t>
      </w:r>
    </w:p>
    <w:p w14:paraId="27C0C6F2">
      <w:pPr>
        <w:rPr>
          <w:rFonts w:hint="eastAsia" w:ascii="宋体" w:hAnsi="宋体" w:eastAsia="宋体" w:cs="宋体"/>
          <w:b/>
          <w:bCs w:val="0"/>
          <w:color w:val="auto"/>
          <w:kern w:val="0"/>
          <w:sz w:val="32"/>
          <w:szCs w:val="32"/>
          <w:highlight w:val="none"/>
          <w:u w:color="000000"/>
          <w:lang w:val="en-US" w:eastAsia="zh-CN" w:bidi="ar"/>
        </w:rPr>
      </w:pPr>
      <w:r>
        <w:rPr>
          <w:rFonts w:hint="eastAsia" w:ascii="宋体" w:hAnsi="宋体" w:eastAsia="宋体" w:cs="宋体"/>
          <w:b/>
          <w:bCs w:val="0"/>
          <w:color w:val="auto"/>
          <w:kern w:val="0"/>
          <w:sz w:val="32"/>
          <w:szCs w:val="32"/>
          <w:highlight w:val="none"/>
          <w:u w:color="000000"/>
          <w:lang w:val="en-US" w:eastAsia="zh-CN" w:bidi="ar"/>
        </w:rPr>
        <w:br w:type="page"/>
      </w:r>
    </w:p>
    <w:p w14:paraId="11B8522A">
      <w:pPr>
        <w:jc w:val="left"/>
        <w:rPr>
          <w:rFonts w:hint="default"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附件1</w:t>
      </w:r>
    </w:p>
    <w:p w14:paraId="4AB36F04">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3FA7AA02">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8"/>
        <w:tblW w:w="901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208"/>
      </w:tblGrid>
      <w:tr w14:paraId="79F85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250A7E1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208" w:type="dxa"/>
            <w:tcBorders>
              <w:top w:val="single" w:color="auto" w:sz="12" w:space="0"/>
              <w:left w:val="nil"/>
              <w:bottom w:val="single" w:color="auto" w:sz="12" w:space="0"/>
              <w:right w:val="single" w:color="auto" w:sz="12" w:space="0"/>
            </w:tcBorders>
            <w:shd w:val="clear" w:color="auto" w:fill="auto"/>
            <w:vAlign w:val="center"/>
          </w:tcPr>
          <w:p w14:paraId="0F37C8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rPr>
            </w:pPr>
          </w:p>
        </w:tc>
      </w:tr>
      <w:tr w14:paraId="12E44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7F5F278">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208" w:type="dxa"/>
            <w:tcBorders>
              <w:top w:val="single" w:color="auto" w:sz="4" w:space="0"/>
              <w:left w:val="nil"/>
              <w:bottom w:val="single" w:color="auto" w:sz="4" w:space="0"/>
              <w:right w:val="single" w:color="auto" w:sz="12" w:space="0"/>
            </w:tcBorders>
            <w:shd w:val="clear" w:color="auto" w:fill="auto"/>
            <w:vAlign w:val="top"/>
          </w:tcPr>
          <w:p w14:paraId="0D61A40D">
            <w:pPr>
              <w:pStyle w:val="18"/>
              <w:widowControl/>
              <w:spacing w:line="460" w:lineRule="exact"/>
              <w:ind w:left="86" w:leftChars="41"/>
              <w:rPr>
                <w:rFonts w:hint="eastAsia" w:ascii="宋体" w:hAnsi="Arial" w:eastAsia="宋体" w:cs="宋体"/>
                <w:color w:val="auto"/>
                <w:sz w:val="24"/>
                <w:szCs w:val="24"/>
                <w:highlight w:val="none"/>
                <w:lang w:val="en-US"/>
              </w:rPr>
            </w:pPr>
          </w:p>
        </w:tc>
      </w:tr>
      <w:tr w14:paraId="59E13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051168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总投标价\</w:t>
            </w:r>
            <w:r>
              <w:rPr>
                <w:rFonts w:hint="eastAsia" w:ascii="宋体" w:hAnsi="宋体" w:eastAsia="宋体" w:cs="宋体"/>
                <w:color w:val="auto"/>
                <w:kern w:val="0"/>
                <w:sz w:val="24"/>
                <w:szCs w:val="24"/>
                <w:highlight w:val="none"/>
                <w:u w:color="000000"/>
                <w:lang w:val="en-US" w:eastAsia="zh-CN" w:bidi="ar"/>
              </w:rPr>
              <w:t>供货期</w:t>
            </w:r>
          </w:p>
        </w:tc>
        <w:tc>
          <w:tcPr>
            <w:tcW w:w="7208" w:type="dxa"/>
            <w:tcBorders>
              <w:top w:val="single" w:color="auto" w:sz="4" w:space="0"/>
              <w:left w:val="nil"/>
              <w:bottom w:val="single" w:color="auto" w:sz="12" w:space="0"/>
              <w:right w:val="single" w:color="auto" w:sz="12" w:space="0"/>
            </w:tcBorders>
            <w:shd w:val="clear" w:color="auto" w:fill="auto"/>
            <w:vAlign w:val="center"/>
          </w:tcPr>
          <w:p w14:paraId="614DFFB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总投标价（大写）：</w:t>
            </w:r>
            <w:r>
              <w:rPr>
                <w:rFonts w:hint="eastAsia" w:ascii="宋体" w:hAnsi="宋体" w:eastAsia="宋体" w:cs="宋体"/>
                <w:color w:val="auto"/>
                <w:kern w:val="2"/>
                <w:sz w:val="24"/>
                <w:szCs w:val="24"/>
                <w:highlight w:val="none"/>
                <w:u w:val="single" w:color="000000"/>
                <w:lang w:val="en-US" w:eastAsia="zh-CN" w:bidi="ar"/>
              </w:rPr>
              <w:t xml:space="preserve">                      </w:t>
            </w:r>
            <w:r>
              <w:rPr>
                <w:rFonts w:hint="eastAsia" w:ascii="宋体" w:hAnsi="宋体" w:eastAsia="宋体" w:cs="宋体"/>
                <w:color w:val="auto"/>
                <w:kern w:val="2"/>
                <w:sz w:val="24"/>
                <w:szCs w:val="24"/>
                <w:highlight w:val="none"/>
                <w:u w:color="000000"/>
                <w:lang w:val="en-US" w:eastAsia="zh-CN" w:bidi="ar"/>
              </w:rPr>
              <w:t>元</w:t>
            </w:r>
          </w:p>
          <w:p w14:paraId="7A61E1E7">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(小写) ：</w:t>
            </w:r>
            <w:r>
              <w:rPr>
                <w:rFonts w:hint="eastAsia" w:ascii="宋体" w:hAnsi="宋体" w:eastAsia="宋体" w:cs="宋体"/>
                <w:color w:val="auto"/>
                <w:kern w:val="2"/>
                <w:sz w:val="24"/>
                <w:szCs w:val="24"/>
                <w:highlight w:val="none"/>
                <w:u w:val="single" w:color="000000"/>
                <w:lang w:val="en-US" w:eastAsia="zh-CN" w:bidi="ar"/>
              </w:rPr>
              <w:t xml:space="preserve">                       </w:t>
            </w:r>
            <w:r>
              <w:rPr>
                <w:rFonts w:hint="eastAsia" w:ascii="宋体" w:hAnsi="宋体" w:eastAsia="宋体" w:cs="宋体"/>
                <w:color w:val="auto"/>
                <w:kern w:val="2"/>
                <w:sz w:val="24"/>
                <w:szCs w:val="24"/>
                <w:highlight w:val="none"/>
                <w:u w:color="000000"/>
                <w:lang w:val="en-US" w:eastAsia="zh-CN" w:bidi="ar"/>
              </w:rPr>
              <w:t>元</w:t>
            </w:r>
          </w:p>
          <w:p w14:paraId="05B9A99E">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u w:color="000000"/>
                <w:lang w:val="en-US" w:eastAsia="zh-CN" w:bidi="ar"/>
              </w:rPr>
            </w:pPr>
          </w:p>
          <w:p w14:paraId="2D0D4BC8">
            <w:pPr>
              <w:keepNext w:val="0"/>
              <w:keepLines w:val="0"/>
              <w:widowControl/>
              <w:suppressLineNumbers w:val="0"/>
              <w:spacing w:before="0" w:beforeAutospacing="0" w:after="0" w:afterAutospacing="0" w:line="360" w:lineRule="auto"/>
              <w:ind w:left="0" w:right="0"/>
              <w:jc w:val="both"/>
              <w:rPr>
                <w:rFonts w:hint="default"/>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合同履行期限：</w:t>
            </w:r>
            <w:r>
              <w:rPr>
                <w:rFonts w:hint="eastAsia" w:ascii="宋体" w:hAnsi="宋体" w:eastAsia="宋体" w:cs="宋体"/>
                <w:color w:val="auto"/>
                <w:kern w:val="2"/>
                <w:sz w:val="24"/>
                <w:szCs w:val="24"/>
                <w:highlight w:val="none"/>
                <w:u w:val="single" w:color="000000"/>
                <w:lang w:val="en-US" w:eastAsia="zh-CN" w:bidi="ar"/>
              </w:rPr>
              <w:t xml:space="preserve"> 自合同签订之日起至本年度全体职工体检工作全部完结为止；可根据公司统一安排灵活调整体检时间，满足职工分批次体检的实际需求。</w:t>
            </w:r>
          </w:p>
        </w:tc>
      </w:tr>
    </w:tbl>
    <w:p w14:paraId="39E16D7A">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1CE3E7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03855A2B">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79862006">
      <w:pPr>
        <w:spacing w:line="360" w:lineRule="auto"/>
        <w:rPr>
          <w:rFonts w:hint="eastAsia" w:ascii="宋体" w:hAnsi="宋体" w:eastAsia="宋体" w:cs="宋体"/>
          <w:b/>
          <w:bCs w:val="0"/>
          <w:color w:val="auto"/>
          <w:kern w:val="0"/>
          <w:sz w:val="30"/>
          <w:szCs w:val="30"/>
          <w:highlight w:val="none"/>
          <w:lang w:val="en-US" w:eastAsia="zh-CN" w:bidi="ar"/>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F595C6E">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66B82906">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54F4F6DA">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(招标人)       </w:t>
      </w:r>
      <w:r>
        <w:rPr>
          <w:rFonts w:hint="eastAsia" w:ascii="宋体" w:hAnsi="宋体" w:eastAsia="宋体" w:cs="宋体"/>
          <w:color w:val="auto"/>
          <w:kern w:val="0"/>
          <w:sz w:val="24"/>
          <w:szCs w:val="24"/>
          <w:highlight w:val="none"/>
          <w:u w:color="000000"/>
          <w:lang w:val="en-US" w:eastAsia="zh-CN" w:bidi="ar"/>
        </w:rPr>
        <w:t xml:space="preserve"> </w:t>
      </w:r>
    </w:p>
    <w:p w14:paraId="3D358E7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0954E2C7">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2.我方愿意按照招标文件规定的各项要求，向招标人提供本项目的货物与服务，总投标价为人民币（大写）</w:t>
      </w:r>
      <w:r>
        <w:rPr>
          <w:rFonts w:hint="eastAsia" w:ascii="宋体" w:hAnsi="宋体" w:eastAsia="宋体" w:cs="宋体"/>
          <w:color w:val="auto"/>
          <w:kern w:val="0"/>
          <w:sz w:val="24"/>
          <w:szCs w:val="24"/>
          <w:highlight w:val="none"/>
          <w:u w:val="single" w:color="000000"/>
          <w:lang w:val="en-US" w:eastAsia="zh-CN" w:bidi="ar"/>
        </w:rPr>
        <w:t xml:space="preserve">                   （小写）         元</w:t>
      </w:r>
      <w:r>
        <w:rPr>
          <w:rFonts w:hint="eastAsia" w:ascii="宋体" w:hAnsi="宋体" w:eastAsia="宋体" w:cs="宋体"/>
          <w:color w:val="auto"/>
          <w:kern w:val="0"/>
          <w:sz w:val="24"/>
          <w:szCs w:val="24"/>
          <w:highlight w:val="none"/>
          <w:u w:color="000000"/>
          <w:lang w:val="en-US" w:eastAsia="zh-CN" w:bidi="ar"/>
        </w:rPr>
        <w:t>；合同履行期限：</w:t>
      </w:r>
      <w:r>
        <w:rPr>
          <w:rFonts w:hint="eastAsia" w:ascii="宋体" w:hAnsi="宋体" w:eastAsia="宋体" w:cs="宋体"/>
          <w:color w:val="auto"/>
          <w:kern w:val="0"/>
          <w:sz w:val="24"/>
          <w:szCs w:val="24"/>
          <w:highlight w:val="none"/>
          <w:u w:val="single" w:color="000000"/>
          <w:lang w:val="en-US" w:eastAsia="zh-CN" w:bidi="ar"/>
        </w:rPr>
        <w:t xml:space="preserve">自合同签订之日起至本年度全体职工体检工作全部完结为止；可根据公司统一安排灵活调整体检时间，满足职工分批次体检的实际需求。 </w:t>
      </w:r>
      <w:r>
        <w:rPr>
          <w:rFonts w:hint="eastAsia" w:ascii="宋体" w:hAnsi="宋体" w:eastAsia="宋体" w:cs="宋体"/>
          <w:color w:val="auto"/>
          <w:kern w:val="0"/>
          <w:sz w:val="24"/>
          <w:szCs w:val="24"/>
          <w:highlight w:val="none"/>
          <w:u w:color="000000"/>
          <w:lang w:val="en-US" w:eastAsia="zh-CN" w:bidi="ar"/>
        </w:rPr>
        <w:t>。</w:t>
      </w:r>
    </w:p>
    <w:p w14:paraId="4ABFA254">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22295B9C">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90 </w:t>
      </w:r>
      <w:r>
        <w:rPr>
          <w:rFonts w:hint="eastAsia" w:ascii="宋体" w:hAnsi="宋体" w:eastAsia="宋体" w:cs="宋体"/>
          <w:color w:val="auto"/>
          <w:kern w:val="0"/>
          <w:sz w:val="24"/>
          <w:szCs w:val="24"/>
          <w:highlight w:val="none"/>
          <w:u w:color="000000"/>
          <w:lang w:val="en-US" w:eastAsia="zh-CN" w:bidi="ar"/>
        </w:rPr>
        <w:t>日历天（从投标截止之日算起）。</w:t>
      </w:r>
    </w:p>
    <w:p w14:paraId="36C5E2A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5.我方愿意提供可能另外要求的、与投标有关的文件资料，并保证我方已提供和将要提供的文件是真实的、准确的。</w:t>
      </w:r>
    </w:p>
    <w:p w14:paraId="290AB3F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6.我单位提供如下通讯地址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0B81A74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default" w:ascii="Times New Roman" w:hAnsi="Times New Roman" w:eastAsia="宋体" w:cs="Times New Roman"/>
          <w:color w:val="auto"/>
          <w:kern w:val="0"/>
          <w:sz w:val="24"/>
          <w:szCs w:val="24"/>
          <w:highlight w:val="none"/>
          <w:u w:color="000000"/>
          <w:lang w:val="en-US" w:eastAsia="zh-CN" w:bidi="ar"/>
        </w:rPr>
        <w:t xml:space="preserve"> </w:t>
      </w:r>
    </w:p>
    <w:p w14:paraId="5E781F4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350B5B39">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1E93545D">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7FBF6BCA">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7159FA63">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6D68DCC3">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05F27D99">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588AED79">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65DAD973">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402CCD4">
      <w:pPr>
        <w:keepNext w:val="0"/>
        <w:keepLines w:val="0"/>
        <w:pageBreakBefore/>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auto"/>
          <w:sz w:val="28"/>
          <w:szCs w:val="28"/>
          <w:highlight w:val="none"/>
        </w:rPr>
        <w:sectPr>
          <w:pgSz w:w="11906" w:h="16838"/>
          <w:pgMar w:top="1440" w:right="1800" w:bottom="1440" w:left="1800" w:header="851" w:footer="992" w:gutter="0"/>
          <w:pgNumType w:fmt="decimal"/>
          <w:cols w:space="425" w:num="1"/>
          <w:docGrid w:type="lines" w:linePitch="312" w:charSpace="0"/>
        </w:sectPr>
      </w:pPr>
      <w:bookmarkStart w:id="200" w:name="_Toc7457"/>
    </w:p>
    <w:p w14:paraId="0F0D9B01">
      <w:pPr>
        <w:keepNext w:val="0"/>
        <w:keepLines w:val="0"/>
        <w:pageBreakBefore/>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rPr>
        <w:t>附件</w:t>
      </w:r>
      <w:r>
        <w:rPr>
          <w:rFonts w:hint="eastAsia" w:ascii="Times New Roman" w:hAnsi="Times New Roman" w:eastAsia="宋体" w:cs="Times New Roman"/>
          <w:b/>
          <w:color w:val="auto"/>
          <w:sz w:val="28"/>
          <w:szCs w:val="28"/>
          <w:highlight w:val="none"/>
          <w:lang w:val="en-US" w:eastAsia="zh-CN"/>
        </w:rPr>
        <w:t>3</w:t>
      </w:r>
    </w:p>
    <w:p w14:paraId="407F449D">
      <w:pPr>
        <w:spacing w:line="360" w:lineRule="auto"/>
        <w:jc w:val="center"/>
        <w:outlineLvl w:val="1"/>
        <w:rPr>
          <w:rFonts w:hint="eastAsia" w:asciiTheme="minorEastAsia" w:hAnsiTheme="minorEastAsia" w:eastAsiaTheme="minorEastAsia"/>
          <w:b/>
          <w:color w:val="auto"/>
          <w:sz w:val="24"/>
          <w:highlight w:val="none"/>
        </w:rPr>
      </w:pPr>
      <w:bookmarkStart w:id="201" w:name="_Toc31027"/>
      <w:bookmarkStart w:id="202" w:name="_Toc32226"/>
      <w:r>
        <w:rPr>
          <w:rFonts w:hint="eastAsia" w:asciiTheme="minorEastAsia" w:hAnsiTheme="minorEastAsia" w:eastAsiaTheme="minorEastAsia"/>
          <w:b/>
          <w:color w:val="auto"/>
          <w:sz w:val="24"/>
          <w:highlight w:val="none"/>
        </w:rPr>
        <w:t>投标分项报价表</w:t>
      </w:r>
      <w:bookmarkEnd w:id="201"/>
      <w:bookmarkEnd w:id="202"/>
    </w:p>
    <w:p w14:paraId="74E251E8">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（仅供参考，投标人可自行制作格式）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0593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544F306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6B94CA75">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479BA2B1">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b/>
                <w:color w:val="auto"/>
                <w:sz w:val="24"/>
                <w:highlight w:val="none"/>
                <w:lang w:val="en-US" w:eastAsia="zh-CN"/>
              </w:rPr>
              <w:t>人数</w:t>
            </w:r>
          </w:p>
        </w:tc>
        <w:tc>
          <w:tcPr>
            <w:tcW w:w="996" w:type="pct"/>
            <w:vAlign w:val="center"/>
          </w:tcPr>
          <w:p w14:paraId="0DEBE142">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单价</w:t>
            </w:r>
            <w:r>
              <w:rPr>
                <w:rFonts w:hint="eastAsia" w:asciiTheme="minorEastAsia" w:hAnsiTheme="minorEastAsia"/>
                <w:b/>
                <w:color w:val="auto"/>
                <w:sz w:val="24"/>
                <w:highlight w:val="none"/>
                <w:lang w:eastAsia="zh-CN"/>
              </w:rPr>
              <w:t>（</w:t>
            </w:r>
            <w:r>
              <w:rPr>
                <w:rFonts w:hint="eastAsia" w:asciiTheme="minorEastAsia" w:hAnsiTheme="minorEastAsia" w:eastAsiaTheme="minorEastAsia"/>
                <w:b/>
                <w:color w:val="auto"/>
                <w:sz w:val="24"/>
                <w:highlight w:val="none"/>
              </w:rPr>
              <w:t>元/人</w:t>
            </w:r>
            <w:r>
              <w:rPr>
                <w:rFonts w:hint="eastAsia" w:asciiTheme="minorEastAsia" w:hAnsiTheme="minorEastAsia"/>
                <w:b/>
                <w:color w:val="auto"/>
                <w:sz w:val="24"/>
                <w:highlight w:val="none"/>
                <w:lang w:eastAsia="zh-CN"/>
              </w:rPr>
              <w:t>）</w:t>
            </w:r>
          </w:p>
        </w:tc>
        <w:tc>
          <w:tcPr>
            <w:tcW w:w="919" w:type="pct"/>
            <w:vAlign w:val="center"/>
          </w:tcPr>
          <w:p w14:paraId="45ABC93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5C60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6CD4BB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1A4B582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员工健康体检</w:t>
            </w:r>
          </w:p>
        </w:tc>
        <w:tc>
          <w:tcPr>
            <w:tcW w:w="796" w:type="pct"/>
            <w:vAlign w:val="center"/>
          </w:tcPr>
          <w:p w14:paraId="7902AC1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lang w:val="en-US" w:eastAsia="zh-CN"/>
              </w:rPr>
              <w:t>691</w:t>
            </w:r>
          </w:p>
        </w:tc>
        <w:tc>
          <w:tcPr>
            <w:tcW w:w="996" w:type="pct"/>
            <w:vAlign w:val="center"/>
          </w:tcPr>
          <w:p w14:paraId="52560BF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19" w:type="pct"/>
            <w:vAlign w:val="center"/>
          </w:tcPr>
          <w:p w14:paraId="14ED000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363A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BF7807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5323374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796" w:type="pct"/>
            <w:vAlign w:val="center"/>
          </w:tcPr>
          <w:p w14:paraId="3C0F0DC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96" w:type="pct"/>
            <w:vAlign w:val="center"/>
          </w:tcPr>
          <w:p w14:paraId="6AC4454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19" w:type="pct"/>
            <w:vAlign w:val="center"/>
          </w:tcPr>
          <w:p w14:paraId="711885E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D9B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0736BA3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412FC86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796" w:type="pct"/>
            <w:vAlign w:val="center"/>
          </w:tcPr>
          <w:p w14:paraId="6F93AC0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96" w:type="pct"/>
            <w:vAlign w:val="center"/>
          </w:tcPr>
          <w:p w14:paraId="78877B1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19" w:type="pct"/>
            <w:vAlign w:val="center"/>
          </w:tcPr>
          <w:p w14:paraId="158B473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10E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9B5A01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w:t>
            </w:r>
          </w:p>
        </w:tc>
        <w:tc>
          <w:tcPr>
            <w:tcW w:w="1824" w:type="pct"/>
            <w:vAlign w:val="center"/>
          </w:tcPr>
          <w:p w14:paraId="3AF55E2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796" w:type="pct"/>
            <w:vAlign w:val="center"/>
          </w:tcPr>
          <w:p w14:paraId="284B5DC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96" w:type="pct"/>
            <w:vAlign w:val="center"/>
          </w:tcPr>
          <w:p w14:paraId="4C6FCBB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19" w:type="pct"/>
            <w:vAlign w:val="center"/>
          </w:tcPr>
          <w:p w14:paraId="39673CF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0F8F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55F0B6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824" w:type="pct"/>
            <w:vAlign w:val="center"/>
          </w:tcPr>
          <w:p w14:paraId="2394767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w:t>
            </w:r>
          </w:p>
        </w:tc>
        <w:tc>
          <w:tcPr>
            <w:tcW w:w="796" w:type="pct"/>
            <w:vAlign w:val="center"/>
          </w:tcPr>
          <w:p w14:paraId="54153C9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96" w:type="pct"/>
            <w:vAlign w:val="center"/>
          </w:tcPr>
          <w:p w14:paraId="67BFBD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919" w:type="pct"/>
            <w:vAlign w:val="center"/>
          </w:tcPr>
          <w:p w14:paraId="60F20E2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363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5CBC2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bookmarkStart w:id="203" w:name="_GoBack"/>
            <w:bookmarkEnd w:id="203"/>
          </w:p>
        </w:tc>
        <w:tc>
          <w:tcPr>
            <w:tcW w:w="919" w:type="pct"/>
            <w:vAlign w:val="center"/>
          </w:tcPr>
          <w:p w14:paraId="08E84CC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2934241F">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p>
    <w:p w14:paraId="7696A926">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p>
    <w:p w14:paraId="404ED5D6">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430A1C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797890E2">
      <w:pPr>
        <w:spacing w:line="360" w:lineRule="auto"/>
        <w:rPr>
          <w:rFonts w:hint="eastAsia" w:ascii="宋体"/>
          <w:color w:val="auto"/>
          <w:sz w:val="24"/>
          <w:highlight w:val="none"/>
        </w:rPr>
      </w:pPr>
    </w:p>
    <w:p w14:paraId="0F121682">
      <w:pPr>
        <w:spacing w:line="360" w:lineRule="auto"/>
        <w:rPr>
          <w:rFonts w:hint="eastAsia" w:ascii="宋体"/>
          <w:color w:val="auto"/>
          <w:sz w:val="24"/>
          <w:highlight w:val="none"/>
        </w:rPr>
      </w:pPr>
    </w:p>
    <w:p w14:paraId="19D34FFE">
      <w:pPr>
        <w:spacing w:line="360" w:lineRule="auto"/>
        <w:rPr>
          <w:rFonts w:hint="eastAsia" w:ascii="宋体"/>
          <w:color w:val="auto"/>
          <w:sz w:val="24"/>
          <w:highlight w:val="none"/>
        </w:rPr>
      </w:pPr>
      <w:r>
        <w:rPr>
          <w:rFonts w:hint="eastAsia" w:ascii="宋体"/>
          <w:color w:val="auto"/>
          <w:sz w:val="24"/>
          <w:highlight w:val="none"/>
        </w:rPr>
        <w:t>投标人名称（盖单位章）：</w:t>
      </w:r>
      <w:r>
        <w:rPr>
          <w:rFonts w:hint="eastAsia" w:ascii="宋体"/>
          <w:color w:val="auto"/>
          <w:sz w:val="24"/>
          <w:highlight w:val="none"/>
          <w:u w:val="single"/>
        </w:rPr>
        <w:t xml:space="preserve">                                </w:t>
      </w:r>
    </w:p>
    <w:p w14:paraId="36A1D343">
      <w:pPr>
        <w:spacing w:line="360" w:lineRule="auto"/>
        <w:rPr>
          <w:rFonts w:hint="default" w:ascii="宋体" w:eastAsia="宋体"/>
          <w:color w:val="auto"/>
          <w:sz w:val="24"/>
          <w:highlight w:val="none"/>
          <w:u w:val="single"/>
          <w:lang w:val="en-US" w:eastAsia="zh-CN"/>
        </w:rPr>
      </w:pPr>
      <w:r>
        <w:rPr>
          <w:rFonts w:hint="eastAsia" w:ascii="宋体"/>
          <w:color w:val="auto"/>
          <w:sz w:val="24"/>
          <w:highlight w:val="none"/>
        </w:rPr>
        <w:t>法定代表人 (签字或盖章)：</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p>
    <w:p w14:paraId="1DA12EDB">
      <w:pPr>
        <w:spacing w:line="400" w:lineRule="exact"/>
        <w:rPr>
          <w:rFonts w:hint="eastAsia" w:ascii="宋体"/>
          <w:b/>
          <w:color w:val="auto"/>
          <w:szCs w:val="21"/>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3FAA135">
      <w:pPr>
        <w:pStyle w:val="25"/>
        <w:widowControl/>
        <w:spacing w:before="0" w:beforeAutospacing="0" w:after="0" w:afterAutospacing="0" w:line="375" w:lineRule="atLeast"/>
        <w:ind w:left="0" w:right="0"/>
        <w:jc w:val="center"/>
        <w:outlineLvl w:val="0"/>
        <w:rPr>
          <w:b/>
          <w:bCs w:val="0"/>
          <w:color w:val="auto"/>
          <w:sz w:val="32"/>
          <w:szCs w:val="32"/>
          <w:highlight w:val="none"/>
          <w:lang w:eastAsia="zh-CN"/>
        </w:rPr>
      </w:pPr>
    </w:p>
    <w:p w14:paraId="5A91B892">
      <w:pPr>
        <w:pStyle w:val="25"/>
        <w:widowControl/>
        <w:spacing w:before="0" w:beforeAutospacing="0" w:after="0" w:afterAutospacing="0" w:line="375" w:lineRule="atLeast"/>
        <w:ind w:left="0" w:right="0"/>
        <w:jc w:val="center"/>
        <w:outlineLvl w:val="0"/>
        <w:rPr>
          <w:b/>
          <w:bCs w:val="0"/>
          <w:color w:val="auto"/>
          <w:sz w:val="32"/>
          <w:szCs w:val="32"/>
          <w:highlight w:val="none"/>
          <w:lang w:eastAsia="zh-CN"/>
        </w:rPr>
      </w:pPr>
    </w:p>
    <w:p w14:paraId="69B72F1C">
      <w:pPr>
        <w:pStyle w:val="25"/>
        <w:widowControl/>
        <w:spacing w:before="0" w:beforeAutospacing="0" w:after="0" w:afterAutospacing="0" w:line="375" w:lineRule="atLeast"/>
        <w:ind w:left="0" w:right="0"/>
        <w:jc w:val="center"/>
        <w:outlineLvl w:val="0"/>
        <w:rPr>
          <w:b/>
          <w:bCs w:val="0"/>
          <w:color w:val="auto"/>
          <w:sz w:val="32"/>
          <w:szCs w:val="32"/>
          <w:highlight w:val="none"/>
          <w:lang w:eastAsia="zh-CN"/>
        </w:rPr>
      </w:pPr>
    </w:p>
    <w:p w14:paraId="02830546">
      <w:pPr>
        <w:pStyle w:val="25"/>
        <w:widowControl/>
        <w:spacing w:before="0" w:beforeAutospacing="0" w:after="0" w:afterAutospacing="0" w:line="375" w:lineRule="atLeast"/>
        <w:ind w:left="0" w:right="0"/>
        <w:jc w:val="center"/>
        <w:outlineLvl w:val="0"/>
        <w:rPr>
          <w:b/>
          <w:bCs w:val="0"/>
          <w:color w:val="auto"/>
          <w:sz w:val="32"/>
          <w:szCs w:val="32"/>
          <w:highlight w:val="none"/>
          <w:lang w:eastAsia="zh-CN"/>
        </w:rPr>
      </w:pPr>
    </w:p>
    <w:p w14:paraId="7BDB28E3">
      <w:pPr>
        <w:pStyle w:val="25"/>
        <w:widowControl/>
        <w:spacing w:before="0" w:beforeAutospacing="0" w:after="0" w:afterAutospacing="0" w:line="375" w:lineRule="atLeast"/>
        <w:ind w:left="0" w:right="0"/>
        <w:jc w:val="center"/>
        <w:outlineLvl w:val="0"/>
        <w:rPr>
          <w:b/>
          <w:bCs w:val="0"/>
          <w:color w:val="auto"/>
          <w:sz w:val="32"/>
          <w:szCs w:val="32"/>
          <w:highlight w:val="none"/>
          <w:lang w:eastAsia="zh-CN"/>
        </w:rPr>
      </w:pPr>
    </w:p>
    <w:p w14:paraId="310BC5EB">
      <w:pPr>
        <w:pStyle w:val="25"/>
        <w:widowControl/>
        <w:spacing w:before="0" w:beforeAutospacing="0" w:after="0" w:afterAutospacing="0" w:line="375" w:lineRule="atLeast"/>
        <w:ind w:left="0" w:right="0"/>
        <w:jc w:val="both"/>
        <w:outlineLvl w:val="0"/>
        <w:rPr>
          <w:b/>
          <w:bCs w:val="0"/>
          <w:color w:val="auto"/>
          <w:sz w:val="32"/>
          <w:szCs w:val="32"/>
          <w:highlight w:val="none"/>
          <w:lang w:eastAsia="zh-CN"/>
        </w:rPr>
      </w:pPr>
    </w:p>
    <w:bookmarkEnd w:id="200"/>
    <w:p w14:paraId="1327C3CB">
      <w:pPr>
        <w:spacing w:line="440" w:lineRule="exact"/>
        <w:jc w:val="center"/>
        <w:outlineLvl w:val="0"/>
        <w:rPr>
          <w:rFonts w:hint="eastAsia" w:ascii="宋体"/>
          <w:color w:val="auto"/>
          <w:sz w:val="24"/>
          <w:highlight w:val="none"/>
          <w:u w:val="single"/>
        </w:rPr>
      </w:pPr>
      <w:r>
        <w:rPr>
          <w:rFonts w:hint="eastAsia" w:ascii="Times New Roman" w:hAnsi="宋体" w:eastAsia="宋体" w:cs="Times New Roman"/>
          <w:b/>
          <w:bCs/>
          <w:color w:val="auto"/>
          <w:sz w:val="32"/>
          <w:szCs w:val="32"/>
          <w:highlight w:val="none"/>
          <w:lang w:val="en-US" w:eastAsia="zh-CN"/>
        </w:rPr>
        <w:t>第七章  招标单位、招标代理机构对本招标文件的确认</w:t>
      </w:r>
    </w:p>
    <w:tbl>
      <w:tblPr>
        <w:tblStyle w:val="28"/>
        <w:tblpPr w:leftFromText="180" w:rightFromText="180" w:vertAnchor="text" w:horzAnchor="page" w:tblpX="1353" w:tblpY="417"/>
        <w:tblOverlap w:val="never"/>
        <w:tblW w:w="0" w:type="auto"/>
        <w:tblInd w:w="0" w:type="dxa"/>
        <w:tblLayout w:type="fixed"/>
        <w:tblCellMar>
          <w:top w:w="0" w:type="dxa"/>
          <w:left w:w="108" w:type="dxa"/>
          <w:bottom w:w="0" w:type="dxa"/>
          <w:right w:w="108" w:type="dxa"/>
        </w:tblCellMar>
      </w:tblPr>
      <w:tblGrid>
        <w:gridCol w:w="9374"/>
      </w:tblGrid>
      <w:tr w14:paraId="6A6F395C">
        <w:tblPrEx>
          <w:tblCellMar>
            <w:top w:w="0" w:type="dxa"/>
            <w:left w:w="108" w:type="dxa"/>
            <w:bottom w:w="0" w:type="dxa"/>
            <w:right w:w="108" w:type="dxa"/>
          </w:tblCellMar>
        </w:tblPrEx>
        <w:trPr>
          <w:trHeight w:val="4493" w:hRule="atLeast"/>
        </w:trPr>
        <w:tc>
          <w:tcPr>
            <w:tcW w:w="9374" w:type="dxa"/>
            <w:tcBorders>
              <w:top w:val="single" w:color="auto" w:sz="4" w:space="0"/>
              <w:left w:val="single" w:color="auto" w:sz="4" w:space="0"/>
              <w:bottom w:val="single" w:color="auto" w:sz="4" w:space="0"/>
              <w:right w:val="single" w:color="auto" w:sz="4" w:space="0"/>
            </w:tcBorders>
            <w:noWrap w:val="0"/>
            <w:vAlign w:val="top"/>
          </w:tcPr>
          <w:p w14:paraId="0E9CF2C8">
            <w:pPr>
              <w:keepNext w:val="0"/>
              <w:keepLines w:val="0"/>
              <w:suppressLineNumbers w:val="0"/>
              <w:spacing w:before="0" w:beforeAutospacing="0" w:after="0" w:afterAutospacing="0" w:line="440" w:lineRule="exact"/>
              <w:ind w:left="0" w:right="0" w:firstLine="560" w:firstLineChars="200"/>
              <w:rPr>
                <w:rFonts w:hint="eastAsia" w:ascii="宋体" w:cs="宋体"/>
                <w:color w:val="auto"/>
                <w:sz w:val="28"/>
                <w:szCs w:val="28"/>
                <w:highlight w:val="none"/>
              </w:rPr>
            </w:pPr>
          </w:p>
          <w:p w14:paraId="35FA57B3">
            <w:pPr>
              <w:keepNext w:val="0"/>
              <w:keepLines w:val="0"/>
              <w:suppressLineNumbers w:val="0"/>
              <w:spacing w:before="0" w:beforeAutospacing="0" w:after="156" w:afterLines="50" w:afterAutospacing="0"/>
              <w:ind w:left="0" w:right="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lang w:eastAsia="zh-CN"/>
              </w:rPr>
              <w:t>滁州市公共交通有限公司2026年度员工健康体检服务项目</w:t>
            </w:r>
            <w:r>
              <w:rPr>
                <w:rFonts w:hint="eastAsia" w:ascii="宋体" w:cs="宋体"/>
                <w:color w:val="auto"/>
                <w:sz w:val="28"/>
                <w:szCs w:val="28"/>
                <w:highlight w:val="none"/>
              </w:rPr>
              <w:t>的招标文件进行确认。</w:t>
            </w:r>
          </w:p>
          <w:p w14:paraId="513F1E31">
            <w:pPr>
              <w:keepNext w:val="0"/>
              <w:keepLines w:val="0"/>
              <w:suppressLineNumbers w:val="0"/>
              <w:spacing w:before="0" w:beforeAutospacing="0" w:after="0" w:afterAutospacing="0" w:line="540" w:lineRule="exact"/>
              <w:ind w:left="0" w:right="0" w:firstLine="560" w:firstLineChars="200"/>
              <w:rPr>
                <w:rFonts w:hint="eastAsia" w:ascii="宋体" w:cs="宋体"/>
                <w:color w:val="auto"/>
                <w:sz w:val="28"/>
                <w:szCs w:val="28"/>
                <w:highlight w:val="none"/>
                <w:lang w:val="en-US" w:eastAsia="zh-CN"/>
              </w:rPr>
            </w:pPr>
            <w:r>
              <w:rPr>
                <w:rFonts w:hint="eastAsia" w:ascii="宋体" w:cs="宋体"/>
                <w:color w:val="auto"/>
                <w:sz w:val="28"/>
                <w:szCs w:val="28"/>
                <w:highlight w:val="none"/>
                <w:lang w:eastAsia="zh-CN"/>
              </w:rPr>
              <w:t>招标人</w:t>
            </w:r>
            <w:r>
              <w:rPr>
                <w:rFonts w:hint="eastAsia" w:ascii="宋体" w:cs="宋体"/>
                <w:color w:val="auto"/>
                <w:sz w:val="28"/>
                <w:szCs w:val="28"/>
                <w:highlight w:val="none"/>
              </w:rPr>
              <w:t>：</w:t>
            </w:r>
            <w:r>
              <w:rPr>
                <w:rFonts w:hint="eastAsia" w:ascii="宋体" w:cs="宋体"/>
                <w:color w:val="auto"/>
                <w:sz w:val="28"/>
                <w:szCs w:val="28"/>
                <w:highlight w:val="none"/>
                <w:lang w:val="en-US" w:eastAsia="zh-CN"/>
              </w:rPr>
              <w:t>滁州市公共交通有限公司</w:t>
            </w:r>
          </w:p>
          <w:p w14:paraId="3FBF2A53">
            <w:pPr>
              <w:keepNext w:val="0"/>
              <w:keepLines w:val="0"/>
              <w:suppressLineNumbers w:val="0"/>
              <w:spacing w:before="0" w:beforeAutospacing="0" w:after="0" w:afterAutospacing="0" w:line="540" w:lineRule="exact"/>
              <w:ind w:left="0" w:right="0" w:firstLine="560" w:firstLineChars="200"/>
              <w:rPr>
                <w:rFonts w:hint="eastAsia" w:ascii="宋体" w:hAnsi="Times New Roman" w:eastAsia="宋体" w:cs="宋体"/>
                <w:b w:val="0"/>
                <w:bCs w:val="0"/>
                <w:color w:val="auto"/>
                <w:sz w:val="28"/>
                <w:szCs w:val="28"/>
                <w:highlight w:val="none"/>
                <w:lang w:val="en-US" w:eastAsia="zh-CN"/>
              </w:rPr>
            </w:pPr>
            <w:r>
              <w:rPr>
                <w:rFonts w:hint="eastAsia" w:ascii="宋体" w:hAnsi="Times New Roman" w:eastAsia="宋体" w:cs="宋体"/>
                <w:b w:val="0"/>
                <w:bCs w:val="0"/>
                <w:color w:val="auto"/>
                <w:sz w:val="28"/>
                <w:szCs w:val="28"/>
                <w:highlight w:val="none"/>
                <w:lang w:val="en-US" w:eastAsia="zh-CN"/>
              </w:rPr>
              <w:t>经办人：陈晓</w:t>
            </w:r>
          </w:p>
          <w:p w14:paraId="08A5B105">
            <w:pPr>
              <w:keepNext w:val="0"/>
              <w:keepLines w:val="0"/>
              <w:suppressLineNumbers w:val="0"/>
              <w:spacing w:before="0" w:beforeAutospacing="0" w:after="0" w:afterAutospacing="0" w:line="540" w:lineRule="exact"/>
              <w:ind w:left="0" w:right="0" w:firstLine="560" w:firstLineChars="200"/>
              <w:rPr>
                <w:rFonts w:hint="eastAsia" w:ascii="宋体" w:hAnsi="Times New Roman" w:eastAsia="宋体" w:cs="宋体"/>
                <w:b w:val="0"/>
                <w:bCs w:val="0"/>
                <w:color w:val="auto"/>
                <w:sz w:val="28"/>
                <w:szCs w:val="28"/>
                <w:highlight w:val="none"/>
                <w:lang w:val="en-US" w:eastAsia="zh-CN"/>
              </w:rPr>
            </w:pPr>
            <w:r>
              <w:rPr>
                <w:rFonts w:hint="eastAsia" w:ascii="宋体" w:hAnsi="Times New Roman" w:eastAsia="宋体" w:cs="宋体"/>
                <w:b w:val="0"/>
                <w:bCs w:val="0"/>
                <w:color w:val="auto"/>
                <w:sz w:val="28"/>
                <w:szCs w:val="28"/>
                <w:highlight w:val="none"/>
                <w:lang w:val="en-US" w:eastAsia="zh-CN"/>
              </w:rPr>
              <w:t>联系电话：0550-3017517</w:t>
            </w:r>
          </w:p>
          <w:p w14:paraId="0D7F744A">
            <w:pPr>
              <w:keepNext w:val="0"/>
              <w:keepLines w:val="0"/>
              <w:suppressLineNumbers w:val="0"/>
              <w:spacing w:before="0" w:beforeAutospacing="0" w:after="0" w:afterAutospacing="0" w:line="540" w:lineRule="exact"/>
              <w:ind w:left="0" w:right="0" w:firstLine="5600" w:firstLineChars="2000"/>
              <w:rPr>
                <w:rFonts w:hint="eastAsia" w:ascii="宋体" w:cs="宋体"/>
                <w:color w:val="auto"/>
                <w:sz w:val="28"/>
                <w:szCs w:val="28"/>
                <w:highlight w:val="none"/>
              </w:rPr>
            </w:pPr>
          </w:p>
          <w:p w14:paraId="615E1A79">
            <w:pPr>
              <w:keepNext w:val="0"/>
              <w:keepLines w:val="0"/>
              <w:suppressLineNumbers w:val="0"/>
              <w:spacing w:before="0" w:beforeAutospacing="0" w:after="0" w:afterAutospacing="0" w:line="540" w:lineRule="exact"/>
              <w:ind w:left="0" w:right="0" w:firstLine="6300" w:firstLineChars="2250"/>
              <w:rPr>
                <w:rFonts w:hint="eastAsia" w:ascii="宋体" w:cs="宋体"/>
                <w:color w:val="auto"/>
                <w:sz w:val="28"/>
                <w:szCs w:val="28"/>
                <w:highlight w:val="none"/>
              </w:rPr>
            </w:pPr>
          </w:p>
          <w:p w14:paraId="5F6E6FEB">
            <w:pPr>
              <w:keepNext w:val="0"/>
              <w:keepLines w:val="0"/>
              <w:suppressLineNumbers w:val="0"/>
              <w:spacing w:before="0" w:beforeAutospacing="0" w:after="0" w:afterAutospacing="0" w:line="540" w:lineRule="exact"/>
              <w:ind w:left="0" w:right="0" w:firstLine="5880" w:firstLineChars="21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lang w:eastAsia="zh-CN"/>
              </w:rPr>
              <w:t>2026年4月</w:t>
            </w:r>
            <w:r>
              <w:rPr>
                <w:rFonts w:hint="eastAsia" w:ascii="宋体" w:cs="宋体"/>
                <w:color w:val="auto"/>
                <w:sz w:val="28"/>
                <w:szCs w:val="28"/>
                <w:highlight w:val="none"/>
                <w:lang w:val="en-US" w:eastAsia="zh-CN"/>
              </w:rPr>
              <w:t xml:space="preserve"> </w:t>
            </w:r>
          </w:p>
          <w:p w14:paraId="3C20A38A">
            <w:pPr>
              <w:keepNext w:val="0"/>
              <w:keepLines w:val="0"/>
              <w:suppressLineNumbers w:val="0"/>
              <w:spacing w:before="0" w:beforeAutospacing="0" w:after="0" w:afterAutospacing="0" w:line="540" w:lineRule="exact"/>
              <w:ind w:left="0" w:right="0" w:firstLine="5880" w:firstLineChars="2100"/>
              <w:rPr>
                <w:rFonts w:hint="eastAsia" w:ascii="宋体" w:cs="宋体"/>
                <w:color w:val="auto"/>
                <w:sz w:val="28"/>
                <w:szCs w:val="28"/>
                <w:highlight w:val="none"/>
              </w:rPr>
            </w:pPr>
          </w:p>
        </w:tc>
      </w:tr>
      <w:tr w14:paraId="67F121F2">
        <w:tblPrEx>
          <w:tblCellMar>
            <w:top w:w="0" w:type="dxa"/>
            <w:left w:w="108" w:type="dxa"/>
            <w:bottom w:w="0" w:type="dxa"/>
            <w:right w:w="108" w:type="dxa"/>
          </w:tblCellMar>
        </w:tblPrEx>
        <w:trPr>
          <w:trHeight w:val="5310" w:hRule="atLeast"/>
        </w:trPr>
        <w:tc>
          <w:tcPr>
            <w:tcW w:w="9374" w:type="dxa"/>
            <w:tcBorders>
              <w:top w:val="single" w:color="auto" w:sz="4" w:space="0"/>
              <w:left w:val="single" w:color="auto" w:sz="4" w:space="0"/>
              <w:bottom w:val="single" w:color="auto" w:sz="4" w:space="0"/>
              <w:right w:val="single" w:color="auto" w:sz="4" w:space="0"/>
            </w:tcBorders>
            <w:noWrap w:val="0"/>
            <w:vAlign w:val="top"/>
          </w:tcPr>
          <w:p w14:paraId="5CD04A56">
            <w:pPr>
              <w:keepNext w:val="0"/>
              <w:keepLines w:val="0"/>
              <w:suppressLineNumbers w:val="0"/>
              <w:spacing w:before="0" w:beforeAutospacing="0" w:after="0" w:afterAutospacing="0" w:line="440" w:lineRule="exact"/>
              <w:ind w:left="0" w:right="0"/>
              <w:rPr>
                <w:rFonts w:hint="eastAsia" w:ascii="宋体" w:cs="宋体"/>
                <w:color w:val="auto"/>
                <w:sz w:val="28"/>
                <w:szCs w:val="28"/>
                <w:highlight w:val="none"/>
              </w:rPr>
            </w:pPr>
          </w:p>
          <w:p w14:paraId="69AA4A9D">
            <w:pPr>
              <w:keepNext w:val="0"/>
              <w:keepLines w:val="0"/>
              <w:suppressLineNumbers w:val="0"/>
              <w:spacing w:before="0" w:beforeAutospacing="0" w:after="0" w:afterAutospacing="0" w:line="560" w:lineRule="exact"/>
              <w:ind w:left="0" w:right="0" w:firstLine="560" w:firstLineChars="200"/>
              <w:rPr>
                <w:rFonts w:hint="eastAsia"/>
                <w:color w:val="auto"/>
                <w:sz w:val="28"/>
                <w:szCs w:val="28"/>
                <w:highlight w:val="none"/>
              </w:rPr>
            </w:pPr>
            <w:r>
              <w:rPr>
                <w:rFonts w:hint="eastAsia"/>
                <w:color w:val="auto"/>
                <w:sz w:val="28"/>
                <w:szCs w:val="28"/>
                <w:highlight w:val="none"/>
              </w:rPr>
              <w:t>招标代理机构： 滁州市城投工程咨询管理有限公司</w:t>
            </w:r>
          </w:p>
          <w:p w14:paraId="45FAD9C8">
            <w:pPr>
              <w:keepNext w:val="0"/>
              <w:keepLines w:val="0"/>
              <w:suppressLineNumbers w:val="0"/>
              <w:spacing w:before="0" w:beforeAutospacing="0" w:after="0" w:afterAutospacing="0" w:line="560" w:lineRule="exact"/>
              <w:ind w:left="0" w:right="0" w:firstLine="560" w:firstLineChars="200"/>
              <w:rPr>
                <w:rFonts w:hint="default" w:eastAsia="宋体"/>
                <w:color w:val="auto"/>
                <w:sz w:val="28"/>
                <w:szCs w:val="28"/>
                <w:highlight w:val="none"/>
                <w:lang w:val="en-US" w:eastAsia="zh-CN"/>
              </w:rPr>
            </w:pPr>
            <w:r>
              <w:rPr>
                <w:rFonts w:hint="eastAsia"/>
                <w:color w:val="auto"/>
                <w:sz w:val="28"/>
                <w:szCs w:val="28"/>
                <w:highlight w:val="none"/>
              </w:rPr>
              <w:t>联系人：</w:t>
            </w:r>
            <w:r>
              <w:rPr>
                <w:rFonts w:hint="eastAsia"/>
                <w:color w:val="auto"/>
                <w:sz w:val="28"/>
                <w:szCs w:val="28"/>
                <w:highlight w:val="none"/>
                <w:lang w:val="en-US" w:eastAsia="zh-CN"/>
              </w:rPr>
              <w:t>周晓培</w:t>
            </w:r>
          </w:p>
          <w:p w14:paraId="58B98B24">
            <w:pPr>
              <w:keepNext w:val="0"/>
              <w:keepLines w:val="0"/>
              <w:suppressLineNumbers w:val="0"/>
              <w:spacing w:before="0" w:beforeAutospacing="0" w:after="0" w:afterAutospacing="0" w:line="560" w:lineRule="exact"/>
              <w:ind w:left="0" w:right="0" w:firstLine="560" w:firstLineChars="200"/>
              <w:rPr>
                <w:rFonts w:hint="default" w:eastAsia="宋体"/>
                <w:color w:val="auto"/>
                <w:sz w:val="28"/>
                <w:szCs w:val="28"/>
                <w:highlight w:val="none"/>
                <w:lang w:val="en-US" w:eastAsia="zh-CN"/>
              </w:rPr>
            </w:pPr>
            <w:r>
              <w:rPr>
                <w:rFonts w:hint="eastAsia"/>
                <w:color w:val="auto"/>
                <w:sz w:val="28"/>
                <w:szCs w:val="28"/>
                <w:highlight w:val="none"/>
              </w:rPr>
              <w:t>联系电话：</w:t>
            </w:r>
            <w:r>
              <w:rPr>
                <w:rFonts w:hint="eastAsia" w:ascii="宋体" w:hAnsi="宋体"/>
                <w:color w:val="auto"/>
                <w:sz w:val="28"/>
                <w:szCs w:val="28"/>
                <w:highlight w:val="none"/>
              </w:rPr>
              <w:t xml:space="preserve"> </w:t>
            </w:r>
            <w:r>
              <w:rPr>
                <w:rFonts w:hint="eastAsia" w:ascii="宋体" w:hAnsi="宋体"/>
                <w:color w:val="auto"/>
                <w:sz w:val="28"/>
                <w:szCs w:val="28"/>
                <w:highlight w:val="none"/>
                <w:lang w:eastAsia="zh-CN"/>
              </w:rPr>
              <w:t>0550-3519512</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18255055896</w:t>
            </w:r>
          </w:p>
          <w:p w14:paraId="66A90F19">
            <w:pPr>
              <w:keepNext w:val="0"/>
              <w:keepLines w:val="0"/>
              <w:suppressLineNumbers w:val="0"/>
              <w:spacing w:before="0" w:beforeAutospacing="0" w:after="0" w:afterAutospacing="0" w:line="560" w:lineRule="exact"/>
              <w:ind w:left="0" w:right="0" w:firstLine="280" w:firstLineChars="100"/>
              <w:rPr>
                <w:rFonts w:hint="eastAsia"/>
                <w:color w:val="auto"/>
                <w:sz w:val="28"/>
                <w:szCs w:val="28"/>
                <w:highlight w:val="none"/>
              </w:rPr>
            </w:pPr>
            <w:r>
              <w:rPr>
                <w:rFonts w:hint="eastAsia"/>
                <w:color w:val="auto"/>
                <w:sz w:val="28"/>
                <w:szCs w:val="28"/>
                <w:highlight w:val="none"/>
              </w:rPr>
              <w:t xml:space="preserve">                                  </w:t>
            </w:r>
          </w:p>
          <w:p w14:paraId="56D9CC7E">
            <w:pPr>
              <w:keepNext w:val="0"/>
              <w:keepLines w:val="0"/>
              <w:suppressLineNumbers w:val="0"/>
              <w:spacing w:before="0" w:beforeAutospacing="0" w:after="0" w:afterAutospacing="0" w:line="520" w:lineRule="exact"/>
              <w:ind w:left="0" w:right="0" w:firstLine="560" w:firstLineChars="200"/>
              <w:rPr>
                <w:rFonts w:hint="eastAsia" w:ascii="宋体" w:cs="宋体"/>
                <w:color w:val="auto"/>
                <w:sz w:val="28"/>
                <w:szCs w:val="28"/>
                <w:highlight w:val="none"/>
              </w:rPr>
            </w:pPr>
            <w:r>
              <w:rPr>
                <w:rFonts w:hint="eastAsia"/>
                <w:color w:val="auto"/>
                <w:sz w:val="28"/>
                <w:szCs w:val="28"/>
                <w:highlight w:val="none"/>
              </w:rPr>
              <w:t xml:space="preserve">                                      </w:t>
            </w:r>
          </w:p>
          <w:p w14:paraId="1211F246">
            <w:pPr>
              <w:keepNext w:val="0"/>
              <w:keepLines w:val="0"/>
              <w:suppressLineNumbers w:val="0"/>
              <w:spacing w:before="0" w:beforeAutospacing="0" w:after="0" w:afterAutospacing="0" w:line="520" w:lineRule="exact"/>
              <w:ind w:left="0" w:right="0" w:firstLine="6300" w:firstLineChars="2250"/>
              <w:rPr>
                <w:rFonts w:hint="eastAsia" w:ascii="宋体" w:cs="宋体"/>
                <w:color w:val="auto"/>
                <w:sz w:val="28"/>
                <w:szCs w:val="28"/>
                <w:highlight w:val="none"/>
              </w:rPr>
            </w:pPr>
          </w:p>
          <w:p w14:paraId="44FEC44A">
            <w:pPr>
              <w:keepNext w:val="0"/>
              <w:keepLines w:val="0"/>
              <w:suppressLineNumbers w:val="0"/>
              <w:spacing w:before="0" w:beforeAutospacing="0" w:after="0" w:afterAutospacing="0" w:line="520" w:lineRule="exact"/>
              <w:ind w:left="0" w:right="0" w:firstLine="6300" w:firstLineChars="2250"/>
              <w:rPr>
                <w:rFonts w:hint="eastAsia" w:ascii="宋体" w:cs="宋体"/>
                <w:color w:val="auto"/>
                <w:sz w:val="28"/>
                <w:szCs w:val="28"/>
                <w:highlight w:val="none"/>
              </w:rPr>
            </w:pPr>
          </w:p>
          <w:p w14:paraId="2B0643CC">
            <w:pPr>
              <w:keepNext w:val="0"/>
              <w:keepLines w:val="0"/>
              <w:suppressLineNumbers w:val="0"/>
              <w:spacing w:before="0" w:beforeAutospacing="0" w:after="0" w:afterAutospacing="0" w:line="540" w:lineRule="exact"/>
              <w:ind w:left="0" w:right="0" w:firstLine="5880" w:firstLineChars="21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lang w:eastAsia="zh-CN"/>
              </w:rPr>
              <w:t>2026年4月</w:t>
            </w:r>
            <w:r>
              <w:rPr>
                <w:rFonts w:hint="eastAsia" w:ascii="宋体" w:cs="宋体"/>
                <w:color w:val="auto"/>
                <w:sz w:val="28"/>
                <w:szCs w:val="28"/>
                <w:highlight w:val="none"/>
                <w:lang w:val="en-US" w:eastAsia="zh-CN"/>
              </w:rPr>
              <w:t xml:space="preserve"> </w:t>
            </w:r>
          </w:p>
          <w:p w14:paraId="6A50567D">
            <w:pPr>
              <w:keepNext w:val="0"/>
              <w:keepLines w:val="0"/>
              <w:suppressLineNumbers w:val="0"/>
              <w:spacing w:before="0" w:beforeAutospacing="0" w:after="0" w:afterAutospacing="0" w:line="540" w:lineRule="exact"/>
              <w:ind w:left="0" w:right="0" w:firstLine="5952" w:firstLineChars="2126"/>
              <w:rPr>
                <w:rFonts w:hint="eastAsia" w:ascii="宋体" w:cs="宋体"/>
                <w:color w:val="auto"/>
                <w:sz w:val="28"/>
                <w:szCs w:val="28"/>
                <w:highlight w:val="none"/>
              </w:rPr>
            </w:pPr>
          </w:p>
        </w:tc>
      </w:tr>
    </w:tbl>
    <w:p w14:paraId="72DC6B70">
      <w:pPr>
        <w:pStyle w:val="8"/>
        <w:ind w:left="0" w:leftChars="0" w:firstLine="0" w:firstLineChars="0"/>
        <w:rPr>
          <w:rFonts w:hint="default" w:eastAsia="宋体"/>
          <w:color w:val="auto"/>
          <w:highlight w:val="none"/>
          <w:lang w:val="en-US" w:eastAsia="zh-CN"/>
        </w:rPr>
      </w:pPr>
    </w:p>
    <w:p w14:paraId="27427C5B">
      <w:pPr>
        <w:rPr>
          <w:color w:val="auto"/>
          <w:highlight w:val="none"/>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B18B">
    <w:pPr>
      <w:pStyle w:val="19"/>
      <w:ind w:right="360"/>
      <w:rPr>
        <w:rStyle w:val="31"/>
      </w:rPr>
    </w:pPr>
  </w:p>
  <w:p w14:paraId="388DE3EE">
    <w:pPr>
      <w:pStyle w:val="19"/>
      <w:framePr w:wrap="around" w:vAnchor="text" w:hAnchor="margin" w:xAlign="center" w:y="1"/>
      <w:ind w:right="360"/>
      <w:rPr>
        <w:rStyle w:val="31"/>
      </w:rPr>
    </w:pPr>
  </w:p>
  <w:p w14:paraId="670617E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D954">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9C1B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9C1B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2BA87">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AE8DC">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CAE8DC">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7566">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26"/>
      <w:lvlText w:val="%1、"/>
      <w:lvlJc w:val="left"/>
      <w:pPr>
        <w:ind w:left="420" w:hanging="4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02EDD58"/>
    <w:multiLevelType w:val="singleLevel"/>
    <w:tmpl w:val="602EDD5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WRmYzhhOTE3YjUzYjEwMzQ0YzA4OWMwMDBlNzYifQ=="/>
  </w:docVars>
  <w:rsids>
    <w:rsidRoot w:val="440F4D94"/>
    <w:rsid w:val="00625C16"/>
    <w:rsid w:val="00774D08"/>
    <w:rsid w:val="00886085"/>
    <w:rsid w:val="00FF60D6"/>
    <w:rsid w:val="013C690E"/>
    <w:rsid w:val="01A21D6C"/>
    <w:rsid w:val="01D118B5"/>
    <w:rsid w:val="01E37862"/>
    <w:rsid w:val="01E872A1"/>
    <w:rsid w:val="022950E4"/>
    <w:rsid w:val="0232372D"/>
    <w:rsid w:val="02502671"/>
    <w:rsid w:val="02A705C7"/>
    <w:rsid w:val="030D0562"/>
    <w:rsid w:val="032031D0"/>
    <w:rsid w:val="03F1316B"/>
    <w:rsid w:val="04115E30"/>
    <w:rsid w:val="043D09D3"/>
    <w:rsid w:val="05045994"/>
    <w:rsid w:val="0523406D"/>
    <w:rsid w:val="052D4B75"/>
    <w:rsid w:val="05924D4E"/>
    <w:rsid w:val="059D1414"/>
    <w:rsid w:val="06053772"/>
    <w:rsid w:val="06C278B5"/>
    <w:rsid w:val="06D54ED0"/>
    <w:rsid w:val="06DC0977"/>
    <w:rsid w:val="07011EC4"/>
    <w:rsid w:val="079C0106"/>
    <w:rsid w:val="07C425FF"/>
    <w:rsid w:val="07F341CA"/>
    <w:rsid w:val="08387E2F"/>
    <w:rsid w:val="085D2841"/>
    <w:rsid w:val="08604A01"/>
    <w:rsid w:val="08674270"/>
    <w:rsid w:val="08A47272"/>
    <w:rsid w:val="09B259BF"/>
    <w:rsid w:val="09C139A5"/>
    <w:rsid w:val="09E6624A"/>
    <w:rsid w:val="0ACE6829"/>
    <w:rsid w:val="0AFF501E"/>
    <w:rsid w:val="0B925AA8"/>
    <w:rsid w:val="0C3C5A14"/>
    <w:rsid w:val="0CEF01A1"/>
    <w:rsid w:val="0D4228C9"/>
    <w:rsid w:val="0D7116ED"/>
    <w:rsid w:val="0D7D3AFE"/>
    <w:rsid w:val="0DD231BA"/>
    <w:rsid w:val="0DFA7935"/>
    <w:rsid w:val="0DFC36AD"/>
    <w:rsid w:val="0EBB3464"/>
    <w:rsid w:val="0ECA5559"/>
    <w:rsid w:val="0ED15076"/>
    <w:rsid w:val="0F5A3543"/>
    <w:rsid w:val="0FDF4C74"/>
    <w:rsid w:val="10161464"/>
    <w:rsid w:val="101C4945"/>
    <w:rsid w:val="10303AE2"/>
    <w:rsid w:val="104E10A7"/>
    <w:rsid w:val="10545A22"/>
    <w:rsid w:val="10AB3168"/>
    <w:rsid w:val="10AF2C58"/>
    <w:rsid w:val="10E43038"/>
    <w:rsid w:val="11273F56"/>
    <w:rsid w:val="114E421F"/>
    <w:rsid w:val="11666BBB"/>
    <w:rsid w:val="1182211B"/>
    <w:rsid w:val="11AE1162"/>
    <w:rsid w:val="11B524F0"/>
    <w:rsid w:val="12086AC4"/>
    <w:rsid w:val="12431559"/>
    <w:rsid w:val="12495F1F"/>
    <w:rsid w:val="128F5369"/>
    <w:rsid w:val="12E63FA6"/>
    <w:rsid w:val="12F928B1"/>
    <w:rsid w:val="12FB2185"/>
    <w:rsid w:val="13051255"/>
    <w:rsid w:val="1323348A"/>
    <w:rsid w:val="13294F44"/>
    <w:rsid w:val="132E09AA"/>
    <w:rsid w:val="136E5CBA"/>
    <w:rsid w:val="13DC1FB6"/>
    <w:rsid w:val="14334ED5"/>
    <w:rsid w:val="144E4536"/>
    <w:rsid w:val="14A300CE"/>
    <w:rsid w:val="14CF38C9"/>
    <w:rsid w:val="14DE3B0C"/>
    <w:rsid w:val="159A586B"/>
    <w:rsid w:val="162403C8"/>
    <w:rsid w:val="16655F19"/>
    <w:rsid w:val="1674297A"/>
    <w:rsid w:val="16E80C72"/>
    <w:rsid w:val="17250168"/>
    <w:rsid w:val="18267CA4"/>
    <w:rsid w:val="196545EF"/>
    <w:rsid w:val="19E70870"/>
    <w:rsid w:val="1A2C0203"/>
    <w:rsid w:val="1A772A39"/>
    <w:rsid w:val="1A9D7FC6"/>
    <w:rsid w:val="1AB53561"/>
    <w:rsid w:val="1B0B6A26"/>
    <w:rsid w:val="1B3C77DE"/>
    <w:rsid w:val="1B6C188C"/>
    <w:rsid w:val="1B811695"/>
    <w:rsid w:val="1C4526C3"/>
    <w:rsid w:val="1C782A98"/>
    <w:rsid w:val="1CDD6D9F"/>
    <w:rsid w:val="1D232A04"/>
    <w:rsid w:val="1D33169F"/>
    <w:rsid w:val="1D583653"/>
    <w:rsid w:val="1D905BC0"/>
    <w:rsid w:val="1DD7722D"/>
    <w:rsid w:val="1E1C0BBD"/>
    <w:rsid w:val="1E474369"/>
    <w:rsid w:val="1ED3045A"/>
    <w:rsid w:val="1EE672C4"/>
    <w:rsid w:val="1EF26B32"/>
    <w:rsid w:val="1FBE5586"/>
    <w:rsid w:val="2035457B"/>
    <w:rsid w:val="204506D8"/>
    <w:rsid w:val="20D42B7F"/>
    <w:rsid w:val="20F63292"/>
    <w:rsid w:val="21391D2B"/>
    <w:rsid w:val="21416F2F"/>
    <w:rsid w:val="21545A4D"/>
    <w:rsid w:val="21BA2506"/>
    <w:rsid w:val="21BE621E"/>
    <w:rsid w:val="21C04848"/>
    <w:rsid w:val="21C127EB"/>
    <w:rsid w:val="21D53CD0"/>
    <w:rsid w:val="21E108C6"/>
    <w:rsid w:val="21FC6157"/>
    <w:rsid w:val="220152DE"/>
    <w:rsid w:val="222D5B93"/>
    <w:rsid w:val="22596EC8"/>
    <w:rsid w:val="226F2247"/>
    <w:rsid w:val="22B1131D"/>
    <w:rsid w:val="22F95FB5"/>
    <w:rsid w:val="231D6147"/>
    <w:rsid w:val="233F60BE"/>
    <w:rsid w:val="2369138D"/>
    <w:rsid w:val="237B0CD6"/>
    <w:rsid w:val="23B26890"/>
    <w:rsid w:val="24575689"/>
    <w:rsid w:val="24AA7AF3"/>
    <w:rsid w:val="251B0465"/>
    <w:rsid w:val="25C21DB8"/>
    <w:rsid w:val="264834DB"/>
    <w:rsid w:val="264A1001"/>
    <w:rsid w:val="266B4AD8"/>
    <w:rsid w:val="26F954CE"/>
    <w:rsid w:val="27377E1D"/>
    <w:rsid w:val="27427F5F"/>
    <w:rsid w:val="27D8263D"/>
    <w:rsid w:val="27E62FAC"/>
    <w:rsid w:val="287E4991"/>
    <w:rsid w:val="28B5297E"/>
    <w:rsid w:val="28C17575"/>
    <w:rsid w:val="28D87037"/>
    <w:rsid w:val="29DD03DE"/>
    <w:rsid w:val="2A1A6F3D"/>
    <w:rsid w:val="2A61691A"/>
    <w:rsid w:val="2B2F07C6"/>
    <w:rsid w:val="2B4E2E20"/>
    <w:rsid w:val="2BC06835"/>
    <w:rsid w:val="2BDB26FC"/>
    <w:rsid w:val="2C201D36"/>
    <w:rsid w:val="2C867F83"/>
    <w:rsid w:val="2CD7749F"/>
    <w:rsid w:val="2CF577ED"/>
    <w:rsid w:val="2D377E06"/>
    <w:rsid w:val="2D825525"/>
    <w:rsid w:val="2E071D36"/>
    <w:rsid w:val="2E3A7BAD"/>
    <w:rsid w:val="2F0106CB"/>
    <w:rsid w:val="2F61116A"/>
    <w:rsid w:val="2F7D2448"/>
    <w:rsid w:val="2FB13E9F"/>
    <w:rsid w:val="30146BDF"/>
    <w:rsid w:val="30D26E06"/>
    <w:rsid w:val="30F81F4D"/>
    <w:rsid w:val="31105507"/>
    <w:rsid w:val="31146559"/>
    <w:rsid w:val="3138414C"/>
    <w:rsid w:val="3163741B"/>
    <w:rsid w:val="32013042"/>
    <w:rsid w:val="32543208"/>
    <w:rsid w:val="327376B8"/>
    <w:rsid w:val="32870EE7"/>
    <w:rsid w:val="32CB5278"/>
    <w:rsid w:val="32EB3B6C"/>
    <w:rsid w:val="330E33B7"/>
    <w:rsid w:val="33864FF7"/>
    <w:rsid w:val="33D219EE"/>
    <w:rsid w:val="33FE6BEC"/>
    <w:rsid w:val="340A0022"/>
    <w:rsid w:val="3412575F"/>
    <w:rsid w:val="34156AD4"/>
    <w:rsid w:val="34242DD3"/>
    <w:rsid w:val="34540C3D"/>
    <w:rsid w:val="34592D57"/>
    <w:rsid w:val="3463108F"/>
    <w:rsid w:val="346F257B"/>
    <w:rsid w:val="347A68F8"/>
    <w:rsid w:val="34B306BA"/>
    <w:rsid w:val="34F30AB6"/>
    <w:rsid w:val="359202CF"/>
    <w:rsid w:val="35C04688"/>
    <w:rsid w:val="37040D59"/>
    <w:rsid w:val="371B2546"/>
    <w:rsid w:val="37751C56"/>
    <w:rsid w:val="37E1109A"/>
    <w:rsid w:val="37EF7C5B"/>
    <w:rsid w:val="381274A5"/>
    <w:rsid w:val="382F16B6"/>
    <w:rsid w:val="387B14EE"/>
    <w:rsid w:val="38D83B76"/>
    <w:rsid w:val="39C562C9"/>
    <w:rsid w:val="3A8D5509"/>
    <w:rsid w:val="3A971EE4"/>
    <w:rsid w:val="3AE57A8F"/>
    <w:rsid w:val="3B1112B0"/>
    <w:rsid w:val="3B5E746C"/>
    <w:rsid w:val="3BCC2061"/>
    <w:rsid w:val="3CB74ABF"/>
    <w:rsid w:val="3CCA77EC"/>
    <w:rsid w:val="3D000214"/>
    <w:rsid w:val="3D2327C4"/>
    <w:rsid w:val="3D2E74B7"/>
    <w:rsid w:val="3D3B749E"/>
    <w:rsid w:val="3D7F110E"/>
    <w:rsid w:val="3D8B68BD"/>
    <w:rsid w:val="3DA037A5"/>
    <w:rsid w:val="3DF71617"/>
    <w:rsid w:val="3E10723D"/>
    <w:rsid w:val="3E6C3C86"/>
    <w:rsid w:val="3E720C9E"/>
    <w:rsid w:val="3E725142"/>
    <w:rsid w:val="3EDC6A5F"/>
    <w:rsid w:val="3FB05F21"/>
    <w:rsid w:val="3FBB0422"/>
    <w:rsid w:val="3FDC1609"/>
    <w:rsid w:val="402661E4"/>
    <w:rsid w:val="40585B1F"/>
    <w:rsid w:val="40A610D2"/>
    <w:rsid w:val="41067DC3"/>
    <w:rsid w:val="41C76417"/>
    <w:rsid w:val="41DC0B42"/>
    <w:rsid w:val="41EE4ADF"/>
    <w:rsid w:val="421D3C7F"/>
    <w:rsid w:val="428B3D82"/>
    <w:rsid w:val="42AB7679"/>
    <w:rsid w:val="42D60DEB"/>
    <w:rsid w:val="42F933B2"/>
    <w:rsid w:val="42FD71D2"/>
    <w:rsid w:val="431B7645"/>
    <w:rsid w:val="43244531"/>
    <w:rsid w:val="43340C18"/>
    <w:rsid w:val="43605F84"/>
    <w:rsid w:val="43E73EDC"/>
    <w:rsid w:val="440F4D94"/>
    <w:rsid w:val="44121234"/>
    <w:rsid w:val="441A605F"/>
    <w:rsid w:val="446B68BB"/>
    <w:rsid w:val="44FF5255"/>
    <w:rsid w:val="45132EF4"/>
    <w:rsid w:val="453749EF"/>
    <w:rsid w:val="45602117"/>
    <w:rsid w:val="4571765C"/>
    <w:rsid w:val="457C2402"/>
    <w:rsid w:val="45C36283"/>
    <w:rsid w:val="45E961FB"/>
    <w:rsid w:val="46026DAB"/>
    <w:rsid w:val="46501639"/>
    <w:rsid w:val="465B64BB"/>
    <w:rsid w:val="465F41FD"/>
    <w:rsid w:val="468C2B19"/>
    <w:rsid w:val="471C20EE"/>
    <w:rsid w:val="472F1E22"/>
    <w:rsid w:val="474318BA"/>
    <w:rsid w:val="47767A51"/>
    <w:rsid w:val="47DC16A5"/>
    <w:rsid w:val="48287183"/>
    <w:rsid w:val="48351379"/>
    <w:rsid w:val="484E463E"/>
    <w:rsid w:val="48A936DC"/>
    <w:rsid w:val="48AB197C"/>
    <w:rsid w:val="49064E04"/>
    <w:rsid w:val="491938C4"/>
    <w:rsid w:val="49335641"/>
    <w:rsid w:val="49560276"/>
    <w:rsid w:val="496D09DF"/>
    <w:rsid w:val="49830A4D"/>
    <w:rsid w:val="49A308A5"/>
    <w:rsid w:val="4A0330F2"/>
    <w:rsid w:val="4A8A076F"/>
    <w:rsid w:val="4AB80380"/>
    <w:rsid w:val="4B78366B"/>
    <w:rsid w:val="4B8A2C90"/>
    <w:rsid w:val="4B9E1324"/>
    <w:rsid w:val="4BA42599"/>
    <w:rsid w:val="4BD531A1"/>
    <w:rsid w:val="4BE60F1D"/>
    <w:rsid w:val="4C2D08FA"/>
    <w:rsid w:val="4C3857CB"/>
    <w:rsid w:val="4C65665F"/>
    <w:rsid w:val="4C96649F"/>
    <w:rsid w:val="4CC10091"/>
    <w:rsid w:val="4CE657A0"/>
    <w:rsid w:val="4D1675E0"/>
    <w:rsid w:val="4D1A0E7E"/>
    <w:rsid w:val="4D4F2C7D"/>
    <w:rsid w:val="4D551EB6"/>
    <w:rsid w:val="4D84279B"/>
    <w:rsid w:val="4DA1334D"/>
    <w:rsid w:val="4DDE110F"/>
    <w:rsid w:val="4DF27705"/>
    <w:rsid w:val="4E173610"/>
    <w:rsid w:val="4E21623C"/>
    <w:rsid w:val="4E50267E"/>
    <w:rsid w:val="4E7B3BF3"/>
    <w:rsid w:val="4EDF35D4"/>
    <w:rsid w:val="4F2C6C47"/>
    <w:rsid w:val="4F522371"/>
    <w:rsid w:val="4F625F52"/>
    <w:rsid w:val="4FA12577"/>
    <w:rsid w:val="4FA1515E"/>
    <w:rsid w:val="4FE15C83"/>
    <w:rsid w:val="501955FB"/>
    <w:rsid w:val="50271928"/>
    <w:rsid w:val="502838B2"/>
    <w:rsid w:val="502F586C"/>
    <w:rsid w:val="5052092F"/>
    <w:rsid w:val="506A143A"/>
    <w:rsid w:val="509C2507"/>
    <w:rsid w:val="509C604E"/>
    <w:rsid w:val="50C07F8E"/>
    <w:rsid w:val="510E11AC"/>
    <w:rsid w:val="517D19DC"/>
    <w:rsid w:val="51A90A23"/>
    <w:rsid w:val="51AB479B"/>
    <w:rsid w:val="51BA49DE"/>
    <w:rsid w:val="51EE0B2B"/>
    <w:rsid w:val="5324220F"/>
    <w:rsid w:val="539574B0"/>
    <w:rsid w:val="547F3CBD"/>
    <w:rsid w:val="54F616B0"/>
    <w:rsid w:val="5523352E"/>
    <w:rsid w:val="55912550"/>
    <w:rsid w:val="55E069DD"/>
    <w:rsid w:val="564C5E20"/>
    <w:rsid w:val="565F3DA6"/>
    <w:rsid w:val="5683704F"/>
    <w:rsid w:val="56A874FB"/>
    <w:rsid w:val="56B57E6A"/>
    <w:rsid w:val="56EB2722"/>
    <w:rsid w:val="57D3727A"/>
    <w:rsid w:val="58133B49"/>
    <w:rsid w:val="581666E6"/>
    <w:rsid w:val="583A6878"/>
    <w:rsid w:val="58444517"/>
    <w:rsid w:val="58466FA3"/>
    <w:rsid w:val="58D81BED"/>
    <w:rsid w:val="590B0FBC"/>
    <w:rsid w:val="59575208"/>
    <w:rsid w:val="5AB50438"/>
    <w:rsid w:val="5AB972A9"/>
    <w:rsid w:val="5AC41FE9"/>
    <w:rsid w:val="5B697EEF"/>
    <w:rsid w:val="5B8354A2"/>
    <w:rsid w:val="5BC36B85"/>
    <w:rsid w:val="5BE213C8"/>
    <w:rsid w:val="5C82434A"/>
    <w:rsid w:val="5CC53758"/>
    <w:rsid w:val="5CEE5E83"/>
    <w:rsid w:val="5D2B5019"/>
    <w:rsid w:val="5D7002D3"/>
    <w:rsid w:val="5DCA5FA9"/>
    <w:rsid w:val="5E111E29"/>
    <w:rsid w:val="5E2751A9"/>
    <w:rsid w:val="5E9860A7"/>
    <w:rsid w:val="5EB279F6"/>
    <w:rsid w:val="5EF20DA9"/>
    <w:rsid w:val="5F24700E"/>
    <w:rsid w:val="5F37766E"/>
    <w:rsid w:val="5FAD5B82"/>
    <w:rsid w:val="5FFB4038"/>
    <w:rsid w:val="604D11B9"/>
    <w:rsid w:val="606103C9"/>
    <w:rsid w:val="606D7E92"/>
    <w:rsid w:val="6089214B"/>
    <w:rsid w:val="60C953AC"/>
    <w:rsid w:val="60F5158E"/>
    <w:rsid w:val="611E542F"/>
    <w:rsid w:val="613D2F35"/>
    <w:rsid w:val="61C176C2"/>
    <w:rsid w:val="61C72A64"/>
    <w:rsid w:val="61CF3C72"/>
    <w:rsid w:val="62AC3ECF"/>
    <w:rsid w:val="62C47C43"/>
    <w:rsid w:val="630930CF"/>
    <w:rsid w:val="635C3B47"/>
    <w:rsid w:val="638B7F88"/>
    <w:rsid w:val="642F4DB7"/>
    <w:rsid w:val="64A21A2D"/>
    <w:rsid w:val="6509245E"/>
    <w:rsid w:val="65516FAF"/>
    <w:rsid w:val="65FE70CA"/>
    <w:rsid w:val="66171FA7"/>
    <w:rsid w:val="668A2779"/>
    <w:rsid w:val="668A652A"/>
    <w:rsid w:val="66A31A8D"/>
    <w:rsid w:val="66DC77EF"/>
    <w:rsid w:val="67254250"/>
    <w:rsid w:val="672E75A8"/>
    <w:rsid w:val="677837F1"/>
    <w:rsid w:val="678436AC"/>
    <w:rsid w:val="67980EC5"/>
    <w:rsid w:val="68E5013A"/>
    <w:rsid w:val="6985190F"/>
    <w:rsid w:val="6A246A40"/>
    <w:rsid w:val="6A507835"/>
    <w:rsid w:val="6A7C687C"/>
    <w:rsid w:val="6A9260A0"/>
    <w:rsid w:val="6B572E46"/>
    <w:rsid w:val="6B6C68F1"/>
    <w:rsid w:val="6C07661A"/>
    <w:rsid w:val="6C3118E9"/>
    <w:rsid w:val="6C67530A"/>
    <w:rsid w:val="6CEE52C1"/>
    <w:rsid w:val="6CF325ED"/>
    <w:rsid w:val="6D1159A2"/>
    <w:rsid w:val="6D2A6A64"/>
    <w:rsid w:val="6D7134E0"/>
    <w:rsid w:val="6D7B72BF"/>
    <w:rsid w:val="6D8C327A"/>
    <w:rsid w:val="6D965EA7"/>
    <w:rsid w:val="6DB602F7"/>
    <w:rsid w:val="6DCF760B"/>
    <w:rsid w:val="6E6E75D4"/>
    <w:rsid w:val="6E82642B"/>
    <w:rsid w:val="6EA934B6"/>
    <w:rsid w:val="6EAE0FCF"/>
    <w:rsid w:val="6EC24710"/>
    <w:rsid w:val="6F032D50"/>
    <w:rsid w:val="6F2A2D4B"/>
    <w:rsid w:val="6F4F78BF"/>
    <w:rsid w:val="6FAF3250"/>
    <w:rsid w:val="706E041E"/>
    <w:rsid w:val="70763D6E"/>
    <w:rsid w:val="70A1703D"/>
    <w:rsid w:val="70CD6084"/>
    <w:rsid w:val="70E97CF9"/>
    <w:rsid w:val="71245B20"/>
    <w:rsid w:val="712A28CF"/>
    <w:rsid w:val="713A724C"/>
    <w:rsid w:val="71973F9C"/>
    <w:rsid w:val="726C1C4A"/>
    <w:rsid w:val="72A03324"/>
    <w:rsid w:val="72EB3AA8"/>
    <w:rsid w:val="737A3B75"/>
    <w:rsid w:val="73D6524F"/>
    <w:rsid w:val="73E7734C"/>
    <w:rsid w:val="73EC4A73"/>
    <w:rsid w:val="746C0AE0"/>
    <w:rsid w:val="74D13C69"/>
    <w:rsid w:val="75266C08"/>
    <w:rsid w:val="75466405"/>
    <w:rsid w:val="75675DB8"/>
    <w:rsid w:val="75843174"/>
    <w:rsid w:val="75F714AD"/>
    <w:rsid w:val="760F0C92"/>
    <w:rsid w:val="761B163F"/>
    <w:rsid w:val="76B7003F"/>
    <w:rsid w:val="7729634A"/>
    <w:rsid w:val="775070C7"/>
    <w:rsid w:val="776C37AC"/>
    <w:rsid w:val="787B0173"/>
    <w:rsid w:val="79254583"/>
    <w:rsid w:val="794E7636"/>
    <w:rsid w:val="79607369"/>
    <w:rsid w:val="79757E4E"/>
    <w:rsid w:val="79DD1288"/>
    <w:rsid w:val="79F301DD"/>
    <w:rsid w:val="7A2A6204"/>
    <w:rsid w:val="7A432F13"/>
    <w:rsid w:val="7A590988"/>
    <w:rsid w:val="7A654670"/>
    <w:rsid w:val="7AA30CA1"/>
    <w:rsid w:val="7AE15602"/>
    <w:rsid w:val="7AF4420D"/>
    <w:rsid w:val="7AF5326F"/>
    <w:rsid w:val="7BB340C8"/>
    <w:rsid w:val="7C1F5618"/>
    <w:rsid w:val="7CB36BCF"/>
    <w:rsid w:val="7D170D15"/>
    <w:rsid w:val="7D256A57"/>
    <w:rsid w:val="7D2F76D5"/>
    <w:rsid w:val="7D913F95"/>
    <w:rsid w:val="7DF84902"/>
    <w:rsid w:val="7E097FCF"/>
    <w:rsid w:val="7E134D72"/>
    <w:rsid w:val="7E783F85"/>
    <w:rsid w:val="7E7A711F"/>
    <w:rsid w:val="7E8D57A7"/>
    <w:rsid w:val="7EC87E8B"/>
    <w:rsid w:val="7ECF2FC7"/>
    <w:rsid w:val="7EE822DB"/>
    <w:rsid w:val="7F034FD4"/>
    <w:rsid w:val="7F2D4191"/>
    <w:rsid w:val="7F782CD8"/>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1"/>
    <w:qFormat/>
    <w:uiPriority w:val="0"/>
    <w:pPr>
      <w:keepNext/>
      <w:keepLines/>
      <w:outlineLvl w:val="2"/>
    </w:pPr>
    <w:rPr>
      <w:kern w:val="0"/>
      <w:sz w:val="28"/>
      <w:szCs w:val="20"/>
    </w:rPr>
  </w:style>
  <w:style w:type="character" w:default="1" w:styleId="30">
    <w:name w:val="Default Paragraph Font"/>
    <w:semiHidden/>
    <w:qFormat/>
    <w:uiPriority w:val="0"/>
  </w:style>
  <w:style w:type="table" w:default="1" w:styleId="2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List Paragraph"/>
    <w:basedOn w:val="1"/>
    <w:qFormat/>
    <w:uiPriority w:val="0"/>
    <w:pPr>
      <w:widowControl w:val="0"/>
      <w:spacing w:line="240" w:lineRule="auto"/>
      <w:ind w:firstLine="200" w:firstLineChars="200"/>
      <w:textAlignment w:val="auto"/>
    </w:pPr>
    <w:rPr>
      <w:u w:val="none" w:color="000000"/>
    </w:rPr>
  </w:style>
  <w:style w:type="paragraph" w:styleId="6">
    <w:name w:val="toc 7"/>
    <w:basedOn w:val="1"/>
    <w:next w:val="1"/>
    <w:qFormat/>
    <w:uiPriority w:val="39"/>
    <w:pPr>
      <w:ind w:left="1260"/>
      <w:jc w:val="left"/>
    </w:pPr>
    <w:rPr>
      <w:sz w:val="18"/>
      <w:szCs w:val="18"/>
    </w:rPr>
  </w:style>
  <w:style w:type="paragraph" w:styleId="7">
    <w:name w:val="Normal Indent"/>
    <w:basedOn w:val="1"/>
    <w:next w:val="8"/>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Body Text First Indent 2"/>
    <w:basedOn w:val="9"/>
    <w:next w:val="11"/>
    <w:link w:val="39"/>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9">
    <w:name w:val="Body Text Indent"/>
    <w:basedOn w:val="1"/>
    <w:next w:val="10"/>
    <w:link w:val="38"/>
    <w:qFormat/>
    <w:uiPriority w:val="0"/>
    <w:pPr>
      <w:spacing w:after="120" w:afterLines="0" w:afterAutospacing="0"/>
      <w:ind w:left="420" w:leftChars="200"/>
    </w:pPr>
  </w:style>
  <w:style w:type="paragraph" w:styleId="10">
    <w:name w:val="envelope return"/>
    <w:basedOn w:val="1"/>
    <w:next w:val="6"/>
    <w:qFormat/>
    <w:uiPriority w:val="0"/>
    <w:pPr>
      <w:snapToGrid w:val="0"/>
    </w:pPr>
    <w:rPr>
      <w:rFonts w:ascii="Arial" w:hAnsi="Arial"/>
    </w:rPr>
  </w:style>
  <w:style w:type="paragraph" w:customStyle="1" w:styleId="11">
    <w:name w:val="正文文字 8"/>
    <w:basedOn w:val="1"/>
    <w:next w:val="1"/>
    <w:qFormat/>
    <w:uiPriority w:val="0"/>
    <w:pPr>
      <w:ind w:left="240"/>
    </w:pPr>
    <w:rPr>
      <w:sz w:val="16"/>
    </w:rPr>
  </w:style>
  <w:style w:type="paragraph" w:styleId="12">
    <w:name w:val="annotation text"/>
    <w:basedOn w:val="1"/>
    <w:qFormat/>
    <w:uiPriority w:val="0"/>
    <w:pPr>
      <w:jc w:val="left"/>
    </w:pPr>
  </w:style>
  <w:style w:type="paragraph" w:styleId="13">
    <w:name w:val="Body Text 3"/>
    <w:basedOn w:val="1"/>
    <w:qFormat/>
    <w:uiPriority w:val="0"/>
    <w:rPr>
      <w:rFonts w:ascii="宋体" w:hAnsi="Calibri" w:eastAsia="宋体" w:cs="Times New Roman"/>
      <w:sz w:val="24"/>
      <w:szCs w:val="20"/>
    </w:rPr>
  </w:style>
  <w:style w:type="paragraph" w:styleId="14">
    <w:name w:val="Body Text"/>
    <w:basedOn w:val="1"/>
    <w:next w:val="15"/>
    <w:qFormat/>
    <w:uiPriority w:val="0"/>
    <w:pPr>
      <w:widowControl w:val="0"/>
      <w:snapToGrid w:val="0"/>
      <w:spacing w:line="360" w:lineRule="auto"/>
    </w:pPr>
    <w:rPr>
      <w:rFonts w:ascii="Arial" w:hAnsi="Arial" w:eastAsia="仿宋_GB2312"/>
      <w:sz w:val="31"/>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toc 3"/>
    <w:basedOn w:val="1"/>
    <w:next w:val="1"/>
    <w:qFormat/>
    <w:uiPriority w:val="39"/>
    <w:pPr>
      <w:jc w:val="left"/>
    </w:pPr>
    <w:rPr>
      <w:rFonts w:ascii="Calibri" w:hAnsi="Calibri"/>
      <w:smallCaps/>
      <w:sz w:val="22"/>
      <w:szCs w:val="22"/>
    </w:rPr>
  </w:style>
  <w:style w:type="paragraph" w:styleId="17">
    <w:name w:val="Plain Text"/>
    <w:basedOn w:val="1"/>
    <w:next w:val="1"/>
    <w:link w:val="43"/>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8">
    <w:name w:val="Date"/>
    <w:basedOn w:val="1"/>
    <w:next w:val="1"/>
    <w:link w:val="40"/>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9">
    <w:name w:val="footer"/>
    <w:basedOn w:val="1"/>
    <w:link w:val="44"/>
    <w:qFormat/>
    <w:uiPriority w:val="0"/>
    <w:pPr>
      <w:tabs>
        <w:tab w:val="center" w:pos="4153"/>
        <w:tab w:val="right" w:pos="8306"/>
      </w:tabs>
      <w:snapToGrid w:val="0"/>
      <w:jc w:val="left"/>
    </w:pPr>
    <w:rPr>
      <w:sz w:val="18"/>
    </w:rPr>
  </w:style>
  <w:style w:type="paragraph" w:styleId="20">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pPr>
      <w:spacing w:before="120" w:after="120"/>
      <w:jc w:val="left"/>
    </w:pPr>
    <w:rPr>
      <w:b/>
      <w:bCs/>
      <w:caps/>
      <w:sz w:val="20"/>
    </w:rPr>
  </w:style>
  <w:style w:type="paragraph" w:styleId="22">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footnote text"/>
    <w:basedOn w:val="1"/>
    <w:semiHidden/>
    <w:unhideWhenUsed/>
    <w:qFormat/>
    <w:uiPriority w:val="99"/>
    <w:pPr>
      <w:snapToGrid w:val="0"/>
      <w:jc w:val="left"/>
    </w:pPr>
    <w:rPr>
      <w:sz w:val="18"/>
    </w:rPr>
  </w:style>
  <w:style w:type="paragraph" w:styleId="24">
    <w:name w:val="Body Text 2"/>
    <w:basedOn w:val="1"/>
    <w:qFormat/>
    <w:uiPriority w:val="0"/>
    <w:rPr>
      <w:kern w:val="0"/>
      <w:sz w:val="24"/>
    </w:rPr>
  </w:style>
  <w:style w:type="paragraph" w:styleId="2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6">
    <w:name w:val="Title"/>
    <w:basedOn w:val="1"/>
    <w:next w:val="1"/>
    <w:qFormat/>
    <w:uiPriority w:val="0"/>
    <w:pPr>
      <w:numPr>
        <w:ilvl w:val="0"/>
        <w:numId w:val="1"/>
      </w:numPr>
      <w:spacing w:line="360" w:lineRule="auto"/>
      <w:jc w:val="left"/>
      <w:outlineLvl w:val="0"/>
    </w:pPr>
    <w:rPr>
      <w:rFonts w:ascii="Cambria" w:hAnsi="Cambria" w:eastAsia="宋体" w:cs="Times New Roman"/>
      <w:b/>
      <w:bCs/>
      <w:sz w:val="28"/>
      <w:szCs w:val="32"/>
    </w:rPr>
  </w:style>
  <w:style w:type="paragraph" w:styleId="27">
    <w:name w:val="Body Text First Indent"/>
    <w:basedOn w:val="14"/>
    <w:qFormat/>
    <w:uiPriority w:val="0"/>
    <w:pPr>
      <w:adjustRightInd/>
      <w:spacing w:after="120" w:line="240" w:lineRule="auto"/>
      <w:ind w:firstLine="420" w:firstLineChars="100"/>
      <w:jc w:val="both"/>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qFormat/>
    <w:uiPriority w:val="0"/>
    <w:rPr>
      <w:color w:val="771CAA"/>
      <w:u w:val="none"/>
    </w:rPr>
  </w:style>
  <w:style w:type="character" w:styleId="33">
    <w:name w:val="Emphasis"/>
    <w:basedOn w:val="30"/>
    <w:qFormat/>
    <w:uiPriority w:val="0"/>
    <w:rPr>
      <w:color w:val="F73131"/>
    </w:rPr>
  </w:style>
  <w:style w:type="character" w:styleId="34">
    <w:name w:val="Hyperlink"/>
    <w:basedOn w:val="30"/>
    <w:qFormat/>
    <w:uiPriority w:val="99"/>
    <w:rPr>
      <w:color w:val="0000FF"/>
      <w:u w:val="single"/>
    </w:rPr>
  </w:style>
  <w:style w:type="character" w:styleId="35">
    <w:name w:val="HTML Cite"/>
    <w:basedOn w:val="30"/>
    <w:qFormat/>
    <w:uiPriority w:val="0"/>
    <w:rPr>
      <w:color w:val="008000"/>
    </w:rPr>
  </w:style>
  <w:style w:type="character" w:styleId="36">
    <w:name w:val="footnote reference"/>
    <w:basedOn w:val="30"/>
    <w:semiHidden/>
    <w:unhideWhenUsed/>
    <w:qFormat/>
    <w:uiPriority w:val="99"/>
    <w:rPr>
      <w:vertAlign w:val="superscript"/>
    </w:rPr>
  </w:style>
  <w:style w:type="paragraph" w:customStyle="1" w:styleId="37">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8">
    <w:name w:val="正文文本缩进 Char"/>
    <w:basedOn w:val="30"/>
    <w:link w:val="9"/>
    <w:qFormat/>
    <w:uiPriority w:val="0"/>
    <w:rPr>
      <w:rFonts w:hint="default" w:ascii="Times New Roman" w:hAnsi="Times New Roman" w:eastAsia="宋体" w:cs="Times New Roman"/>
      <w:color w:val="000000"/>
      <w:kern w:val="0"/>
      <w:szCs w:val="21"/>
      <w:u w:color="000000"/>
    </w:rPr>
  </w:style>
  <w:style w:type="character" w:customStyle="1" w:styleId="39">
    <w:name w:val="正文首行缩进 2 Char"/>
    <w:basedOn w:val="38"/>
    <w:link w:val="8"/>
    <w:qFormat/>
    <w:uiPriority w:val="0"/>
    <w:rPr>
      <w:rFonts w:hint="default" w:ascii="Times New Roman" w:hAnsi="Times New Roman" w:eastAsia="宋体" w:cs="Times New Roman"/>
      <w:color w:val="000000"/>
      <w:kern w:val="0"/>
      <w:szCs w:val="21"/>
      <w:u w:color="000000"/>
    </w:rPr>
  </w:style>
  <w:style w:type="character" w:customStyle="1" w:styleId="40">
    <w:name w:val="日期 Char"/>
    <w:basedOn w:val="30"/>
    <w:link w:val="18"/>
    <w:qFormat/>
    <w:uiPriority w:val="0"/>
    <w:rPr>
      <w:rFonts w:ascii="Arial" w:hAnsi="Arial" w:eastAsia="仿宋_GB2312" w:cs="Arial"/>
      <w:color w:val="000000"/>
      <w:sz w:val="32"/>
      <w:szCs w:val="32"/>
      <w:u w:color="000000"/>
    </w:rPr>
  </w:style>
  <w:style w:type="character" w:customStyle="1" w:styleId="41">
    <w:name w:val="标题 2 Char"/>
    <w:basedOn w:val="30"/>
    <w:link w:val="4"/>
    <w:qFormat/>
    <w:uiPriority w:val="0"/>
    <w:rPr>
      <w:rFonts w:hint="default" w:ascii="Times New Roman" w:hAnsi="Times New Roman" w:eastAsia="宋体" w:cs="Times New Roman"/>
      <w:kern w:val="0"/>
      <w:sz w:val="24"/>
      <w:szCs w:val="24"/>
    </w:rPr>
  </w:style>
  <w:style w:type="character" w:customStyle="1" w:styleId="42">
    <w:name w:val="页眉 Char"/>
    <w:basedOn w:val="30"/>
    <w:link w:val="20"/>
    <w:qFormat/>
    <w:uiPriority w:val="0"/>
    <w:rPr>
      <w:rFonts w:hint="default" w:ascii="Times New Roman" w:hAnsi="Times New Roman" w:eastAsia="宋体" w:cs="Times New Roman"/>
      <w:color w:val="000000"/>
      <w:kern w:val="0"/>
      <w:sz w:val="18"/>
      <w:szCs w:val="18"/>
      <w:u w:color="000000"/>
    </w:rPr>
  </w:style>
  <w:style w:type="character" w:customStyle="1" w:styleId="43">
    <w:name w:val="纯文本 Char"/>
    <w:basedOn w:val="30"/>
    <w:link w:val="17"/>
    <w:qFormat/>
    <w:uiPriority w:val="0"/>
    <w:rPr>
      <w:rFonts w:hint="eastAsia" w:ascii="宋体" w:hAnsi="宋体" w:eastAsia="宋体" w:cs="宋体"/>
      <w:szCs w:val="21"/>
    </w:rPr>
  </w:style>
  <w:style w:type="character" w:customStyle="1" w:styleId="44">
    <w:name w:val="页脚 Char"/>
    <w:basedOn w:val="30"/>
    <w:link w:val="19"/>
    <w:qFormat/>
    <w:uiPriority w:val="0"/>
    <w:rPr>
      <w:rFonts w:hint="default" w:ascii="Times New Roman" w:hAnsi="Times New Roman" w:eastAsia="宋体" w:cs="Times New Roman"/>
      <w:color w:val="000000"/>
      <w:kern w:val="0"/>
      <w:sz w:val="18"/>
      <w:szCs w:val="18"/>
      <w:u w:color="000000"/>
    </w:rPr>
  </w:style>
  <w:style w:type="paragraph" w:customStyle="1" w:styleId="45">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character" w:customStyle="1" w:styleId="4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8">
    <w:name w:val="font51"/>
    <w:basedOn w:val="30"/>
    <w:qFormat/>
    <w:uiPriority w:val="0"/>
    <w:rPr>
      <w:rFonts w:hint="eastAsia" w:ascii="宋体" w:hAnsi="宋体" w:eastAsia="宋体" w:cs="宋体"/>
      <w:color w:val="000000"/>
      <w:sz w:val="22"/>
      <w:szCs w:val="22"/>
      <w:u w:val="none"/>
    </w:rPr>
  </w:style>
  <w:style w:type="character" w:customStyle="1" w:styleId="49">
    <w:name w:val="font31"/>
    <w:basedOn w:val="30"/>
    <w:qFormat/>
    <w:uiPriority w:val="0"/>
    <w:rPr>
      <w:rFonts w:hint="default" w:ascii="Times New Roman" w:hAnsi="Times New Roman" w:cs="Times New Roman"/>
      <w:color w:val="000000"/>
      <w:sz w:val="22"/>
      <w:szCs w:val="22"/>
      <w:u w:val="none"/>
    </w:rPr>
  </w:style>
  <w:style w:type="character" w:customStyle="1" w:styleId="50">
    <w:name w:val="font61"/>
    <w:basedOn w:val="30"/>
    <w:qFormat/>
    <w:uiPriority w:val="0"/>
    <w:rPr>
      <w:rFonts w:hint="default" w:ascii="Times New Roman" w:hAnsi="Times New Roman" w:cs="Times New Roman"/>
      <w:color w:val="000000"/>
      <w:sz w:val="21"/>
      <w:szCs w:val="21"/>
      <w:u w:val="none"/>
    </w:rPr>
  </w:style>
  <w:style w:type="character" w:customStyle="1" w:styleId="51">
    <w:name w:val="font71"/>
    <w:basedOn w:val="30"/>
    <w:qFormat/>
    <w:uiPriority w:val="0"/>
    <w:rPr>
      <w:rFonts w:hint="eastAsia" w:ascii="宋体" w:hAnsi="宋体" w:eastAsia="宋体" w:cs="宋体"/>
      <w:color w:val="000000"/>
      <w:sz w:val="21"/>
      <w:szCs w:val="21"/>
      <w:u w:val="none"/>
    </w:rPr>
  </w:style>
  <w:style w:type="character" w:customStyle="1" w:styleId="52">
    <w:name w:val="font01"/>
    <w:basedOn w:val="30"/>
    <w:qFormat/>
    <w:uiPriority w:val="0"/>
    <w:rPr>
      <w:rFonts w:hint="eastAsia" w:ascii="宋体" w:hAnsi="宋体" w:eastAsia="宋体" w:cs="宋体"/>
      <w:color w:val="000000"/>
      <w:sz w:val="22"/>
      <w:szCs w:val="22"/>
      <w:u w:val="none"/>
    </w:rPr>
  </w:style>
  <w:style w:type="character" w:customStyle="1" w:styleId="53">
    <w:name w:val="font11"/>
    <w:basedOn w:val="30"/>
    <w:qFormat/>
    <w:uiPriority w:val="0"/>
    <w:rPr>
      <w:rFonts w:hint="eastAsia" w:ascii="宋体" w:hAnsi="宋体" w:eastAsia="宋体" w:cs="宋体"/>
      <w:color w:val="000000"/>
      <w:sz w:val="21"/>
      <w:szCs w:val="21"/>
      <w:u w:val="none"/>
    </w:rPr>
  </w:style>
  <w:style w:type="character" w:customStyle="1" w:styleId="54">
    <w:name w:val="font41"/>
    <w:basedOn w:val="30"/>
    <w:qFormat/>
    <w:uiPriority w:val="0"/>
    <w:rPr>
      <w:rFonts w:hint="default" w:ascii="Times New Roman" w:hAnsi="Times New Roman" w:cs="Times New Roman"/>
      <w:color w:val="000000"/>
      <w:sz w:val="22"/>
      <w:szCs w:val="22"/>
      <w:u w:val="none"/>
    </w:rPr>
  </w:style>
  <w:style w:type="paragraph" w:customStyle="1" w:styleId="55">
    <w:name w:val="二级标题"/>
    <w:basedOn w:val="1"/>
    <w:next w:val="1"/>
    <w:qFormat/>
    <w:uiPriority w:val="0"/>
    <w:rPr>
      <w:rFonts w:hint="eastAsia" w:eastAsia="楷体"/>
    </w:rPr>
  </w:style>
  <w:style w:type="paragraph" w:customStyle="1" w:styleId="56">
    <w:name w:val="首行缩进"/>
    <w:basedOn w:val="1"/>
    <w:qFormat/>
    <w:uiPriority w:val="0"/>
    <w:pPr>
      <w:ind w:firstLine="480" w:firstLineChars="200"/>
    </w:pPr>
    <w:rPr>
      <w:rFonts w:eastAsia="楷体_GB2312"/>
      <w:lang w:val="zh-CN"/>
    </w:rPr>
  </w:style>
  <w:style w:type="character" w:customStyle="1" w:styleId="57">
    <w:name w:val="c-icon28"/>
    <w:basedOn w:val="30"/>
    <w:qFormat/>
    <w:uiPriority w:val="0"/>
  </w:style>
  <w:style w:type="character" w:customStyle="1" w:styleId="58">
    <w:name w:val="hover26"/>
    <w:basedOn w:val="30"/>
    <w:qFormat/>
    <w:uiPriority w:val="0"/>
    <w:rPr>
      <w:color w:val="315EFB"/>
      <w:shd w:val="clear" w:fill="F0F3FD"/>
    </w:rPr>
  </w:style>
  <w:style w:type="character" w:customStyle="1" w:styleId="59">
    <w:name w:val="hover27"/>
    <w:basedOn w:val="30"/>
    <w:qFormat/>
    <w:uiPriority w:val="0"/>
    <w:rPr>
      <w:color w:val="315EFB"/>
    </w:rPr>
  </w:style>
  <w:style w:type="character" w:customStyle="1" w:styleId="60">
    <w:name w:val="hover28"/>
    <w:basedOn w:val="30"/>
    <w:qFormat/>
    <w:uiPriority w:val="0"/>
  </w:style>
  <w:style w:type="character" w:customStyle="1" w:styleId="61">
    <w:name w:val="hover29"/>
    <w:basedOn w:val="30"/>
    <w:qFormat/>
    <w:uiPriority w:val="0"/>
    <w:rPr>
      <w:color w:val="315EFB"/>
    </w:rPr>
  </w:style>
  <w:style w:type="paragraph" w:customStyle="1" w:styleId="62">
    <w:name w:val="xl25"/>
    <w:basedOn w:val="1"/>
    <w:qFormat/>
    <w:uiPriority w:val="0"/>
    <w:pPr>
      <w:widowControl/>
      <w:spacing w:before="100" w:beforeLines="0" w:beforeAutospacing="1" w:after="100" w:afterLines="0" w:afterAutospacing="1"/>
      <w:jc w:val="right"/>
    </w:pPr>
    <w:rPr>
      <w:rFonts w:ascii="Arial Unicode MS" w:hAnsi="Arial Unicode MS" w:eastAsia="宋体" w:cs="Arial Unicode MS"/>
      <w:color w:val="000000"/>
      <w:kern w:val="0"/>
      <w:sz w:val="18"/>
      <w:szCs w:val="18"/>
    </w:rPr>
  </w:style>
  <w:style w:type="paragraph" w:customStyle="1" w:styleId="63">
    <w:name w:val="Table Text"/>
    <w:basedOn w:val="1"/>
    <w:qFormat/>
    <w:uiPriority w:val="0"/>
    <w:rPr>
      <w:rFonts w:ascii="宋体" w:hAnsi="宋体" w:eastAsia="宋体" w:cs="宋体"/>
      <w:sz w:val="21"/>
      <w:szCs w:val="21"/>
      <w:lang w:val="en-US" w:eastAsia="en-US"/>
    </w:rPr>
  </w:style>
  <w:style w:type="paragraph" w:customStyle="1" w:styleId="64">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5">
    <w:name w:val="标题 2_0_0_0"/>
    <w:basedOn w:val="1"/>
    <w:next w:val="1"/>
    <w:qFormat/>
    <w:uiPriority w:val="0"/>
    <w:pPr>
      <w:widowControl/>
      <w:contextualSpacing/>
      <w:jc w:val="center"/>
      <w:outlineLvl w:val="1"/>
    </w:pPr>
    <w:rPr>
      <w:b/>
      <w:bCs/>
      <w:sz w:val="28"/>
      <w:szCs w:val="28"/>
    </w:rPr>
  </w:style>
  <w:style w:type="paragraph" w:customStyle="1" w:styleId="66">
    <w:name w:val="正文 + 四号"/>
    <w:basedOn w:val="1"/>
    <w:qFormat/>
    <w:uiPriority w:val="0"/>
    <w:pPr>
      <w:tabs>
        <w:tab w:val="left" w:pos="3240"/>
        <w:tab w:val="left" w:pos="4320"/>
      </w:tabs>
    </w:pPr>
    <w:rPr>
      <w:b/>
      <w:sz w:val="28"/>
      <w:szCs w:val="28"/>
    </w:rPr>
  </w:style>
  <w:style w:type="paragraph" w:customStyle="1" w:styleId="67">
    <w:name w:val="Body Text First Indent 2"/>
    <w:basedOn w:val="68"/>
    <w:next w:val="1"/>
    <w:qFormat/>
    <w:uiPriority w:val="0"/>
    <w:pPr>
      <w:ind w:left="420" w:firstLine="420" w:firstLineChars="200"/>
    </w:pPr>
  </w:style>
  <w:style w:type="paragraph" w:customStyle="1" w:styleId="68">
    <w:name w:val="Body Text Indent"/>
    <w:basedOn w:val="1"/>
    <w:next w:val="69"/>
    <w:qFormat/>
    <w:uiPriority w:val="0"/>
    <w:pPr>
      <w:spacing w:after="120" w:afterLines="0"/>
      <w:ind w:left="200" w:leftChars="200"/>
    </w:pPr>
    <w:rPr>
      <w:kern w:val="2"/>
      <w:sz w:val="21"/>
      <w:szCs w:val="24"/>
    </w:rPr>
  </w:style>
  <w:style w:type="paragraph" w:customStyle="1" w:styleId="69">
    <w:name w:val="envelope return"/>
    <w:basedOn w:val="1"/>
    <w:qFormat/>
    <w:uiPriority w:val="0"/>
    <w:pPr>
      <w:snapToGrid w:val="0"/>
    </w:pPr>
    <w:rPr>
      <w:rFonts w:ascii="Arial" w:hAnsi="Arial"/>
    </w:rPr>
  </w:style>
  <w:style w:type="paragraph" w:customStyle="1" w:styleId="70">
    <w:name w:val="Table Paragraph"/>
    <w:basedOn w:val="1"/>
    <w:qFormat/>
    <w:uiPriority w:val="0"/>
    <w:rPr>
      <w:rFonts w:ascii="宋体" w:hAnsi="宋体" w:eastAsia="宋体" w:cs="宋体"/>
      <w:lang w:val="zh-CN" w:eastAsia="zh-CN" w:bidi="zh-CN"/>
    </w:rPr>
  </w:style>
  <w:style w:type="paragraph" w:customStyle="1" w:styleId="71">
    <w:name w:val="Char Char Char Char Char Char Char1 Char"/>
    <w:basedOn w:val="1"/>
    <w:qFormat/>
    <w:uiPriority w:val="0"/>
    <w:rPr>
      <w:rFonts w:ascii="Arial" w:hAnsi="Arial" w:eastAsia="宋体" w:cs="Arial"/>
      <w:sz w:val="24"/>
    </w:rPr>
  </w:style>
  <w:style w:type="character" w:customStyle="1" w:styleId="72">
    <w:name w:val="font81"/>
    <w:basedOn w:val="30"/>
    <w:qFormat/>
    <w:uiPriority w:val="0"/>
    <w:rPr>
      <w:rFonts w:hint="eastAsia" w:ascii="宋体" w:hAnsi="宋体" w:eastAsia="宋体" w:cs="宋体"/>
      <w:color w:val="000000"/>
      <w:sz w:val="21"/>
      <w:szCs w:val="21"/>
      <w:u w:val="none"/>
    </w:rPr>
  </w:style>
  <w:style w:type="character" w:customStyle="1" w:styleId="73">
    <w:name w:val="font112"/>
    <w:basedOn w:val="30"/>
    <w:qFormat/>
    <w:uiPriority w:val="0"/>
    <w:rPr>
      <w:rFonts w:hint="eastAsia" w:ascii="宋体" w:hAnsi="宋体" w:eastAsia="宋体" w:cs="宋体"/>
      <w:color w:val="000000"/>
      <w:sz w:val="18"/>
      <w:szCs w:val="18"/>
      <w:u w:val="none"/>
    </w:rPr>
  </w:style>
  <w:style w:type="character" w:customStyle="1" w:styleId="74">
    <w:name w:val="font121"/>
    <w:basedOn w:val="30"/>
    <w:qFormat/>
    <w:uiPriority w:val="0"/>
    <w:rPr>
      <w:rFonts w:hint="default" w:ascii="Times New Roman" w:hAnsi="Times New Roman" w:cs="Times New Roman"/>
      <w:color w:val="000000"/>
      <w:sz w:val="22"/>
      <w:szCs w:val="22"/>
      <w:u w:val="none"/>
    </w:rPr>
  </w:style>
  <w:style w:type="character" w:customStyle="1" w:styleId="75">
    <w:name w:val="font21"/>
    <w:basedOn w:val="3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13968</Words>
  <Characters>14817</Characters>
  <Lines>1</Lines>
  <Paragraphs>1</Paragraphs>
  <TotalTime>19</TotalTime>
  <ScaleCrop>false</ScaleCrop>
  <LinksUpToDate>false</LinksUpToDate>
  <CharactersWithSpaces>15267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NTKO</cp:lastModifiedBy>
  <cp:lastPrinted>2022-04-11T07:26:00Z</cp:lastPrinted>
  <dcterms:modified xsi:type="dcterms:W3CDTF">2026-04-24T10:27:13Z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DA5B7FF4081246E1A7E119400C263689_13</vt:lpwstr>
  </property>
  <property fmtid="{D5CDD505-2E9C-101B-9397-08002B2CF9AE}" pid="4" name="KSOTemplateDocerSaveRecord">
    <vt:lpwstr>eyJoZGlkIjoiMDk2MmQyNTdjMmYyM2I4Njk3YjVkOTliYjhhNDZiYTEiLCJ1c2VySWQiOiI0MDkyMjI1MTkifQ==</vt:lpwstr>
  </property>
</Properties>
</file>