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8666DE">
      <w:pPr>
        <w:spacing w:before="156" w:beforeLines="50" w:after="156" w:afterLines="50"/>
        <w:ind w:left="-850" w:leftChars="-405" w:right="-625"/>
        <w:jc w:val="center"/>
        <w:outlineLvl w:val="0"/>
        <w:rPr>
          <w:rFonts w:hint="eastAsia" w:ascii="新宋体" w:hAnsi="新宋体" w:eastAsia="新宋体" w:cs="新宋体"/>
          <w:b/>
          <w:bCs/>
          <w:color w:val="auto"/>
          <w:spacing w:val="1"/>
          <w:sz w:val="47"/>
          <w:szCs w:val="47"/>
          <w:highlight w:val="none"/>
          <w:lang w:eastAsia="zh-CN"/>
        </w:rPr>
      </w:pPr>
      <w:bookmarkStart w:id="0" w:name="OLE_LINK1"/>
    </w:p>
    <w:p w14:paraId="7A332A64">
      <w:pPr>
        <w:spacing w:before="156" w:beforeLines="50" w:after="156" w:afterLines="50"/>
        <w:ind w:left="-850" w:leftChars="-405" w:right="-625"/>
        <w:jc w:val="center"/>
        <w:outlineLvl w:val="0"/>
        <w:rPr>
          <w:rFonts w:hint="eastAsia" w:ascii="新宋体" w:hAnsi="新宋体" w:eastAsia="新宋体"/>
          <w:b/>
          <w:color w:val="auto"/>
          <w:sz w:val="48"/>
          <w:szCs w:val="48"/>
          <w:highlight w:val="none"/>
          <w:lang w:val="en-US" w:eastAsia="zh-CN"/>
        </w:rPr>
      </w:pPr>
      <w:r>
        <w:rPr>
          <w:rFonts w:hint="eastAsia" w:ascii="新宋体" w:hAnsi="新宋体" w:eastAsia="新宋体" w:cs="新宋体"/>
          <w:b/>
          <w:bCs/>
          <w:color w:val="auto"/>
          <w:spacing w:val="1"/>
          <w:sz w:val="47"/>
          <w:szCs w:val="47"/>
          <w:highlight w:val="none"/>
          <w:lang w:eastAsia="zh-CN"/>
        </w:rPr>
        <w:t>滁州大剧院物业管理服务项目</w:t>
      </w:r>
    </w:p>
    <w:p w14:paraId="0F1F8AAA">
      <w:pPr>
        <w:spacing w:before="156" w:beforeLines="50" w:after="156" w:afterLines="50"/>
        <w:ind w:left="-850" w:leftChars="-405" w:right="-625"/>
        <w:jc w:val="center"/>
        <w:rPr>
          <w:rFonts w:hint="eastAsia" w:ascii="新宋体" w:hAnsi="新宋体" w:eastAsia="新宋体"/>
          <w:b/>
          <w:color w:val="auto"/>
          <w:sz w:val="44"/>
          <w:szCs w:val="44"/>
          <w:highlight w:val="none"/>
          <w:lang w:val="en-US" w:eastAsia="zh-CN"/>
        </w:rPr>
      </w:pPr>
    </w:p>
    <w:p w14:paraId="41E21688">
      <w:pPr>
        <w:spacing w:before="156" w:beforeLines="50" w:after="156" w:afterLines="50"/>
        <w:ind w:left="-850" w:leftChars="-405" w:right="-625"/>
        <w:jc w:val="center"/>
        <w:rPr>
          <w:rFonts w:hint="eastAsia" w:ascii="宋体" w:hAnsi="宋体"/>
          <w:color w:val="auto"/>
          <w:sz w:val="40"/>
          <w:szCs w:val="36"/>
          <w:highlight w:val="none"/>
        </w:rPr>
      </w:pPr>
      <w:r>
        <w:rPr>
          <w:rFonts w:hint="eastAsia" w:ascii="宋体" w:hAnsi="宋体"/>
          <w:color w:val="auto"/>
          <w:sz w:val="40"/>
          <w:szCs w:val="36"/>
          <w:highlight w:val="none"/>
        </w:rPr>
        <w:t>（电子招标投标）</w:t>
      </w:r>
    </w:p>
    <w:p w14:paraId="7C457A36">
      <w:pPr>
        <w:pStyle w:val="2"/>
        <w:ind w:left="0" w:leftChars="0" w:firstLine="3360" w:firstLineChars="1400"/>
        <w:rPr>
          <w:rFonts w:hint="eastAsia"/>
          <w:color w:val="auto"/>
          <w:sz w:val="24"/>
          <w:highlight w:val="none"/>
        </w:rPr>
      </w:pPr>
    </w:p>
    <w:p w14:paraId="172CB5E5">
      <w:pPr>
        <w:pStyle w:val="2"/>
        <w:ind w:left="0" w:leftChars="0" w:firstLine="3360" w:firstLineChars="1400"/>
        <w:rPr>
          <w:rFonts w:hint="eastAsia"/>
          <w:color w:val="auto"/>
          <w:sz w:val="24"/>
          <w:highlight w:val="none"/>
        </w:rPr>
      </w:pPr>
    </w:p>
    <w:p w14:paraId="47D4EBB1">
      <w:pPr>
        <w:pStyle w:val="2"/>
        <w:ind w:left="0" w:leftChars="0" w:firstLine="0" w:firstLineChars="0"/>
        <w:jc w:val="center"/>
        <w:rPr>
          <w:rFonts w:hint="eastAsia" w:eastAsia="宋体"/>
          <w:color w:val="auto"/>
          <w:sz w:val="24"/>
          <w:highlight w:val="none"/>
          <w:lang w:val="en-US" w:eastAsia="zh-CN"/>
        </w:rPr>
      </w:pPr>
      <w:r>
        <w:rPr>
          <w:rFonts w:hint="eastAsia"/>
          <w:color w:val="auto"/>
          <w:sz w:val="24"/>
          <w:highlight w:val="none"/>
        </w:rPr>
        <w:t>项目编号</w:t>
      </w:r>
      <w:r>
        <w:rPr>
          <w:rFonts w:hint="eastAsia"/>
          <w:color w:val="auto"/>
          <w:sz w:val="24"/>
          <w:highlight w:val="none"/>
          <w:lang w:eastAsia="zh-CN"/>
        </w:rPr>
        <w:t>：czsjqt202509-031</w:t>
      </w:r>
    </w:p>
    <w:p w14:paraId="4BAF0646">
      <w:pPr>
        <w:pStyle w:val="54"/>
        <w:ind w:firstLine="0" w:firstLineChars="0"/>
        <w:rPr>
          <w:rFonts w:hint="eastAsia"/>
          <w:color w:val="auto"/>
          <w:highlight w:val="none"/>
        </w:rPr>
      </w:pPr>
    </w:p>
    <w:p w14:paraId="7E474243">
      <w:pPr>
        <w:pStyle w:val="54"/>
        <w:ind w:firstLine="480"/>
        <w:rPr>
          <w:rFonts w:hint="eastAsia"/>
          <w:color w:val="auto"/>
          <w:highlight w:val="none"/>
        </w:rPr>
      </w:pPr>
    </w:p>
    <w:p w14:paraId="04C16649">
      <w:pPr>
        <w:rPr>
          <w:rFonts w:hint="eastAsia" w:ascii="宋体"/>
          <w:bCs/>
          <w:color w:val="auto"/>
          <w:szCs w:val="21"/>
          <w:highlight w:val="none"/>
        </w:rPr>
      </w:pPr>
    </w:p>
    <w:p w14:paraId="4FAF5586">
      <w:pPr>
        <w:spacing w:line="312" w:lineRule="auto"/>
        <w:jc w:val="center"/>
        <w:rPr>
          <w:rFonts w:ascii="宋体" w:hAnsi="宋体"/>
          <w:b/>
          <w:color w:val="auto"/>
          <w:sz w:val="84"/>
          <w:szCs w:val="84"/>
          <w:highlight w:val="none"/>
        </w:rPr>
      </w:pPr>
      <w:r>
        <w:rPr>
          <w:rFonts w:hint="eastAsia" w:ascii="宋体" w:hAnsi="宋体"/>
          <w:b/>
          <w:color w:val="auto"/>
          <w:sz w:val="84"/>
          <w:szCs w:val="84"/>
          <w:highlight w:val="none"/>
        </w:rPr>
        <w:t>招 标 文 件</w:t>
      </w:r>
    </w:p>
    <w:p w14:paraId="5B47F4ED">
      <w:pPr>
        <w:rPr>
          <w:rFonts w:hint="eastAsia" w:ascii="宋体"/>
          <w:bCs/>
          <w:color w:val="auto"/>
          <w:szCs w:val="21"/>
          <w:highlight w:val="none"/>
        </w:rPr>
      </w:pPr>
    </w:p>
    <w:p w14:paraId="056742A0">
      <w:pPr>
        <w:rPr>
          <w:rFonts w:hint="eastAsia" w:ascii="宋体" w:hAnsi="宋体" w:eastAsia="宋体"/>
          <w:b/>
          <w:color w:val="auto"/>
          <w:sz w:val="84"/>
          <w:szCs w:val="84"/>
          <w:highlight w:val="none"/>
          <w:lang w:val="en-US" w:eastAsia="zh-CN"/>
        </w:rPr>
      </w:pPr>
      <w:r>
        <w:rPr>
          <w:rFonts w:hint="eastAsia" w:ascii="宋体" w:hAnsi="宋体"/>
          <w:b/>
          <w:color w:val="auto"/>
          <w:sz w:val="84"/>
          <w:szCs w:val="84"/>
          <w:highlight w:val="none"/>
          <w:lang w:val="en-US" w:eastAsia="zh-CN"/>
        </w:rPr>
        <w:t xml:space="preserve"> </w:t>
      </w:r>
    </w:p>
    <w:p w14:paraId="71511235">
      <w:pPr>
        <w:pStyle w:val="3"/>
        <w:ind w:left="420"/>
        <w:rPr>
          <w:rFonts w:hint="eastAsia"/>
          <w:color w:val="auto"/>
          <w:highlight w:val="none"/>
        </w:rPr>
      </w:pPr>
    </w:p>
    <w:p w14:paraId="08FEC5C9">
      <w:pPr>
        <w:spacing w:before="312" w:beforeLines="100" w:after="312" w:afterLines="100" w:line="360" w:lineRule="auto"/>
        <w:jc w:val="left"/>
        <w:rPr>
          <w:rFonts w:hint="default"/>
          <w:color w:val="auto"/>
          <w:highlight w:val="none"/>
          <w:lang w:val="en-US" w:eastAsia="zh-CN"/>
        </w:rPr>
      </w:pPr>
    </w:p>
    <w:p w14:paraId="4B855B5E">
      <w:pPr>
        <w:pStyle w:val="2"/>
        <w:rPr>
          <w:rFonts w:hint="eastAsia"/>
          <w:color w:val="auto"/>
          <w:highlight w:val="none"/>
        </w:rPr>
      </w:pPr>
    </w:p>
    <w:p w14:paraId="7826D1BD">
      <w:pPr>
        <w:spacing w:before="312" w:beforeLines="100" w:after="312" w:afterLines="100" w:line="480" w:lineRule="auto"/>
        <w:ind w:right="-199" w:rightChars="-95" w:firstLine="964" w:firstLineChars="300"/>
        <w:jc w:val="left"/>
        <w:outlineLvl w:val="0"/>
        <w:rPr>
          <w:rFonts w:hint="eastAsia" w:ascii="宋体"/>
          <w:b/>
          <w:color w:val="auto"/>
          <w:sz w:val="32"/>
          <w:szCs w:val="32"/>
          <w:highlight w:val="none"/>
        </w:rPr>
      </w:pPr>
      <w:r>
        <w:rPr>
          <w:rFonts w:hint="eastAsia" w:ascii="宋体"/>
          <w:b/>
          <w:color w:val="auto"/>
          <w:sz w:val="32"/>
          <w:szCs w:val="32"/>
          <w:highlight w:val="none"/>
        </w:rPr>
        <w:t>招</w:t>
      </w:r>
      <w:r>
        <w:rPr>
          <w:rFonts w:hint="eastAsia" w:ascii="宋体"/>
          <w:b/>
          <w:color w:val="auto"/>
          <w:sz w:val="32"/>
          <w:szCs w:val="32"/>
          <w:highlight w:val="none"/>
          <w:lang w:val="en-US" w:eastAsia="zh-CN"/>
        </w:rPr>
        <w:t xml:space="preserve"> </w:t>
      </w:r>
      <w:r>
        <w:rPr>
          <w:rFonts w:hint="eastAsia" w:ascii="宋体"/>
          <w:b/>
          <w:color w:val="auto"/>
          <w:sz w:val="32"/>
          <w:szCs w:val="32"/>
          <w:highlight w:val="none"/>
        </w:rPr>
        <w:t>标</w:t>
      </w:r>
      <w:r>
        <w:rPr>
          <w:rFonts w:hint="eastAsia" w:ascii="宋体"/>
          <w:b/>
          <w:color w:val="auto"/>
          <w:sz w:val="32"/>
          <w:szCs w:val="32"/>
          <w:highlight w:val="none"/>
          <w:lang w:val="en-US" w:eastAsia="zh-CN"/>
        </w:rPr>
        <w:t xml:space="preserve"> </w:t>
      </w:r>
      <w:r>
        <w:rPr>
          <w:rFonts w:hint="eastAsia" w:ascii="宋体"/>
          <w:b/>
          <w:color w:val="auto"/>
          <w:sz w:val="32"/>
          <w:szCs w:val="32"/>
          <w:highlight w:val="none"/>
        </w:rPr>
        <w:t>人：</w:t>
      </w:r>
      <w:r>
        <w:rPr>
          <w:rFonts w:hint="eastAsia" w:ascii="宋体"/>
          <w:b/>
          <w:color w:val="auto"/>
          <w:sz w:val="32"/>
          <w:szCs w:val="32"/>
          <w:highlight w:val="none"/>
          <w:u w:val="single"/>
          <w:lang w:val="en-US" w:eastAsia="zh-CN"/>
        </w:rPr>
        <w:t xml:space="preserve">     滁州大剧院有限公司      </w:t>
      </w:r>
      <w:r>
        <w:rPr>
          <w:rFonts w:hint="eastAsia" w:ascii="宋体"/>
          <w:b/>
          <w:color w:val="auto"/>
          <w:sz w:val="32"/>
          <w:szCs w:val="32"/>
          <w:highlight w:val="none"/>
        </w:rPr>
        <w:t>（盖单位章）</w:t>
      </w:r>
    </w:p>
    <w:p w14:paraId="78A1ED7A">
      <w:pPr>
        <w:spacing w:before="312" w:beforeLines="100" w:after="312" w:afterLines="100" w:line="480" w:lineRule="auto"/>
        <w:ind w:firstLine="964" w:firstLineChars="300"/>
        <w:outlineLvl w:val="0"/>
        <w:rPr>
          <w:rFonts w:hint="eastAsia" w:ascii="宋体"/>
          <w:b/>
          <w:color w:val="auto"/>
          <w:sz w:val="32"/>
          <w:szCs w:val="32"/>
          <w:highlight w:val="none"/>
          <w:u w:val="single"/>
        </w:rPr>
      </w:pPr>
      <w:r>
        <w:rPr>
          <w:rFonts w:hint="eastAsia" w:ascii="宋体"/>
          <w:b/>
          <w:color w:val="auto"/>
          <w:sz w:val="32"/>
          <w:szCs w:val="32"/>
          <w:highlight w:val="none"/>
        </w:rPr>
        <w:t>代理机构：</w:t>
      </w:r>
      <w:r>
        <w:rPr>
          <w:rFonts w:hint="eastAsia" w:ascii="宋体"/>
          <w:b/>
          <w:color w:val="auto"/>
          <w:sz w:val="32"/>
          <w:szCs w:val="32"/>
          <w:highlight w:val="none"/>
          <w:u w:val="single"/>
        </w:rPr>
        <w:t>滁州市城投工程咨询管理有限公司</w:t>
      </w:r>
      <w:r>
        <w:rPr>
          <w:rFonts w:hint="eastAsia" w:ascii="宋体"/>
          <w:b/>
          <w:color w:val="auto"/>
          <w:sz w:val="32"/>
          <w:szCs w:val="32"/>
          <w:highlight w:val="none"/>
        </w:rPr>
        <w:t>（盖单位章）</w:t>
      </w:r>
    </w:p>
    <w:p w14:paraId="5178CC57">
      <w:pPr>
        <w:spacing w:before="312" w:beforeLines="100" w:after="312" w:afterLines="100" w:line="480" w:lineRule="auto"/>
        <w:jc w:val="center"/>
        <w:rPr>
          <w:rFonts w:hint="eastAsia"/>
          <w:b/>
          <w:color w:val="auto"/>
          <w:sz w:val="36"/>
          <w:highlight w:val="none"/>
        </w:rPr>
      </w:pPr>
      <w:r>
        <w:rPr>
          <w:rFonts w:hint="eastAsia" w:ascii="宋体"/>
          <w:b/>
          <w:color w:val="auto"/>
          <w:sz w:val="32"/>
          <w:szCs w:val="32"/>
          <w:highlight w:val="none"/>
          <w:u w:val="single"/>
        </w:rPr>
        <w:t>202</w:t>
      </w:r>
      <w:r>
        <w:rPr>
          <w:rFonts w:hint="eastAsia" w:ascii="宋体"/>
          <w:b/>
          <w:color w:val="auto"/>
          <w:sz w:val="32"/>
          <w:szCs w:val="32"/>
          <w:highlight w:val="none"/>
          <w:u w:val="single"/>
          <w:lang w:val="en-US" w:eastAsia="zh-CN"/>
        </w:rPr>
        <w:t>5</w:t>
      </w:r>
      <w:r>
        <w:rPr>
          <w:rFonts w:hint="eastAsia" w:ascii="宋体"/>
          <w:b/>
          <w:color w:val="auto"/>
          <w:sz w:val="32"/>
          <w:szCs w:val="32"/>
          <w:highlight w:val="none"/>
        </w:rPr>
        <w:t>年</w:t>
      </w:r>
      <w:r>
        <w:rPr>
          <w:rFonts w:hint="eastAsia" w:ascii="宋体"/>
          <w:b/>
          <w:color w:val="auto"/>
          <w:sz w:val="32"/>
          <w:szCs w:val="32"/>
          <w:highlight w:val="none"/>
          <w:u w:val="single"/>
          <w:lang w:val="en-US" w:eastAsia="zh-CN"/>
        </w:rPr>
        <w:t>9</w:t>
      </w:r>
      <w:r>
        <w:rPr>
          <w:rFonts w:hint="eastAsia" w:ascii="宋体"/>
          <w:b/>
          <w:color w:val="auto"/>
          <w:sz w:val="32"/>
          <w:szCs w:val="32"/>
          <w:highlight w:val="none"/>
        </w:rPr>
        <w:t>月</w:t>
      </w:r>
    </w:p>
    <w:p w14:paraId="33353F90">
      <w:pPr>
        <w:pStyle w:val="3"/>
        <w:ind w:left="420"/>
        <w:rPr>
          <w:rFonts w:hint="eastAsia"/>
          <w:color w:val="auto"/>
          <w:highlight w:val="none"/>
        </w:rPr>
        <w:sectPr>
          <w:headerReference r:id="rId3" w:type="default"/>
          <w:footerReference r:id="rId4" w:type="default"/>
          <w:pgSz w:w="11906" w:h="16838"/>
          <w:pgMar w:top="1417" w:right="1361" w:bottom="1417" w:left="1474"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p>
    <w:p w14:paraId="06B742B0">
      <w:pPr>
        <w:pStyle w:val="4"/>
        <w:rPr>
          <w:rFonts w:hint="eastAsia"/>
          <w:color w:val="auto"/>
          <w:highlight w:val="none"/>
        </w:rPr>
      </w:pPr>
    </w:p>
    <w:p w14:paraId="4C2F898F">
      <w:pPr>
        <w:pStyle w:val="4"/>
        <w:rPr>
          <w:rFonts w:hint="eastAsia"/>
          <w:color w:val="auto"/>
          <w:highlight w:val="none"/>
        </w:rPr>
      </w:pPr>
    </w:p>
    <w:p w14:paraId="4D038C7D">
      <w:pPr>
        <w:spacing w:line="360" w:lineRule="exact"/>
        <w:jc w:val="both"/>
        <w:rPr>
          <w:rFonts w:hint="eastAsia"/>
          <w:b/>
          <w:color w:val="auto"/>
          <w:sz w:val="36"/>
          <w:highlight w:val="none"/>
        </w:rPr>
      </w:pPr>
    </w:p>
    <w:p w14:paraId="38D844F0">
      <w:pPr>
        <w:spacing w:line="360" w:lineRule="auto"/>
        <w:jc w:val="center"/>
        <w:rPr>
          <w:rFonts w:hint="eastAsia"/>
          <w:b/>
          <w:color w:val="auto"/>
          <w:sz w:val="44"/>
          <w:szCs w:val="32"/>
          <w:highlight w:val="none"/>
        </w:rPr>
      </w:pPr>
      <w:r>
        <w:rPr>
          <w:rFonts w:hint="eastAsia"/>
          <w:b/>
          <w:color w:val="auto"/>
          <w:sz w:val="44"/>
          <w:szCs w:val="32"/>
          <w:highlight w:val="none"/>
        </w:rPr>
        <w:t>目  录</w:t>
      </w:r>
    </w:p>
    <w:p w14:paraId="6F2A410F">
      <w:pPr>
        <w:spacing w:line="720" w:lineRule="auto"/>
        <w:jc w:val="center"/>
        <w:rPr>
          <w:rFonts w:hint="eastAsia"/>
          <w:b/>
          <w:color w:val="auto"/>
          <w:sz w:val="36"/>
          <w:highlight w:val="none"/>
        </w:rPr>
      </w:pPr>
    </w:p>
    <w:p w14:paraId="0FA16566">
      <w:pPr>
        <w:pStyle w:val="25"/>
        <w:tabs>
          <w:tab w:val="right" w:leader="dot" w:pos="8296"/>
        </w:tabs>
        <w:spacing w:line="720" w:lineRule="auto"/>
        <w:rPr>
          <w:rFonts w:ascii="宋体" w:hAnsi="宋体"/>
          <w:b/>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TOC \o "1-3" \h \z \u </w:instrText>
      </w:r>
      <w:r>
        <w:rPr>
          <w:rFonts w:hint="eastAsia" w:ascii="宋体" w:hAnsi="宋体" w:cs="宋体"/>
          <w:color w:val="auto"/>
          <w:sz w:val="24"/>
          <w:highlight w:val="none"/>
        </w:rPr>
        <w:fldChar w:fldCharType="separate"/>
      </w:r>
      <w:r>
        <w:rPr>
          <w:rFonts w:ascii="宋体" w:hAnsi="宋体"/>
          <w:color w:val="auto"/>
          <w:sz w:val="24"/>
          <w:highlight w:val="none"/>
        </w:rPr>
        <w:fldChar w:fldCharType="begin"/>
      </w:r>
      <w:r>
        <w:rPr>
          <w:rStyle w:val="46"/>
          <w:rFonts w:ascii="宋体" w:hAnsi="宋体"/>
          <w:color w:val="auto"/>
          <w:sz w:val="24"/>
          <w:highlight w:val="none"/>
        </w:rPr>
        <w:instrText xml:space="preserve"> </w:instrText>
      </w:r>
      <w:r>
        <w:rPr>
          <w:rFonts w:ascii="宋体" w:hAnsi="宋体"/>
          <w:color w:val="auto"/>
          <w:sz w:val="24"/>
          <w:highlight w:val="none"/>
        </w:rPr>
        <w:instrText xml:space="preserve">HYPERLINK \l "_Toc58430304"</w:instrText>
      </w:r>
      <w:r>
        <w:rPr>
          <w:rStyle w:val="46"/>
          <w:rFonts w:ascii="宋体" w:hAnsi="宋体"/>
          <w:color w:val="auto"/>
          <w:sz w:val="24"/>
          <w:highlight w:val="none"/>
        </w:rPr>
        <w:instrText xml:space="preserve"> </w:instrText>
      </w:r>
      <w:r>
        <w:rPr>
          <w:rFonts w:ascii="宋体" w:hAnsi="宋体"/>
          <w:color w:val="auto"/>
          <w:sz w:val="24"/>
          <w:highlight w:val="none"/>
        </w:rPr>
        <w:fldChar w:fldCharType="separate"/>
      </w:r>
      <w:r>
        <w:rPr>
          <w:rStyle w:val="46"/>
          <w:rFonts w:hint="eastAsia" w:ascii="宋体" w:hAnsi="宋体"/>
          <w:b/>
          <w:color w:val="auto"/>
          <w:sz w:val="24"/>
          <w:highlight w:val="none"/>
        </w:rPr>
        <w:t>第一章</w:t>
      </w:r>
      <w:r>
        <w:rPr>
          <w:rStyle w:val="46"/>
          <w:rFonts w:ascii="宋体" w:hAnsi="宋体"/>
          <w:b/>
          <w:color w:val="auto"/>
          <w:sz w:val="24"/>
          <w:highlight w:val="none"/>
        </w:rPr>
        <w:t xml:space="preserve"> </w:t>
      </w:r>
      <w:r>
        <w:rPr>
          <w:rStyle w:val="46"/>
          <w:rFonts w:hint="eastAsia" w:ascii="宋体" w:hAnsi="宋体"/>
          <w:b/>
          <w:color w:val="auto"/>
          <w:sz w:val="24"/>
          <w:highlight w:val="none"/>
        </w:rPr>
        <w:t>招标公告</w:t>
      </w:r>
      <w:r>
        <w:rPr>
          <w:rFonts w:ascii="宋体" w:hAnsi="宋体"/>
          <w:b/>
          <w:color w:val="auto"/>
          <w:sz w:val="24"/>
          <w:highlight w:val="none"/>
        </w:rPr>
        <w:tab/>
      </w:r>
      <w:r>
        <w:rPr>
          <w:rFonts w:hint="eastAsia" w:ascii="宋体" w:hAnsi="宋体"/>
          <w:b/>
          <w:color w:val="auto"/>
          <w:sz w:val="24"/>
          <w:highlight w:val="none"/>
          <w:lang w:val="en-US" w:eastAsia="zh-CN"/>
        </w:rPr>
        <w:t>2</w:t>
      </w:r>
      <w:r>
        <w:rPr>
          <w:rFonts w:ascii="宋体" w:hAnsi="宋体"/>
          <w:b/>
          <w:color w:val="auto"/>
          <w:sz w:val="24"/>
          <w:highlight w:val="none"/>
        </w:rPr>
        <w:fldChar w:fldCharType="end"/>
      </w:r>
    </w:p>
    <w:p w14:paraId="5614AA93">
      <w:pPr>
        <w:pStyle w:val="25"/>
        <w:tabs>
          <w:tab w:val="right" w:leader="dot" w:pos="8296"/>
        </w:tabs>
        <w:spacing w:line="720" w:lineRule="auto"/>
        <w:rPr>
          <w:rFonts w:ascii="宋体" w:hAnsi="宋体"/>
          <w:b/>
          <w:color w:val="auto"/>
          <w:sz w:val="24"/>
          <w:highlight w:val="none"/>
        </w:rPr>
      </w:pPr>
      <w:r>
        <w:rPr>
          <w:rFonts w:ascii="宋体" w:hAnsi="宋体"/>
          <w:b/>
          <w:color w:val="auto"/>
          <w:sz w:val="24"/>
          <w:highlight w:val="none"/>
        </w:rPr>
        <w:fldChar w:fldCharType="begin"/>
      </w:r>
      <w:r>
        <w:rPr>
          <w:rStyle w:val="46"/>
          <w:rFonts w:ascii="宋体" w:hAnsi="宋体"/>
          <w:b/>
          <w:color w:val="auto"/>
          <w:sz w:val="24"/>
          <w:highlight w:val="none"/>
        </w:rPr>
        <w:instrText xml:space="preserve"> </w:instrText>
      </w:r>
      <w:r>
        <w:rPr>
          <w:rFonts w:ascii="宋体" w:hAnsi="宋体"/>
          <w:b/>
          <w:color w:val="auto"/>
          <w:sz w:val="24"/>
          <w:highlight w:val="none"/>
        </w:rPr>
        <w:instrText xml:space="preserve">HYPERLINK \l "_Toc58430313"</w:instrText>
      </w:r>
      <w:r>
        <w:rPr>
          <w:rStyle w:val="46"/>
          <w:rFonts w:ascii="宋体" w:hAnsi="宋体"/>
          <w:b/>
          <w:color w:val="auto"/>
          <w:sz w:val="24"/>
          <w:highlight w:val="none"/>
        </w:rPr>
        <w:instrText xml:space="preserve"> </w:instrText>
      </w:r>
      <w:r>
        <w:rPr>
          <w:rFonts w:ascii="宋体" w:hAnsi="宋体"/>
          <w:b/>
          <w:color w:val="auto"/>
          <w:sz w:val="24"/>
          <w:highlight w:val="none"/>
        </w:rPr>
        <w:fldChar w:fldCharType="separate"/>
      </w:r>
      <w:r>
        <w:rPr>
          <w:rStyle w:val="46"/>
          <w:rFonts w:hint="eastAsia" w:ascii="宋体" w:hAnsi="宋体"/>
          <w:b/>
          <w:color w:val="auto"/>
          <w:sz w:val="24"/>
          <w:highlight w:val="none"/>
        </w:rPr>
        <w:t>第二章</w:t>
      </w:r>
      <w:r>
        <w:rPr>
          <w:rStyle w:val="46"/>
          <w:rFonts w:ascii="宋体" w:hAnsi="宋体"/>
          <w:b/>
          <w:color w:val="auto"/>
          <w:sz w:val="24"/>
          <w:highlight w:val="none"/>
        </w:rPr>
        <w:t xml:space="preserve"> </w:t>
      </w:r>
      <w:r>
        <w:rPr>
          <w:rStyle w:val="46"/>
          <w:rFonts w:hint="eastAsia" w:ascii="宋体" w:hAnsi="宋体"/>
          <w:b/>
          <w:color w:val="auto"/>
          <w:sz w:val="24"/>
          <w:highlight w:val="none"/>
        </w:rPr>
        <w:t>投标人须知</w:t>
      </w:r>
      <w:r>
        <w:rPr>
          <w:rFonts w:ascii="宋体" w:hAnsi="宋体"/>
          <w:b/>
          <w:color w:val="auto"/>
          <w:sz w:val="24"/>
          <w:highlight w:val="none"/>
        </w:rPr>
        <w:tab/>
      </w:r>
      <w:r>
        <w:rPr>
          <w:rFonts w:hint="eastAsia" w:ascii="宋体" w:hAnsi="宋体"/>
          <w:b/>
          <w:color w:val="auto"/>
          <w:sz w:val="24"/>
          <w:highlight w:val="none"/>
          <w:lang w:val="en-US" w:eastAsia="zh-CN"/>
        </w:rPr>
        <w:t>6</w:t>
      </w:r>
      <w:r>
        <w:rPr>
          <w:rFonts w:ascii="宋体" w:hAnsi="宋体"/>
          <w:b/>
          <w:color w:val="auto"/>
          <w:sz w:val="24"/>
          <w:highlight w:val="none"/>
        </w:rPr>
        <w:fldChar w:fldCharType="end"/>
      </w:r>
    </w:p>
    <w:p w14:paraId="1C19A4B9">
      <w:pPr>
        <w:pStyle w:val="25"/>
        <w:tabs>
          <w:tab w:val="right" w:leader="dot" w:pos="8296"/>
        </w:tabs>
        <w:spacing w:line="720" w:lineRule="auto"/>
        <w:rPr>
          <w:rFonts w:hint="eastAsia" w:ascii="宋体" w:hAnsi="宋体" w:eastAsia="宋体"/>
          <w:b/>
          <w:color w:val="auto"/>
          <w:sz w:val="24"/>
          <w:highlight w:val="none"/>
          <w:lang w:val="en-US" w:eastAsia="zh-CN"/>
        </w:rPr>
      </w:pPr>
      <w:r>
        <w:rPr>
          <w:rStyle w:val="46"/>
          <w:rFonts w:hint="eastAsia" w:ascii="宋体" w:hAnsi="宋体"/>
          <w:b/>
          <w:color w:val="auto"/>
          <w:sz w:val="24"/>
          <w:highlight w:val="none"/>
        </w:rPr>
        <w:t>第三章 资格审查办法</w:t>
      </w:r>
      <w:r>
        <w:rPr>
          <w:rFonts w:ascii="宋体" w:hAnsi="宋体"/>
          <w:b/>
          <w:color w:val="auto"/>
          <w:sz w:val="24"/>
          <w:highlight w:val="none"/>
        </w:rPr>
        <w:fldChar w:fldCharType="begin"/>
      </w:r>
      <w:r>
        <w:rPr>
          <w:rStyle w:val="46"/>
          <w:rFonts w:ascii="宋体" w:hAnsi="宋体"/>
          <w:b/>
          <w:color w:val="auto"/>
          <w:sz w:val="24"/>
          <w:highlight w:val="none"/>
        </w:rPr>
        <w:instrText xml:space="preserve"> </w:instrText>
      </w:r>
      <w:r>
        <w:rPr>
          <w:rFonts w:ascii="宋体" w:hAnsi="宋体"/>
          <w:b/>
          <w:color w:val="auto"/>
          <w:sz w:val="24"/>
          <w:highlight w:val="none"/>
        </w:rPr>
        <w:instrText xml:space="preserve">HYPERLINK \l "_Toc58430316"</w:instrText>
      </w:r>
      <w:r>
        <w:rPr>
          <w:rStyle w:val="46"/>
          <w:rFonts w:ascii="宋体" w:hAnsi="宋体"/>
          <w:b/>
          <w:color w:val="auto"/>
          <w:sz w:val="24"/>
          <w:highlight w:val="none"/>
        </w:rPr>
        <w:instrText xml:space="preserve"> </w:instrText>
      </w:r>
      <w:r>
        <w:rPr>
          <w:rFonts w:ascii="宋体" w:hAnsi="宋体"/>
          <w:b/>
          <w:color w:val="auto"/>
          <w:sz w:val="24"/>
          <w:highlight w:val="none"/>
        </w:rPr>
        <w:fldChar w:fldCharType="separate"/>
      </w:r>
      <w:r>
        <w:rPr>
          <w:rFonts w:ascii="宋体" w:hAnsi="宋体"/>
          <w:b/>
          <w:color w:val="auto"/>
          <w:sz w:val="24"/>
          <w:highlight w:val="none"/>
        </w:rPr>
        <w:tab/>
      </w:r>
      <w:r>
        <w:rPr>
          <w:rFonts w:hint="eastAsia" w:ascii="宋体" w:hAnsi="宋体"/>
          <w:b/>
          <w:color w:val="auto"/>
          <w:sz w:val="24"/>
          <w:highlight w:val="none"/>
          <w:lang w:val="en-US" w:eastAsia="zh-CN"/>
        </w:rPr>
        <w:t>2</w:t>
      </w:r>
      <w:r>
        <w:rPr>
          <w:rFonts w:ascii="宋体" w:hAnsi="宋体"/>
          <w:b/>
          <w:color w:val="auto"/>
          <w:sz w:val="24"/>
          <w:highlight w:val="none"/>
        </w:rPr>
        <w:fldChar w:fldCharType="end"/>
      </w:r>
      <w:r>
        <w:rPr>
          <w:rFonts w:hint="eastAsia" w:ascii="宋体" w:hAnsi="宋体"/>
          <w:b/>
          <w:color w:val="auto"/>
          <w:sz w:val="24"/>
          <w:highlight w:val="none"/>
          <w:lang w:val="en-US" w:eastAsia="zh-CN"/>
        </w:rPr>
        <w:t>3</w:t>
      </w:r>
    </w:p>
    <w:p w14:paraId="79548DCD">
      <w:pPr>
        <w:pStyle w:val="25"/>
        <w:tabs>
          <w:tab w:val="right" w:leader="dot" w:pos="8296"/>
        </w:tabs>
        <w:spacing w:line="720" w:lineRule="auto"/>
        <w:rPr>
          <w:rFonts w:hint="eastAsia" w:ascii="宋体" w:eastAsia="宋体"/>
          <w:b/>
          <w:color w:val="auto"/>
          <w:sz w:val="32"/>
          <w:szCs w:val="32"/>
          <w:highlight w:val="none"/>
          <w:lang w:val="en-US" w:eastAsia="zh-CN"/>
        </w:rPr>
      </w:pPr>
      <w:r>
        <w:rPr>
          <w:rStyle w:val="46"/>
          <w:rFonts w:hint="eastAsia" w:ascii="宋体" w:hAnsi="宋体"/>
          <w:b/>
          <w:color w:val="auto"/>
          <w:sz w:val="24"/>
          <w:highlight w:val="none"/>
        </w:rPr>
        <w:t>第四章</w:t>
      </w:r>
      <w:r>
        <w:rPr>
          <w:rStyle w:val="46"/>
          <w:rFonts w:ascii="宋体" w:hAnsi="宋体"/>
          <w:b/>
          <w:color w:val="auto"/>
          <w:sz w:val="24"/>
          <w:highlight w:val="none"/>
        </w:rPr>
        <w:t xml:space="preserve"> </w:t>
      </w:r>
      <w:r>
        <w:rPr>
          <w:rStyle w:val="46"/>
          <w:rFonts w:hint="eastAsia" w:ascii="宋体" w:hAnsi="宋体"/>
          <w:b/>
          <w:color w:val="auto"/>
          <w:sz w:val="24"/>
          <w:highlight w:val="none"/>
        </w:rPr>
        <w:t>评标办法</w:t>
      </w:r>
      <w:r>
        <w:rPr>
          <w:rStyle w:val="46"/>
          <w:rFonts w:hint="eastAsia" w:ascii="宋体" w:hAnsi="宋体"/>
          <w:b/>
          <w:color w:val="auto"/>
          <w:sz w:val="24"/>
          <w:highlight w:val="none"/>
          <w:lang w:eastAsia="zh-CN"/>
        </w:rPr>
        <w:t>（</w:t>
      </w:r>
      <w:r>
        <w:rPr>
          <w:rStyle w:val="46"/>
          <w:rFonts w:hint="eastAsia" w:ascii="宋体" w:hAnsi="宋体"/>
          <w:b/>
          <w:color w:val="auto"/>
          <w:sz w:val="24"/>
          <w:highlight w:val="none"/>
          <w:lang w:val="en-US" w:eastAsia="zh-CN"/>
        </w:rPr>
        <w:t>综合评分法</w:t>
      </w:r>
      <w:r>
        <w:rPr>
          <w:rStyle w:val="46"/>
          <w:rFonts w:hint="eastAsia" w:ascii="宋体" w:hAnsi="宋体"/>
          <w:b/>
          <w:color w:val="auto"/>
          <w:sz w:val="24"/>
          <w:highlight w:val="none"/>
          <w:lang w:eastAsia="zh-CN"/>
        </w:rPr>
        <w:t>）</w:t>
      </w:r>
      <w:r>
        <w:rPr>
          <w:rFonts w:ascii="宋体" w:hAnsi="宋体"/>
          <w:b/>
          <w:color w:val="auto"/>
          <w:sz w:val="24"/>
          <w:highlight w:val="none"/>
        </w:rPr>
        <w:tab/>
      </w:r>
      <w:r>
        <w:rPr>
          <w:rFonts w:hint="eastAsia" w:ascii="宋体" w:hAnsi="宋体"/>
          <w:b/>
          <w:color w:val="auto"/>
          <w:sz w:val="24"/>
          <w:highlight w:val="none"/>
        </w:rPr>
        <w:t>2</w:t>
      </w:r>
      <w:r>
        <w:rPr>
          <w:rFonts w:hint="eastAsia" w:ascii="宋体" w:hAnsi="宋体"/>
          <w:b/>
          <w:color w:val="auto"/>
          <w:sz w:val="24"/>
          <w:highlight w:val="none"/>
          <w:lang w:val="en-US" w:eastAsia="zh-CN"/>
        </w:rPr>
        <w:t>5</w:t>
      </w:r>
    </w:p>
    <w:p w14:paraId="3AEA599E">
      <w:pPr>
        <w:pStyle w:val="25"/>
        <w:tabs>
          <w:tab w:val="right" w:leader="dot" w:pos="8296"/>
        </w:tabs>
        <w:spacing w:line="720" w:lineRule="auto"/>
        <w:rPr>
          <w:rFonts w:hint="eastAsia" w:ascii="宋体" w:hAnsi="宋体" w:eastAsia="宋体"/>
          <w:b/>
          <w:color w:val="auto"/>
          <w:sz w:val="24"/>
          <w:highlight w:val="none"/>
          <w:lang w:val="en-US" w:eastAsia="zh-CN"/>
        </w:rPr>
      </w:pPr>
      <w:r>
        <w:rPr>
          <w:rFonts w:ascii="宋体" w:hAnsi="宋体"/>
          <w:b/>
          <w:color w:val="auto"/>
          <w:sz w:val="24"/>
          <w:highlight w:val="none"/>
        </w:rPr>
        <w:fldChar w:fldCharType="begin"/>
      </w:r>
      <w:r>
        <w:rPr>
          <w:rStyle w:val="46"/>
          <w:rFonts w:ascii="宋体" w:hAnsi="宋体"/>
          <w:b/>
          <w:color w:val="auto"/>
          <w:sz w:val="24"/>
          <w:highlight w:val="none"/>
        </w:rPr>
        <w:instrText xml:space="preserve"> </w:instrText>
      </w:r>
      <w:r>
        <w:rPr>
          <w:rFonts w:ascii="宋体" w:hAnsi="宋体"/>
          <w:b/>
          <w:color w:val="auto"/>
          <w:sz w:val="24"/>
          <w:highlight w:val="none"/>
        </w:rPr>
        <w:instrText xml:space="preserve">HYPERLINK \l "_Toc58430328"</w:instrText>
      </w:r>
      <w:r>
        <w:rPr>
          <w:rStyle w:val="46"/>
          <w:rFonts w:ascii="宋体" w:hAnsi="宋体"/>
          <w:b/>
          <w:color w:val="auto"/>
          <w:sz w:val="24"/>
          <w:highlight w:val="none"/>
        </w:rPr>
        <w:instrText xml:space="preserve"> </w:instrText>
      </w:r>
      <w:r>
        <w:rPr>
          <w:rFonts w:ascii="宋体" w:hAnsi="宋体"/>
          <w:b/>
          <w:color w:val="auto"/>
          <w:sz w:val="24"/>
          <w:highlight w:val="none"/>
        </w:rPr>
        <w:fldChar w:fldCharType="separate"/>
      </w:r>
      <w:r>
        <w:rPr>
          <w:rStyle w:val="46"/>
          <w:rFonts w:hint="eastAsia" w:ascii="宋体" w:hAnsi="宋体"/>
          <w:b/>
          <w:color w:val="auto"/>
          <w:sz w:val="24"/>
          <w:highlight w:val="none"/>
        </w:rPr>
        <w:t>第五章</w:t>
      </w:r>
      <w:r>
        <w:rPr>
          <w:rStyle w:val="46"/>
          <w:rFonts w:ascii="宋体" w:hAnsi="宋体"/>
          <w:b/>
          <w:color w:val="auto"/>
          <w:sz w:val="24"/>
          <w:highlight w:val="none"/>
        </w:rPr>
        <w:t xml:space="preserve"> </w:t>
      </w:r>
      <w:r>
        <w:rPr>
          <w:rStyle w:val="46"/>
          <w:rFonts w:hint="eastAsia" w:ascii="宋体" w:hAnsi="宋体"/>
          <w:b/>
          <w:color w:val="auto"/>
          <w:sz w:val="24"/>
          <w:highlight w:val="none"/>
          <w:lang w:eastAsia="zh-CN"/>
        </w:rPr>
        <w:t>采购需求</w:t>
      </w:r>
      <w:r>
        <w:rPr>
          <w:rFonts w:ascii="宋体" w:hAnsi="宋体"/>
          <w:b/>
          <w:color w:val="auto"/>
          <w:sz w:val="24"/>
          <w:highlight w:val="none"/>
        </w:rPr>
        <w:tab/>
      </w:r>
      <w:r>
        <w:rPr>
          <w:rFonts w:hint="eastAsia" w:ascii="宋体" w:hAnsi="宋体"/>
          <w:b/>
          <w:color w:val="auto"/>
          <w:sz w:val="24"/>
          <w:highlight w:val="none"/>
          <w:lang w:val="en-US" w:eastAsia="zh-CN"/>
        </w:rPr>
        <w:t>3</w:t>
      </w:r>
      <w:r>
        <w:rPr>
          <w:rFonts w:ascii="宋体" w:hAnsi="宋体"/>
          <w:b/>
          <w:color w:val="auto"/>
          <w:sz w:val="24"/>
          <w:highlight w:val="none"/>
        </w:rPr>
        <w:fldChar w:fldCharType="end"/>
      </w:r>
      <w:r>
        <w:rPr>
          <w:rFonts w:hint="eastAsia" w:ascii="宋体" w:hAnsi="宋体"/>
          <w:b/>
          <w:color w:val="auto"/>
          <w:sz w:val="24"/>
          <w:highlight w:val="none"/>
          <w:lang w:val="en-US" w:eastAsia="zh-CN"/>
        </w:rPr>
        <w:t>6</w:t>
      </w:r>
    </w:p>
    <w:p w14:paraId="100632AF">
      <w:pPr>
        <w:pStyle w:val="25"/>
        <w:tabs>
          <w:tab w:val="right" w:leader="dot" w:pos="8296"/>
        </w:tabs>
        <w:spacing w:line="720" w:lineRule="auto"/>
        <w:rPr>
          <w:rFonts w:hint="eastAsia" w:ascii="宋体" w:hAnsi="宋体" w:eastAsia="宋体"/>
          <w:b/>
          <w:color w:val="auto"/>
          <w:sz w:val="24"/>
          <w:highlight w:val="none"/>
          <w:lang w:val="en-US" w:eastAsia="zh-CN"/>
        </w:rPr>
      </w:pPr>
      <w:r>
        <w:rPr>
          <w:rFonts w:ascii="宋体" w:hAnsi="宋体"/>
          <w:b/>
          <w:color w:val="auto"/>
          <w:sz w:val="24"/>
          <w:highlight w:val="none"/>
        </w:rPr>
        <w:fldChar w:fldCharType="begin"/>
      </w:r>
      <w:r>
        <w:rPr>
          <w:rStyle w:val="46"/>
          <w:rFonts w:ascii="宋体" w:hAnsi="宋体"/>
          <w:b/>
          <w:color w:val="auto"/>
          <w:sz w:val="24"/>
          <w:highlight w:val="none"/>
        </w:rPr>
        <w:instrText xml:space="preserve"> </w:instrText>
      </w:r>
      <w:r>
        <w:rPr>
          <w:rFonts w:ascii="宋体" w:hAnsi="宋体"/>
          <w:b/>
          <w:color w:val="auto"/>
          <w:sz w:val="24"/>
          <w:highlight w:val="none"/>
        </w:rPr>
        <w:instrText xml:space="preserve">HYPERLINK \l "_Toc58430329"</w:instrText>
      </w:r>
      <w:r>
        <w:rPr>
          <w:rStyle w:val="46"/>
          <w:rFonts w:ascii="宋体" w:hAnsi="宋体"/>
          <w:b/>
          <w:color w:val="auto"/>
          <w:sz w:val="24"/>
          <w:highlight w:val="none"/>
        </w:rPr>
        <w:instrText xml:space="preserve"> </w:instrText>
      </w:r>
      <w:r>
        <w:rPr>
          <w:rFonts w:ascii="宋体" w:hAnsi="宋体"/>
          <w:b/>
          <w:color w:val="auto"/>
          <w:sz w:val="24"/>
          <w:highlight w:val="none"/>
        </w:rPr>
        <w:fldChar w:fldCharType="separate"/>
      </w:r>
      <w:r>
        <w:rPr>
          <w:rStyle w:val="46"/>
          <w:rFonts w:hint="eastAsia" w:ascii="宋体" w:hAnsi="宋体"/>
          <w:b/>
          <w:color w:val="auto"/>
          <w:sz w:val="24"/>
          <w:highlight w:val="none"/>
        </w:rPr>
        <w:t>第六章</w:t>
      </w:r>
      <w:r>
        <w:rPr>
          <w:rStyle w:val="46"/>
          <w:rFonts w:ascii="宋体" w:hAnsi="宋体"/>
          <w:b/>
          <w:color w:val="auto"/>
          <w:sz w:val="24"/>
          <w:highlight w:val="none"/>
        </w:rPr>
        <w:t xml:space="preserve"> </w:t>
      </w:r>
      <w:r>
        <w:rPr>
          <w:rStyle w:val="46"/>
          <w:rFonts w:hint="eastAsia" w:ascii="宋体" w:hAnsi="宋体"/>
          <w:b/>
          <w:color w:val="auto"/>
          <w:sz w:val="24"/>
          <w:highlight w:val="none"/>
        </w:rPr>
        <w:t>合同条款及格式</w:t>
      </w:r>
      <w:r>
        <w:rPr>
          <w:rFonts w:ascii="宋体" w:hAnsi="宋体"/>
          <w:b/>
          <w:color w:val="auto"/>
          <w:sz w:val="24"/>
          <w:highlight w:val="none"/>
        </w:rPr>
        <w:tab/>
      </w:r>
      <w:r>
        <w:rPr>
          <w:rFonts w:hint="eastAsia" w:ascii="宋体" w:hAnsi="宋体"/>
          <w:b/>
          <w:color w:val="auto"/>
          <w:sz w:val="24"/>
          <w:highlight w:val="none"/>
          <w:lang w:val="en-US" w:eastAsia="zh-CN"/>
        </w:rPr>
        <w:t>4</w:t>
      </w:r>
      <w:r>
        <w:rPr>
          <w:rFonts w:ascii="宋体" w:hAnsi="宋体"/>
          <w:b/>
          <w:color w:val="auto"/>
          <w:sz w:val="24"/>
          <w:highlight w:val="none"/>
        </w:rPr>
        <w:fldChar w:fldCharType="end"/>
      </w:r>
      <w:r>
        <w:rPr>
          <w:rFonts w:hint="eastAsia" w:ascii="宋体" w:hAnsi="宋体"/>
          <w:b/>
          <w:color w:val="auto"/>
          <w:sz w:val="24"/>
          <w:highlight w:val="none"/>
          <w:lang w:val="en-US" w:eastAsia="zh-CN"/>
        </w:rPr>
        <w:t>2</w:t>
      </w:r>
    </w:p>
    <w:p w14:paraId="161704C2">
      <w:pPr>
        <w:pStyle w:val="25"/>
        <w:tabs>
          <w:tab w:val="right" w:leader="dot" w:pos="8296"/>
        </w:tabs>
        <w:spacing w:line="720" w:lineRule="auto"/>
        <w:rPr>
          <w:rFonts w:hint="default" w:ascii="宋体" w:hAnsi="宋体" w:eastAsia="宋体"/>
          <w:b/>
          <w:color w:val="auto"/>
          <w:sz w:val="24"/>
          <w:highlight w:val="none"/>
          <w:lang w:val="en-US" w:eastAsia="zh-CN"/>
        </w:rPr>
      </w:pPr>
      <w:r>
        <w:rPr>
          <w:rFonts w:ascii="宋体" w:hAnsi="宋体"/>
          <w:b/>
          <w:color w:val="auto"/>
          <w:sz w:val="24"/>
          <w:highlight w:val="none"/>
        </w:rPr>
        <w:fldChar w:fldCharType="begin"/>
      </w:r>
      <w:r>
        <w:rPr>
          <w:rStyle w:val="46"/>
          <w:rFonts w:ascii="宋体" w:hAnsi="宋体"/>
          <w:b/>
          <w:color w:val="auto"/>
          <w:sz w:val="24"/>
          <w:highlight w:val="none"/>
        </w:rPr>
        <w:instrText xml:space="preserve"> </w:instrText>
      </w:r>
      <w:r>
        <w:rPr>
          <w:rFonts w:ascii="宋体" w:hAnsi="宋体"/>
          <w:b/>
          <w:color w:val="auto"/>
          <w:sz w:val="24"/>
          <w:highlight w:val="none"/>
        </w:rPr>
        <w:instrText xml:space="preserve">HYPERLINK \l "_Toc58430332"</w:instrText>
      </w:r>
      <w:r>
        <w:rPr>
          <w:rStyle w:val="46"/>
          <w:rFonts w:ascii="宋体" w:hAnsi="宋体"/>
          <w:b/>
          <w:color w:val="auto"/>
          <w:sz w:val="24"/>
          <w:highlight w:val="none"/>
        </w:rPr>
        <w:instrText xml:space="preserve"> </w:instrText>
      </w:r>
      <w:r>
        <w:rPr>
          <w:rFonts w:ascii="宋体" w:hAnsi="宋体"/>
          <w:b/>
          <w:color w:val="auto"/>
          <w:sz w:val="24"/>
          <w:highlight w:val="none"/>
        </w:rPr>
        <w:fldChar w:fldCharType="separate"/>
      </w:r>
      <w:r>
        <w:rPr>
          <w:rStyle w:val="46"/>
          <w:rFonts w:hint="eastAsia" w:ascii="宋体" w:hAnsi="宋体"/>
          <w:b/>
          <w:color w:val="auto"/>
          <w:sz w:val="24"/>
          <w:highlight w:val="none"/>
        </w:rPr>
        <w:t>第七章</w:t>
      </w:r>
      <w:r>
        <w:rPr>
          <w:rStyle w:val="46"/>
          <w:rFonts w:ascii="宋体" w:hAnsi="宋体"/>
          <w:b/>
          <w:color w:val="auto"/>
          <w:sz w:val="24"/>
          <w:highlight w:val="none"/>
        </w:rPr>
        <w:t xml:space="preserve"> </w:t>
      </w:r>
      <w:r>
        <w:rPr>
          <w:rStyle w:val="46"/>
          <w:rFonts w:hint="eastAsia" w:ascii="宋体" w:hAnsi="宋体"/>
          <w:b/>
          <w:color w:val="auto"/>
          <w:sz w:val="24"/>
          <w:highlight w:val="none"/>
        </w:rPr>
        <w:t>投标文件格式</w:t>
      </w:r>
      <w:r>
        <w:rPr>
          <w:rFonts w:ascii="宋体" w:hAnsi="宋体"/>
          <w:b/>
          <w:color w:val="auto"/>
          <w:sz w:val="24"/>
          <w:highlight w:val="none"/>
        </w:rPr>
        <w:tab/>
      </w:r>
      <w:r>
        <w:rPr>
          <w:rFonts w:ascii="宋体" w:hAnsi="宋体"/>
          <w:b/>
          <w:color w:val="auto"/>
          <w:sz w:val="24"/>
          <w:highlight w:val="none"/>
        </w:rPr>
        <w:fldChar w:fldCharType="end"/>
      </w:r>
      <w:r>
        <w:rPr>
          <w:rFonts w:hint="eastAsia" w:ascii="宋体" w:hAnsi="宋体"/>
          <w:b/>
          <w:color w:val="auto"/>
          <w:sz w:val="24"/>
          <w:highlight w:val="none"/>
          <w:lang w:val="en-US" w:eastAsia="zh-CN"/>
        </w:rPr>
        <w:t>54</w:t>
      </w:r>
    </w:p>
    <w:p w14:paraId="61B0C8C9">
      <w:pPr>
        <w:pStyle w:val="25"/>
        <w:tabs>
          <w:tab w:val="right" w:leader="dot" w:pos="8296"/>
        </w:tabs>
        <w:spacing w:line="720" w:lineRule="auto"/>
        <w:rPr>
          <w:rStyle w:val="46"/>
          <w:rFonts w:hint="eastAsia" w:ascii="宋体" w:hAnsi="宋体" w:eastAsia="宋体"/>
          <w:b/>
          <w:color w:val="auto"/>
          <w:sz w:val="24"/>
          <w:highlight w:val="none"/>
          <w:lang w:val="en-US" w:eastAsia="zh-CN"/>
        </w:rPr>
      </w:pPr>
      <w:r>
        <w:rPr>
          <w:rStyle w:val="46"/>
          <w:rFonts w:hint="eastAsia" w:ascii="宋体" w:hAnsi="宋体"/>
          <w:b/>
          <w:color w:val="auto"/>
          <w:sz w:val="24"/>
          <w:highlight w:val="none"/>
        </w:rPr>
        <w:fldChar w:fldCharType="begin"/>
      </w:r>
      <w:r>
        <w:rPr>
          <w:rStyle w:val="46"/>
          <w:rFonts w:hint="eastAsia" w:ascii="宋体" w:hAnsi="宋体"/>
          <w:b/>
          <w:color w:val="auto"/>
          <w:sz w:val="24"/>
          <w:highlight w:val="none"/>
        </w:rPr>
        <w:instrText xml:space="preserve"> HYPERLINK \l "_Toc58430332" </w:instrText>
      </w:r>
      <w:r>
        <w:rPr>
          <w:rStyle w:val="46"/>
          <w:rFonts w:hint="eastAsia" w:ascii="宋体" w:hAnsi="宋体"/>
          <w:b/>
          <w:color w:val="auto"/>
          <w:sz w:val="24"/>
          <w:highlight w:val="none"/>
        </w:rPr>
        <w:fldChar w:fldCharType="separate"/>
      </w:r>
      <w:r>
        <w:rPr>
          <w:rStyle w:val="46"/>
          <w:rFonts w:hint="eastAsia" w:ascii="宋体" w:hAnsi="宋体"/>
          <w:b/>
          <w:color w:val="auto"/>
          <w:sz w:val="24"/>
          <w:highlight w:val="none"/>
        </w:rPr>
        <w:t>第八章 招标单位和代理机构对本招标文件的确认</w:t>
      </w:r>
      <w:r>
        <w:rPr>
          <w:rStyle w:val="46"/>
          <w:rFonts w:hint="eastAsia" w:ascii="宋体" w:hAnsi="宋体"/>
          <w:b/>
          <w:color w:val="auto"/>
          <w:sz w:val="24"/>
          <w:highlight w:val="none"/>
        </w:rPr>
        <w:tab/>
      </w:r>
      <w:r>
        <w:rPr>
          <w:rStyle w:val="46"/>
          <w:rFonts w:hint="eastAsia" w:ascii="宋体" w:hAnsi="宋体"/>
          <w:b/>
          <w:color w:val="auto"/>
          <w:sz w:val="24"/>
          <w:highlight w:val="none"/>
          <w:lang w:val="en-US" w:eastAsia="zh-CN"/>
        </w:rPr>
        <w:t>7</w:t>
      </w:r>
      <w:r>
        <w:rPr>
          <w:rStyle w:val="46"/>
          <w:rFonts w:hint="eastAsia" w:ascii="宋体" w:hAnsi="宋体"/>
          <w:b/>
          <w:color w:val="auto"/>
          <w:sz w:val="24"/>
          <w:highlight w:val="none"/>
        </w:rPr>
        <w:fldChar w:fldCharType="end"/>
      </w:r>
      <w:r>
        <w:rPr>
          <w:rStyle w:val="46"/>
          <w:rFonts w:hint="eastAsia" w:ascii="宋体" w:hAnsi="宋体"/>
          <w:b/>
          <w:color w:val="auto"/>
          <w:sz w:val="24"/>
          <w:highlight w:val="none"/>
          <w:lang w:val="en-US" w:eastAsia="zh-CN"/>
        </w:rPr>
        <w:t>6</w:t>
      </w:r>
    </w:p>
    <w:p w14:paraId="39872368">
      <w:pPr>
        <w:pStyle w:val="25"/>
        <w:tabs>
          <w:tab w:val="right" w:leader="dot" w:pos="8296"/>
        </w:tabs>
        <w:adjustRightInd w:val="0"/>
        <w:snapToGrid w:val="0"/>
        <w:spacing w:line="700" w:lineRule="exact"/>
        <w:ind w:left="150" w:hanging="120" w:hangingChars="50"/>
        <w:jc w:val="center"/>
        <w:rPr>
          <w:rFonts w:hint="eastAsia" w:ascii="华文中宋" w:hAnsi="华文中宋" w:eastAsia="华文中宋"/>
          <w:color w:val="auto"/>
          <w:highlight w:val="none"/>
        </w:rPr>
      </w:pPr>
      <w:r>
        <w:rPr>
          <w:rFonts w:hint="eastAsia" w:ascii="宋体" w:hAnsi="宋体" w:cs="宋体"/>
          <w:color w:val="auto"/>
          <w:sz w:val="24"/>
          <w:highlight w:val="none"/>
        </w:rPr>
        <w:fldChar w:fldCharType="end"/>
      </w:r>
      <w:bookmarkStart w:id="1" w:name="_Toc17328"/>
    </w:p>
    <w:p w14:paraId="3A08651A">
      <w:pPr>
        <w:pStyle w:val="5"/>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beforeLines="0" w:after="0" w:afterLines="0" w:line="480" w:lineRule="exact"/>
        <w:ind w:left="0" w:leftChars="0"/>
        <w:rPr>
          <w:rFonts w:hint="eastAsia" w:ascii="黑体" w:hAnsi="黑体" w:cs="宋体"/>
          <w:b w:val="0"/>
          <w:color w:val="auto"/>
          <w:sz w:val="28"/>
          <w:szCs w:val="28"/>
          <w:highlight w:val="none"/>
        </w:rPr>
      </w:pPr>
      <w:r>
        <w:rPr>
          <w:rFonts w:hint="eastAsia" w:ascii="华文中宋" w:hAnsi="华文中宋" w:eastAsia="华文中宋"/>
          <w:color w:val="auto"/>
          <w:highlight w:val="none"/>
        </w:rPr>
        <w:t xml:space="preserve">第一章 </w:t>
      </w:r>
      <w:bookmarkEnd w:id="1"/>
      <w:r>
        <w:rPr>
          <w:rFonts w:hint="eastAsia" w:ascii="华文中宋" w:hAnsi="华文中宋" w:eastAsia="华文中宋"/>
          <w:color w:val="auto"/>
          <w:highlight w:val="none"/>
        </w:rPr>
        <w:t>招标公告</w:t>
      </w:r>
      <w:bookmarkStart w:id="2" w:name="_Toc35393621"/>
      <w:bookmarkStart w:id="3" w:name="_Toc35393790"/>
      <w:bookmarkStart w:id="4" w:name="_Hlk24379207"/>
      <w:bookmarkStart w:id="5" w:name="_Toc28359002"/>
      <w:bookmarkStart w:id="6" w:name="_Toc28359079"/>
    </w:p>
    <w:bookmarkEnd w:id="2"/>
    <w:bookmarkEnd w:id="3"/>
    <w:bookmarkEnd w:id="4"/>
    <w:bookmarkEnd w:id="5"/>
    <w:bookmarkEnd w:id="6"/>
    <w:p w14:paraId="1B3E52FD">
      <w:pPr>
        <w:keepNext/>
        <w:keepLines/>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color w:val="auto"/>
          <w:sz w:val="28"/>
          <w:szCs w:val="28"/>
          <w:highlight w:val="none"/>
        </w:rPr>
      </w:pPr>
      <w:bookmarkStart w:id="7" w:name="_Toc28359003"/>
      <w:bookmarkStart w:id="8" w:name="_Toc35393622"/>
      <w:bookmarkStart w:id="9" w:name="_Toc35393791"/>
      <w:bookmarkStart w:id="10" w:name="_Toc28359080"/>
      <w:r>
        <w:rPr>
          <w:rFonts w:hint="eastAsia" w:ascii="仿宋" w:hAnsi="仿宋" w:eastAsia="仿宋" w:cs="仿宋"/>
          <w:color w:val="auto"/>
          <w:sz w:val="28"/>
          <w:szCs w:val="28"/>
          <w:highlight w:val="none"/>
        </w:rPr>
        <w:t>项目概况</w:t>
      </w:r>
    </w:p>
    <w:p w14:paraId="7A086CB5">
      <w:pPr>
        <w:keepNext/>
        <w:keepLines/>
        <w:pageBreakBefore w:val="0"/>
        <w:widowControl w:val="0"/>
        <w:kinsoku/>
        <w:wordWrap w:val="0"/>
        <w:overflowPunct/>
        <w:topLinePunct w:val="0"/>
        <w:autoSpaceDE/>
        <w:autoSpaceDN/>
        <w:bidi w:val="0"/>
        <w:adjustRightInd/>
        <w:snapToGrid/>
        <w:spacing w:line="500" w:lineRule="exact"/>
        <w:ind w:left="0" w:leftChars="0" w:firstLine="560" w:firstLineChars="200"/>
        <w:jc w:val="left"/>
        <w:textAlignment w:val="auto"/>
        <w:rPr>
          <w:rFonts w:hint="eastAsia" w:ascii="黑体" w:hAnsi="黑体" w:cs="宋体"/>
          <w:color w:val="auto"/>
          <w:sz w:val="28"/>
          <w:szCs w:val="28"/>
          <w:highlight w:val="none"/>
        </w:rPr>
      </w:pPr>
      <w:r>
        <w:rPr>
          <w:rFonts w:hint="eastAsia" w:ascii="仿宋" w:hAnsi="仿宋" w:eastAsia="仿宋" w:cs="仿宋"/>
          <w:color w:val="auto"/>
          <w:sz w:val="28"/>
          <w:szCs w:val="28"/>
          <w:highlight w:val="none"/>
          <w:u w:val="single"/>
          <w:lang w:eastAsia="zh-CN"/>
        </w:rPr>
        <w:t>滁州大剧院物业管理服务项目</w:t>
      </w:r>
      <w:r>
        <w:rPr>
          <w:rFonts w:hint="eastAsia" w:ascii="仿宋" w:hAnsi="仿宋" w:eastAsia="仿宋" w:cs="仿宋"/>
          <w:color w:val="auto"/>
          <w:sz w:val="28"/>
          <w:szCs w:val="28"/>
          <w:highlight w:val="none"/>
        </w:rPr>
        <w:t>的潜在投标人应在</w:t>
      </w:r>
      <w:r>
        <w:rPr>
          <w:rFonts w:hint="eastAsia" w:ascii="仿宋" w:hAnsi="仿宋" w:eastAsia="仿宋" w:cs="仿宋"/>
          <w:color w:val="auto"/>
          <w:sz w:val="28"/>
          <w:szCs w:val="28"/>
          <w:highlight w:val="none"/>
          <w:u w:val="single"/>
        </w:rPr>
        <w:t>滁州市公共资源交易中心网（http：//ggzy.chuzhou.gov.cn/）</w:t>
      </w:r>
      <w:r>
        <w:rPr>
          <w:rFonts w:hint="eastAsia" w:ascii="仿宋" w:hAnsi="仿宋" w:eastAsia="仿宋" w:cs="仿宋"/>
          <w:color w:val="auto"/>
          <w:sz w:val="28"/>
          <w:szCs w:val="28"/>
          <w:highlight w:val="none"/>
        </w:rPr>
        <w:t>获取招标文件，并于</w:t>
      </w:r>
      <w:r>
        <w:rPr>
          <w:rFonts w:hint="eastAsia" w:ascii="仿宋" w:hAnsi="仿宋" w:eastAsia="仿宋" w:cs="仿宋"/>
          <w:color w:val="auto"/>
          <w:sz w:val="28"/>
          <w:szCs w:val="28"/>
          <w:highlight w:val="none"/>
          <w:u w:val="single"/>
        </w:rPr>
        <w:t>202</w:t>
      </w:r>
      <w:r>
        <w:rPr>
          <w:rFonts w:hint="eastAsia" w:ascii="仿宋" w:hAnsi="仿宋" w:eastAsia="仿宋" w:cs="仿宋"/>
          <w:color w:val="auto"/>
          <w:sz w:val="28"/>
          <w:szCs w:val="28"/>
          <w:highlight w:val="none"/>
          <w:u w:val="single"/>
          <w:lang w:val="en-US" w:eastAsia="zh-CN"/>
        </w:rPr>
        <w:t>5</w:t>
      </w:r>
      <w:r>
        <w:rPr>
          <w:rFonts w:hint="eastAsia" w:ascii="仿宋" w:hAnsi="仿宋" w:eastAsia="仿宋" w:cs="仿宋"/>
          <w:color w:val="auto"/>
          <w:sz w:val="28"/>
          <w:szCs w:val="28"/>
          <w:highlight w:val="none"/>
          <w:u w:val="single"/>
        </w:rPr>
        <w:t>年</w:t>
      </w:r>
      <w:r>
        <w:rPr>
          <w:rFonts w:hint="eastAsia" w:ascii="仿宋" w:hAnsi="仿宋" w:eastAsia="仿宋" w:cs="仿宋"/>
          <w:color w:val="auto"/>
          <w:sz w:val="28"/>
          <w:szCs w:val="28"/>
          <w:highlight w:val="none"/>
          <w:u w:val="single"/>
          <w:lang w:val="en-US" w:eastAsia="zh-CN"/>
        </w:rPr>
        <w:t>10月21日</w:t>
      </w:r>
      <w:r>
        <w:rPr>
          <w:rFonts w:hint="eastAsia" w:ascii="仿宋" w:hAnsi="仿宋" w:eastAsia="仿宋" w:cs="仿宋"/>
          <w:color w:val="auto"/>
          <w:sz w:val="28"/>
          <w:szCs w:val="28"/>
          <w:highlight w:val="none"/>
          <w:u w:val="single"/>
        </w:rPr>
        <w:t>08点00分</w:t>
      </w:r>
      <w:r>
        <w:rPr>
          <w:rFonts w:hint="eastAsia" w:ascii="仿宋" w:hAnsi="仿宋" w:eastAsia="仿宋" w:cs="仿宋"/>
          <w:color w:val="auto"/>
          <w:sz w:val="28"/>
          <w:szCs w:val="28"/>
          <w:highlight w:val="none"/>
        </w:rPr>
        <w:t>（北京时间）前递交投标文件。</w:t>
      </w:r>
    </w:p>
    <w:p w14:paraId="388EAE5B">
      <w:pPr>
        <w:keepNext/>
        <w:keepLines/>
        <w:pageBreakBefore w:val="0"/>
        <w:widowControl w:val="0"/>
        <w:kinsoku/>
        <w:wordWrap/>
        <w:overflowPunct/>
        <w:topLinePunct w:val="0"/>
        <w:autoSpaceDE/>
        <w:autoSpaceDN/>
        <w:bidi w:val="0"/>
        <w:adjustRightInd/>
        <w:snapToGrid/>
        <w:spacing w:line="500" w:lineRule="exact"/>
        <w:ind w:left="0" w:leftChars="0" w:firstLine="560" w:firstLineChars="200"/>
        <w:textAlignment w:val="auto"/>
        <w:outlineLvl w:val="1"/>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一、项目基本情况</w:t>
      </w:r>
    </w:p>
    <w:p w14:paraId="59EAE765">
      <w:pPr>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default" w:ascii="仿宋" w:hAnsi="仿宋" w:eastAsia="仿宋" w:cs="仿宋"/>
          <w:color w:val="auto"/>
          <w:sz w:val="28"/>
          <w:szCs w:val="28"/>
          <w:highlight w:val="none"/>
          <w:shd w:val="clear" w:fill="auto"/>
          <w:lang w:val="en-US" w:eastAsia="zh-CN"/>
        </w:rPr>
      </w:pPr>
      <w:r>
        <w:rPr>
          <w:rFonts w:hint="eastAsia" w:ascii="仿宋" w:hAnsi="仿宋" w:eastAsia="仿宋" w:cs="仿宋"/>
          <w:color w:val="auto"/>
          <w:sz w:val="28"/>
          <w:szCs w:val="28"/>
          <w:highlight w:val="none"/>
          <w:shd w:val="clear" w:fill="auto"/>
        </w:rPr>
        <w:t>项目编号：czsjqt202509-031</w:t>
      </w:r>
    </w:p>
    <w:p w14:paraId="630CF119">
      <w:pPr>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color w:val="auto"/>
          <w:sz w:val="28"/>
          <w:szCs w:val="28"/>
          <w:highlight w:val="none"/>
          <w:shd w:val="clear" w:fill="auto"/>
          <w:lang w:eastAsia="zh-CN"/>
        </w:rPr>
      </w:pPr>
      <w:r>
        <w:rPr>
          <w:rFonts w:hint="eastAsia" w:ascii="仿宋" w:hAnsi="仿宋" w:eastAsia="仿宋" w:cs="仿宋"/>
          <w:color w:val="auto"/>
          <w:sz w:val="28"/>
          <w:szCs w:val="28"/>
          <w:highlight w:val="none"/>
          <w:shd w:val="clear" w:fill="auto"/>
        </w:rPr>
        <w:t>项目名称：</w:t>
      </w:r>
      <w:r>
        <w:rPr>
          <w:rFonts w:hint="eastAsia" w:ascii="仿宋" w:hAnsi="仿宋" w:eastAsia="仿宋" w:cs="仿宋"/>
          <w:color w:val="auto"/>
          <w:sz w:val="28"/>
          <w:szCs w:val="28"/>
          <w:highlight w:val="none"/>
          <w:shd w:val="clear" w:fill="auto"/>
          <w:lang w:eastAsia="zh-CN"/>
        </w:rPr>
        <w:t>滁州大剧院物业管理服务项目</w:t>
      </w:r>
    </w:p>
    <w:p w14:paraId="59FB027C">
      <w:pPr>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default" w:ascii="仿宋" w:hAnsi="仿宋" w:eastAsia="仿宋" w:cs="仿宋"/>
          <w:color w:val="auto"/>
          <w:sz w:val="28"/>
          <w:szCs w:val="28"/>
          <w:highlight w:val="none"/>
          <w:shd w:val="clear" w:fill="auto"/>
          <w:lang w:val="en-US" w:eastAsia="zh-CN"/>
        </w:rPr>
      </w:pPr>
      <w:r>
        <w:rPr>
          <w:rFonts w:hint="eastAsia" w:ascii="仿宋" w:hAnsi="仿宋" w:eastAsia="仿宋" w:cs="仿宋"/>
          <w:color w:val="auto"/>
          <w:sz w:val="28"/>
          <w:szCs w:val="28"/>
          <w:highlight w:val="none"/>
          <w:shd w:val="clear" w:fill="auto"/>
          <w:lang w:eastAsia="zh-CN"/>
        </w:rPr>
        <w:t>预算金额：</w:t>
      </w:r>
      <w:r>
        <w:rPr>
          <w:rFonts w:hint="eastAsia" w:ascii="仿宋_GB2312" w:hAnsi="仿宋_GB2312" w:eastAsia="仿宋_GB2312" w:cs="仿宋_GB2312"/>
          <w:color w:val="auto"/>
          <w:sz w:val="28"/>
          <w:szCs w:val="28"/>
          <w:highlight w:val="none"/>
          <w:u w:val="none"/>
          <w:lang w:val="en-US" w:eastAsia="zh-CN"/>
        </w:rPr>
        <w:t>520000</w:t>
      </w:r>
      <w:r>
        <w:rPr>
          <w:rFonts w:hint="eastAsia" w:ascii="仿宋_GB2312" w:hAnsi="仿宋_GB2312" w:eastAsia="仿宋_GB2312" w:cs="仿宋_GB2312"/>
          <w:color w:val="auto"/>
          <w:sz w:val="28"/>
          <w:szCs w:val="28"/>
          <w:highlight w:val="none"/>
          <w:u w:val="none"/>
          <w:lang w:eastAsia="zh-CN"/>
        </w:rPr>
        <w:t>元/年，</w:t>
      </w:r>
      <w:r>
        <w:rPr>
          <w:rFonts w:hint="eastAsia" w:ascii="仿宋_GB2312" w:hAnsi="仿宋_GB2312" w:eastAsia="仿宋_GB2312" w:cs="仿宋_GB2312"/>
          <w:color w:val="auto"/>
          <w:sz w:val="28"/>
          <w:szCs w:val="28"/>
          <w:highlight w:val="none"/>
          <w:u w:val="none"/>
          <w:lang w:val="en-US" w:eastAsia="zh-CN"/>
        </w:rPr>
        <w:t>1560000</w:t>
      </w:r>
      <w:r>
        <w:rPr>
          <w:rFonts w:hint="eastAsia" w:ascii="仿宋_GB2312" w:hAnsi="仿宋_GB2312" w:eastAsia="仿宋_GB2312" w:cs="仿宋_GB2312"/>
          <w:color w:val="auto"/>
          <w:sz w:val="28"/>
          <w:szCs w:val="28"/>
          <w:highlight w:val="none"/>
          <w:u w:val="none"/>
          <w:lang w:eastAsia="zh-CN"/>
        </w:rPr>
        <w:t>元/</w:t>
      </w:r>
      <w:r>
        <w:rPr>
          <w:rFonts w:hint="eastAsia" w:ascii="仿宋_GB2312" w:hAnsi="仿宋_GB2312" w:eastAsia="仿宋_GB2312" w:cs="仿宋_GB2312"/>
          <w:color w:val="auto"/>
          <w:sz w:val="28"/>
          <w:szCs w:val="28"/>
          <w:highlight w:val="none"/>
          <w:u w:val="none"/>
          <w:lang w:val="en-US" w:eastAsia="zh-CN"/>
        </w:rPr>
        <w:t>三年</w:t>
      </w:r>
      <w:r>
        <w:rPr>
          <w:rFonts w:hint="eastAsia" w:ascii="仿宋" w:hAnsi="仿宋" w:eastAsia="仿宋" w:cs="仿宋"/>
          <w:color w:val="auto"/>
          <w:sz w:val="28"/>
          <w:szCs w:val="28"/>
          <w:highlight w:val="none"/>
          <w:shd w:val="clear" w:fill="auto"/>
          <w:lang w:val="en-US" w:eastAsia="zh-CN"/>
        </w:rPr>
        <w:t xml:space="preserve"> </w:t>
      </w:r>
    </w:p>
    <w:p w14:paraId="488C3839">
      <w:pPr>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 w:hAnsi="仿宋" w:eastAsia="仿宋" w:cs="仿宋"/>
          <w:color w:val="auto"/>
          <w:sz w:val="28"/>
          <w:szCs w:val="28"/>
          <w:highlight w:val="none"/>
          <w:shd w:val="clear" w:fill="auto"/>
          <w:lang w:eastAsia="zh-CN"/>
        </w:rPr>
        <w:t>最高限价</w:t>
      </w:r>
      <w:r>
        <w:rPr>
          <w:rFonts w:hint="eastAsia" w:ascii="仿宋" w:hAnsi="仿宋" w:eastAsia="仿宋" w:cs="仿宋"/>
          <w:color w:val="auto"/>
          <w:sz w:val="28"/>
          <w:szCs w:val="28"/>
          <w:highlight w:val="none"/>
          <w:shd w:val="clear" w:fill="auto"/>
          <w:lang w:val="en-US" w:eastAsia="zh-CN"/>
        </w:rPr>
        <w:t>：</w:t>
      </w:r>
      <w:r>
        <w:rPr>
          <w:rFonts w:hint="eastAsia" w:ascii="仿宋_GB2312" w:hAnsi="仿宋_GB2312" w:eastAsia="仿宋_GB2312" w:cs="仿宋_GB2312"/>
          <w:color w:val="auto"/>
          <w:sz w:val="28"/>
          <w:szCs w:val="28"/>
          <w:highlight w:val="none"/>
          <w:u w:val="none"/>
          <w:lang w:val="en-US" w:eastAsia="zh-CN"/>
        </w:rPr>
        <w:t>520000</w:t>
      </w:r>
      <w:r>
        <w:rPr>
          <w:rFonts w:hint="eastAsia" w:ascii="仿宋_GB2312" w:hAnsi="仿宋_GB2312" w:eastAsia="仿宋_GB2312" w:cs="仿宋_GB2312"/>
          <w:color w:val="auto"/>
          <w:sz w:val="28"/>
          <w:szCs w:val="28"/>
          <w:highlight w:val="none"/>
          <w:u w:val="none"/>
          <w:lang w:eastAsia="zh-CN"/>
        </w:rPr>
        <w:t>元/年，</w:t>
      </w:r>
      <w:r>
        <w:rPr>
          <w:rFonts w:hint="eastAsia" w:ascii="仿宋_GB2312" w:hAnsi="仿宋_GB2312" w:eastAsia="仿宋_GB2312" w:cs="仿宋_GB2312"/>
          <w:color w:val="auto"/>
          <w:sz w:val="28"/>
          <w:szCs w:val="28"/>
          <w:highlight w:val="none"/>
          <w:u w:val="none"/>
          <w:lang w:val="en-US" w:eastAsia="zh-CN"/>
        </w:rPr>
        <w:t>1560000</w:t>
      </w:r>
      <w:r>
        <w:rPr>
          <w:rFonts w:hint="eastAsia" w:ascii="仿宋_GB2312" w:hAnsi="仿宋_GB2312" w:eastAsia="仿宋_GB2312" w:cs="仿宋_GB2312"/>
          <w:color w:val="auto"/>
          <w:sz w:val="28"/>
          <w:szCs w:val="28"/>
          <w:highlight w:val="none"/>
          <w:u w:val="none"/>
          <w:lang w:eastAsia="zh-CN"/>
        </w:rPr>
        <w:t>元/</w:t>
      </w:r>
      <w:r>
        <w:rPr>
          <w:rFonts w:hint="eastAsia" w:ascii="仿宋_GB2312" w:hAnsi="仿宋_GB2312" w:eastAsia="仿宋_GB2312" w:cs="仿宋_GB2312"/>
          <w:color w:val="auto"/>
          <w:sz w:val="28"/>
          <w:szCs w:val="28"/>
          <w:highlight w:val="none"/>
          <w:u w:val="none"/>
          <w:lang w:val="en-US" w:eastAsia="zh-CN"/>
        </w:rPr>
        <w:t>三年</w:t>
      </w:r>
      <w:r>
        <w:rPr>
          <w:rFonts w:hint="eastAsia" w:ascii="仿宋" w:hAnsi="仿宋" w:eastAsia="仿宋" w:cs="仿宋"/>
          <w:color w:val="auto"/>
          <w:sz w:val="28"/>
          <w:szCs w:val="28"/>
          <w:highlight w:val="none"/>
          <w:shd w:val="clear" w:fill="auto"/>
          <w:lang w:val="en-US" w:eastAsia="zh-CN"/>
        </w:rPr>
        <w:t xml:space="preserve"> </w:t>
      </w:r>
    </w:p>
    <w:p w14:paraId="4084E9D7">
      <w:pPr>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color w:val="auto"/>
          <w:sz w:val="28"/>
          <w:szCs w:val="28"/>
          <w:highlight w:val="none"/>
          <w:shd w:val="clear" w:fill="auto"/>
          <w:lang w:eastAsia="zh-CN"/>
        </w:rPr>
      </w:pPr>
      <w:r>
        <w:rPr>
          <w:rFonts w:hint="eastAsia" w:ascii="仿宋" w:hAnsi="仿宋" w:eastAsia="仿宋" w:cs="仿宋"/>
          <w:color w:val="auto"/>
          <w:sz w:val="28"/>
          <w:szCs w:val="28"/>
          <w:highlight w:val="none"/>
          <w:shd w:val="clear" w:fill="auto"/>
          <w:lang w:eastAsia="zh-CN"/>
        </w:rPr>
        <w:t>采购需求：详见《采购需求》。</w:t>
      </w:r>
    </w:p>
    <w:p w14:paraId="7818D1F8">
      <w:pPr>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color w:val="auto"/>
          <w:sz w:val="28"/>
          <w:szCs w:val="28"/>
          <w:highlight w:val="none"/>
          <w:shd w:val="clear" w:fill="auto"/>
          <w:lang w:val="en-US" w:eastAsia="zh-CN"/>
        </w:rPr>
      </w:pPr>
      <w:r>
        <w:rPr>
          <w:rFonts w:hint="eastAsia" w:ascii="仿宋" w:hAnsi="仿宋" w:eastAsia="仿宋" w:cs="仿宋"/>
          <w:color w:val="auto"/>
          <w:sz w:val="28"/>
          <w:szCs w:val="28"/>
          <w:highlight w:val="none"/>
          <w:shd w:val="clear" w:fill="auto"/>
          <w:lang w:eastAsia="zh-CN"/>
        </w:rPr>
        <w:t>合同履行期限：自合同签订之日起三年服务期</w:t>
      </w:r>
      <w:r>
        <w:rPr>
          <w:rFonts w:hint="eastAsia" w:ascii="仿宋" w:hAnsi="仿宋" w:eastAsia="仿宋" w:cs="仿宋"/>
          <w:color w:val="auto"/>
          <w:sz w:val="28"/>
          <w:szCs w:val="28"/>
          <w:highlight w:val="none"/>
          <w:shd w:val="clear" w:fill="auto"/>
          <w:lang w:val="en-US" w:eastAsia="zh-CN"/>
        </w:rPr>
        <w:t>。</w:t>
      </w:r>
    </w:p>
    <w:p w14:paraId="500494CC">
      <w:pPr>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color w:val="auto"/>
          <w:sz w:val="28"/>
          <w:szCs w:val="28"/>
          <w:highlight w:val="none"/>
          <w:shd w:val="clear" w:fill="auto"/>
        </w:rPr>
      </w:pPr>
      <w:r>
        <w:rPr>
          <w:rFonts w:hint="eastAsia" w:ascii="仿宋" w:hAnsi="仿宋" w:eastAsia="仿宋" w:cs="仿宋"/>
          <w:color w:val="auto"/>
          <w:sz w:val="28"/>
          <w:szCs w:val="28"/>
          <w:highlight w:val="none"/>
          <w:shd w:val="clear" w:fill="auto"/>
        </w:rPr>
        <w:t>本项目不接受联合体投标。</w:t>
      </w:r>
    </w:p>
    <w:p w14:paraId="7C46FFCD">
      <w:pPr>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二、申请人的资格要求</w:t>
      </w:r>
      <w:bookmarkEnd w:id="7"/>
      <w:bookmarkEnd w:id="8"/>
      <w:bookmarkEnd w:id="9"/>
      <w:bookmarkEnd w:id="10"/>
    </w:p>
    <w:p w14:paraId="2538820F">
      <w:pPr>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Times New Roman"/>
          <w:color w:val="auto"/>
          <w:sz w:val="28"/>
          <w:szCs w:val="28"/>
          <w:highlight w:val="none"/>
        </w:rPr>
      </w:pPr>
      <w:bookmarkStart w:id="11" w:name="_Toc35393792"/>
      <w:bookmarkStart w:id="12" w:name="_Toc28359004"/>
      <w:bookmarkStart w:id="13" w:name="_Toc35393623"/>
      <w:bookmarkStart w:id="14" w:name="_Toc28359081"/>
      <w:r>
        <w:rPr>
          <w:rFonts w:hint="eastAsia" w:ascii="仿宋" w:hAnsi="仿宋" w:eastAsia="仿宋" w:cs="Times New Roman"/>
          <w:color w:val="auto"/>
          <w:sz w:val="28"/>
          <w:szCs w:val="28"/>
          <w:highlight w:val="none"/>
        </w:rPr>
        <w:t>1.</w:t>
      </w:r>
      <w:r>
        <w:rPr>
          <w:rFonts w:hint="eastAsia" w:ascii="仿宋" w:hAnsi="仿宋" w:eastAsia="仿宋" w:cs="Times New Roman"/>
          <w:color w:val="auto"/>
          <w:sz w:val="28"/>
          <w:szCs w:val="28"/>
          <w:highlight w:val="none"/>
          <w:lang w:val="en-US" w:eastAsia="zh-CN"/>
        </w:rPr>
        <w:t>投标</w:t>
      </w:r>
      <w:r>
        <w:rPr>
          <w:rFonts w:hint="eastAsia" w:ascii="仿宋" w:hAnsi="仿宋" w:eastAsia="仿宋" w:cs="Times New Roman"/>
          <w:color w:val="auto"/>
          <w:sz w:val="28"/>
          <w:szCs w:val="28"/>
          <w:highlight w:val="none"/>
        </w:rPr>
        <w:t>企业要求：</w:t>
      </w:r>
      <w:r>
        <w:rPr>
          <w:rFonts w:hint="eastAsia" w:ascii="仿宋" w:hAnsi="仿宋" w:eastAsia="仿宋" w:cs="Times New Roman"/>
          <w:color w:val="auto"/>
          <w:sz w:val="28"/>
          <w:szCs w:val="28"/>
          <w:highlight w:val="none"/>
          <w:lang w:val="en-US" w:eastAsia="zh-CN"/>
        </w:rPr>
        <w:t>投标人具有承担本项目相应的服务能力，且具有有效的营业执照、税务登记证、组织机构代码证（或“三证合一证书”）；</w:t>
      </w:r>
    </w:p>
    <w:p w14:paraId="233968BA">
      <w:pPr>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w:t>
      </w:r>
      <w:r>
        <w:rPr>
          <w:rFonts w:hint="eastAsia" w:ascii="仿宋" w:hAnsi="仿宋" w:eastAsia="仿宋" w:cs="Times New Roman"/>
          <w:color w:val="auto"/>
          <w:sz w:val="28"/>
          <w:szCs w:val="28"/>
          <w:highlight w:val="none"/>
        </w:rPr>
        <w:t>.</w:t>
      </w:r>
      <w:r>
        <w:rPr>
          <w:rFonts w:hint="eastAsia" w:ascii="仿宋" w:hAnsi="仿宋" w:eastAsia="仿宋" w:cs="Times New Roman"/>
          <w:color w:val="auto"/>
          <w:sz w:val="28"/>
          <w:szCs w:val="28"/>
          <w:highlight w:val="none"/>
          <w:lang w:val="en-US" w:eastAsia="zh-CN"/>
        </w:rPr>
        <w:t>信誉要求：投标人不得存在以下情形：</w:t>
      </w:r>
    </w:p>
    <w:p w14:paraId="5F7E4BF1">
      <w:pPr>
        <w:pageBreakBefore w:val="0"/>
        <w:widowControl w:val="0"/>
        <w:kinsoku/>
        <w:wordWrap/>
        <w:overflowPunct/>
        <w:topLinePunct w:val="0"/>
        <w:autoSpaceDE/>
        <w:autoSpaceDN/>
        <w:bidi w:val="0"/>
        <w:adjustRightInd/>
        <w:snapToGrid/>
        <w:spacing w:line="500" w:lineRule="exact"/>
        <w:ind w:left="0" w:leftChars="0" w:firstLine="560" w:firstLineChars="200"/>
        <w:textAlignment w:val="auto"/>
        <w:outlineLvl w:val="3"/>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①被列入“信用中国”网站“失信被执行人”的；</w:t>
      </w:r>
    </w:p>
    <w:p w14:paraId="571B1C19">
      <w:pPr>
        <w:pageBreakBefore w:val="0"/>
        <w:widowControl w:val="0"/>
        <w:kinsoku/>
        <w:wordWrap/>
        <w:overflowPunct/>
        <w:topLinePunct w:val="0"/>
        <w:autoSpaceDE/>
        <w:autoSpaceDN/>
        <w:bidi w:val="0"/>
        <w:adjustRightInd/>
        <w:snapToGrid/>
        <w:spacing w:line="500" w:lineRule="exact"/>
        <w:ind w:left="0" w:leftChars="0" w:firstLine="560" w:firstLineChars="200"/>
        <w:textAlignment w:val="auto"/>
        <w:outlineLvl w:val="3"/>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②被列入“信用中国”网站“重大税收违法失信主体”的；</w:t>
      </w:r>
    </w:p>
    <w:p w14:paraId="63BA4A3B">
      <w:pPr>
        <w:pageBreakBefore w:val="0"/>
        <w:widowControl w:val="0"/>
        <w:kinsoku/>
        <w:wordWrap/>
        <w:overflowPunct/>
        <w:topLinePunct w:val="0"/>
        <w:autoSpaceDE/>
        <w:autoSpaceDN/>
        <w:bidi w:val="0"/>
        <w:adjustRightInd/>
        <w:snapToGrid/>
        <w:spacing w:line="500" w:lineRule="exact"/>
        <w:ind w:left="0" w:leftChars="0" w:firstLine="560" w:firstLineChars="200"/>
        <w:textAlignment w:val="auto"/>
        <w:outlineLvl w:val="3"/>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③被列入“信用中国”网站“拖欠农民工工资失信联合惩戒对象名单”的；</w:t>
      </w:r>
    </w:p>
    <w:p w14:paraId="1E8D87C0">
      <w:pPr>
        <w:pageBreakBefore w:val="0"/>
        <w:widowControl w:val="0"/>
        <w:kinsoku/>
        <w:wordWrap/>
        <w:overflowPunct/>
        <w:topLinePunct w:val="0"/>
        <w:autoSpaceDE/>
        <w:autoSpaceDN/>
        <w:bidi w:val="0"/>
        <w:adjustRightInd/>
        <w:snapToGrid/>
        <w:spacing w:line="500" w:lineRule="exact"/>
        <w:ind w:left="0" w:leftChars="0" w:firstLine="560" w:firstLineChars="200"/>
        <w:textAlignment w:val="auto"/>
        <w:outlineLvl w:val="3"/>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④被列入“信用中国”网站 “严重失信主体名单”的；</w:t>
      </w:r>
    </w:p>
    <w:p w14:paraId="2F2BB7E2">
      <w:pPr>
        <w:pageBreakBefore w:val="0"/>
        <w:widowControl w:val="0"/>
        <w:kinsoku/>
        <w:wordWrap/>
        <w:overflowPunct/>
        <w:topLinePunct w:val="0"/>
        <w:autoSpaceDE/>
        <w:autoSpaceDN/>
        <w:bidi w:val="0"/>
        <w:adjustRightInd/>
        <w:snapToGrid/>
        <w:spacing w:line="500" w:lineRule="exact"/>
        <w:ind w:left="0" w:leftChars="0" w:firstLine="560" w:firstLineChars="200"/>
        <w:textAlignment w:val="auto"/>
        <w:outlineLvl w:val="3"/>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⑤在“信用中国”网站上披露的仍在公示期的严重失信行为(具体行为类别及判定依据见附件2)的；</w:t>
      </w:r>
    </w:p>
    <w:p w14:paraId="35B5D298">
      <w:pPr>
        <w:pageBreakBefore w:val="0"/>
        <w:widowControl w:val="0"/>
        <w:kinsoku/>
        <w:wordWrap/>
        <w:overflowPunct/>
        <w:topLinePunct w:val="0"/>
        <w:autoSpaceDE/>
        <w:autoSpaceDN/>
        <w:bidi w:val="0"/>
        <w:adjustRightInd/>
        <w:snapToGrid/>
        <w:spacing w:line="500" w:lineRule="exact"/>
        <w:ind w:left="0" w:leftChars="0" w:firstLine="560" w:firstLineChars="200"/>
        <w:textAlignment w:val="auto"/>
        <w:outlineLvl w:val="3"/>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⑥被列入国家企业信用信息公示系统网站“经营异常名录”或者“严重违法失信名单”的；</w:t>
      </w:r>
    </w:p>
    <w:p w14:paraId="48F468AB">
      <w:pPr>
        <w:pageBreakBefore w:val="0"/>
        <w:widowControl w:val="0"/>
        <w:kinsoku/>
        <w:wordWrap/>
        <w:overflowPunct/>
        <w:topLinePunct w:val="0"/>
        <w:autoSpaceDE/>
        <w:autoSpaceDN/>
        <w:bidi w:val="0"/>
        <w:adjustRightInd/>
        <w:snapToGrid/>
        <w:spacing w:line="500" w:lineRule="exact"/>
        <w:ind w:left="0" w:leftChars="0" w:firstLine="560" w:firstLineChars="200"/>
        <w:textAlignment w:val="auto"/>
        <w:outlineLvl w:val="3"/>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⑦前三年有行贿犯罪行为的单位和个人；</w:t>
      </w:r>
    </w:p>
    <w:p w14:paraId="45B0D508">
      <w:pPr>
        <w:pageBreakBefore w:val="0"/>
        <w:widowControl w:val="0"/>
        <w:kinsoku/>
        <w:wordWrap/>
        <w:overflowPunct/>
        <w:topLinePunct w:val="0"/>
        <w:autoSpaceDE/>
        <w:autoSpaceDN/>
        <w:bidi w:val="0"/>
        <w:adjustRightInd/>
        <w:snapToGrid/>
        <w:spacing w:line="500" w:lineRule="exact"/>
        <w:ind w:left="0" w:leftChars="0" w:firstLine="560" w:firstLineChars="200"/>
        <w:textAlignment w:val="auto"/>
        <w:outlineLvl w:val="3"/>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⑧被滁州市县两级公管部门及各行业主管部门取消在一定期限内的投标资格且在取消期限内的；</w:t>
      </w:r>
    </w:p>
    <w:p w14:paraId="1B9C79BB">
      <w:pPr>
        <w:pageBreakBefore w:val="0"/>
        <w:widowControl w:val="0"/>
        <w:kinsoku/>
        <w:wordWrap/>
        <w:overflowPunct/>
        <w:topLinePunct w:val="0"/>
        <w:autoSpaceDE/>
        <w:autoSpaceDN/>
        <w:bidi w:val="0"/>
        <w:adjustRightInd/>
        <w:snapToGrid/>
        <w:spacing w:line="500" w:lineRule="exact"/>
        <w:ind w:left="0" w:leftChars="0" w:firstLine="560" w:firstLineChars="200"/>
        <w:textAlignment w:val="auto"/>
        <w:outlineLvl w:val="3"/>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⑨因拖欠农民工工资被县级及以上有关行政主管部门限制投标资格且在限制期限内的；</w:t>
      </w:r>
    </w:p>
    <w:p w14:paraId="3C30342D">
      <w:pPr>
        <w:pageBreakBefore w:val="0"/>
        <w:widowControl w:val="0"/>
        <w:kinsoku/>
        <w:wordWrap/>
        <w:overflowPunct/>
        <w:topLinePunct w:val="0"/>
        <w:autoSpaceDE/>
        <w:autoSpaceDN/>
        <w:bidi w:val="0"/>
        <w:adjustRightInd/>
        <w:snapToGrid/>
        <w:spacing w:line="500" w:lineRule="exact"/>
        <w:ind w:left="0" w:leftChars="0" w:firstLine="560" w:firstLineChars="200"/>
        <w:textAlignment w:val="auto"/>
        <w:outlineLvl w:val="3"/>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⑩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4C5F5426">
      <w:pPr>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3</w:t>
      </w:r>
      <w:r>
        <w:rPr>
          <w:rFonts w:hint="eastAsia" w:ascii="仿宋" w:hAnsi="仿宋" w:eastAsia="仿宋" w:cs="Times New Roman"/>
          <w:color w:val="auto"/>
          <w:sz w:val="28"/>
          <w:szCs w:val="28"/>
          <w:highlight w:val="none"/>
        </w:rPr>
        <w:t>.投标人所属分公司、办事处等分支机构存在第</w:t>
      </w:r>
      <w:r>
        <w:rPr>
          <w:rFonts w:hint="eastAsia" w:ascii="仿宋" w:hAnsi="仿宋" w:eastAsia="仿宋" w:cs="Times New Roman"/>
          <w:color w:val="auto"/>
          <w:sz w:val="28"/>
          <w:szCs w:val="28"/>
          <w:highlight w:val="none"/>
          <w:lang w:val="en-US" w:eastAsia="zh-CN"/>
        </w:rPr>
        <w:t>2</w:t>
      </w:r>
      <w:r>
        <w:rPr>
          <w:rFonts w:hint="eastAsia" w:ascii="仿宋" w:hAnsi="仿宋" w:eastAsia="仿宋" w:cs="Times New Roman"/>
          <w:color w:val="auto"/>
          <w:sz w:val="28"/>
          <w:szCs w:val="28"/>
          <w:highlight w:val="none"/>
        </w:rPr>
        <w:t>款信誉要求①-</w:t>
      </w:r>
      <w:r>
        <w:rPr>
          <w:rFonts w:hint="eastAsia" w:ascii="仿宋" w:hAnsi="仿宋" w:eastAsia="仿宋" w:cs="Times New Roman"/>
          <w:color w:val="auto"/>
          <w:sz w:val="28"/>
          <w:szCs w:val="28"/>
          <w:highlight w:val="none"/>
          <w:lang w:val="en-US" w:eastAsia="zh-CN"/>
        </w:rPr>
        <w:t>⑩</w:t>
      </w:r>
      <w:r>
        <w:rPr>
          <w:rFonts w:hint="eastAsia" w:ascii="仿宋" w:hAnsi="仿宋" w:eastAsia="仿宋" w:cs="Times New Roman"/>
          <w:color w:val="auto"/>
          <w:sz w:val="28"/>
          <w:szCs w:val="28"/>
          <w:highlight w:val="none"/>
        </w:rPr>
        <w:t>项情形之一的，</w:t>
      </w:r>
      <w:r>
        <w:rPr>
          <w:rFonts w:hint="eastAsia" w:ascii="仿宋" w:hAnsi="仿宋" w:eastAsia="仿宋"/>
          <w:color w:val="auto"/>
          <w:sz w:val="28"/>
          <w:szCs w:val="28"/>
          <w:highlight w:val="none"/>
        </w:rPr>
        <w:t>接受投标人参加本项目</w:t>
      </w:r>
      <w:r>
        <w:rPr>
          <w:rFonts w:hint="eastAsia" w:ascii="仿宋" w:hAnsi="仿宋" w:eastAsia="仿宋" w:cs="Times New Roman"/>
          <w:color w:val="auto"/>
          <w:sz w:val="28"/>
          <w:szCs w:val="28"/>
          <w:highlight w:val="none"/>
        </w:rPr>
        <w:t>。</w:t>
      </w:r>
    </w:p>
    <w:p w14:paraId="133ADD3F">
      <w:pPr>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备注：第</w:t>
      </w:r>
      <w:r>
        <w:rPr>
          <w:rFonts w:hint="eastAsia" w:ascii="仿宋" w:hAnsi="仿宋" w:eastAsia="仿宋" w:cs="Times New Roman"/>
          <w:color w:val="auto"/>
          <w:sz w:val="28"/>
          <w:szCs w:val="28"/>
          <w:highlight w:val="none"/>
          <w:lang w:val="en-US" w:eastAsia="zh-CN"/>
        </w:rPr>
        <w:t>2、3</w:t>
      </w:r>
      <w:r>
        <w:rPr>
          <w:rFonts w:hint="eastAsia" w:ascii="仿宋" w:hAnsi="仿宋" w:eastAsia="仿宋" w:cs="Times New Roman"/>
          <w:color w:val="auto"/>
          <w:sz w:val="28"/>
          <w:szCs w:val="28"/>
          <w:highlight w:val="none"/>
        </w:rPr>
        <w:t>条按照</w:t>
      </w:r>
      <w:r>
        <w:rPr>
          <w:rFonts w:hint="eastAsia" w:ascii="仿宋" w:hAnsi="仿宋" w:eastAsia="仿宋" w:cs="Times New Roman"/>
          <w:color w:val="auto"/>
          <w:sz w:val="28"/>
          <w:szCs w:val="28"/>
          <w:highlight w:val="none"/>
          <w:lang w:val="en-US" w:eastAsia="zh-CN"/>
        </w:rPr>
        <w:t>附件1</w:t>
      </w:r>
      <w:r>
        <w:rPr>
          <w:rFonts w:hint="eastAsia" w:ascii="仿宋" w:hAnsi="仿宋" w:eastAsia="仿宋" w:cs="Times New Roman"/>
          <w:color w:val="auto"/>
          <w:sz w:val="28"/>
          <w:szCs w:val="28"/>
          <w:highlight w:val="none"/>
        </w:rPr>
        <w:t>“关于联合惩戒失信行为加强信用查询管理的通知”查询或承诺。</w:t>
      </w:r>
    </w:p>
    <w:p w14:paraId="475B077C">
      <w:pPr>
        <w:keepNext/>
        <w:keepLines/>
        <w:pageBreakBefore w:val="0"/>
        <w:widowControl w:val="0"/>
        <w:kinsoku/>
        <w:wordWrap/>
        <w:overflowPunct/>
        <w:topLinePunct w:val="0"/>
        <w:autoSpaceDE/>
        <w:autoSpaceDN/>
        <w:bidi w:val="0"/>
        <w:adjustRightInd/>
        <w:snapToGrid/>
        <w:spacing w:line="500" w:lineRule="exact"/>
        <w:ind w:left="0" w:leftChars="0" w:firstLine="560" w:firstLineChars="200"/>
        <w:textAlignment w:val="auto"/>
        <w:outlineLvl w:val="1"/>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三、获取招标文件</w:t>
      </w:r>
      <w:bookmarkEnd w:id="11"/>
      <w:bookmarkEnd w:id="12"/>
      <w:bookmarkEnd w:id="13"/>
      <w:bookmarkEnd w:id="14"/>
    </w:p>
    <w:p w14:paraId="5F0CA3CF">
      <w:pPr>
        <w:pageBreakBefore w:val="0"/>
        <w:widowControl w:val="0"/>
        <w:kinsoku/>
        <w:wordWrap/>
        <w:overflowPunct/>
        <w:topLinePunct w:val="0"/>
        <w:autoSpaceDE/>
        <w:autoSpaceDN/>
        <w:bidi w:val="0"/>
        <w:adjustRightInd/>
        <w:snapToGrid/>
        <w:spacing w:line="500" w:lineRule="exact"/>
        <w:ind w:left="0" w:leftChars="0" w:firstLine="540"/>
        <w:textAlignment w:val="auto"/>
        <w:rPr>
          <w:rFonts w:hint="eastAsia" w:ascii="仿宋" w:hAnsi="仿宋" w:eastAsia="仿宋" w:cs="宋体"/>
          <w:iCs/>
          <w:color w:val="auto"/>
          <w:sz w:val="28"/>
          <w:szCs w:val="28"/>
          <w:highlight w:val="none"/>
        </w:rPr>
      </w:pPr>
      <w:r>
        <w:rPr>
          <w:rFonts w:hint="eastAsia" w:ascii="仿宋" w:hAnsi="仿宋" w:eastAsia="仿宋" w:cs="宋体"/>
          <w:color w:val="auto"/>
          <w:sz w:val="28"/>
          <w:szCs w:val="28"/>
          <w:highlight w:val="none"/>
        </w:rPr>
        <w:t>时间：</w:t>
      </w:r>
      <w:r>
        <w:rPr>
          <w:rFonts w:hint="eastAsia" w:ascii="仿宋" w:hAnsi="仿宋" w:eastAsia="仿宋" w:cs="宋体"/>
          <w:color w:val="auto"/>
          <w:sz w:val="28"/>
          <w:szCs w:val="28"/>
          <w:highlight w:val="none"/>
          <w:u w:val="single"/>
        </w:rPr>
        <w:t>202</w:t>
      </w:r>
      <w:r>
        <w:rPr>
          <w:rFonts w:hint="eastAsia" w:ascii="仿宋" w:hAnsi="仿宋" w:eastAsia="仿宋" w:cs="宋体"/>
          <w:color w:val="auto"/>
          <w:sz w:val="28"/>
          <w:szCs w:val="28"/>
          <w:highlight w:val="none"/>
          <w:u w:val="single"/>
          <w:lang w:val="en-US" w:eastAsia="zh-CN"/>
        </w:rPr>
        <w:t>5</w:t>
      </w:r>
      <w:r>
        <w:rPr>
          <w:rFonts w:hint="eastAsia" w:ascii="仿宋" w:hAnsi="仿宋" w:eastAsia="仿宋" w:cs="宋体"/>
          <w:color w:val="auto"/>
          <w:sz w:val="28"/>
          <w:szCs w:val="28"/>
          <w:highlight w:val="none"/>
          <w:u w:val="single"/>
        </w:rPr>
        <w:t>年</w:t>
      </w:r>
      <w:r>
        <w:rPr>
          <w:rFonts w:hint="eastAsia" w:ascii="仿宋" w:hAnsi="仿宋" w:eastAsia="仿宋" w:cs="宋体"/>
          <w:color w:val="auto"/>
          <w:sz w:val="28"/>
          <w:szCs w:val="28"/>
          <w:highlight w:val="none"/>
          <w:u w:val="single"/>
          <w:lang w:val="en-US" w:eastAsia="zh-CN"/>
        </w:rPr>
        <w:t>9</w:t>
      </w:r>
      <w:r>
        <w:rPr>
          <w:rFonts w:hint="eastAsia" w:ascii="仿宋" w:hAnsi="仿宋" w:eastAsia="仿宋" w:cs="宋体"/>
          <w:color w:val="auto"/>
          <w:sz w:val="28"/>
          <w:szCs w:val="28"/>
          <w:highlight w:val="none"/>
          <w:u w:val="single"/>
        </w:rPr>
        <w:t>月</w:t>
      </w:r>
      <w:r>
        <w:rPr>
          <w:rFonts w:hint="eastAsia" w:ascii="仿宋" w:hAnsi="仿宋" w:eastAsia="仿宋" w:cs="宋体"/>
          <w:color w:val="auto"/>
          <w:sz w:val="28"/>
          <w:szCs w:val="28"/>
          <w:highlight w:val="none"/>
          <w:u w:val="single"/>
          <w:lang w:val="en-US" w:eastAsia="zh-CN"/>
        </w:rPr>
        <w:t>30</w:t>
      </w:r>
      <w:r>
        <w:rPr>
          <w:rFonts w:hint="eastAsia" w:ascii="仿宋" w:hAnsi="仿宋" w:eastAsia="仿宋" w:cs="宋体"/>
          <w:color w:val="auto"/>
          <w:sz w:val="28"/>
          <w:szCs w:val="28"/>
          <w:highlight w:val="none"/>
          <w:u w:val="single"/>
        </w:rPr>
        <w:t>日</w:t>
      </w:r>
      <w:r>
        <w:rPr>
          <w:rFonts w:hint="eastAsia" w:ascii="仿宋" w:hAnsi="仿宋" w:eastAsia="仿宋" w:cs="宋体"/>
          <w:color w:val="auto"/>
          <w:sz w:val="28"/>
          <w:szCs w:val="28"/>
          <w:highlight w:val="none"/>
        </w:rPr>
        <w:t>至</w:t>
      </w:r>
      <w:r>
        <w:rPr>
          <w:rFonts w:hint="eastAsia" w:ascii="仿宋" w:hAnsi="仿宋" w:eastAsia="仿宋" w:cs="宋体"/>
          <w:color w:val="auto"/>
          <w:sz w:val="28"/>
          <w:szCs w:val="28"/>
          <w:highlight w:val="none"/>
          <w:u w:val="single"/>
        </w:rPr>
        <w:t>202</w:t>
      </w:r>
      <w:r>
        <w:rPr>
          <w:rFonts w:hint="eastAsia" w:ascii="仿宋" w:hAnsi="仿宋" w:eastAsia="仿宋" w:cs="宋体"/>
          <w:color w:val="auto"/>
          <w:sz w:val="28"/>
          <w:szCs w:val="28"/>
          <w:highlight w:val="none"/>
          <w:u w:val="single"/>
          <w:lang w:val="en-US" w:eastAsia="zh-CN"/>
        </w:rPr>
        <w:t>5</w:t>
      </w:r>
      <w:r>
        <w:rPr>
          <w:rFonts w:hint="eastAsia" w:ascii="仿宋" w:hAnsi="仿宋" w:eastAsia="仿宋" w:cs="宋体"/>
          <w:color w:val="auto"/>
          <w:sz w:val="28"/>
          <w:szCs w:val="28"/>
          <w:highlight w:val="none"/>
          <w:u w:val="single"/>
        </w:rPr>
        <w:t>年</w:t>
      </w:r>
      <w:r>
        <w:rPr>
          <w:rFonts w:hint="eastAsia" w:ascii="仿宋" w:hAnsi="仿宋" w:eastAsia="仿宋" w:cs="宋体"/>
          <w:color w:val="auto"/>
          <w:sz w:val="28"/>
          <w:szCs w:val="28"/>
          <w:highlight w:val="none"/>
          <w:u w:val="single"/>
          <w:lang w:val="en-US" w:eastAsia="zh-CN"/>
        </w:rPr>
        <w:t>10月21日</w:t>
      </w:r>
    </w:p>
    <w:p w14:paraId="4A781DC4">
      <w:pPr>
        <w:pageBreakBefore w:val="0"/>
        <w:widowControl w:val="0"/>
        <w:kinsoku/>
        <w:wordWrap/>
        <w:overflowPunct/>
        <w:topLinePunct w:val="0"/>
        <w:autoSpaceDE/>
        <w:autoSpaceDN/>
        <w:bidi w:val="0"/>
        <w:adjustRightInd/>
        <w:snapToGrid/>
        <w:spacing w:line="500" w:lineRule="exact"/>
        <w:ind w:left="0" w:leftChars="0" w:firstLine="540"/>
        <w:textAlignment w:val="auto"/>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地点：滁州市公共资源交易中心网</w:t>
      </w:r>
    </w:p>
    <w:p w14:paraId="47ED78AA">
      <w:pPr>
        <w:pageBreakBefore w:val="0"/>
        <w:widowControl w:val="0"/>
        <w:kinsoku/>
        <w:wordWrap/>
        <w:overflowPunct/>
        <w:topLinePunct w:val="0"/>
        <w:autoSpaceDE/>
        <w:autoSpaceDN/>
        <w:bidi w:val="0"/>
        <w:adjustRightInd/>
        <w:snapToGrid/>
        <w:spacing w:line="500" w:lineRule="exact"/>
        <w:ind w:left="0" w:leftChars="0" w:firstLine="540"/>
        <w:textAlignment w:val="auto"/>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方式：网上下载</w:t>
      </w:r>
    </w:p>
    <w:p w14:paraId="31E0123D">
      <w:pPr>
        <w:pageBreakBefore w:val="0"/>
        <w:widowControl w:val="0"/>
        <w:kinsoku/>
        <w:wordWrap/>
        <w:overflowPunct/>
        <w:topLinePunct w:val="0"/>
        <w:autoSpaceDE/>
        <w:autoSpaceDN/>
        <w:bidi w:val="0"/>
        <w:adjustRightInd/>
        <w:snapToGrid/>
        <w:spacing w:line="500" w:lineRule="exact"/>
        <w:ind w:left="0" w:leftChars="0" w:firstLine="540"/>
        <w:textAlignment w:val="auto"/>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售价：0元</w:t>
      </w:r>
    </w:p>
    <w:p w14:paraId="373DE464">
      <w:pPr>
        <w:keepNext/>
        <w:keepLines/>
        <w:pageBreakBefore w:val="0"/>
        <w:widowControl w:val="0"/>
        <w:kinsoku/>
        <w:wordWrap/>
        <w:overflowPunct/>
        <w:topLinePunct w:val="0"/>
        <w:autoSpaceDE/>
        <w:autoSpaceDN/>
        <w:bidi w:val="0"/>
        <w:adjustRightInd/>
        <w:snapToGrid/>
        <w:spacing w:line="500" w:lineRule="exact"/>
        <w:ind w:left="0" w:leftChars="0" w:firstLine="560" w:firstLineChars="200"/>
        <w:textAlignment w:val="auto"/>
        <w:outlineLvl w:val="1"/>
        <w:rPr>
          <w:rFonts w:hint="eastAsia" w:ascii="黑体" w:hAnsi="黑体" w:eastAsia="黑体" w:cs="黑体"/>
          <w:color w:val="auto"/>
          <w:sz w:val="28"/>
          <w:szCs w:val="28"/>
          <w:highlight w:val="none"/>
        </w:rPr>
      </w:pPr>
      <w:bookmarkStart w:id="15" w:name="_Toc28359082"/>
      <w:bookmarkStart w:id="16" w:name="_Toc28359005"/>
      <w:bookmarkStart w:id="17" w:name="_Toc35393624"/>
      <w:bookmarkStart w:id="18" w:name="_Toc35393793"/>
      <w:r>
        <w:rPr>
          <w:rFonts w:hint="eastAsia" w:ascii="黑体" w:hAnsi="黑体" w:eastAsia="黑体" w:cs="黑体"/>
          <w:color w:val="auto"/>
          <w:sz w:val="28"/>
          <w:szCs w:val="28"/>
          <w:highlight w:val="none"/>
        </w:rPr>
        <w:t>四、提交投标文件</w:t>
      </w:r>
      <w:bookmarkEnd w:id="15"/>
      <w:bookmarkEnd w:id="16"/>
      <w:r>
        <w:rPr>
          <w:rFonts w:hint="eastAsia" w:ascii="黑体" w:hAnsi="黑体" w:eastAsia="黑体" w:cs="黑体"/>
          <w:color w:val="auto"/>
          <w:sz w:val="28"/>
          <w:szCs w:val="28"/>
          <w:highlight w:val="none"/>
        </w:rPr>
        <w:t>截止时间、开标时间和地点</w:t>
      </w:r>
      <w:bookmarkEnd w:id="17"/>
      <w:bookmarkEnd w:id="18"/>
    </w:p>
    <w:p w14:paraId="367D95C6">
      <w:pPr>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ascii="仿宋" w:hAnsi="仿宋" w:eastAsia="仿宋"/>
          <w:bCs/>
          <w:iCs/>
          <w:color w:val="auto"/>
          <w:sz w:val="28"/>
          <w:szCs w:val="28"/>
          <w:highlight w:val="none"/>
        </w:rPr>
      </w:pPr>
      <w:bookmarkStart w:id="19" w:name="_Toc35393625"/>
      <w:bookmarkStart w:id="20" w:name="_Toc28359007"/>
      <w:bookmarkStart w:id="21" w:name="_Toc35393794"/>
      <w:bookmarkStart w:id="22" w:name="_Toc28359084"/>
      <w:r>
        <w:rPr>
          <w:rFonts w:hint="eastAsia" w:ascii="仿宋" w:hAnsi="仿宋" w:eastAsia="仿宋"/>
          <w:bCs/>
          <w:color w:val="auto"/>
          <w:sz w:val="28"/>
          <w:szCs w:val="28"/>
          <w:highlight w:val="none"/>
          <w:u w:val="single"/>
        </w:rPr>
        <w:t>202</w:t>
      </w:r>
      <w:r>
        <w:rPr>
          <w:rFonts w:hint="eastAsia" w:ascii="仿宋" w:hAnsi="仿宋" w:eastAsia="仿宋"/>
          <w:bCs/>
          <w:color w:val="auto"/>
          <w:sz w:val="28"/>
          <w:szCs w:val="28"/>
          <w:highlight w:val="none"/>
          <w:u w:val="single"/>
          <w:lang w:val="en-US" w:eastAsia="zh-CN"/>
        </w:rPr>
        <w:t>5</w:t>
      </w:r>
      <w:r>
        <w:rPr>
          <w:rFonts w:hint="eastAsia" w:ascii="仿宋" w:hAnsi="仿宋" w:eastAsia="仿宋"/>
          <w:bCs/>
          <w:color w:val="auto"/>
          <w:sz w:val="28"/>
          <w:szCs w:val="28"/>
          <w:highlight w:val="none"/>
          <w:u w:val="single"/>
        </w:rPr>
        <w:t>年</w:t>
      </w:r>
      <w:r>
        <w:rPr>
          <w:rFonts w:hint="eastAsia" w:ascii="仿宋" w:hAnsi="仿宋" w:eastAsia="仿宋" w:cs="宋体"/>
          <w:color w:val="auto"/>
          <w:sz w:val="28"/>
          <w:szCs w:val="28"/>
          <w:highlight w:val="none"/>
          <w:u w:val="single"/>
          <w:lang w:val="en-US" w:eastAsia="zh-CN"/>
        </w:rPr>
        <w:t>10月21日</w:t>
      </w:r>
      <w:r>
        <w:rPr>
          <w:rFonts w:hint="eastAsia" w:ascii="仿宋" w:hAnsi="仿宋" w:eastAsia="仿宋"/>
          <w:bCs/>
          <w:color w:val="auto"/>
          <w:sz w:val="28"/>
          <w:szCs w:val="28"/>
          <w:highlight w:val="none"/>
          <w:u w:val="single"/>
        </w:rPr>
        <w:t>8点00分</w:t>
      </w:r>
      <w:r>
        <w:rPr>
          <w:rFonts w:hint="eastAsia" w:ascii="仿宋" w:hAnsi="仿宋" w:eastAsia="仿宋"/>
          <w:bCs/>
          <w:color w:val="auto"/>
          <w:sz w:val="28"/>
          <w:szCs w:val="28"/>
          <w:highlight w:val="none"/>
        </w:rPr>
        <w:t>（北京时间）</w:t>
      </w:r>
    </w:p>
    <w:p w14:paraId="608030FE">
      <w:pPr>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地点：滁州市公共资源交易中心</w:t>
      </w:r>
      <w:r>
        <w:rPr>
          <w:rFonts w:hint="eastAsia" w:ascii="仿宋" w:hAnsi="仿宋" w:eastAsia="仿宋"/>
          <w:color w:val="auto"/>
          <w:sz w:val="28"/>
          <w:szCs w:val="28"/>
          <w:highlight w:val="none"/>
          <w:lang w:val="en-US" w:eastAsia="zh-CN"/>
        </w:rPr>
        <w:t>网</w:t>
      </w:r>
      <w:r>
        <w:rPr>
          <w:rFonts w:hint="eastAsia" w:ascii="仿宋" w:hAnsi="仿宋" w:eastAsia="仿宋"/>
          <w:color w:val="auto"/>
          <w:sz w:val="28"/>
          <w:szCs w:val="28"/>
          <w:highlight w:val="none"/>
        </w:rPr>
        <w:t>。</w:t>
      </w:r>
    </w:p>
    <w:p w14:paraId="168639DF">
      <w:pPr>
        <w:keepNext/>
        <w:keepLines/>
        <w:pageBreakBefore w:val="0"/>
        <w:widowControl w:val="0"/>
        <w:kinsoku/>
        <w:wordWrap/>
        <w:overflowPunct/>
        <w:topLinePunct w:val="0"/>
        <w:autoSpaceDE/>
        <w:autoSpaceDN/>
        <w:bidi w:val="0"/>
        <w:adjustRightInd/>
        <w:snapToGrid/>
        <w:spacing w:line="500" w:lineRule="exact"/>
        <w:ind w:left="0" w:leftChars="0" w:firstLine="560" w:firstLineChars="200"/>
        <w:textAlignment w:val="auto"/>
        <w:outlineLvl w:val="1"/>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五、公告期限</w:t>
      </w:r>
      <w:bookmarkEnd w:id="19"/>
      <w:bookmarkEnd w:id="20"/>
      <w:bookmarkEnd w:id="21"/>
      <w:bookmarkEnd w:id="22"/>
    </w:p>
    <w:p w14:paraId="3FCEFD8B">
      <w:pPr>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自本公告发布之日起5个工作日。</w:t>
      </w:r>
    </w:p>
    <w:p w14:paraId="2BE8EBE8">
      <w:pPr>
        <w:keepNext/>
        <w:keepLines/>
        <w:pageBreakBefore w:val="0"/>
        <w:widowControl w:val="0"/>
        <w:kinsoku/>
        <w:wordWrap/>
        <w:overflowPunct/>
        <w:topLinePunct w:val="0"/>
        <w:autoSpaceDE/>
        <w:autoSpaceDN/>
        <w:bidi w:val="0"/>
        <w:adjustRightInd/>
        <w:snapToGrid/>
        <w:spacing w:line="500" w:lineRule="exact"/>
        <w:ind w:left="0" w:leftChars="0" w:firstLine="560" w:firstLineChars="200"/>
        <w:textAlignment w:val="auto"/>
        <w:outlineLvl w:val="1"/>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六、</w:t>
      </w:r>
      <w:r>
        <w:rPr>
          <w:rFonts w:hint="eastAsia" w:ascii="黑体" w:hAnsi="黑体" w:eastAsia="黑体" w:cs="黑体"/>
          <w:color w:val="auto"/>
          <w:sz w:val="28"/>
          <w:szCs w:val="28"/>
          <w:highlight w:val="none"/>
        </w:rPr>
        <w:t>投标保证金金额及缴纳账户</w:t>
      </w:r>
    </w:p>
    <w:p w14:paraId="02FC8A3C">
      <w:pPr>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Times New Roman"/>
          <w:color w:val="auto"/>
          <w:sz w:val="28"/>
          <w:szCs w:val="28"/>
          <w:highlight w:val="none"/>
          <w:lang w:eastAsia="zh-CN"/>
        </w:rPr>
      </w:pPr>
      <w:bookmarkStart w:id="23" w:name="_Toc35393795"/>
      <w:bookmarkStart w:id="24" w:name="_Toc35393626"/>
      <w:r>
        <w:rPr>
          <w:rFonts w:hint="eastAsia" w:ascii="仿宋" w:hAnsi="仿宋" w:eastAsia="仿宋" w:cs="Times New Roman"/>
          <w:color w:val="auto"/>
          <w:sz w:val="28"/>
          <w:szCs w:val="28"/>
          <w:highlight w:val="none"/>
          <w:lang w:val="en-US" w:eastAsia="zh-CN"/>
        </w:rPr>
        <w:t>本项目</w:t>
      </w:r>
      <w:r>
        <w:rPr>
          <w:rFonts w:hint="eastAsia" w:ascii="仿宋" w:hAnsi="仿宋" w:eastAsia="仿宋" w:cs="Times New Roman"/>
          <w:color w:val="auto"/>
          <w:sz w:val="28"/>
          <w:szCs w:val="28"/>
          <w:highlight w:val="none"/>
          <w:lang w:eastAsia="zh-CN"/>
        </w:rPr>
        <w:t>不要求投标人提交投标保证金。</w:t>
      </w:r>
    </w:p>
    <w:p w14:paraId="67F19344">
      <w:pPr>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eastAsia="zh-CN"/>
        </w:rPr>
        <w:t>本项目不缴纳投标保证金条款仅针对在投标过程中未违反</w:t>
      </w:r>
      <w:r>
        <w:rPr>
          <w:rFonts w:hint="eastAsia" w:ascii="仿宋" w:hAnsi="仿宋" w:eastAsia="仿宋" w:cs="Times New Roman"/>
          <w:color w:val="auto"/>
          <w:sz w:val="28"/>
          <w:szCs w:val="28"/>
          <w:highlight w:val="none"/>
          <w:lang w:val="en-US" w:eastAsia="zh-CN"/>
        </w:rPr>
        <w:t>23.4</w:t>
      </w:r>
      <w:r>
        <w:rPr>
          <w:rFonts w:hint="eastAsia" w:ascii="仿宋" w:hAnsi="仿宋" w:eastAsia="仿宋" w:cs="Times New Roman"/>
          <w:color w:val="auto"/>
          <w:sz w:val="28"/>
          <w:szCs w:val="28"/>
          <w:highlight w:val="none"/>
          <w:lang w:eastAsia="zh-CN"/>
        </w:rPr>
        <w:t>约定的投标人。如在投标过程中投标人存在招标文件</w:t>
      </w:r>
      <w:r>
        <w:rPr>
          <w:rFonts w:hint="eastAsia" w:ascii="仿宋" w:hAnsi="仿宋" w:eastAsia="仿宋" w:cs="Times New Roman"/>
          <w:color w:val="auto"/>
          <w:sz w:val="28"/>
          <w:szCs w:val="28"/>
          <w:highlight w:val="none"/>
          <w:lang w:val="en-US" w:eastAsia="zh-CN"/>
        </w:rPr>
        <w:t>23.4</w:t>
      </w:r>
      <w:r>
        <w:rPr>
          <w:rFonts w:hint="eastAsia" w:ascii="仿宋" w:hAnsi="仿宋" w:eastAsia="仿宋" w:cs="Times New Roman"/>
          <w:color w:val="auto"/>
          <w:sz w:val="28"/>
          <w:szCs w:val="28"/>
          <w:highlight w:val="none"/>
          <w:lang w:eastAsia="zh-CN"/>
        </w:rPr>
        <w:t>约定情形，则无条件按招标人要求的金额（</w:t>
      </w:r>
      <w:r>
        <w:rPr>
          <w:rFonts w:hint="eastAsia" w:ascii="仿宋" w:hAnsi="仿宋" w:eastAsia="仿宋" w:cs="Times New Roman"/>
          <w:color w:val="auto"/>
          <w:sz w:val="28"/>
          <w:szCs w:val="28"/>
          <w:highlight w:val="none"/>
          <w:lang w:val="en-US" w:eastAsia="zh-CN"/>
        </w:rPr>
        <w:t>1.0万元</w:t>
      </w:r>
      <w:r>
        <w:rPr>
          <w:rFonts w:hint="eastAsia" w:ascii="仿宋" w:hAnsi="仿宋" w:eastAsia="仿宋" w:cs="Times New Roman"/>
          <w:color w:val="auto"/>
          <w:sz w:val="28"/>
          <w:szCs w:val="28"/>
          <w:highlight w:val="none"/>
          <w:lang w:eastAsia="zh-CN"/>
        </w:rPr>
        <w:t>）、时间、帐号缴纳投标保证金</w:t>
      </w:r>
      <w:r>
        <w:rPr>
          <w:rFonts w:hint="eastAsia" w:ascii="仿宋" w:hAnsi="仿宋" w:eastAsia="仿宋" w:cs="Times New Roman"/>
          <w:color w:val="auto"/>
          <w:sz w:val="28"/>
          <w:szCs w:val="28"/>
          <w:highlight w:val="none"/>
        </w:rPr>
        <w:t>。</w:t>
      </w:r>
    </w:p>
    <w:p w14:paraId="6503DFA9">
      <w:pPr>
        <w:pStyle w:val="120"/>
        <w:pageBreakBefore w:val="0"/>
        <w:widowControl w:val="0"/>
        <w:kinsoku/>
        <w:wordWrap/>
        <w:overflowPunct/>
        <w:topLinePunct w:val="0"/>
        <w:autoSpaceDE/>
        <w:autoSpaceDN/>
        <w:bidi w:val="0"/>
        <w:adjustRightInd/>
        <w:snapToGrid/>
        <w:spacing w:line="500" w:lineRule="exact"/>
        <w:ind w:left="0" w:leftChars="0"/>
        <w:textAlignment w:val="auto"/>
        <w:rPr>
          <w:color w:val="auto"/>
          <w:highlight w:val="none"/>
        </w:rPr>
      </w:pPr>
      <w:r>
        <w:rPr>
          <w:color w:val="auto"/>
          <w:highlight w:val="none"/>
        </w:rPr>
        <w:t>窗体顶端</w:t>
      </w:r>
    </w:p>
    <w:p w14:paraId="42527FF2">
      <w:pPr>
        <w:pStyle w:val="121"/>
        <w:pageBreakBefore w:val="0"/>
        <w:widowControl w:val="0"/>
        <w:kinsoku/>
        <w:wordWrap/>
        <w:overflowPunct/>
        <w:topLinePunct w:val="0"/>
        <w:autoSpaceDE/>
        <w:autoSpaceDN/>
        <w:bidi w:val="0"/>
        <w:adjustRightInd/>
        <w:snapToGrid/>
        <w:spacing w:line="500" w:lineRule="exact"/>
        <w:ind w:left="0" w:leftChars="0"/>
        <w:textAlignment w:val="auto"/>
        <w:rPr>
          <w:color w:val="auto"/>
          <w:highlight w:val="none"/>
        </w:rPr>
      </w:pPr>
      <w:r>
        <w:rPr>
          <w:rFonts w:hint="eastAsia" w:ascii="仿宋_GB2312" w:hAnsi="仿宋_GB2312" w:eastAsia="仿宋_GB2312" w:cs="仿宋_GB2312"/>
          <w:color w:val="auto"/>
          <w:sz w:val="28"/>
          <w:szCs w:val="28"/>
          <w:highlight w:val="none"/>
        </w:rPr>
        <w:t>投标保证金的金额：</w:t>
      </w:r>
      <w:r>
        <w:rPr>
          <w:rFonts w:hint="eastAsia" w:ascii="仿宋_GB2312" w:hAnsi="仿宋_GB2312" w:eastAsia="仿宋_GB2312" w:cs="仿宋_GB2312"/>
          <w:color w:val="auto"/>
          <w:sz w:val="28"/>
          <w:szCs w:val="28"/>
          <w:highlight w:val="none"/>
          <w:lang w:eastAsia="zh-CN"/>
        </w:rPr>
        <w:t>1</w:t>
      </w:r>
      <w:r>
        <w:rPr>
          <w:rFonts w:hint="eastAsia" w:ascii="仿宋_GB2312" w:hAnsi="仿宋_GB2312" w:eastAsia="仿宋_GB2312" w:cs="仿宋_GB2312"/>
          <w:color w:val="auto"/>
          <w:sz w:val="28"/>
          <w:szCs w:val="28"/>
          <w:highlight w:val="none"/>
          <w:lang w:val="en-US" w:eastAsia="zh-CN"/>
        </w:rPr>
        <w:t>3.2</w:t>
      </w:r>
      <w:r>
        <w:rPr>
          <w:rFonts w:hint="eastAsia" w:ascii="仿宋_GB2312" w:hAnsi="仿宋_GB2312" w:eastAsia="仿宋_GB2312" w:cs="仿宋_GB2312"/>
          <w:color w:val="auto"/>
          <w:sz w:val="28"/>
          <w:szCs w:val="28"/>
          <w:highlight w:val="none"/>
        </w:rPr>
        <w:t>万元</w:t>
      </w:r>
      <w:r>
        <w:rPr>
          <w:color w:val="auto"/>
          <w:highlight w:val="none"/>
        </w:rPr>
        <w:t>窗体底端</w:t>
      </w:r>
    </w:p>
    <w:p w14:paraId="6B6E0875">
      <w:pPr>
        <w:keepNext/>
        <w:keepLines/>
        <w:pageBreakBefore w:val="0"/>
        <w:widowControl w:val="0"/>
        <w:kinsoku/>
        <w:wordWrap/>
        <w:overflowPunct/>
        <w:topLinePunct w:val="0"/>
        <w:autoSpaceDE/>
        <w:autoSpaceDN/>
        <w:bidi w:val="0"/>
        <w:adjustRightInd/>
        <w:snapToGrid/>
        <w:spacing w:line="500" w:lineRule="exact"/>
        <w:ind w:left="0" w:leftChars="0" w:firstLine="560" w:firstLineChars="200"/>
        <w:textAlignment w:val="auto"/>
        <w:outlineLvl w:val="1"/>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七、其他补充事宜</w:t>
      </w:r>
      <w:bookmarkEnd w:id="23"/>
      <w:bookmarkEnd w:id="24"/>
    </w:p>
    <w:p w14:paraId="61C99EEE">
      <w:pPr>
        <w:keepNext w:val="0"/>
        <w:keepLines w:val="0"/>
        <w:pageBreakBefore w:val="0"/>
        <w:widowControl w:val="0"/>
        <w:kinsoku/>
        <w:wordWrap w:val="0"/>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本项目只接受在安徽省公共资源交易市场主体库（http://ggzy.ah.gov.cn/ahggfwpt-zhutiku/dengludenglu）登记并进行信息确认提交的投标人投标，未登记的投标人请及时办理CA数字证书并登录安徽省公共资源交易市场主体库进行信息填写及确认提交；已办理过CA数字证书视为已在省库登记，进行信息更新及确认提交即可。办理流程为登录滁州市公共资源交易中心网&gt;服务指南&gt;办事指南中的“CA数字证书和电子签章”及“市场主体登记”。相关服务电话：（1）安徽省公共资源交易市场主体库使用相关问题（系统登录、信息登记、录入及提交、数字证书关联等）：010-86483801转5-2 ；（2）CA数字证书有关问题：安徽CA客服400-880-4959、0550-3019013（工作日）,CFCA客服025-66085508 、0550-3801669（工作日）；（3）市场主体招标环节和投标环节系统使用问题：0512-58188516（8:00-21:00）、0550-3801701（工作日）。因未及时通过CA数字证书登录省主体库对相关信息进行补充完善并确认提交，导致无法投标的，责任自负。为保证系统使用过程中产生的问题能够及时得到解决，请各主体在工作时间进行主体信息登记、更新、投标文件制作等相关操作。</w:t>
      </w:r>
    </w:p>
    <w:p w14:paraId="79D1C92F">
      <w:pPr>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2.请投标人登录滁州市公共资源交易中心网站查看参加本项目的程序（具体操作步骤和程序请参见服务指南&gt;交易须知&gt;投标人填写投标信息、下载文件及网上提问操作手册）。</w:t>
      </w:r>
    </w:p>
    <w:p w14:paraId="3713EE9E">
      <w:pPr>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本项目采用不见面开标(远程解密)方式，开标时投标人无须至开标现场进行解密，开标采取远程解密方式解密投标文件，投标人远程解密方式：投标人在开标时间前使用CA数字证书登录滁州市“不见面开标系统”，网址为https://ggzy.chuzhou.gov.cn/BidOpening,等待开标并按系统提示进行相应的投标人解密等事项，无需到开标现场。采用本方式可以观看开标现场音视频直播并进行互动交流。具体操作方法见中心网站&gt;服务指南&gt;交易须知中的《滁州市不见面开标系统操作手册》。解密时间要求为：从本项目解密程序开始时计时，至完成投标文件解密时间，不得超过60分钟，否则投标文件将被拒绝。</w:t>
      </w:r>
    </w:p>
    <w:p w14:paraId="5A25691D">
      <w:pPr>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4.投标文件格式、内容和制作要求以招标文件为准，投标文件制作工具中提供的相关格式及内容仅供参考，投标企业可根据招标文件要求自行调整。</w:t>
      </w:r>
    </w:p>
    <w:p w14:paraId="3B92CED2">
      <w:pPr>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投标人提出异议的截止时间及方式：如投标人对招标文件有异议，请于2025年10月11日08时（投标截止10日）前在滁州市公共资源交易中心网电子交易系统中进行异议，具体操作步骤和程序请参见服务指南&gt;交易须知&gt;在线异议、质疑和投诉操作手册。</w:t>
      </w:r>
    </w:p>
    <w:p w14:paraId="110471A2">
      <w:pPr>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6.受理异议的联系人及联系方式：夏春立18109600828、关勤勤18909605753。</w:t>
      </w:r>
    </w:p>
    <w:p w14:paraId="395B4808">
      <w:pPr>
        <w:keepNext/>
        <w:keepLines/>
        <w:pageBreakBefore w:val="0"/>
        <w:widowControl w:val="0"/>
        <w:kinsoku/>
        <w:wordWrap/>
        <w:overflowPunct/>
        <w:topLinePunct w:val="0"/>
        <w:autoSpaceDE/>
        <w:autoSpaceDN/>
        <w:bidi w:val="0"/>
        <w:adjustRightInd/>
        <w:snapToGrid/>
        <w:spacing w:line="500" w:lineRule="exact"/>
        <w:ind w:left="0" w:leftChars="0" w:firstLine="560" w:firstLineChars="200"/>
        <w:textAlignment w:val="auto"/>
        <w:outlineLvl w:val="1"/>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八、对本次招标提出询问，请按以下方式联系</w:t>
      </w:r>
    </w:p>
    <w:p w14:paraId="756029E8">
      <w:pPr>
        <w:pStyle w:val="6"/>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outlineLvl w:val="2"/>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1.招标人信息</w:t>
      </w:r>
    </w:p>
    <w:p w14:paraId="368AE969">
      <w:pPr>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名    称：</w:t>
      </w:r>
      <w:r>
        <w:rPr>
          <w:rFonts w:hint="eastAsia" w:ascii="仿宋" w:hAnsi="仿宋" w:eastAsia="仿宋" w:cs="仿宋"/>
          <w:color w:val="auto"/>
          <w:sz w:val="28"/>
          <w:szCs w:val="28"/>
          <w:highlight w:val="none"/>
          <w:u w:val="single"/>
          <w:lang w:val="en-US" w:eastAsia="zh-CN"/>
        </w:rPr>
        <w:t>滁州大剧院有限公司</w:t>
      </w:r>
      <w:r>
        <w:rPr>
          <w:rFonts w:hint="eastAsia" w:ascii="仿宋" w:hAnsi="仿宋" w:eastAsia="仿宋" w:cs="仿宋"/>
          <w:color w:val="auto"/>
          <w:sz w:val="28"/>
          <w:szCs w:val="28"/>
          <w:highlight w:val="none"/>
          <w:u w:val="single"/>
        </w:rPr>
        <w:t xml:space="preserve">  </w:t>
      </w:r>
    </w:p>
    <w:p w14:paraId="44ABF0A4">
      <w:pPr>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u w:val="single"/>
          <w:lang w:val="en-US" w:eastAsia="zh-CN"/>
        </w:rPr>
        <w:t>滁州市琅琊路196、198、200号</w:t>
      </w:r>
      <w:r>
        <w:rPr>
          <w:rFonts w:hint="eastAsia" w:ascii="仿宋" w:hAnsi="仿宋" w:eastAsia="仿宋" w:cs="仿宋"/>
          <w:color w:val="auto"/>
          <w:sz w:val="28"/>
          <w:szCs w:val="28"/>
          <w:highlight w:val="none"/>
          <w:u w:val="single"/>
        </w:rPr>
        <w:t xml:space="preserve"> </w:t>
      </w:r>
    </w:p>
    <w:p w14:paraId="09F47A80">
      <w:pPr>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u w:val="single"/>
          <w:lang w:val="en-US" w:eastAsia="zh-CN"/>
        </w:rPr>
        <w:t>18109600828</w:t>
      </w:r>
    </w:p>
    <w:p w14:paraId="1002910F">
      <w:pPr>
        <w:pStyle w:val="6"/>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outlineLvl w:val="2"/>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2.代理机构信息</w:t>
      </w:r>
    </w:p>
    <w:p w14:paraId="7A138625">
      <w:pPr>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名    称：</w:t>
      </w:r>
      <w:r>
        <w:rPr>
          <w:rFonts w:hint="eastAsia" w:ascii="仿宋" w:hAnsi="仿宋" w:eastAsia="仿宋" w:cs="仿宋"/>
          <w:color w:val="auto"/>
          <w:sz w:val="28"/>
          <w:szCs w:val="28"/>
          <w:highlight w:val="none"/>
          <w:u w:val="single"/>
        </w:rPr>
        <w:t>滁州市城投工程咨询管理有限公司</w:t>
      </w:r>
    </w:p>
    <w:p w14:paraId="5D0C90F0">
      <w:pPr>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u w:val="single"/>
        </w:rPr>
        <w:t>滁州市龙蟠大道109号房产大厦6楼</w:t>
      </w:r>
      <w:r>
        <w:rPr>
          <w:rFonts w:hint="eastAsia" w:ascii="仿宋" w:hAnsi="仿宋" w:eastAsia="仿宋" w:cs="仿宋"/>
          <w:color w:val="auto"/>
          <w:sz w:val="28"/>
          <w:szCs w:val="28"/>
          <w:highlight w:val="none"/>
          <w:u w:val="single"/>
          <w:lang w:val="en-US" w:eastAsia="zh-CN"/>
        </w:rPr>
        <w:t>620</w:t>
      </w:r>
    </w:p>
    <w:p w14:paraId="0AB3287B">
      <w:pPr>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color w:val="auto"/>
          <w:sz w:val="28"/>
          <w:szCs w:val="28"/>
          <w:highlight w:val="none"/>
          <w:u w:val="single"/>
          <w:lang w:eastAsia="zh-CN"/>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u w:val="single"/>
          <w:lang w:eastAsia="zh-CN"/>
        </w:rPr>
        <w:t>18909605753</w:t>
      </w:r>
    </w:p>
    <w:p w14:paraId="4D1F0C41">
      <w:pPr>
        <w:pStyle w:val="6"/>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outlineLvl w:val="2"/>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3.项目联系方式</w:t>
      </w:r>
    </w:p>
    <w:p w14:paraId="73FFDB35">
      <w:pPr>
        <w:pStyle w:val="19"/>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color w:val="auto"/>
          <w:sz w:val="28"/>
          <w:szCs w:val="28"/>
          <w:highlight w:val="none"/>
          <w:u w:val="single" w:color="auto"/>
        </w:rPr>
      </w:pPr>
      <w:r>
        <w:rPr>
          <w:rFonts w:hint="eastAsia" w:ascii="仿宋" w:hAnsi="仿宋" w:eastAsia="仿宋" w:cs="仿宋"/>
          <w:color w:val="auto"/>
          <w:sz w:val="28"/>
          <w:szCs w:val="28"/>
          <w:highlight w:val="none"/>
        </w:rPr>
        <w:t>项目联系人：</w:t>
      </w:r>
      <w:r>
        <w:rPr>
          <w:rFonts w:hint="eastAsia" w:ascii="仿宋" w:hAnsi="仿宋" w:eastAsia="仿宋" w:cs="仿宋"/>
          <w:color w:val="auto"/>
          <w:sz w:val="28"/>
          <w:szCs w:val="28"/>
          <w:highlight w:val="none"/>
          <w:u w:val="single" w:color="auto"/>
          <w:lang w:val="en-US" w:eastAsia="zh-CN"/>
        </w:rPr>
        <w:t>夏春立</w:t>
      </w:r>
      <w:r>
        <w:rPr>
          <w:rFonts w:hint="eastAsia" w:ascii="仿宋" w:hAnsi="仿宋" w:eastAsia="仿宋" w:cs="仿宋"/>
          <w:color w:val="auto"/>
          <w:sz w:val="28"/>
          <w:szCs w:val="28"/>
          <w:highlight w:val="none"/>
          <w:u w:val="single" w:color="auto"/>
          <w:lang w:eastAsia="zh-CN"/>
        </w:rPr>
        <w:t>、</w:t>
      </w:r>
      <w:r>
        <w:rPr>
          <w:rFonts w:hint="eastAsia" w:ascii="仿宋" w:hAnsi="仿宋" w:eastAsia="仿宋" w:cs="仿宋"/>
          <w:color w:val="auto"/>
          <w:sz w:val="28"/>
          <w:szCs w:val="28"/>
          <w:highlight w:val="none"/>
          <w:u w:val="single" w:color="auto"/>
          <w:lang w:val="en-US" w:eastAsia="zh-CN"/>
        </w:rPr>
        <w:t>关勤勤</w:t>
      </w:r>
      <w:r>
        <w:rPr>
          <w:rFonts w:hint="eastAsia" w:ascii="仿宋" w:hAnsi="仿宋" w:eastAsia="仿宋" w:cs="仿宋"/>
          <w:color w:val="auto"/>
          <w:sz w:val="28"/>
          <w:szCs w:val="28"/>
          <w:highlight w:val="none"/>
          <w:u w:val="single" w:color="auto"/>
        </w:rPr>
        <w:t xml:space="preserve">   </w:t>
      </w:r>
      <w:r>
        <w:rPr>
          <w:rFonts w:hint="eastAsia" w:ascii="仿宋" w:hAnsi="仿宋" w:eastAsia="仿宋" w:cs="仿宋"/>
          <w:color w:val="auto"/>
          <w:sz w:val="28"/>
          <w:szCs w:val="28"/>
          <w:highlight w:val="none"/>
          <w:u w:val="none" w:color="auto"/>
        </w:rPr>
        <w:t xml:space="preserve">  </w:t>
      </w:r>
      <w:r>
        <w:rPr>
          <w:rFonts w:hint="eastAsia" w:ascii="仿宋" w:hAnsi="仿宋" w:eastAsia="仿宋" w:cs="仿宋"/>
          <w:color w:val="auto"/>
          <w:sz w:val="28"/>
          <w:szCs w:val="28"/>
          <w:highlight w:val="none"/>
          <w:u w:val="single" w:color="auto"/>
        </w:rPr>
        <w:t xml:space="preserve">    </w:t>
      </w:r>
    </w:p>
    <w:p w14:paraId="05876C33">
      <w:pPr>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ascii="仿宋" w:hAnsi="仿宋" w:eastAsia="仿宋"/>
          <w:color w:val="auto"/>
          <w:sz w:val="28"/>
          <w:szCs w:val="28"/>
          <w:highlight w:val="none"/>
          <w:u w:val="single"/>
        </w:rPr>
      </w:pPr>
      <w:r>
        <w:rPr>
          <w:rFonts w:hint="eastAsia" w:ascii="仿宋" w:hAnsi="仿宋" w:eastAsia="仿宋" w:cs="仿宋"/>
          <w:color w:val="auto"/>
          <w:sz w:val="28"/>
          <w:szCs w:val="28"/>
          <w:highlight w:val="none"/>
        </w:rPr>
        <w:t>电　　 话：</w:t>
      </w:r>
      <w:r>
        <w:rPr>
          <w:rFonts w:hint="eastAsia" w:ascii="仿宋" w:hAnsi="仿宋" w:eastAsia="仿宋" w:cs="仿宋"/>
          <w:color w:val="auto"/>
          <w:sz w:val="28"/>
          <w:szCs w:val="28"/>
          <w:highlight w:val="none"/>
          <w:u w:val="single"/>
          <w:lang w:val="en-US" w:eastAsia="zh-CN"/>
        </w:rPr>
        <w:t>18109600828</w:t>
      </w:r>
      <w:r>
        <w:rPr>
          <w:rFonts w:hint="eastAsia" w:ascii="仿宋_GB2312" w:hAnsi="仿宋_GB2312" w:eastAsia="仿宋_GB2312" w:cs="仿宋_GB2312"/>
          <w:color w:val="auto"/>
          <w:sz w:val="28"/>
          <w:szCs w:val="28"/>
          <w:highlight w:val="none"/>
          <w:u w:val="single"/>
          <w:lang w:val="en-US" w:eastAsia="zh-CN"/>
        </w:rPr>
        <w:t>、</w:t>
      </w:r>
      <w:r>
        <w:rPr>
          <w:rFonts w:hint="eastAsia" w:ascii="仿宋" w:hAnsi="仿宋" w:eastAsia="仿宋" w:cs="仿宋"/>
          <w:color w:val="auto"/>
          <w:sz w:val="28"/>
          <w:szCs w:val="28"/>
          <w:highlight w:val="none"/>
          <w:u w:val="single"/>
          <w:lang w:eastAsia="zh-CN"/>
        </w:rPr>
        <w:t>18909605753</w:t>
      </w:r>
      <w:r>
        <w:rPr>
          <w:rFonts w:hint="eastAsia" w:ascii="仿宋" w:hAnsi="仿宋" w:eastAsia="仿宋" w:cs="仿宋"/>
          <w:color w:val="auto"/>
          <w:sz w:val="28"/>
          <w:szCs w:val="28"/>
          <w:highlight w:val="none"/>
          <w:u w:val="single"/>
        </w:rPr>
        <w:t xml:space="preserve">  </w:t>
      </w:r>
    </w:p>
    <w:p w14:paraId="4CFFFA95">
      <w:pPr>
        <w:pStyle w:val="5"/>
        <w:keepNext/>
        <w:keepLines/>
        <w:pageBreakBefore w:val="0"/>
        <w:widowControl w:val="0"/>
        <w:kinsoku/>
        <w:wordWrap/>
        <w:overflowPunct/>
        <w:topLinePunct w:val="0"/>
        <w:autoSpaceDE/>
        <w:autoSpaceDN/>
        <w:bidi w:val="0"/>
        <w:adjustRightInd/>
        <w:snapToGrid/>
        <w:spacing w:before="0" w:beforeLines="0" w:after="0" w:afterLines="0" w:line="240" w:lineRule="auto"/>
        <w:textAlignment w:val="auto"/>
        <w:rPr>
          <w:rFonts w:hint="eastAsia" w:ascii="宋体"/>
          <w:b w:val="0"/>
          <w:color w:val="auto"/>
          <w:szCs w:val="32"/>
          <w:highlight w:val="none"/>
        </w:rPr>
      </w:pPr>
      <w:bookmarkStart w:id="25" w:name="_Toc20364"/>
      <w:r>
        <w:rPr>
          <w:rFonts w:hint="eastAsia"/>
          <w:color w:val="auto"/>
          <w:highlight w:val="none"/>
        </w:rPr>
        <w:br w:type="page"/>
      </w:r>
      <w:r>
        <w:rPr>
          <w:rFonts w:hint="eastAsia" w:ascii="华文中宋" w:hAnsi="华文中宋" w:eastAsia="华文中宋"/>
          <w:color w:val="auto"/>
          <w:highlight w:val="none"/>
        </w:rPr>
        <w:t>第二章 投标人须知</w:t>
      </w:r>
      <w:bookmarkEnd w:id="25"/>
    </w:p>
    <w:p w14:paraId="0F7DC333">
      <w:pPr>
        <w:snapToGrid w:val="0"/>
        <w:spacing w:line="440" w:lineRule="exact"/>
        <w:jc w:val="center"/>
        <w:outlineLvl w:val="1"/>
        <w:rPr>
          <w:rFonts w:hint="eastAsia" w:ascii="宋体"/>
          <w:b/>
          <w:color w:val="auto"/>
          <w:sz w:val="28"/>
          <w:szCs w:val="28"/>
          <w:highlight w:val="none"/>
        </w:rPr>
      </w:pPr>
      <w:bookmarkStart w:id="26" w:name="_Toc449028865"/>
      <w:bookmarkStart w:id="27" w:name="_Toc58430314"/>
      <w:bookmarkStart w:id="28" w:name="_Toc1019"/>
      <w:r>
        <w:rPr>
          <w:rFonts w:hint="eastAsia" w:ascii="宋体"/>
          <w:b/>
          <w:color w:val="auto"/>
          <w:sz w:val="32"/>
          <w:szCs w:val="32"/>
          <w:highlight w:val="none"/>
        </w:rPr>
        <w:t>一、</w:t>
      </w:r>
      <w:r>
        <w:rPr>
          <w:rFonts w:hint="eastAsia" w:ascii="宋体"/>
          <w:b/>
          <w:color w:val="auto"/>
          <w:sz w:val="28"/>
          <w:szCs w:val="28"/>
          <w:highlight w:val="none"/>
        </w:rPr>
        <w:t>投标人须知前附表</w:t>
      </w:r>
      <w:bookmarkEnd w:id="26"/>
      <w:bookmarkEnd w:id="27"/>
      <w:bookmarkEnd w:id="28"/>
    </w:p>
    <w:tbl>
      <w:tblPr>
        <w:tblStyle w:val="35"/>
        <w:tblW w:w="10213"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048"/>
        <w:gridCol w:w="878"/>
        <w:gridCol w:w="1262"/>
        <w:gridCol w:w="7025"/>
      </w:tblGrid>
      <w:tr w14:paraId="39AA7F0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6" w:hRule="atLeast"/>
          <w:jc w:val="center"/>
        </w:trPr>
        <w:tc>
          <w:tcPr>
            <w:tcW w:w="1048" w:type="dxa"/>
            <w:noWrap w:val="0"/>
            <w:vAlign w:val="center"/>
          </w:tcPr>
          <w:p w14:paraId="055B5E0F">
            <w:pPr>
              <w:pStyle w:val="19"/>
              <w:keepNext w:val="0"/>
              <w:keepLines w:val="0"/>
              <w:pageBreakBefore w:val="0"/>
              <w:kinsoku/>
              <w:overflowPunct/>
              <w:autoSpaceDE/>
              <w:autoSpaceDN/>
              <w:bidi w:val="0"/>
              <w:adjustRightInd/>
              <w:spacing w:line="440" w:lineRule="exact"/>
              <w:jc w:val="center"/>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2140" w:type="dxa"/>
            <w:gridSpan w:val="2"/>
            <w:noWrap w:val="0"/>
            <w:vAlign w:val="center"/>
          </w:tcPr>
          <w:p w14:paraId="044C8C51">
            <w:pPr>
              <w:pStyle w:val="19"/>
              <w:keepNext w:val="0"/>
              <w:keepLines w:val="0"/>
              <w:pageBreakBefore w:val="0"/>
              <w:kinsoku/>
              <w:overflowPunct/>
              <w:autoSpaceDE/>
              <w:autoSpaceDN/>
              <w:bidi w:val="0"/>
              <w:adjustRightInd/>
              <w:spacing w:line="440" w:lineRule="exact"/>
              <w:jc w:val="center"/>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内容</w:t>
            </w:r>
          </w:p>
        </w:tc>
        <w:tc>
          <w:tcPr>
            <w:tcW w:w="7025" w:type="dxa"/>
            <w:noWrap w:val="0"/>
            <w:vAlign w:val="center"/>
          </w:tcPr>
          <w:p w14:paraId="77404232">
            <w:pPr>
              <w:pStyle w:val="19"/>
              <w:keepNext w:val="0"/>
              <w:keepLines w:val="0"/>
              <w:pageBreakBefore w:val="0"/>
              <w:kinsoku/>
              <w:overflowPunct/>
              <w:autoSpaceDE/>
              <w:autoSpaceDN/>
              <w:bidi w:val="0"/>
              <w:adjustRightInd/>
              <w:spacing w:line="440" w:lineRule="exact"/>
              <w:jc w:val="center"/>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说明与要求</w:t>
            </w:r>
          </w:p>
        </w:tc>
      </w:tr>
      <w:tr w14:paraId="0331E6A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49" w:hRule="atLeast"/>
          <w:jc w:val="center"/>
        </w:trPr>
        <w:tc>
          <w:tcPr>
            <w:tcW w:w="1048" w:type="dxa"/>
            <w:noWrap w:val="0"/>
            <w:vAlign w:val="center"/>
          </w:tcPr>
          <w:p w14:paraId="58AAB213">
            <w:pPr>
              <w:pStyle w:val="19"/>
              <w:keepNext w:val="0"/>
              <w:keepLines w:val="0"/>
              <w:pageBreakBefore w:val="0"/>
              <w:kinsoku/>
              <w:overflowPunct/>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2140" w:type="dxa"/>
            <w:gridSpan w:val="2"/>
            <w:noWrap w:val="0"/>
            <w:vAlign w:val="center"/>
          </w:tcPr>
          <w:p w14:paraId="3F8980E3">
            <w:pPr>
              <w:pStyle w:val="19"/>
              <w:keepNext w:val="0"/>
              <w:keepLines w:val="0"/>
              <w:pageBreakBefore w:val="0"/>
              <w:kinsoku/>
              <w:overflowPunct/>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7025" w:type="dxa"/>
            <w:noWrap w:val="0"/>
            <w:vAlign w:val="center"/>
          </w:tcPr>
          <w:p w14:paraId="7AE3702A">
            <w:pPr>
              <w:pStyle w:val="19"/>
              <w:keepNext w:val="0"/>
              <w:keepLines w:val="0"/>
              <w:pageBreakBefore w:val="0"/>
              <w:kinsoku/>
              <w:overflowPunct/>
              <w:autoSpaceDE/>
              <w:autoSpaceDN/>
              <w:bidi w:val="0"/>
              <w:adjustRightInd/>
              <w:spacing w:line="440" w:lineRule="exact"/>
              <w:textAlignment w:val="auto"/>
              <w:rPr>
                <w:rFonts w:hint="eastAsia" w:ascii="宋体" w:hAnsi="宋体" w:eastAsia="宋体" w:cs="宋体"/>
                <w:color w:val="auto"/>
                <w:szCs w:val="21"/>
                <w:highlight w:val="none"/>
                <w:lang w:val="en-US"/>
              </w:rPr>
            </w:pPr>
            <w:r>
              <w:rPr>
                <w:rFonts w:hint="eastAsia" w:hAnsi="宋体" w:cs="宋体"/>
                <w:color w:val="auto"/>
                <w:szCs w:val="21"/>
                <w:highlight w:val="none"/>
                <w:lang w:eastAsia="zh-CN"/>
              </w:rPr>
              <w:t>滁州大剧院物业管理服务项目</w:t>
            </w:r>
          </w:p>
        </w:tc>
      </w:tr>
      <w:tr w14:paraId="252FD0D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9" w:hRule="atLeast"/>
          <w:jc w:val="center"/>
        </w:trPr>
        <w:tc>
          <w:tcPr>
            <w:tcW w:w="1048" w:type="dxa"/>
            <w:noWrap w:val="0"/>
            <w:vAlign w:val="center"/>
          </w:tcPr>
          <w:p w14:paraId="3FBFC986">
            <w:pPr>
              <w:pStyle w:val="19"/>
              <w:keepNext w:val="0"/>
              <w:keepLines w:val="0"/>
              <w:pageBreakBefore w:val="0"/>
              <w:kinsoku/>
              <w:overflowPunct/>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2140" w:type="dxa"/>
            <w:gridSpan w:val="2"/>
            <w:noWrap w:val="0"/>
            <w:vAlign w:val="center"/>
          </w:tcPr>
          <w:p w14:paraId="124F41DD">
            <w:pPr>
              <w:pStyle w:val="19"/>
              <w:keepNext w:val="0"/>
              <w:keepLines w:val="0"/>
              <w:pageBreakBefore w:val="0"/>
              <w:kinsoku/>
              <w:overflowPunct/>
              <w:autoSpaceDE/>
              <w:autoSpaceDN/>
              <w:bidi w:val="0"/>
              <w:adjustRightInd/>
              <w:spacing w:line="440" w:lineRule="exact"/>
              <w:textAlignment w:val="auto"/>
              <w:rPr>
                <w:rFonts w:hint="eastAsia" w:hAnsi="宋体" w:cs="宋体"/>
                <w:color w:val="auto"/>
                <w:szCs w:val="21"/>
                <w:highlight w:val="none"/>
                <w:lang w:eastAsia="zh-CN"/>
              </w:rPr>
            </w:pPr>
            <w:r>
              <w:rPr>
                <w:rFonts w:hint="eastAsia" w:hAnsi="宋体" w:cs="宋体"/>
                <w:color w:val="auto"/>
                <w:szCs w:val="21"/>
                <w:highlight w:val="none"/>
                <w:lang w:eastAsia="zh-CN"/>
              </w:rPr>
              <w:t>项目编号</w:t>
            </w:r>
          </w:p>
        </w:tc>
        <w:tc>
          <w:tcPr>
            <w:tcW w:w="7025" w:type="dxa"/>
            <w:noWrap w:val="0"/>
            <w:vAlign w:val="center"/>
          </w:tcPr>
          <w:p w14:paraId="6AB1B6D2">
            <w:pPr>
              <w:pStyle w:val="19"/>
              <w:keepNext w:val="0"/>
              <w:keepLines w:val="0"/>
              <w:pageBreakBefore w:val="0"/>
              <w:kinsoku/>
              <w:overflowPunct/>
              <w:autoSpaceDE/>
              <w:autoSpaceDN/>
              <w:bidi w:val="0"/>
              <w:adjustRightInd/>
              <w:spacing w:line="440" w:lineRule="exact"/>
              <w:textAlignment w:val="auto"/>
              <w:rPr>
                <w:rFonts w:hint="default" w:hAnsi="宋体" w:cs="宋体"/>
                <w:color w:val="auto"/>
                <w:szCs w:val="21"/>
                <w:highlight w:val="none"/>
                <w:lang w:val="en-US" w:eastAsia="zh-CN"/>
              </w:rPr>
            </w:pPr>
            <w:r>
              <w:rPr>
                <w:rFonts w:hint="default" w:hAnsi="宋体" w:cs="宋体"/>
                <w:color w:val="auto"/>
                <w:szCs w:val="21"/>
                <w:highlight w:val="none"/>
                <w:lang w:val="en-US" w:eastAsia="zh-CN"/>
              </w:rPr>
              <w:t>czsjqt202509-031</w:t>
            </w:r>
          </w:p>
        </w:tc>
      </w:tr>
      <w:tr w14:paraId="3EBD18E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jc w:val="center"/>
        </w:trPr>
        <w:tc>
          <w:tcPr>
            <w:tcW w:w="1048" w:type="dxa"/>
            <w:noWrap w:val="0"/>
            <w:vAlign w:val="center"/>
          </w:tcPr>
          <w:p w14:paraId="545F3843">
            <w:pPr>
              <w:pStyle w:val="19"/>
              <w:keepNext w:val="0"/>
              <w:keepLines w:val="0"/>
              <w:pageBreakBefore w:val="0"/>
              <w:kinsoku/>
              <w:overflowPunct/>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2140" w:type="dxa"/>
            <w:gridSpan w:val="2"/>
            <w:noWrap w:val="0"/>
            <w:vAlign w:val="center"/>
          </w:tcPr>
          <w:p w14:paraId="3C162275">
            <w:pPr>
              <w:pStyle w:val="19"/>
              <w:keepNext w:val="0"/>
              <w:keepLines w:val="0"/>
              <w:pageBreakBefore w:val="0"/>
              <w:kinsoku/>
              <w:overflowPunct/>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合同履行期限</w:t>
            </w:r>
          </w:p>
        </w:tc>
        <w:tc>
          <w:tcPr>
            <w:tcW w:w="7025" w:type="dxa"/>
            <w:noWrap w:val="0"/>
            <w:vAlign w:val="center"/>
          </w:tcPr>
          <w:p w14:paraId="29029C20">
            <w:pPr>
              <w:keepNext w:val="0"/>
              <w:keepLines w:val="0"/>
              <w:pageBreakBefore w:val="0"/>
              <w:kinsoku/>
              <w:overflowPunct/>
              <w:autoSpaceDE/>
              <w:autoSpaceDN/>
              <w:bidi w:val="0"/>
              <w:adjustRightInd/>
              <w:spacing w:line="440" w:lineRule="exact"/>
              <w:jc w:val="left"/>
              <w:textAlignment w:val="auto"/>
              <w:rPr>
                <w:rFonts w:hint="eastAsia" w:ascii="宋体" w:hAnsi="宋体" w:eastAsia="宋体" w:cs="宋体"/>
                <w:color w:val="auto"/>
                <w:kern w:val="2"/>
                <w:sz w:val="21"/>
                <w:szCs w:val="21"/>
                <w:highlight w:val="none"/>
                <w:u w:val="none" w:color="000000"/>
                <w:lang w:val="en-US" w:eastAsia="zh-CN" w:bidi="ar-SA"/>
              </w:rPr>
            </w:pPr>
            <w:r>
              <w:rPr>
                <w:rFonts w:hint="eastAsia" w:ascii="宋体" w:hAnsi="宋体" w:eastAsia="宋体" w:cs="宋体"/>
                <w:color w:val="auto"/>
                <w:kern w:val="2"/>
                <w:sz w:val="21"/>
                <w:szCs w:val="21"/>
                <w:highlight w:val="none"/>
                <w:u w:val="none" w:color="000000"/>
                <w:lang w:val="en-US" w:eastAsia="zh-CN" w:bidi="ar-SA"/>
              </w:rPr>
              <w:t>自合同签订之日起三年服务期</w:t>
            </w:r>
          </w:p>
        </w:tc>
      </w:tr>
      <w:tr w14:paraId="4D718E6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09" w:hRule="atLeast"/>
          <w:jc w:val="center"/>
        </w:trPr>
        <w:tc>
          <w:tcPr>
            <w:tcW w:w="1048" w:type="dxa"/>
            <w:noWrap w:val="0"/>
            <w:vAlign w:val="center"/>
          </w:tcPr>
          <w:p w14:paraId="65698C94">
            <w:pPr>
              <w:pStyle w:val="19"/>
              <w:keepNext w:val="0"/>
              <w:keepLines w:val="0"/>
              <w:pageBreakBefore w:val="0"/>
              <w:kinsoku/>
              <w:overflowPunct/>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2140" w:type="dxa"/>
            <w:gridSpan w:val="2"/>
            <w:noWrap w:val="0"/>
            <w:vAlign w:val="center"/>
          </w:tcPr>
          <w:p w14:paraId="57E3254C">
            <w:pPr>
              <w:pStyle w:val="19"/>
              <w:keepNext w:val="0"/>
              <w:keepLines w:val="0"/>
              <w:pageBreakBefore w:val="0"/>
              <w:kinsoku/>
              <w:overflowPunct/>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服务地点</w:t>
            </w:r>
          </w:p>
        </w:tc>
        <w:tc>
          <w:tcPr>
            <w:tcW w:w="7025" w:type="dxa"/>
            <w:noWrap w:val="0"/>
            <w:vAlign w:val="center"/>
          </w:tcPr>
          <w:p w14:paraId="4112ED39">
            <w:pPr>
              <w:pStyle w:val="19"/>
              <w:keepNext w:val="0"/>
              <w:keepLines w:val="0"/>
              <w:pageBreakBefore w:val="0"/>
              <w:kinsoku/>
              <w:overflowPunct/>
              <w:autoSpaceDE/>
              <w:autoSpaceDN/>
              <w:bidi w:val="0"/>
              <w:adjustRightInd/>
              <w:spacing w:line="440" w:lineRule="exact"/>
              <w:textAlignment w:val="auto"/>
              <w:rPr>
                <w:rFonts w:hint="default" w:ascii="宋体" w:hAnsi="宋体" w:eastAsia="宋体" w:cs="宋体"/>
                <w:color w:val="auto"/>
                <w:kern w:val="2"/>
                <w:sz w:val="21"/>
                <w:szCs w:val="21"/>
                <w:highlight w:val="none"/>
                <w:u w:val="none" w:color="000000"/>
                <w:lang w:val="en-US" w:eastAsia="zh-CN" w:bidi="ar-SA"/>
              </w:rPr>
            </w:pPr>
            <w:r>
              <w:rPr>
                <w:rFonts w:hint="eastAsia" w:ascii="宋体" w:hAnsi="Times New Roman" w:eastAsia="宋体" w:cs="Times New Roman"/>
                <w:color w:val="auto"/>
                <w:kern w:val="2"/>
                <w:sz w:val="21"/>
                <w:szCs w:val="21"/>
                <w:highlight w:val="none"/>
                <w:lang w:val="en-US" w:eastAsia="zh-CN" w:bidi="ar-SA"/>
              </w:rPr>
              <w:t>滁州</w:t>
            </w:r>
            <w:r>
              <w:rPr>
                <w:rFonts w:hint="eastAsia" w:cs="Times New Roman"/>
                <w:color w:val="auto"/>
                <w:kern w:val="2"/>
                <w:sz w:val="21"/>
                <w:szCs w:val="21"/>
                <w:highlight w:val="none"/>
                <w:lang w:val="en-US" w:eastAsia="zh-CN" w:bidi="ar-SA"/>
              </w:rPr>
              <w:t>大剧院</w:t>
            </w:r>
            <w:r>
              <w:rPr>
                <w:rFonts w:hint="eastAsia" w:ascii="宋体" w:hAnsi="Times New Roman" w:eastAsia="宋体" w:cs="Times New Roman"/>
                <w:color w:val="auto"/>
                <w:kern w:val="2"/>
                <w:sz w:val="21"/>
                <w:szCs w:val="21"/>
                <w:highlight w:val="none"/>
                <w:lang w:val="en-US" w:eastAsia="zh-CN" w:bidi="ar-SA"/>
              </w:rPr>
              <w:t>，招标人指定地点</w:t>
            </w:r>
          </w:p>
        </w:tc>
      </w:tr>
      <w:tr w14:paraId="353BC44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8" w:hRule="atLeast"/>
          <w:jc w:val="center"/>
        </w:trPr>
        <w:tc>
          <w:tcPr>
            <w:tcW w:w="1048" w:type="dxa"/>
            <w:noWrap w:val="0"/>
            <w:vAlign w:val="center"/>
          </w:tcPr>
          <w:p w14:paraId="7B76056F">
            <w:pPr>
              <w:pStyle w:val="19"/>
              <w:keepNext w:val="0"/>
              <w:keepLines w:val="0"/>
              <w:pageBreakBefore w:val="0"/>
              <w:kinsoku/>
              <w:overflowPunct/>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p>
        </w:tc>
        <w:tc>
          <w:tcPr>
            <w:tcW w:w="2140" w:type="dxa"/>
            <w:gridSpan w:val="2"/>
            <w:noWrap w:val="0"/>
            <w:vAlign w:val="center"/>
          </w:tcPr>
          <w:p w14:paraId="34497193">
            <w:pPr>
              <w:pStyle w:val="19"/>
              <w:keepNext w:val="0"/>
              <w:keepLines w:val="0"/>
              <w:pageBreakBefore w:val="0"/>
              <w:kinsoku/>
              <w:overflowPunct/>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招标人联系人及电话</w:t>
            </w:r>
          </w:p>
        </w:tc>
        <w:tc>
          <w:tcPr>
            <w:tcW w:w="7025" w:type="dxa"/>
            <w:noWrap w:val="0"/>
            <w:vAlign w:val="center"/>
          </w:tcPr>
          <w:p w14:paraId="660CEB90">
            <w:pPr>
              <w:pStyle w:val="19"/>
              <w:keepNext w:val="0"/>
              <w:keepLines w:val="0"/>
              <w:pageBreakBefore w:val="0"/>
              <w:kinsoku/>
              <w:overflowPunct/>
              <w:autoSpaceDE/>
              <w:autoSpaceDN/>
              <w:bidi w:val="0"/>
              <w:adjustRightInd/>
              <w:spacing w:line="440" w:lineRule="exact"/>
              <w:textAlignment w:val="auto"/>
              <w:rPr>
                <w:rFonts w:hint="eastAsia" w:hAnsi="宋体" w:cs="宋体-18030"/>
                <w:color w:val="auto"/>
                <w:szCs w:val="21"/>
                <w:highlight w:val="none"/>
                <w:lang w:val="en-US" w:eastAsia="zh-CN"/>
              </w:rPr>
            </w:pPr>
            <w:r>
              <w:rPr>
                <w:rFonts w:hint="eastAsia" w:hAnsi="宋体" w:cs="宋体-18030"/>
                <w:color w:val="auto"/>
                <w:szCs w:val="21"/>
                <w:highlight w:val="none"/>
                <w:lang w:val="en-US" w:eastAsia="zh-CN"/>
              </w:rPr>
              <w:t>夏春立</w:t>
            </w:r>
            <w:r>
              <w:rPr>
                <w:rFonts w:hint="eastAsia" w:cs="Times New Roman"/>
                <w:color w:val="auto"/>
                <w:kern w:val="2"/>
                <w:sz w:val="21"/>
                <w:szCs w:val="21"/>
                <w:highlight w:val="none"/>
                <w:lang w:val="en-US" w:eastAsia="zh-CN" w:bidi="ar-SA"/>
              </w:rPr>
              <w:t>18109600828</w:t>
            </w:r>
          </w:p>
        </w:tc>
      </w:tr>
      <w:tr w14:paraId="36E2BBA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00" w:hRule="atLeast"/>
          <w:jc w:val="center"/>
        </w:trPr>
        <w:tc>
          <w:tcPr>
            <w:tcW w:w="1048" w:type="dxa"/>
            <w:noWrap w:val="0"/>
            <w:vAlign w:val="center"/>
          </w:tcPr>
          <w:p w14:paraId="45030870">
            <w:pPr>
              <w:pStyle w:val="19"/>
              <w:keepNext w:val="0"/>
              <w:keepLines w:val="0"/>
              <w:pageBreakBefore w:val="0"/>
              <w:kinsoku/>
              <w:overflowPunct/>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p>
        </w:tc>
        <w:tc>
          <w:tcPr>
            <w:tcW w:w="2140" w:type="dxa"/>
            <w:gridSpan w:val="2"/>
            <w:noWrap w:val="0"/>
            <w:vAlign w:val="center"/>
          </w:tcPr>
          <w:p w14:paraId="7C898304">
            <w:pPr>
              <w:pStyle w:val="19"/>
              <w:keepNext w:val="0"/>
              <w:keepLines w:val="0"/>
              <w:pageBreakBefore w:val="0"/>
              <w:kinsoku/>
              <w:overflowPunct/>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采购代理机构联系人及电话</w:t>
            </w:r>
          </w:p>
        </w:tc>
        <w:tc>
          <w:tcPr>
            <w:tcW w:w="7025" w:type="dxa"/>
            <w:noWrap w:val="0"/>
            <w:vAlign w:val="center"/>
          </w:tcPr>
          <w:p w14:paraId="739D79FD">
            <w:pPr>
              <w:pStyle w:val="19"/>
              <w:keepNext w:val="0"/>
              <w:keepLines w:val="0"/>
              <w:pageBreakBefore w:val="0"/>
              <w:kinsoku/>
              <w:overflowPunct/>
              <w:autoSpaceDE/>
              <w:autoSpaceDN/>
              <w:bidi w:val="0"/>
              <w:adjustRightInd/>
              <w:spacing w:line="440" w:lineRule="exact"/>
              <w:textAlignment w:val="auto"/>
              <w:rPr>
                <w:rFonts w:hint="eastAsia" w:ascii="宋体" w:hAnsi="宋体" w:eastAsia="宋体" w:cs="宋体"/>
                <w:color w:val="auto"/>
                <w:kern w:val="2"/>
                <w:sz w:val="21"/>
                <w:szCs w:val="21"/>
                <w:highlight w:val="none"/>
                <w:u w:val="none" w:color="000000"/>
                <w:lang w:val="en-US" w:eastAsia="zh-CN" w:bidi="ar-SA"/>
              </w:rPr>
            </w:pPr>
            <w:r>
              <w:rPr>
                <w:rFonts w:hint="eastAsia" w:hAnsi="宋体" w:cs="宋体"/>
                <w:color w:val="auto"/>
                <w:kern w:val="2"/>
                <w:sz w:val="21"/>
                <w:szCs w:val="21"/>
                <w:highlight w:val="none"/>
                <w:u w:val="none" w:color="000000"/>
                <w:lang w:val="en-US" w:eastAsia="zh-CN" w:bidi="ar-SA"/>
              </w:rPr>
              <w:t>关勤勤18909605753</w:t>
            </w:r>
          </w:p>
        </w:tc>
      </w:tr>
      <w:tr w14:paraId="6CC8078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57" w:hRule="atLeast"/>
          <w:jc w:val="center"/>
        </w:trPr>
        <w:tc>
          <w:tcPr>
            <w:tcW w:w="1048" w:type="dxa"/>
            <w:noWrap w:val="0"/>
            <w:vAlign w:val="center"/>
          </w:tcPr>
          <w:p w14:paraId="7FE15D6D">
            <w:pPr>
              <w:pStyle w:val="19"/>
              <w:keepNext w:val="0"/>
              <w:keepLines w:val="0"/>
              <w:pageBreakBefore w:val="0"/>
              <w:kinsoku/>
              <w:overflowPunct/>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w:t>
            </w:r>
          </w:p>
        </w:tc>
        <w:tc>
          <w:tcPr>
            <w:tcW w:w="2140" w:type="dxa"/>
            <w:gridSpan w:val="2"/>
            <w:noWrap w:val="0"/>
            <w:vAlign w:val="center"/>
          </w:tcPr>
          <w:p w14:paraId="785042AE">
            <w:pPr>
              <w:pStyle w:val="19"/>
              <w:keepNext w:val="0"/>
              <w:keepLines w:val="0"/>
              <w:pageBreakBefore w:val="0"/>
              <w:kinsoku/>
              <w:overflowPunct/>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资金来源                                                                                                                                                                 </w:t>
            </w:r>
          </w:p>
        </w:tc>
        <w:tc>
          <w:tcPr>
            <w:tcW w:w="7025" w:type="dxa"/>
            <w:noWrap w:val="0"/>
            <w:vAlign w:val="center"/>
          </w:tcPr>
          <w:p w14:paraId="398BB176">
            <w:pPr>
              <w:pStyle w:val="19"/>
              <w:keepNext w:val="0"/>
              <w:keepLines w:val="0"/>
              <w:pageBreakBefore w:val="0"/>
              <w:kinsoku/>
              <w:overflowPunct/>
              <w:autoSpaceDE/>
              <w:autoSpaceDN/>
              <w:bidi w:val="0"/>
              <w:adjustRightInd/>
              <w:spacing w:line="440" w:lineRule="exact"/>
              <w:textAlignment w:val="auto"/>
              <w:rPr>
                <w:rFonts w:hint="eastAsia" w:ascii="宋体" w:hAnsi="宋体" w:eastAsia="宋体" w:cs="宋体"/>
                <w:color w:val="auto"/>
                <w:kern w:val="2"/>
                <w:sz w:val="21"/>
                <w:szCs w:val="21"/>
                <w:highlight w:val="none"/>
                <w:u w:val="none" w:color="000000"/>
                <w:lang w:val="en-US" w:eastAsia="zh-CN" w:bidi="ar-SA"/>
              </w:rPr>
            </w:pPr>
            <w:r>
              <w:rPr>
                <w:rFonts w:hint="eastAsia" w:ascii="宋体" w:hAnsi="宋体" w:eastAsia="宋体" w:cs="宋体"/>
                <w:color w:val="auto"/>
                <w:kern w:val="2"/>
                <w:sz w:val="21"/>
                <w:szCs w:val="21"/>
                <w:highlight w:val="none"/>
                <w:u w:val="none" w:color="000000"/>
                <w:lang w:val="en-US" w:eastAsia="zh-CN" w:bidi="ar-SA"/>
              </w:rPr>
              <w:t>自筹资金</w:t>
            </w:r>
          </w:p>
        </w:tc>
      </w:tr>
      <w:tr w14:paraId="7164DB0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82" w:hRule="atLeast"/>
          <w:jc w:val="center"/>
        </w:trPr>
        <w:tc>
          <w:tcPr>
            <w:tcW w:w="1048" w:type="dxa"/>
            <w:noWrap w:val="0"/>
            <w:vAlign w:val="center"/>
          </w:tcPr>
          <w:p w14:paraId="5FC943D6">
            <w:pPr>
              <w:pStyle w:val="19"/>
              <w:keepNext w:val="0"/>
              <w:keepLines w:val="0"/>
              <w:pageBreakBefore w:val="0"/>
              <w:kinsoku/>
              <w:overflowPunct/>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w:t>
            </w:r>
          </w:p>
        </w:tc>
        <w:tc>
          <w:tcPr>
            <w:tcW w:w="2140" w:type="dxa"/>
            <w:gridSpan w:val="2"/>
            <w:noWrap w:val="0"/>
            <w:vAlign w:val="center"/>
          </w:tcPr>
          <w:p w14:paraId="497CB69A">
            <w:pPr>
              <w:pStyle w:val="19"/>
              <w:keepNext w:val="0"/>
              <w:keepLines w:val="0"/>
              <w:pageBreakBefore w:val="0"/>
              <w:kinsoku/>
              <w:overflowPunct/>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采购预算</w:t>
            </w:r>
          </w:p>
        </w:tc>
        <w:tc>
          <w:tcPr>
            <w:tcW w:w="7025" w:type="dxa"/>
            <w:noWrap w:val="0"/>
            <w:vAlign w:val="center"/>
          </w:tcPr>
          <w:p w14:paraId="435A9125">
            <w:pPr>
              <w:keepNext w:val="0"/>
              <w:keepLines w:val="0"/>
              <w:pageBreakBefore w:val="0"/>
              <w:kinsoku/>
              <w:overflowPunct/>
              <w:autoSpaceDE/>
              <w:autoSpaceDN/>
              <w:bidi w:val="0"/>
              <w:adjustRightInd/>
              <w:spacing w:line="440" w:lineRule="exact"/>
              <w:textAlignment w:val="auto"/>
              <w:rPr>
                <w:rFonts w:hint="default" w:ascii="宋体" w:hAnsi="宋体" w:eastAsia="宋体" w:cs="宋体"/>
                <w:color w:val="auto"/>
                <w:kern w:val="2"/>
                <w:sz w:val="21"/>
                <w:szCs w:val="21"/>
                <w:highlight w:val="none"/>
                <w:u w:val="none" w:color="000000"/>
                <w:lang w:val="en-US" w:eastAsia="zh-CN" w:bidi="ar-SA"/>
              </w:rPr>
            </w:pPr>
            <w:r>
              <w:rPr>
                <w:rFonts w:hint="eastAsia" w:ascii="宋体" w:hAnsi="宋体" w:cs="宋体"/>
                <w:color w:val="auto"/>
                <w:kern w:val="2"/>
                <w:sz w:val="21"/>
                <w:szCs w:val="21"/>
                <w:highlight w:val="none"/>
                <w:u w:val="none" w:color="000000"/>
                <w:lang w:val="en-US" w:eastAsia="zh-CN" w:bidi="ar-SA"/>
              </w:rPr>
              <w:t>52万</w:t>
            </w:r>
            <w:r>
              <w:rPr>
                <w:rFonts w:hint="eastAsia" w:ascii="宋体" w:hAnsi="宋体" w:eastAsia="宋体" w:cs="宋体"/>
                <w:color w:val="auto"/>
                <w:kern w:val="2"/>
                <w:sz w:val="21"/>
                <w:szCs w:val="21"/>
                <w:highlight w:val="none"/>
                <w:u w:val="none" w:color="000000"/>
                <w:lang w:val="en-US" w:eastAsia="zh-CN" w:bidi="ar-SA"/>
              </w:rPr>
              <w:t>元/年，</w:t>
            </w:r>
            <w:r>
              <w:rPr>
                <w:rFonts w:hint="eastAsia" w:ascii="宋体" w:hAnsi="宋体" w:cs="宋体"/>
                <w:color w:val="auto"/>
                <w:kern w:val="2"/>
                <w:sz w:val="21"/>
                <w:szCs w:val="21"/>
                <w:highlight w:val="none"/>
                <w:u w:val="none" w:color="000000"/>
                <w:lang w:val="en-US" w:eastAsia="zh-CN" w:bidi="ar-SA"/>
              </w:rPr>
              <w:t>156万</w:t>
            </w:r>
            <w:r>
              <w:rPr>
                <w:rFonts w:hint="eastAsia" w:ascii="宋体" w:hAnsi="宋体" w:eastAsia="宋体" w:cs="宋体"/>
                <w:color w:val="auto"/>
                <w:kern w:val="2"/>
                <w:sz w:val="21"/>
                <w:szCs w:val="21"/>
                <w:highlight w:val="none"/>
                <w:u w:val="none" w:color="000000"/>
                <w:lang w:val="en-US" w:eastAsia="zh-CN" w:bidi="ar-SA"/>
              </w:rPr>
              <w:t>元/三年</w:t>
            </w:r>
          </w:p>
        </w:tc>
      </w:tr>
      <w:tr w14:paraId="5C56D5F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048" w:type="dxa"/>
            <w:noWrap w:val="0"/>
            <w:vAlign w:val="center"/>
          </w:tcPr>
          <w:p w14:paraId="5DCB8659">
            <w:pPr>
              <w:pStyle w:val="19"/>
              <w:keepNext w:val="0"/>
              <w:keepLines w:val="0"/>
              <w:pageBreakBefore w:val="0"/>
              <w:kinsoku/>
              <w:overflowPunct/>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2140" w:type="dxa"/>
            <w:gridSpan w:val="2"/>
            <w:noWrap w:val="0"/>
            <w:vAlign w:val="center"/>
          </w:tcPr>
          <w:p w14:paraId="07733A79">
            <w:pPr>
              <w:pStyle w:val="19"/>
              <w:keepNext w:val="0"/>
              <w:keepLines w:val="0"/>
              <w:pageBreakBefore w:val="0"/>
              <w:kinsoku/>
              <w:overflowPunct/>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最高限价</w:t>
            </w:r>
          </w:p>
        </w:tc>
        <w:tc>
          <w:tcPr>
            <w:tcW w:w="7025" w:type="dxa"/>
            <w:noWrap w:val="0"/>
            <w:vAlign w:val="center"/>
          </w:tcPr>
          <w:p w14:paraId="0176DD29">
            <w:pPr>
              <w:keepNext w:val="0"/>
              <w:keepLines w:val="0"/>
              <w:pageBreakBefore w:val="0"/>
              <w:kinsoku/>
              <w:overflowPunct/>
              <w:autoSpaceDE/>
              <w:autoSpaceDN/>
              <w:bidi w:val="0"/>
              <w:adjustRightInd/>
              <w:spacing w:line="440" w:lineRule="exact"/>
              <w:textAlignment w:val="auto"/>
              <w:rPr>
                <w:rFonts w:hint="eastAsia" w:ascii="宋体" w:hAnsi="宋体" w:eastAsia="宋体" w:cs="宋体"/>
                <w:color w:val="auto"/>
                <w:kern w:val="2"/>
                <w:sz w:val="21"/>
                <w:szCs w:val="21"/>
                <w:highlight w:val="none"/>
                <w:u w:val="none" w:color="000000"/>
                <w:lang w:val="en-US" w:eastAsia="zh-CN" w:bidi="ar-SA"/>
              </w:rPr>
            </w:pPr>
            <w:r>
              <w:rPr>
                <w:rFonts w:hint="eastAsia" w:ascii="宋体" w:hAnsi="宋体" w:eastAsia="宋体" w:cs="宋体"/>
                <w:color w:val="auto"/>
                <w:kern w:val="2"/>
                <w:sz w:val="21"/>
                <w:szCs w:val="21"/>
                <w:highlight w:val="none"/>
                <w:u w:val="none" w:color="000000"/>
                <w:lang w:val="en-US" w:eastAsia="zh-CN" w:bidi="ar-SA"/>
              </w:rPr>
              <w:t>本项目投标最高限价：</w:t>
            </w:r>
            <w:r>
              <w:rPr>
                <w:rFonts w:hint="eastAsia" w:ascii="宋体" w:hAnsi="宋体" w:cs="宋体"/>
                <w:color w:val="auto"/>
                <w:kern w:val="2"/>
                <w:sz w:val="21"/>
                <w:szCs w:val="21"/>
                <w:highlight w:val="none"/>
                <w:u w:val="none" w:color="000000"/>
                <w:lang w:val="en-US" w:eastAsia="zh-CN" w:bidi="ar-SA"/>
              </w:rPr>
              <w:t>52万</w:t>
            </w:r>
            <w:r>
              <w:rPr>
                <w:rFonts w:hint="eastAsia" w:ascii="宋体" w:hAnsi="宋体" w:eastAsia="宋体" w:cs="宋体"/>
                <w:color w:val="auto"/>
                <w:kern w:val="2"/>
                <w:sz w:val="21"/>
                <w:szCs w:val="21"/>
                <w:highlight w:val="none"/>
                <w:u w:val="none" w:color="000000"/>
                <w:lang w:val="en-US" w:eastAsia="zh-CN" w:bidi="ar-SA"/>
              </w:rPr>
              <w:t>元/年，</w:t>
            </w:r>
            <w:r>
              <w:rPr>
                <w:rFonts w:hint="eastAsia" w:ascii="宋体" w:hAnsi="宋体" w:cs="宋体"/>
                <w:color w:val="auto"/>
                <w:kern w:val="2"/>
                <w:sz w:val="21"/>
                <w:szCs w:val="21"/>
                <w:highlight w:val="none"/>
                <w:u w:val="none" w:color="000000"/>
                <w:lang w:val="en-US" w:eastAsia="zh-CN" w:bidi="ar-SA"/>
              </w:rPr>
              <w:t>156万</w:t>
            </w:r>
            <w:r>
              <w:rPr>
                <w:rFonts w:hint="eastAsia" w:ascii="宋体" w:hAnsi="宋体" w:eastAsia="宋体" w:cs="宋体"/>
                <w:color w:val="auto"/>
                <w:kern w:val="2"/>
                <w:sz w:val="21"/>
                <w:szCs w:val="21"/>
                <w:highlight w:val="none"/>
                <w:u w:val="none" w:color="000000"/>
                <w:lang w:val="en-US" w:eastAsia="zh-CN" w:bidi="ar-SA"/>
              </w:rPr>
              <w:t>元/三年；投标报价高于（不含等于）最高限价的，按无效投标处理。</w:t>
            </w:r>
          </w:p>
        </w:tc>
      </w:tr>
      <w:tr w14:paraId="59B41F2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80" w:hRule="atLeast"/>
          <w:jc w:val="center"/>
        </w:trPr>
        <w:tc>
          <w:tcPr>
            <w:tcW w:w="1048" w:type="dxa"/>
            <w:noWrap w:val="0"/>
            <w:vAlign w:val="center"/>
          </w:tcPr>
          <w:p w14:paraId="5C384A0C">
            <w:pPr>
              <w:pStyle w:val="19"/>
              <w:keepNext w:val="0"/>
              <w:keepLines w:val="0"/>
              <w:pageBreakBefore w:val="0"/>
              <w:kinsoku/>
              <w:overflowPunct/>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2140" w:type="dxa"/>
            <w:gridSpan w:val="2"/>
            <w:noWrap w:val="0"/>
            <w:vAlign w:val="center"/>
          </w:tcPr>
          <w:p w14:paraId="19F1D852">
            <w:pPr>
              <w:pStyle w:val="19"/>
              <w:keepNext w:val="0"/>
              <w:keepLines w:val="0"/>
              <w:pageBreakBefore w:val="0"/>
              <w:kinsoku/>
              <w:overflowPunct/>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采购内容</w:t>
            </w:r>
          </w:p>
        </w:tc>
        <w:tc>
          <w:tcPr>
            <w:tcW w:w="7025" w:type="dxa"/>
            <w:noWrap w:val="0"/>
            <w:vAlign w:val="center"/>
          </w:tcPr>
          <w:p w14:paraId="2B995C4A">
            <w:pPr>
              <w:pStyle w:val="19"/>
              <w:keepNext w:val="0"/>
              <w:keepLines w:val="0"/>
              <w:pageBreakBefore w:val="0"/>
              <w:kinsoku/>
              <w:overflowPunct/>
              <w:autoSpaceDE/>
              <w:autoSpaceDN/>
              <w:bidi w:val="0"/>
              <w:adjustRightInd/>
              <w:spacing w:line="440" w:lineRule="exact"/>
              <w:textAlignment w:val="auto"/>
              <w:rPr>
                <w:rFonts w:hint="eastAsia" w:ascii="宋体" w:hAnsi="宋体" w:eastAsia="宋体" w:cs="宋体"/>
                <w:color w:val="auto"/>
                <w:kern w:val="2"/>
                <w:sz w:val="21"/>
                <w:szCs w:val="21"/>
                <w:highlight w:val="none"/>
                <w:u w:val="none" w:color="000000"/>
                <w:lang w:val="en-US" w:eastAsia="zh-CN" w:bidi="ar-SA"/>
              </w:rPr>
            </w:pPr>
            <w:r>
              <w:rPr>
                <w:rFonts w:hint="eastAsia" w:ascii="宋体" w:hAnsi="宋体" w:eastAsia="宋体" w:cs="宋体"/>
                <w:color w:val="auto"/>
                <w:kern w:val="2"/>
                <w:sz w:val="21"/>
                <w:szCs w:val="21"/>
                <w:highlight w:val="none"/>
                <w:u w:val="none" w:color="000000"/>
                <w:lang w:val="en-US" w:eastAsia="zh-CN" w:bidi="ar-SA"/>
              </w:rPr>
              <w:t>具体详见招标文件第四章《采购需求》</w:t>
            </w:r>
          </w:p>
        </w:tc>
      </w:tr>
      <w:tr w14:paraId="2F4E389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048" w:type="dxa"/>
            <w:noWrap w:val="0"/>
            <w:vAlign w:val="center"/>
          </w:tcPr>
          <w:p w14:paraId="30AA7329">
            <w:pPr>
              <w:pStyle w:val="19"/>
              <w:keepNext w:val="0"/>
              <w:keepLines w:val="0"/>
              <w:pageBreakBefore w:val="0"/>
              <w:kinsoku/>
              <w:overflowPunct/>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2140" w:type="dxa"/>
            <w:gridSpan w:val="2"/>
            <w:noWrap w:val="0"/>
            <w:vAlign w:val="center"/>
          </w:tcPr>
          <w:p w14:paraId="4C24B410">
            <w:pPr>
              <w:pStyle w:val="19"/>
              <w:keepNext w:val="0"/>
              <w:keepLines w:val="0"/>
              <w:pageBreakBefore w:val="0"/>
              <w:kinsoku/>
              <w:overflowPunct/>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w:t>
            </w:r>
            <w:r>
              <w:rPr>
                <w:rFonts w:hint="eastAsia" w:hAnsi="宋体" w:cs="宋体"/>
                <w:color w:val="auto"/>
                <w:szCs w:val="21"/>
                <w:highlight w:val="none"/>
                <w:lang w:val="en-US" w:eastAsia="zh-CN"/>
              </w:rPr>
              <w:t>段</w:t>
            </w:r>
            <w:r>
              <w:rPr>
                <w:rFonts w:hint="eastAsia" w:ascii="宋体" w:hAnsi="宋体" w:eastAsia="宋体" w:cs="宋体"/>
                <w:color w:val="auto"/>
                <w:szCs w:val="21"/>
                <w:highlight w:val="none"/>
              </w:rPr>
              <w:t>划分</w:t>
            </w:r>
          </w:p>
        </w:tc>
        <w:tc>
          <w:tcPr>
            <w:tcW w:w="7025" w:type="dxa"/>
            <w:noWrap w:val="0"/>
            <w:vAlign w:val="center"/>
          </w:tcPr>
          <w:p w14:paraId="6F518146">
            <w:pPr>
              <w:pStyle w:val="19"/>
              <w:keepNext w:val="0"/>
              <w:keepLines w:val="0"/>
              <w:pageBreakBefore w:val="0"/>
              <w:kinsoku/>
              <w:overflowPunct/>
              <w:autoSpaceDE/>
              <w:autoSpaceDN/>
              <w:bidi w:val="0"/>
              <w:adjustRightInd/>
              <w:spacing w:line="440" w:lineRule="exact"/>
              <w:textAlignment w:val="auto"/>
              <w:rPr>
                <w:rFonts w:hint="eastAsia" w:ascii="宋体" w:hAnsi="宋体" w:eastAsia="宋体" w:cs="宋体"/>
                <w:color w:val="auto"/>
                <w:kern w:val="2"/>
                <w:sz w:val="21"/>
                <w:szCs w:val="21"/>
                <w:highlight w:val="none"/>
                <w:u w:val="none" w:color="000000"/>
                <w:lang w:val="en-US" w:eastAsia="zh-CN" w:bidi="ar-SA"/>
              </w:rPr>
            </w:pPr>
            <w:r>
              <w:rPr>
                <w:rFonts w:hint="eastAsia" w:ascii="宋体" w:hAnsi="宋体" w:eastAsia="宋体" w:cs="宋体"/>
                <w:color w:val="auto"/>
                <w:kern w:val="2"/>
                <w:sz w:val="21"/>
                <w:szCs w:val="21"/>
                <w:highlight w:val="none"/>
                <w:u w:val="none" w:color="000000"/>
                <w:lang w:val="en-US" w:eastAsia="zh-CN" w:bidi="ar-SA"/>
              </w:rPr>
              <w:t>本项目划分为 1个标</w:t>
            </w:r>
            <w:r>
              <w:rPr>
                <w:rFonts w:hint="eastAsia" w:hAnsi="宋体" w:cs="宋体"/>
                <w:color w:val="auto"/>
                <w:kern w:val="2"/>
                <w:sz w:val="21"/>
                <w:szCs w:val="21"/>
                <w:highlight w:val="none"/>
                <w:u w:val="none" w:color="000000"/>
                <w:lang w:val="en-US" w:eastAsia="zh-CN" w:bidi="ar-SA"/>
              </w:rPr>
              <w:t>段</w:t>
            </w:r>
            <w:r>
              <w:rPr>
                <w:rFonts w:hint="eastAsia" w:ascii="宋体" w:hAnsi="宋体" w:eastAsia="宋体" w:cs="宋体"/>
                <w:color w:val="auto"/>
                <w:kern w:val="2"/>
                <w:sz w:val="21"/>
                <w:szCs w:val="21"/>
                <w:highlight w:val="none"/>
                <w:u w:val="none" w:color="000000"/>
                <w:lang w:val="en-US" w:eastAsia="zh-CN" w:bidi="ar-SA"/>
              </w:rPr>
              <w:t>。</w:t>
            </w:r>
          </w:p>
        </w:tc>
      </w:tr>
      <w:tr w14:paraId="21B54BB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jc w:val="center"/>
        </w:trPr>
        <w:tc>
          <w:tcPr>
            <w:tcW w:w="1048" w:type="dxa"/>
            <w:noWrap w:val="0"/>
            <w:vAlign w:val="center"/>
          </w:tcPr>
          <w:p w14:paraId="41C07448">
            <w:pPr>
              <w:pStyle w:val="19"/>
              <w:keepNext w:val="0"/>
              <w:keepLines w:val="0"/>
              <w:pageBreakBefore w:val="0"/>
              <w:kinsoku/>
              <w:overflowPunct/>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w:t>
            </w:r>
          </w:p>
        </w:tc>
        <w:tc>
          <w:tcPr>
            <w:tcW w:w="2140" w:type="dxa"/>
            <w:gridSpan w:val="2"/>
            <w:noWrap w:val="0"/>
            <w:vAlign w:val="center"/>
          </w:tcPr>
          <w:p w14:paraId="5AF290DB">
            <w:pPr>
              <w:pStyle w:val="19"/>
              <w:keepNext w:val="0"/>
              <w:keepLines w:val="0"/>
              <w:pageBreakBefore w:val="0"/>
              <w:kinsoku/>
              <w:overflowPunct/>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招标方式</w:t>
            </w:r>
          </w:p>
        </w:tc>
        <w:tc>
          <w:tcPr>
            <w:tcW w:w="7025" w:type="dxa"/>
            <w:noWrap w:val="0"/>
            <w:vAlign w:val="center"/>
          </w:tcPr>
          <w:p w14:paraId="21ACDCBF">
            <w:pPr>
              <w:pStyle w:val="19"/>
              <w:keepNext w:val="0"/>
              <w:keepLines w:val="0"/>
              <w:pageBreakBefore w:val="0"/>
              <w:kinsoku/>
              <w:overflowPunct/>
              <w:autoSpaceDE/>
              <w:autoSpaceDN/>
              <w:bidi w:val="0"/>
              <w:adjustRightInd/>
              <w:spacing w:line="440" w:lineRule="exact"/>
              <w:textAlignment w:val="auto"/>
              <w:rPr>
                <w:rFonts w:hint="eastAsia" w:ascii="宋体" w:hAnsi="宋体" w:eastAsia="宋体" w:cs="宋体"/>
                <w:color w:val="auto"/>
                <w:kern w:val="2"/>
                <w:sz w:val="21"/>
                <w:szCs w:val="21"/>
                <w:highlight w:val="none"/>
                <w:u w:val="none" w:color="000000"/>
                <w:lang w:val="en-US" w:eastAsia="zh-CN" w:bidi="ar-SA"/>
              </w:rPr>
            </w:pPr>
            <w:r>
              <w:rPr>
                <w:rFonts w:hint="eastAsia" w:ascii="宋体" w:hAnsi="宋体" w:eastAsia="宋体" w:cs="宋体"/>
                <w:color w:val="auto"/>
                <w:kern w:val="2"/>
                <w:sz w:val="21"/>
                <w:szCs w:val="21"/>
                <w:highlight w:val="none"/>
                <w:u w:val="none" w:color="000000"/>
                <w:lang w:val="en-US" w:eastAsia="zh-CN" w:bidi="ar-SA"/>
              </w:rPr>
              <w:t>公开招标</w:t>
            </w:r>
          </w:p>
        </w:tc>
      </w:tr>
      <w:tr w14:paraId="7104143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3" w:hRule="atLeast"/>
          <w:jc w:val="center"/>
        </w:trPr>
        <w:tc>
          <w:tcPr>
            <w:tcW w:w="1048" w:type="dxa"/>
            <w:noWrap w:val="0"/>
            <w:vAlign w:val="center"/>
          </w:tcPr>
          <w:p w14:paraId="3A423DBD">
            <w:pPr>
              <w:pStyle w:val="19"/>
              <w:keepNext w:val="0"/>
              <w:keepLines w:val="0"/>
              <w:pageBreakBefore w:val="0"/>
              <w:kinsoku/>
              <w:overflowPunct/>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7.2</w:t>
            </w:r>
          </w:p>
        </w:tc>
        <w:tc>
          <w:tcPr>
            <w:tcW w:w="2140" w:type="dxa"/>
            <w:gridSpan w:val="2"/>
            <w:noWrap w:val="0"/>
            <w:vAlign w:val="center"/>
          </w:tcPr>
          <w:p w14:paraId="017CCF4F">
            <w:pPr>
              <w:pStyle w:val="19"/>
              <w:keepNext w:val="0"/>
              <w:keepLines w:val="0"/>
              <w:pageBreakBefore w:val="0"/>
              <w:kinsoku/>
              <w:overflowPunct/>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投标人资格条件及其他要求</w:t>
            </w:r>
          </w:p>
        </w:tc>
        <w:tc>
          <w:tcPr>
            <w:tcW w:w="7025" w:type="dxa"/>
            <w:noWrap w:val="0"/>
            <w:vAlign w:val="center"/>
          </w:tcPr>
          <w:p w14:paraId="3517199A">
            <w:pPr>
              <w:keepNext w:val="0"/>
              <w:keepLines w:val="0"/>
              <w:pageBreakBefore w:val="0"/>
              <w:kinsoku/>
              <w:overflowPunct/>
              <w:autoSpaceDE/>
              <w:autoSpaceDN/>
              <w:bidi w:val="0"/>
              <w:adjustRightIn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详见第一章“招标公告”</w:t>
            </w:r>
          </w:p>
        </w:tc>
      </w:tr>
      <w:tr w14:paraId="14CC674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jc w:val="center"/>
        </w:trPr>
        <w:tc>
          <w:tcPr>
            <w:tcW w:w="1048" w:type="dxa"/>
            <w:noWrap w:val="0"/>
            <w:vAlign w:val="center"/>
          </w:tcPr>
          <w:p w14:paraId="4CC03E38">
            <w:pPr>
              <w:pStyle w:val="19"/>
              <w:keepNext w:val="0"/>
              <w:keepLines w:val="0"/>
              <w:pageBreakBefore w:val="0"/>
              <w:kinsoku/>
              <w:overflowPunct/>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9.1</w:t>
            </w:r>
          </w:p>
        </w:tc>
        <w:tc>
          <w:tcPr>
            <w:tcW w:w="2140" w:type="dxa"/>
            <w:gridSpan w:val="2"/>
            <w:noWrap w:val="0"/>
            <w:vAlign w:val="center"/>
          </w:tcPr>
          <w:p w14:paraId="427C5534">
            <w:pPr>
              <w:pStyle w:val="19"/>
              <w:keepNext w:val="0"/>
              <w:keepLines w:val="0"/>
              <w:pageBreakBefore w:val="0"/>
              <w:kinsoku/>
              <w:overflowPunct/>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踏勘现场</w:t>
            </w:r>
          </w:p>
        </w:tc>
        <w:tc>
          <w:tcPr>
            <w:tcW w:w="7025" w:type="dxa"/>
            <w:noWrap w:val="0"/>
            <w:vAlign w:val="center"/>
          </w:tcPr>
          <w:p w14:paraId="5919B2C7">
            <w:pPr>
              <w:pStyle w:val="19"/>
              <w:keepNext w:val="0"/>
              <w:keepLines w:val="0"/>
              <w:pageBreakBefore w:val="0"/>
              <w:kinsoku/>
              <w:overflowPunct/>
              <w:autoSpaceDE/>
              <w:autoSpaceDN/>
              <w:bidi w:val="0"/>
              <w:adjustRightIn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不组织,投标人自行踏勘。</w:t>
            </w:r>
          </w:p>
        </w:tc>
      </w:tr>
      <w:tr w14:paraId="4AE7BD2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jc w:val="center"/>
        </w:trPr>
        <w:tc>
          <w:tcPr>
            <w:tcW w:w="1048" w:type="dxa"/>
            <w:noWrap w:val="0"/>
            <w:vAlign w:val="center"/>
          </w:tcPr>
          <w:p w14:paraId="1B5E7B5A">
            <w:pPr>
              <w:pStyle w:val="19"/>
              <w:keepNext w:val="0"/>
              <w:keepLines w:val="0"/>
              <w:pageBreakBefore w:val="0"/>
              <w:kinsoku/>
              <w:overflowPunct/>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w:t>
            </w:r>
          </w:p>
        </w:tc>
        <w:tc>
          <w:tcPr>
            <w:tcW w:w="2140" w:type="dxa"/>
            <w:gridSpan w:val="2"/>
            <w:noWrap w:val="0"/>
            <w:vAlign w:val="center"/>
          </w:tcPr>
          <w:p w14:paraId="2410C623">
            <w:pPr>
              <w:pStyle w:val="19"/>
              <w:keepNext w:val="0"/>
              <w:keepLines w:val="0"/>
              <w:pageBreakBefore w:val="0"/>
              <w:kinsoku/>
              <w:overflowPunct/>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投标预备会</w:t>
            </w:r>
          </w:p>
        </w:tc>
        <w:tc>
          <w:tcPr>
            <w:tcW w:w="7025" w:type="dxa"/>
            <w:noWrap w:val="0"/>
            <w:vAlign w:val="center"/>
          </w:tcPr>
          <w:p w14:paraId="7383FF14">
            <w:pPr>
              <w:pStyle w:val="19"/>
              <w:keepNext w:val="0"/>
              <w:keepLines w:val="0"/>
              <w:pageBreakBefore w:val="0"/>
              <w:kinsoku/>
              <w:overflowPunct/>
              <w:autoSpaceDE/>
              <w:autoSpaceDN/>
              <w:bidi w:val="0"/>
              <w:adjustRightIn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不召开</w:t>
            </w:r>
          </w:p>
        </w:tc>
      </w:tr>
      <w:tr w14:paraId="5916F95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jc w:val="center"/>
        </w:trPr>
        <w:tc>
          <w:tcPr>
            <w:tcW w:w="1048" w:type="dxa"/>
            <w:noWrap w:val="0"/>
            <w:vAlign w:val="center"/>
          </w:tcPr>
          <w:p w14:paraId="6504DCEB">
            <w:pPr>
              <w:pStyle w:val="19"/>
              <w:keepNext w:val="0"/>
              <w:keepLines w:val="0"/>
              <w:pageBreakBefore w:val="0"/>
              <w:kinsoku/>
              <w:overflowPunct/>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10.2</w:t>
            </w:r>
          </w:p>
        </w:tc>
        <w:tc>
          <w:tcPr>
            <w:tcW w:w="2140" w:type="dxa"/>
            <w:gridSpan w:val="2"/>
            <w:noWrap w:val="0"/>
            <w:vAlign w:val="center"/>
          </w:tcPr>
          <w:p w14:paraId="4F8795CC">
            <w:pPr>
              <w:pStyle w:val="19"/>
              <w:keepNext w:val="0"/>
              <w:keepLines w:val="0"/>
              <w:pageBreakBefore w:val="0"/>
              <w:kinsoku/>
              <w:overflowPunct/>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投标人提出</w:t>
            </w:r>
            <w:r>
              <w:rPr>
                <w:rFonts w:hint="eastAsia" w:ascii="宋体" w:hAnsi="宋体" w:eastAsia="宋体" w:cs="宋体"/>
                <w:color w:val="auto"/>
                <w:szCs w:val="21"/>
                <w:highlight w:val="none"/>
                <w:u w:val="none" w:color="auto"/>
              </w:rPr>
              <w:t>疑问</w:t>
            </w:r>
            <w:r>
              <w:rPr>
                <w:rFonts w:hint="eastAsia" w:ascii="宋体" w:hAnsi="宋体" w:eastAsia="宋体" w:cs="宋体"/>
                <w:color w:val="auto"/>
                <w:szCs w:val="21"/>
                <w:highlight w:val="none"/>
              </w:rPr>
              <w:t>的截止时间及方式</w:t>
            </w:r>
          </w:p>
        </w:tc>
        <w:tc>
          <w:tcPr>
            <w:tcW w:w="7025" w:type="dxa"/>
            <w:noWrap w:val="0"/>
            <w:vAlign w:val="center"/>
          </w:tcPr>
          <w:p w14:paraId="4E5FDCD3">
            <w:pPr>
              <w:pStyle w:val="19"/>
              <w:keepNext w:val="0"/>
              <w:keepLines w:val="0"/>
              <w:pageBreakBefore w:val="0"/>
              <w:kinsoku/>
              <w:overflowPunct/>
              <w:autoSpaceDE/>
              <w:autoSpaceDN/>
              <w:bidi w:val="0"/>
              <w:adjustRightIn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none" w:color="auto"/>
              </w:rPr>
              <w:t>如投标人对招标文件有疑问，请于</w:t>
            </w:r>
            <w:r>
              <w:rPr>
                <w:rFonts w:hint="eastAsia" w:ascii="宋体" w:hAnsi="宋体" w:eastAsia="宋体" w:cs="宋体"/>
                <w:b/>
                <w:bCs/>
                <w:color w:val="auto"/>
                <w:szCs w:val="21"/>
                <w:highlight w:val="none"/>
                <w:u w:val="none" w:color="auto"/>
              </w:rPr>
              <w:t>202</w:t>
            </w:r>
            <w:r>
              <w:rPr>
                <w:rFonts w:hint="eastAsia" w:hAnsi="宋体" w:cs="宋体"/>
                <w:b/>
                <w:bCs/>
                <w:color w:val="auto"/>
                <w:szCs w:val="21"/>
                <w:highlight w:val="none"/>
                <w:u w:val="none" w:color="auto"/>
                <w:lang w:val="en-US" w:eastAsia="zh-CN"/>
              </w:rPr>
              <w:t>5</w:t>
            </w:r>
            <w:r>
              <w:rPr>
                <w:rFonts w:hint="eastAsia" w:ascii="宋体" w:hAnsi="宋体" w:eastAsia="宋体" w:cs="宋体"/>
                <w:b/>
                <w:bCs/>
                <w:color w:val="auto"/>
                <w:szCs w:val="21"/>
                <w:highlight w:val="none"/>
                <w:u w:val="none" w:color="auto"/>
              </w:rPr>
              <w:t>年</w:t>
            </w:r>
            <w:r>
              <w:rPr>
                <w:rFonts w:hint="eastAsia" w:hAnsi="宋体" w:cs="宋体"/>
                <w:b/>
                <w:bCs/>
                <w:color w:val="auto"/>
                <w:szCs w:val="21"/>
                <w:highlight w:val="none"/>
                <w:u w:val="none" w:color="auto"/>
                <w:lang w:val="en-US" w:eastAsia="zh-CN"/>
              </w:rPr>
              <w:t>10</w:t>
            </w:r>
            <w:r>
              <w:rPr>
                <w:rFonts w:hint="eastAsia" w:ascii="宋体" w:hAnsi="宋体" w:eastAsia="宋体" w:cs="宋体"/>
                <w:b/>
                <w:bCs/>
                <w:color w:val="auto"/>
                <w:szCs w:val="21"/>
                <w:highlight w:val="none"/>
                <w:u w:val="none" w:color="auto"/>
              </w:rPr>
              <w:t>月</w:t>
            </w:r>
            <w:r>
              <w:rPr>
                <w:rFonts w:hint="eastAsia" w:hAnsi="宋体" w:cs="宋体"/>
                <w:b/>
                <w:bCs/>
                <w:color w:val="auto"/>
                <w:szCs w:val="21"/>
                <w:highlight w:val="none"/>
                <w:u w:val="none" w:color="auto"/>
                <w:lang w:val="en-US" w:eastAsia="zh-CN"/>
              </w:rPr>
              <w:t>11</w:t>
            </w:r>
            <w:r>
              <w:rPr>
                <w:rFonts w:hint="eastAsia" w:ascii="宋体" w:hAnsi="宋体" w:eastAsia="宋体" w:cs="宋体"/>
                <w:b/>
                <w:bCs/>
                <w:color w:val="auto"/>
                <w:szCs w:val="21"/>
                <w:highlight w:val="none"/>
                <w:u w:val="none" w:color="auto"/>
              </w:rPr>
              <w:t>日</w:t>
            </w:r>
            <w:r>
              <w:rPr>
                <w:rFonts w:hint="eastAsia" w:ascii="宋体" w:hAnsi="宋体" w:eastAsia="宋体" w:cs="宋体"/>
                <w:b/>
                <w:bCs/>
                <w:color w:val="auto"/>
                <w:szCs w:val="21"/>
                <w:highlight w:val="none"/>
                <w:u w:val="none" w:color="auto"/>
                <w:lang w:val="en-US" w:eastAsia="zh-CN"/>
              </w:rPr>
              <w:t>8</w:t>
            </w:r>
            <w:r>
              <w:rPr>
                <w:rFonts w:hint="eastAsia" w:ascii="宋体" w:hAnsi="宋体" w:eastAsia="宋体" w:cs="宋体"/>
                <w:b/>
                <w:bCs/>
                <w:color w:val="auto"/>
                <w:szCs w:val="21"/>
                <w:highlight w:val="none"/>
                <w:u w:val="none" w:color="auto"/>
              </w:rPr>
              <w:t>时</w:t>
            </w:r>
            <w:r>
              <w:rPr>
                <w:rFonts w:hint="eastAsia" w:ascii="宋体" w:hAnsi="宋体" w:eastAsia="宋体" w:cs="宋体"/>
                <w:color w:val="auto"/>
                <w:szCs w:val="21"/>
                <w:highlight w:val="none"/>
                <w:u w:val="none" w:color="auto"/>
              </w:rPr>
              <w:t>（投标截止10日）前</w:t>
            </w:r>
            <w:bookmarkStart w:id="29" w:name="_Hlk61815279"/>
            <w:r>
              <w:rPr>
                <w:rFonts w:hint="eastAsia" w:ascii="宋体" w:hAnsi="宋体" w:eastAsia="宋体" w:cs="宋体"/>
                <w:color w:val="auto"/>
                <w:szCs w:val="21"/>
                <w:highlight w:val="none"/>
                <w:u w:val="none" w:color="auto"/>
              </w:rPr>
              <w:t xml:space="preserve">在滁州市公共资源交易中心网电子交易系统中进行异议（质疑），具体操作步骤和程序请参见服务指南&gt;交易须知&gt;在线异议、质疑和投诉操作手册。 </w:t>
            </w:r>
            <w:bookmarkEnd w:id="29"/>
          </w:p>
        </w:tc>
      </w:tr>
      <w:tr w14:paraId="62D53E9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jc w:val="center"/>
        </w:trPr>
        <w:tc>
          <w:tcPr>
            <w:tcW w:w="1048" w:type="dxa"/>
            <w:noWrap w:val="0"/>
            <w:vAlign w:val="center"/>
          </w:tcPr>
          <w:p w14:paraId="66DF5308">
            <w:pPr>
              <w:pStyle w:val="19"/>
              <w:keepNext w:val="0"/>
              <w:keepLines w:val="0"/>
              <w:pageBreakBefore w:val="0"/>
              <w:kinsoku/>
              <w:overflowPunct/>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w:t>
            </w:r>
          </w:p>
        </w:tc>
        <w:tc>
          <w:tcPr>
            <w:tcW w:w="2140" w:type="dxa"/>
            <w:gridSpan w:val="2"/>
            <w:noWrap w:val="0"/>
            <w:vAlign w:val="center"/>
          </w:tcPr>
          <w:p w14:paraId="5051C68B">
            <w:pPr>
              <w:pStyle w:val="19"/>
              <w:keepNext w:val="0"/>
              <w:keepLines w:val="0"/>
              <w:pageBreakBefore w:val="0"/>
              <w:kinsoku/>
              <w:overflowPunct/>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招标人澄清的时间及方式</w:t>
            </w:r>
          </w:p>
        </w:tc>
        <w:tc>
          <w:tcPr>
            <w:tcW w:w="7025" w:type="dxa"/>
            <w:noWrap w:val="0"/>
            <w:vAlign w:val="center"/>
          </w:tcPr>
          <w:p w14:paraId="37A490CC">
            <w:pPr>
              <w:keepNext w:val="0"/>
              <w:keepLines w:val="0"/>
              <w:pageBreakBefore w:val="0"/>
              <w:kinsoku/>
              <w:overflowPunct/>
              <w:autoSpaceDE/>
              <w:autoSpaceDN/>
              <w:bidi w:val="0"/>
              <w:adjustRightIn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u w:val="none" w:color="000000"/>
              </w:rPr>
              <w:t>202</w:t>
            </w:r>
            <w:r>
              <w:rPr>
                <w:rFonts w:hint="eastAsia" w:ascii="宋体" w:hAnsi="宋体" w:cs="宋体"/>
                <w:b/>
                <w:bCs/>
                <w:color w:val="auto"/>
                <w:szCs w:val="21"/>
                <w:highlight w:val="none"/>
                <w:u w:val="none" w:color="000000"/>
                <w:lang w:val="en-US" w:eastAsia="zh-CN"/>
              </w:rPr>
              <w:t>5</w:t>
            </w:r>
            <w:r>
              <w:rPr>
                <w:rFonts w:hint="eastAsia" w:ascii="宋体" w:hAnsi="宋体" w:eastAsia="宋体" w:cs="宋体"/>
                <w:b/>
                <w:bCs/>
                <w:color w:val="auto"/>
                <w:szCs w:val="21"/>
                <w:highlight w:val="none"/>
                <w:u w:val="none" w:color="000000"/>
              </w:rPr>
              <w:t>年</w:t>
            </w:r>
            <w:r>
              <w:rPr>
                <w:rFonts w:hint="eastAsia" w:ascii="宋体" w:hAnsi="宋体" w:cs="宋体"/>
                <w:b/>
                <w:bCs/>
                <w:color w:val="auto"/>
                <w:szCs w:val="21"/>
                <w:highlight w:val="none"/>
                <w:u w:val="none" w:color="000000"/>
                <w:lang w:val="en-US" w:eastAsia="zh-CN"/>
              </w:rPr>
              <w:t>10</w:t>
            </w:r>
            <w:r>
              <w:rPr>
                <w:rFonts w:hint="eastAsia" w:ascii="宋体" w:hAnsi="宋体" w:eastAsia="宋体" w:cs="宋体"/>
                <w:b/>
                <w:bCs/>
                <w:color w:val="auto"/>
                <w:szCs w:val="21"/>
                <w:highlight w:val="none"/>
                <w:u w:val="none" w:color="000000"/>
              </w:rPr>
              <w:t>月</w:t>
            </w:r>
            <w:r>
              <w:rPr>
                <w:rFonts w:hint="eastAsia" w:ascii="宋体" w:hAnsi="宋体" w:cs="宋体"/>
                <w:b/>
                <w:bCs/>
                <w:color w:val="auto"/>
                <w:szCs w:val="21"/>
                <w:highlight w:val="none"/>
                <w:u w:val="none" w:color="000000"/>
                <w:lang w:val="en-US" w:eastAsia="zh-CN"/>
              </w:rPr>
              <w:t>13</w:t>
            </w:r>
            <w:r>
              <w:rPr>
                <w:rFonts w:hint="eastAsia" w:ascii="宋体" w:hAnsi="宋体" w:eastAsia="宋体" w:cs="宋体"/>
                <w:b/>
                <w:bCs/>
                <w:color w:val="auto"/>
                <w:szCs w:val="21"/>
                <w:highlight w:val="none"/>
                <w:u w:val="none" w:color="000000"/>
              </w:rPr>
              <w:t>日17时</w:t>
            </w:r>
            <w:r>
              <w:rPr>
                <w:rFonts w:hint="eastAsia" w:ascii="宋体" w:hAnsi="宋体" w:eastAsia="宋体" w:cs="宋体"/>
                <w:b/>
                <w:bCs/>
                <w:color w:val="auto"/>
                <w:szCs w:val="21"/>
                <w:highlight w:val="none"/>
              </w:rPr>
              <w:t>前</w:t>
            </w:r>
            <w:r>
              <w:rPr>
                <w:rFonts w:hint="eastAsia" w:ascii="宋体" w:hAnsi="宋体" w:eastAsia="宋体" w:cs="宋体"/>
                <w:color w:val="auto"/>
                <w:kern w:val="2"/>
                <w:sz w:val="21"/>
                <w:szCs w:val="21"/>
                <w:highlight w:val="none"/>
                <w:u w:val="none" w:color="auto"/>
                <w:lang w:val="en-US" w:eastAsia="zh-CN" w:bidi="ar-SA"/>
              </w:rPr>
              <w:t>在滁州市公共资源交易中心网站 “答疑澄清文件”栏目予以公告。</w:t>
            </w:r>
          </w:p>
        </w:tc>
      </w:tr>
      <w:tr w14:paraId="1C514BB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7" w:hRule="atLeast"/>
          <w:jc w:val="center"/>
        </w:trPr>
        <w:tc>
          <w:tcPr>
            <w:tcW w:w="1048" w:type="dxa"/>
            <w:noWrap w:val="0"/>
            <w:vAlign w:val="center"/>
          </w:tcPr>
          <w:p w14:paraId="4BF9D386">
            <w:pPr>
              <w:pStyle w:val="19"/>
              <w:keepNext w:val="0"/>
              <w:keepLines w:val="0"/>
              <w:pageBreakBefore w:val="0"/>
              <w:kinsoku/>
              <w:overflowPunct/>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w:t>
            </w:r>
          </w:p>
        </w:tc>
        <w:tc>
          <w:tcPr>
            <w:tcW w:w="2140" w:type="dxa"/>
            <w:gridSpan w:val="2"/>
            <w:noWrap w:val="0"/>
            <w:vAlign w:val="center"/>
          </w:tcPr>
          <w:p w14:paraId="019D8C8E">
            <w:pPr>
              <w:pStyle w:val="19"/>
              <w:keepNext w:val="0"/>
              <w:keepLines w:val="0"/>
              <w:pageBreakBefore w:val="0"/>
              <w:kinsoku/>
              <w:overflowPunct/>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联合体投标</w:t>
            </w:r>
          </w:p>
        </w:tc>
        <w:tc>
          <w:tcPr>
            <w:tcW w:w="7025" w:type="dxa"/>
            <w:noWrap w:val="0"/>
            <w:vAlign w:val="center"/>
          </w:tcPr>
          <w:p w14:paraId="43999CAE">
            <w:pPr>
              <w:pStyle w:val="19"/>
              <w:keepNext w:val="0"/>
              <w:keepLines w:val="0"/>
              <w:pageBreakBefore w:val="0"/>
              <w:kinsoku/>
              <w:overflowPunct/>
              <w:autoSpaceDE/>
              <w:autoSpaceDN/>
              <w:bidi w:val="0"/>
              <w:adjustRightIn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本次招标</w:t>
            </w:r>
            <w:r>
              <w:rPr>
                <w:rFonts w:hint="eastAsia" w:ascii="宋体" w:hAnsi="宋体" w:eastAsia="宋体" w:cs="宋体"/>
                <w:color w:val="auto"/>
                <w:szCs w:val="21"/>
                <w:highlight w:val="none"/>
                <w:u w:val="none" w:color="auto"/>
              </w:rPr>
              <w:t>不接受</w:t>
            </w:r>
            <w:r>
              <w:rPr>
                <w:rFonts w:hint="eastAsia" w:ascii="宋体" w:hAnsi="宋体" w:eastAsia="宋体" w:cs="宋体"/>
                <w:color w:val="auto"/>
                <w:szCs w:val="21"/>
                <w:highlight w:val="none"/>
              </w:rPr>
              <w:t>联合体投标</w:t>
            </w:r>
          </w:p>
        </w:tc>
      </w:tr>
      <w:tr w14:paraId="55C8315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048" w:type="dxa"/>
            <w:noWrap w:val="0"/>
            <w:vAlign w:val="center"/>
          </w:tcPr>
          <w:p w14:paraId="667DC5D8">
            <w:pPr>
              <w:keepNext w:val="0"/>
              <w:keepLines w:val="0"/>
              <w:pageBreakBefore w:val="0"/>
              <w:kinsoku/>
              <w:overflowPunct/>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w:t>
            </w:r>
          </w:p>
        </w:tc>
        <w:tc>
          <w:tcPr>
            <w:tcW w:w="2140" w:type="dxa"/>
            <w:gridSpan w:val="2"/>
            <w:noWrap w:val="0"/>
            <w:vAlign w:val="center"/>
          </w:tcPr>
          <w:p w14:paraId="14B666AD">
            <w:pPr>
              <w:keepNext w:val="0"/>
              <w:keepLines w:val="0"/>
              <w:pageBreakBefore w:val="0"/>
              <w:kinsoku/>
              <w:overflowPunct/>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招标代理费</w:t>
            </w:r>
          </w:p>
        </w:tc>
        <w:tc>
          <w:tcPr>
            <w:tcW w:w="7025" w:type="dxa"/>
            <w:noWrap w:val="0"/>
            <w:vAlign w:val="center"/>
          </w:tcPr>
          <w:p w14:paraId="7EFBBE2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0" w:lineRule="exact"/>
              <w:ind w:left="0" w:right="0"/>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代理服务费金额：</w:t>
            </w:r>
            <w:r>
              <w:rPr>
                <w:rFonts w:hint="eastAsia" w:ascii="宋体" w:hAnsi="宋体" w:cs="宋体"/>
                <w:color w:val="auto"/>
                <w:szCs w:val="21"/>
                <w:highlight w:val="none"/>
                <w:lang w:val="en-US" w:eastAsia="zh-CN"/>
              </w:rPr>
              <w:t>16000元</w:t>
            </w:r>
            <w:r>
              <w:rPr>
                <w:rFonts w:hint="eastAsia" w:ascii="宋体" w:hAnsi="宋体" w:eastAsia="宋体" w:cs="宋体"/>
                <w:color w:val="auto"/>
                <w:szCs w:val="21"/>
                <w:highlight w:val="none"/>
                <w:lang w:val="en-US" w:eastAsia="zh-CN"/>
              </w:rPr>
              <w:t>；参考计价格【2002】1980号文件规定的85%</w:t>
            </w:r>
            <w:r>
              <w:rPr>
                <w:rFonts w:hint="eastAsia" w:ascii="宋体" w:hAnsi="宋体" w:cs="宋体"/>
                <w:color w:val="auto"/>
                <w:szCs w:val="21"/>
                <w:highlight w:val="none"/>
                <w:lang w:val="en-US" w:eastAsia="zh-CN"/>
              </w:rPr>
              <w:t>，以最高限价为计费基数。</w:t>
            </w:r>
          </w:p>
          <w:p w14:paraId="57530574">
            <w:pPr>
              <w:keepNext w:val="0"/>
              <w:keepLines w:val="0"/>
              <w:pageBreakBefore w:val="0"/>
              <w:kinsoku/>
              <w:overflowPunct/>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代理服务费</w:t>
            </w:r>
            <w:r>
              <w:rPr>
                <w:rFonts w:hint="eastAsia" w:ascii="宋体" w:hAnsi="宋体" w:eastAsia="宋体" w:cs="宋体"/>
                <w:color w:val="auto"/>
                <w:szCs w:val="21"/>
                <w:highlight w:val="none"/>
                <w:lang w:val="en-US" w:eastAsia="zh-CN"/>
              </w:rPr>
              <w:t>支付主体</w:t>
            </w:r>
            <w:r>
              <w:rPr>
                <w:rFonts w:hint="eastAsia" w:ascii="宋体" w:hAnsi="宋体" w:eastAsia="宋体" w:cs="宋体"/>
                <w:color w:val="auto"/>
                <w:szCs w:val="21"/>
                <w:highlight w:val="none"/>
              </w:rPr>
              <w:t>：中标单位。</w:t>
            </w:r>
          </w:p>
        </w:tc>
      </w:tr>
      <w:tr w14:paraId="4D31767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048" w:type="dxa"/>
            <w:noWrap w:val="0"/>
            <w:vAlign w:val="center"/>
          </w:tcPr>
          <w:p w14:paraId="2A8C53EB">
            <w:pPr>
              <w:keepNext w:val="0"/>
              <w:keepLines w:val="0"/>
              <w:pageBreakBefore w:val="0"/>
              <w:kinsoku/>
              <w:overflowPunct/>
              <w:autoSpaceDE/>
              <w:autoSpaceDN/>
              <w:bidi w:val="0"/>
              <w:adjustRightInd/>
              <w:spacing w:line="440" w:lineRule="exact"/>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12.</w:t>
            </w:r>
            <w:r>
              <w:rPr>
                <w:rFonts w:hint="eastAsia" w:ascii="宋体" w:hAnsi="宋体" w:eastAsia="宋体" w:cs="宋体"/>
                <w:color w:val="auto"/>
                <w:szCs w:val="21"/>
                <w:highlight w:val="none"/>
                <w:lang w:val="en-US" w:eastAsia="zh-CN"/>
              </w:rPr>
              <w:t>2</w:t>
            </w:r>
          </w:p>
        </w:tc>
        <w:tc>
          <w:tcPr>
            <w:tcW w:w="2140" w:type="dxa"/>
            <w:gridSpan w:val="2"/>
            <w:noWrap w:val="0"/>
            <w:vAlign w:val="center"/>
          </w:tcPr>
          <w:p w14:paraId="23788468">
            <w:pPr>
              <w:keepNext w:val="0"/>
              <w:keepLines w:val="0"/>
              <w:pageBreakBefore w:val="0"/>
              <w:kinsoku/>
              <w:overflowPunct/>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专家评审劳务费</w:t>
            </w:r>
          </w:p>
        </w:tc>
        <w:tc>
          <w:tcPr>
            <w:tcW w:w="7025" w:type="dxa"/>
            <w:noWrap w:val="0"/>
            <w:vAlign w:val="center"/>
          </w:tcPr>
          <w:p w14:paraId="34DEFD6A">
            <w:pPr>
              <w:keepNext w:val="0"/>
              <w:keepLines w:val="0"/>
              <w:pageBreakBefore w:val="0"/>
              <w:kinsoku/>
              <w:overflowPunct/>
              <w:autoSpaceDE/>
              <w:autoSpaceDN/>
              <w:bidi w:val="0"/>
              <w:adjustRightInd/>
              <w:spacing w:line="440" w:lineRule="exact"/>
              <w:jc w:val="left"/>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费用或支付标准：按实支付。</w:t>
            </w:r>
          </w:p>
          <w:p w14:paraId="1DAB0A91">
            <w:pPr>
              <w:keepNext w:val="0"/>
              <w:keepLines w:val="0"/>
              <w:pageBreakBefore w:val="0"/>
              <w:kinsoku/>
              <w:overflowPunct/>
              <w:autoSpaceDE/>
              <w:autoSpaceDN/>
              <w:bidi w:val="0"/>
              <w:adjustRightInd/>
              <w:spacing w:line="440" w:lineRule="exact"/>
              <w:jc w:val="left"/>
              <w:textAlignment w:val="auto"/>
              <w:rPr>
                <w:rFonts w:hint="default"/>
                <w:color w:val="auto"/>
                <w:highlight w:val="none"/>
                <w:lang w:val="en-US" w:eastAsia="zh-CN"/>
              </w:rPr>
            </w:pPr>
            <w:r>
              <w:rPr>
                <w:rFonts w:hint="eastAsia" w:ascii="宋体" w:hAnsi="宋体" w:eastAsia="宋体" w:cs="宋体"/>
                <w:color w:val="auto"/>
                <w:szCs w:val="21"/>
                <w:highlight w:val="none"/>
                <w:lang w:val="en-US" w:eastAsia="zh-CN"/>
              </w:rPr>
              <w:t>支付主体：代理机构。</w:t>
            </w:r>
          </w:p>
        </w:tc>
      </w:tr>
      <w:tr w14:paraId="253BC78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25" w:hRule="atLeast"/>
          <w:jc w:val="center"/>
        </w:trPr>
        <w:tc>
          <w:tcPr>
            <w:tcW w:w="1048" w:type="dxa"/>
            <w:noWrap w:val="0"/>
            <w:vAlign w:val="center"/>
          </w:tcPr>
          <w:p w14:paraId="1D0E2D4B">
            <w:pPr>
              <w:keepNext w:val="0"/>
              <w:keepLines w:val="0"/>
              <w:pageBreakBefore w:val="0"/>
              <w:kinsoku/>
              <w:overflowPunct/>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w:t>
            </w:r>
          </w:p>
        </w:tc>
        <w:tc>
          <w:tcPr>
            <w:tcW w:w="2140" w:type="dxa"/>
            <w:gridSpan w:val="2"/>
            <w:noWrap w:val="0"/>
            <w:vAlign w:val="center"/>
          </w:tcPr>
          <w:p w14:paraId="7CFE93A0">
            <w:pPr>
              <w:keepNext w:val="0"/>
              <w:keepLines w:val="0"/>
              <w:pageBreakBefore w:val="0"/>
              <w:kinsoku/>
              <w:overflowPunct/>
              <w:autoSpaceDE/>
              <w:autoSpaceDN/>
              <w:bidi w:val="0"/>
              <w:adjustRightInd/>
              <w:spacing w:line="440" w:lineRule="exact"/>
              <w:ind w:right="-27" w:rightChars="-13"/>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投标人要求澄清招标文件的截止时间及方式</w:t>
            </w:r>
          </w:p>
        </w:tc>
        <w:tc>
          <w:tcPr>
            <w:tcW w:w="7025" w:type="dxa"/>
            <w:noWrap w:val="0"/>
            <w:vAlign w:val="center"/>
          </w:tcPr>
          <w:p w14:paraId="318D5C74">
            <w:pPr>
              <w:keepNext w:val="0"/>
              <w:keepLines w:val="0"/>
              <w:pageBreakBefore w:val="0"/>
              <w:kinsoku/>
              <w:overflowPunct/>
              <w:autoSpaceDE/>
              <w:autoSpaceDN/>
              <w:bidi w:val="0"/>
              <w:adjustRightIn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同表10.2款</w:t>
            </w:r>
          </w:p>
        </w:tc>
      </w:tr>
      <w:tr w14:paraId="1D20279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jc w:val="center"/>
        </w:trPr>
        <w:tc>
          <w:tcPr>
            <w:tcW w:w="1048" w:type="dxa"/>
            <w:noWrap w:val="0"/>
            <w:vAlign w:val="center"/>
          </w:tcPr>
          <w:p w14:paraId="4B8769BD">
            <w:pPr>
              <w:pStyle w:val="19"/>
              <w:keepNext w:val="0"/>
              <w:keepLines w:val="0"/>
              <w:pageBreakBefore w:val="0"/>
              <w:kinsoku/>
              <w:overflowPunct/>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23.1</w:t>
            </w:r>
          </w:p>
        </w:tc>
        <w:tc>
          <w:tcPr>
            <w:tcW w:w="2140" w:type="dxa"/>
            <w:gridSpan w:val="2"/>
            <w:noWrap w:val="0"/>
            <w:vAlign w:val="center"/>
          </w:tcPr>
          <w:p w14:paraId="78472053">
            <w:pPr>
              <w:pStyle w:val="19"/>
              <w:keepNext w:val="0"/>
              <w:keepLines w:val="0"/>
              <w:pageBreakBefore w:val="0"/>
              <w:kinsoku/>
              <w:overflowPunct/>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投标有效期</w:t>
            </w:r>
          </w:p>
        </w:tc>
        <w:tc>
          <w:tcPr>
            <w:tcW w:w="7025" w:type="dxa"/>
            <w:noWrap w:val="0"/>
            <w:vAlign w:val="center"/>
          </w:tcPr>
          <w:p w14:paraId="02821FA5">
            <w:pPr>
              <w:pStyle w:val="19"/>
              <w:keepNext w:val="0"/>
              <w:keepLines w:val="0"/>
              <w:pageBreakBefore w:val="0"/>
              <w:kinsoku/>
              <w:overflowPunct/>
              <w:autoSpaceDE/>
              <w:autoSpaceDN/>
              <w:bidi w:val="0"/>
              <w:adjustRightIn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投标有效期为</w:t>
            </w:r>
            <w:r>
              <w:rPr>
                <w:rFonts w:hint="eastAsia" w:ascii="宋体" w:hAnsi="宋体" w:eastAsia="宋体" w:cs="宋体"/>
                <w:color w:val="auto"/>
                <w:szCs w:val="21"/>
                <w:highlight w:val="none"/>
                <w:u w:val="single"/>
              </w:rPr>
              <w:t xml:space="preserve"> 90  </w:t>
            </w:r>
            <w:r>
              <w:rPr>
                <w:rFonts w:hint="eastAsia" w:ascii="宋体" w:hAnsi="宋体" w:eastAsia="宋体" w:cs="宋体"/>
                <w:color w:val="auto"/>
                <w:szCs w:val="21"/>
                <w:highlight w:val="none"/>
              </w:rPr>
              <w:t>日历天（从投标截止之日算起）。在此期限内，凡符合本招标文件要求的投标文件均保持有效。</w:t>
            </w:r>
          </w:p>
        </w:tc>
      </w:tr>
      <w:tr w14:paraId="515BA36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5" w:hRule="atLeast"/>
          <w:jc w:val="center"/>
        </w:trPr>
        <w:tc>
          <w:tcPr>
            <w:tcW w:w="1048" w:type="dxa"/>
            <w:noWrap w:val="0"/>
            <w:vAlign w:val="center"/>
          </w:tcPr>
          <w:p w14:paraId="6633D0B5">
            <w:pPr>
              <w:keepNext w:val="0"/>
              <w:keepLines w:val="0"/>
              <w:pageBreakBefore w:val="0"/>
              <w:kinsoku/>
              <w:overflowPunct/>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24</w:t>
            </w:r>
          </w:p>
        </w:tc>
        <w:tc>
          <w:tcPr>
            <w:tcW w:w="2140" w:type="dxa"/>
            <w:gridSpan w:val="2"/>
            <w:noWrap w:val="0"/>
            <w:vAlign w:val="center"/>
          </w:tcPr>
          <w:p w14:paraId="4C54C166">
            <w:pPr>
              <w:keepNext w:val="0"/>
              <w:keepLines w:val="0"/>
              <w:pageBreakBefore w:val="0"/>
              <w:kinsoku/>
              <w:overflowPunct/>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w:t>
            </w:r>
          </w:p>
        </w:tc>
        <w:tc>
          <w:tcPr>
            <w:tcW w:w="7025" w:type="dxa"/>
            <w:noWrap w:val="0"/>
            <w:vAlign w:val="top"/>
          </w:tcPr>
          <w:p w14:paraId="4DC35665">
            <w:pPr>
              <w:keepNext w:val="0"/>
              <w:keepLines w:val="0"/>
              <w:pageBreakBefore w:val="0"/>
              <w:widowControl/>
              <w:shd w:val="clear" w:color="auto" w:fill="FFFFFF"/>
              <w:kinsoku/>
              <w:overflowPunct/>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none" w:color="000000"/>
              </w:rPr>
              <w:t>详见第一章“招标公告”</w:t>
            </w:r>
          </w:p>
        </w:tc>
      </w:tr>
      <w:tr w14:paraId="5EC8491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048" w:type="dxa"/>
            <w:noWrap w:val="0"/>
            <w:vAlign w:val="center"/>
          </w:tcPr>
          <w:p w14:paraId="47FCC79A">
            <w:pPr>
              <w:pStyle w:val="19"/>
              <w:keepNext w:val="0"/>
              <w:keepLines w:val="0"/>
              <w:pageBreakBefore w:val="0"/>
              <w:kinsoku/>
              <w:overflowPunct/>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w:t>
            </w:r>
          </w:p>
        </w:tc>
        <w:tc>
          <w:tcPr>
            <w:tcW w:w="2140" w:type="dxa"/>
            <w:gridSpan w:val="2"/>
            <w:noWrap w:val="0"/>
            <w:vAlign w:val="center"/>
          </w:tcPr>
          <w:p w14:paraId="3F4BB70E">
            <w:pPr>
              <w:pStyle w:val="19"/>
              <w:keepNext w:val="0"/>
              <w:keepLines w:val="0"/>
              <w:pageBreakBefore w:val="0"/>
              <w:kinsoku/>
              <w:overflowPunct/>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投标文件数量</w:t>
            </w:r>
          </w:p>
        </w:tc>
        <w:tc>
          <w:tcPr>
            <w:tcW w:w="7025" w:type="dxa"/>
            <w:noWrap w:val="0"/>
            <w:vAlign w:val="center"/>
          </w:tcPr>
          <w:p w14:paraId="0199DB69">
            <w:pPr>
              <w:keepNext w:val="0"/>
              <w:keepLines w:val="0"/>
              <w:pageBreakBefore w:val="0"/>
              <w:widowControl/>
              <w:kinsoku/>
              <w:overflowPunct/>
              <w:autoSpaceDE/>
              <w:autoSpaceDN/>
              <w:bidi w:val="0"/>
              <w:adjustRightInd/>
              <w:spacing w:line="440" w:lineRule="exact"/>
              <w:ind w:firstLine="88" w:firstLineChars="42"/>
              <w:jc w:val="left"/>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网上递交的电子投标文件：一份。以投标人在投标截止时间前网上递交的电子投标文件为准，逾期提交的，投标文件将被拒绝。</w:t>
            </w:r>
          </w:p>
          <w:p w14:paraId="52DDC81E">
            <w:pPr>
              <w:keepNext w:val="0"/>
              <w:keepLines w:val="0"/>
              <w:pageBreakBefore w:val="0"/>
              <w:widowControl/>
              <w:kinsoku/>
              <w:overflowPunct/>
              <w:autoSpaceDE/>
              <w:autoSpaceDN/>
              <w:bidi w:val="0"/>
              <w:adjustRightInd/>
              <w:spacing w:line="440" w:lineRule="exact"/>
              <w:ind w:firstLine="89" w:firstLineChars="42"/>
              <w:jc w:val="left"/>
              <w:textAlignment w:val="auto"/>
              <w:rPr>
                <w:rFonts w:hint="eastAsia" w:ascii="宋体" w:hAnsi="宋体" w:eastAsia="宋体" w:cs="宋体"/>
                <w:bCs/>
                <w:color w:val="auto"/>
                <w:kern w:val="0"/>
                <w:szCs w:val="21"/>
                <w:highlight w:val="none"/>
              </w:rPr>
            </w:pPr>
            <w:r>
              <w:rPr>
                <w:rFonts w:hint="eastAsia" w:ascii="宋体" w:hAnsi="宋体" w:eastAsia="宋体" w:cs="宋体"/>
                <w:b/>
                <w:color w:val="auto"/>
                <w:kern w:val="0"/>
                <w:szCs w:val="21"/>
                <w:highlight w:val="none"/>
              </w:rPr>
              <w:t>（投标人中标后须递交与网上电子投标文件完全一致的纸质版投标文件，并按要求加盖单位章；份数：正本</w:t>
            </w:r>
            <w:r>
              <w:rPr>
                <w:rFonts w:hint="eastAsia" w:ascii="宋体" w:hAnsi="宋体" w:eastAsia="宋体" w:cs="宋体"/>
                <w:b/>
                <w:color w:val="auto"/>
                <w:kern w:val="0"/>
                <w:szCs w:val="21"/>
                <w:highlight w:val="none"/>
                <w:u w:val="single"/>
              </w:rPr>
              <w:t xml:space="preserve"> 1 </w:t>
            </w:r>
            <w:r>
              <w:rPr>
                <w:rFonts w:hint="eastAsia" w:ascii="宋体" w:hAnsi="宋体" w:eastAsia="宋体" w:cs="宋体"/>
                <w:b/>
                <w:color w:val="auto"/>
                <w:kern w:val="0"/>
                <w:szCs w:val="21"/>
                <w:highlight w:val="none"/>
              </w:rPr>
              <w:t>份，副本</w:t>
            </w:r>
            <w:r>
              <w:rPr>
                <w:rFonts w:hint="eastAsia" w:ascii="宋体" w:hAnsi="宋体" w:eastAsia="宋体" w:cs="宋体"/>
                <w:b/>
                <w:color w:val="auto"/>
                <w:kern w:val="0"/>
                <w:szCs w:val="21"/>
                <w:highlight w:val="none"/>
                <w:u w:val="single"/>
              </w:rPr>
              <w:t xml:space="preserve"> 2 </w:t>
            </w:r>
            <w:r>
              <w:rPr>
                <w:rFonts w:hint="eastAsia" w:ascii="宋体" w:hAnsi="宋体" w:eastAsia="宋体" w:cs="宋体"/>
                <w:b/>
                <w:color w:val="auto"/>
                <w:kern w:val="0"/>
                <w:szCs w:val="21"/>
                <w:highlight w:val="none"/>
              </w:rPr>
              <w:t>份；中标人领取中标通知书时，一并递交给招标代理机构）。</w:t>
            </w:r>
          </w:p>
        </w:tc>
      </w:tr>
      <w:tr w14:paraId="1329C66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jc w:val="center"/>
        </w:trPr>
        <w:tc>
          <w:tcPr>
            <w:tcW w:w="1048" w:type="dxa"/>
            <w:noWrap w:val="0"/>
            <w:vAlign w:val="center"/>
          </w:tcPr>
          <w:p w14:paraId="4110D6E7">
            <w:pPr>
              <w:keepNext w:val="0"/>
              <w:keepLines w:val="0"/>
              <w:pageBreakBefore w:val="0"/>
              <w:kinsoku/>
              <w:overflowPunct/>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25.2</w:t>
            </w:r>
          </w:p>
        </w:tc>
        <w:tc>
          <w:tcPr>
            <w:tcW w:w="2140" w:type="dxa"/>
            <w:gridSpan w:val="2"/>
            <w:noWrap w:val="0"/>
            <w:vAlign w:val="center"/>
          </w:tcPr>
          <w:p w14:paraId="414E88B0">
            <w:pPr>
              <w:keepNext w:val="0"/>
              <w:keepLines w:val="0"/>
              <w:pageBreakBefore w:val="0"/>
              <w:kinsoku/>
              <w:overflowPunct/>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签字或盖章要求</w:t>
            </w:r>
          </w:p>
        </w:tc>
        <w:tc>
          <w:tcPr>
            <w:tcW w:w="7025" w:type="dxa"/>
            <w:noWrap w:val="0"/>
            <w:vAlign w:val="center"/>
          </w:tcPr>
          <w:p w14:paraId="62A7AAE6">
            <w:pPr>
              <w:keepNext w:val="0"/>
              <w:keepLines w:val="0"/>
              <w:pageBreakBefore w:val="0"/>
              <w:widowControl/>
              <w:kinsoku/>
              <w:overflowPunct/>
              <w:autoSpaceDE/>
              <w:autoSpaceDN/>
              <w:bidi w:val="0"/>
              <w:adjustRightInd/>
              <w:spacing w:line="440" w:lineRule="exact"/>
              <w:jc w:val="left"/>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电子投标文件须按格式文件要求签字或盖章（电子签章），招标文件格式中要求“签章”部位，指电子签章或盖章后扫描上传均可。</w:t>
            </w:r>
          </w:p>
          <w:p w14:paraId="400380CC">
            <w:pPr>
              <w:keepNext w:val="0"/>
              <w:keepLines w:val="0"/>
              <w:pageBreakBefore w:val="0"/>
              <w:widowControl/>
              <w:kinsoku/>
              <w:overflowPunct/>
              <w:autoSpaceDE/>
              <w:autoSpaceDN/>
              <w:bidi w:val="0"/>
              <w:adjustRightInd/>
              <w:spacing w:line="440" w:lineRule="exact"/>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kern w:val="0"/>
                <w:szCs w:val="21"/>
                <w:highlight w:val="none"/>
              </w:rPr>
              <w:t>否则经评委会一致认定且经过招投标监管部门批准后，按照无效投标处理。</w:t>
            </w:r>
          </w:p>
        </w:tc>
      </w:tr>
      <w:tr w14:paraId="565B717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3" w:hRule="atLeast"/>
          <w:jc w:val="center"/>
        </w:trPr>
        <w:tc>
          <w:tcPr>
            <w:tcW w:w="1048" w:type="dxa"/>
            <w:noWrap w:val="0"/>
            <w:vAlign w:val="center"/>
          </w:tcPr>
          <w:p w14:paraId="67F7DF61">
            <w:pPr>
              <w:keepNext w:val="0"/>
              <w:keepLines w:val="0"/>
              <w:pageBreakBefore w:val="0"/>
              <w:kinsoku/>
              <w:overflowPunct/>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w:t>
            </w:r>
          </w:p>
        </w:tc>
        <w:tc>
          <w:tcPr>
            <w:tcW w:w="2140" w:type="dxa"/>
            <w:gridSpan w:val="2"/>
            <w:noWrap w:val="0"/>
            <w:vAlign w:val="center"/>
          </w:tcPr>
          <w:p w14:paraId="0D1A74CA">
            <w:pPr>
              <w:keepNext w:val="0"/>
              <w:keepLines w:val="0"/>
              <w:pageBreakBefore w:val="0"/>
              <w:kinsoku/>
              <w:overflowPunct/>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投标文件提交截止时间</w:t>
            </w:r>
          </w:p>
        </w:tc>
        <w:tc>
          <w:tcPr>
            <w:tcW w:w="7025" w:type="dxa"/>
            <w:noWrap w:val="0"/>
            <w:vAlign w:val="center"/>
          </w:tcPr>
          <w:p w14:paraId="132C8FF6">
            <w:pPr>
              <w:keepNext w:val="0"/>
              <w:keepLines w:val="0"/>
              <w:pageBreakBefore w:val="0"/>
              <w:kinsoku/>
              <w:overflowPunct/>
              <w:autoSpaceDE/>
              <w:autoSpaceDN/>
              <w:bidi w:val="0"/>
              <w:adjustRightIn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网上递交投标文件截止时间：</w:t>
            </w:r>
            <w:r>
              <w:rPr>
                <w:rFonts w:hint="eastAsia" w:ascii="宋体" w:hAnsi="宋体" w:eastAsia="宋体" w:cs="宋体"/>
                <w:b/>
                <w:bCs/>
                <w:color w:val="auto"/>
                <w:szCs w:val="21"/>
                <w:highlight w:val="none"/>
              </w:rPr>
              <w:t>202</w:t>
            </w:r>
            <w:r>
              <w:rPr>
                <w:rFonts w:hint="eastAsia" w:ascii="宋体" w:hAnsi="宋体" w:cs="宋体"/>
                <w:b/>
                <w:bCs/>
                <w:color w:val="auto"/>
                <w:szCs w:val="21"/>
                <w:highlight w:val="none"/>
                <w:lang w:val="en-US" w:eastAsia="zh-CN"/>
              </w:rPr>
              <w:t>5</w:t>
            </w:r>
            <w:r>
              <w:rPr>
                <w:rFonts w:hint="eastAsia" w:ascii="宋体" w:hAnsi="宋体" w:eastAsia="宋体" w:cs="宋体"/>
                <w:b/>
                <w:bCs/>
                <w:color w:val="auto"/>
                <w:szCs w:val="21"/>
                <w:highlight w:val="none"/>
              </w:rPr>
              <w:t>年</w:t>
            </w:r>
            <w:r>
              <w:rPr>
                <w:rFonts w:hint="eastAsia" w:ascii="宋体" w:hAnsi="宋体" w:cs="宋体"/>
                <w:b/>
                <w:bCs/>
                <w:color w:val="auto"/>
                <w:szCs w:val="21"/>
                <w:highlight w:val="none"/>
                <w:lang w:val="en-US" w:eastAsia="zh-CN"/>
              </w:rPr>
              <w:t>10月21日</w:t>
            </w:r>
            <w:r>
              <w:rPr>
                <w:rFonts w:hint="eastAsia" w:ascii="宋体" w:hAnsi="宋体" w:eastAsia="宋体" w:cs="宋体"/>
                <w:b/>
                <w:bCs/>
                <w:color w:val="auto"/>
                <w:szCs w:val="21"/>
                <w:highlight w:val="none"/>
              </w:rPr>
              <w:t>8点00分（北京时间）</w:t>
            </w:r>
          </w:p>
          <w:p w14:paraId="486E1351">
            <w:pPr>
              <w:keepNext w:val="0"/>
              <w:keepLines w:val="0"/>
              <w:pageBreakBefore w:val="0"/>
              <w:kinsoku/>
              <w:overflowPunct/>
              <w:autoSpaceDE/>
              <w:autoSpaceDN/>
              <w:bidi w:val="0"/>
              <w:adjustRightInd/>
              <w:spacing w:line="440" w:lineRule="exact"/>
              <w:textAlignment w:val="auto"/>
              <w:rPr>
                <w:rFonts w:hint="eastAsia" w:ascii="宋体" w:hAnsi="宋体" w:eastAsia="宋体" w:cs="宋体"/>
                <w:bCs/>
                <w:color w:val="auto"/>
                <w:szCs w:val="21"/>
                <w:highlight w:val="none"/>
              </w:rPr>
            </w:pPr>
            <w:r>
              <w:rPr>
                <w:rFonts w:hint="eastAsia" w:ascii="宋体" w:hAnsi="宋体" w:eastAsia="宋体" w:cs="宋体"/>
                <w:b/>
                <w:color w:val="auto"/>
                <w:szCs w:val="21"/>
                <w:highlight w:val="none"/>
              </w:rPr>
              <w:t>注：以投标人在投标截止时间前网上递交的电子投标文件为准，逾期提交的，投标文件将被拒绝。</w:t>
            </w:r>
          </w:p>
          <w:p w14:paraId="24FC95C9">
            <w:pPr>
              <w:keepNext w:val="0"/>
              <w:keepLines w:val="0"/>
              <w:pageBreakBefore w:val="0"/>
              <w:kinsoku/>
              <w:wordWrap w:val="0"/>
              <w:overflowPunct/>
              <w:autoSpaceDE/>
              <w:autoSpaceDN/>
              <w:bidi w:val="0"/>
              <w:adjustRightIn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1.解密程序开始后60分钟内（以本项目网上招投标系统解密倒计时为准）。</w:t>
            </w:r>
          </w:p>
          <w:p w14:paraId="767DE5FB">
            <w:pPr>
              <w:keepNext w:val="0"/>
              <w:keepLines w:val="0"/>
              <w:pageBreakBefore w:val="0"/>
              <w:kinsoku/>
              <w:wordWrap w:val="0"/>
              <w:overflowPunct/>
              <w:autoSpaceDE/>
              <w:autoSpaceDN/>
              <w:bidi w:val="0"/>
              <w:adjustRightIn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2.解密时间为202</w:t>
            </w:r>
            <w:r>
              <w:rPr>
                <w:rFonts w:hint="eastAsia" w:ascii="宋体" w:hAnsi="宋体" w:cs="宋体"/>
                <w:b/>
                <w:bCs/>
                <w:color w:val="auto"/>
                <w:szCs w:val="21"/>
                <w:highlight w:val="none"/>
                <w:lang w:val="en-US" w:eastAsia="zh-CN"/>
              </w:rPr>
              <w:t>5</w:t>
            </w:r>
            <w:r>
              <w:rPr>
                <w:rFonts w:hint="eastAsia" w:ascii="宋体" w:hAnsi="宋体" w:eastAsia="宋体" w:cs="宋体"/>
                <w:b/>
                <w:bCs/>
                <w:color w:val="auto"/>
                <w:szCs w:val="21"/>
                <w:highlight w:val="none"/>
              </w:rPr>
              <w:t>年</w:t>
            </w:r>
            <w:r>
              <w:rPr>
                <w:rFonts w:hint="eastAsia" w:ascii="宋体" w:hAnsi="宋体" w:cs="宋体"/>
                <w:b/>
                <w:bCs/>
                <w:color w:val="auto"/>
                <w:szCs w:val="21"/>
                <w:highlight w:val="none"/>
                <w:lang w:val="en-US" w:eastAsia="zh-CN"/>
              </w:rPr>
              <w:t>10月21日</w:t>
            </w:r>
            <w:r>
              <w:rPr>
                <w:rFonts w:hint="eastAsia" w:ascii="宋体" w:hAnsi="宋体" w:eastAsia="宋体" w:cs="宋体"/>
                <w:b/>
                <w:bCs/>
                <w:color w:val="auto"/>
                <w:szCs w:val="21"/>
                <w:highlight w:val="none"/>
              </w:rPr>
              <w:t>08点00分至202</w:t>
            </w:r>
            <w:r>
              <w:rPr>
                <w:rFonts w:hint="eastAsia" w:ascii="宋体" w:hAnsi="宋体" w:cs="宋体"/>
                <w:b/>
                <w:bCs/>
                <w:color w:val="auto"/>
                <w:szCs w:val="21"/>
                <w:highlight w:val="none"/>
                <w:lang w:val="en-US" w:eastAsia="zh-CN"/>
              </w:rPr>
              <w:t>5</w:t>
            </w:r>
            <w:r>
              <w:rPr>
                <w:rFonts w:hint="eastAsia" w:ascii="宋体" w:hAnsi="宋体" w:eastAsia="宋体" w:cs="宋体"/>
                <w:b/>
                <w:bCs/>
                <w:color w:val="auto"/>
                <w:szCs w:val="21"/>
                <w:highlight w:val="none"/>
              </w:rPr>
              <w:t>年</w:t>
            </w:r>
            <w:r>
              <w:rPr>
                <w:rFonts w:hint="eastAsia" w:ascii="宋体" w:hAnsi="宋体" w:cs="宋体"/>
                <w:b/>
                <w:bCs/>
                <w:color w:val="auto"/>
                <w:szCs w:val="21"/>
                <w:highlight w:val="none"/>
                <w:lang w:val="en-US" w:eastAsia="zh-CN"/>
              </w:rPr>
              <w:t>10月21日</w:t>
            </w:r>
            <w:r>
              <w:rPr>
                <w:rFonts w:hint="eastAsia" w:ascii="宋体" w:hAnsi="宋体" w:eastAsia="宋体" w:cs="宋体"/>
                <w:b/>
                <w:bCs/>
                <w:color w:val="auto"/>
                <w:szCs w:val="21"/>
                <w:highlight w:val="none"/>
              </w:rPr>
              <w:t>09点00分。</w:t>
            </w:r>
          </w:p>
        </w:tc>
      </w:tr>
      <w:tr w14:paraId="59A759C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93" w:hRule="atLeast"/>
          <w:jc w:val="center"/>
        </w:trPr>
        <w:tc>
          <w:tcPr>
            <w:tcW w:w="1048" w:type="dxa"/>
            <w:noWrap w:val="0"/>
            <w:vAlign w:val="center"/>
          </w:tcPr>
          <w:p w14:paraId="283BD2C4">
            <w:pPr>
              <w:keepNext w:val="0"/>
              <w:keepLines w:val="0"/>
              <w:pageBreakBefore w:val="0"/>
              <w:kinsoku/>
              <w:overflowPunct/>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w:t>
            </w:r>
          </w:p>
        </w:tc>
        <w:tc>
          <w:tcPr>
            <w:tcW w:w="2140" w:type="dxa"/>
            <w:gridSpan w:val="2"/>
            <w:noWrap w:val="0"/>
            <w:vAlign w:val="center"/>
          </w:tcPr>
          <w:p w14:paraId="21F9804E">
            <w:pPr>
              <w:keepNext w:val="0"/>
              <w:keepLines w:val="0"/>
              <w:pageBreakBefore w:val="0"/>
              <w:kinsoku/>
              <w:overflowPunct/>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是否退还投标文件</w:t>
            </w:r>
          </w:p>
        </w:tc>
        <w:tc>
          <w:tcPr>
            <w:tcW w:w="7025" w:type="dxa"/>
            <w:noWrap w:val="0"/>
            <w:vAlign w:val="center"/>
          </w:tcPr>
          <w:p w14:paraId="10D6252D">
            <w:pPr>
              <w:keepNext w:val="0"/>
              <w:keepLines w:val="0"/>
              <w:pageBreakBefore w:val="0"/>
              <w:kinsoku/>
              <w:overflowPunct/>
              <w:autoSpaceDE/>
              <w:autoSpaceDN/>
              <w:bidi w:val="0"/>
              <w:adjustRightIn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否</w:t>
            </w:r>
          </w:p>
        </w:tc>
      </w:tr>
      <w:tr w14:paraId="75E1C36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jc w:val="center"/>
        </w:trPr>
        <w:tc>
          <w:tcPr>
            <w:tcW w:w="1048" w:type="dxa"/>
            <w:noWrap w:val="0"/>
            <w:vAlign w:val="center"/>
          </w:tcPr>
          <w:p w14:paraId="3E3F47C5">
            <w:pPr>
              <w:keepNext w:val="0"/>
              <w:keepLines w:val="0"/>
              <w:pageBreakBefore w:val="0"/>
              <w:kinsoku/>
              <w:overflowPunct/>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28.1</w:t>
            </w:r>
          </w:p>
        </w:tc>
        <w:tc>
          <w:tcPr>
            <w:tcW w:w="2140" w:type="dxa"/>
            <w:gridSpan w:val="2"/>
            <w:noWrap w:val="0"/>
            <w:vAlign w:val="center"/>
          </w:tcPr>
          <w:p w14:paraId="6334176A">
            <w:pPr>
              <w:keepNext w:val="0"/>
              <w:keepLines w:val="0"/>
              <w:pageBreakBefore w:val="0"/>
              <w:kinsoku/>
              <w:overflowPunct/>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开标时间及地点</w:t>
            </w:r>
          </w:p>
        </w:tc>
        <w:tc>
          <w:tcPr>
            <w:tcW w:w="7025" w:type="dxa"/>
            <w:noWrap w:val="0"/>
            <w:vAlign w:val="center"/>
          </w:tcPr>
          <w:p w14:paraId="097BBF43">
            <w:pPr>
              <w:keepNext w:val="0"/>
              <w:keepLines w:val="0"/>
              <w:pageBreakBefore w:val="0"/>
              <w:kinsoku/>
              <w:overflowPunct/>
              <w:autoSpaceDE/>
              <w:autoSpaceDN/>
              <w:bidi w:val="0"/>
              <w:adjustRightInd/>
              <w:spacing w:line="440" w:lineRule="exact"/>
              <w:textAlignment w:val="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开标时间：</w:t>
            </w:r>
            <w:r>
              <w:rPr>
                <w:rFonts w:hint="eastAsia" w:ascii="宋体" w:hAnsi="宋体" w:eastAsia="宋体" w:cs="宋体"/>
                <w:b/>
                <w:bCs/>
                <w:color w:val="auto"/>
                <w:szCs w:val="21"/>
                <w:highlight w:val="none"/>
              </w:rPr>
              <w:t>202</w:t>
            </w:r>
            <w:r>
              <w:rPr>
                <w:rFonts w:hint="eastAsia" w:ascii="宋体" w:hAnsi="宋体" w:cs="宋体"/>
                <w:b/>
                <w:bCs/>
                <w:color w:val="auto"/>
                <w:szCs w:val="21"/>
                <w:highlight w:val="none"/>
                <w:lang w:val="en-US" w:eastAsia="zh-CN"/>
              </w:rPr>
              <w:t>5</w:t>
            </w:r>
            <w:r>
              <w:rPr>
                <w:rFonts w:hint="eastAsia" w:ascii="宋体" w:hAnsi="宋体" w:eastAsia="宋体" w:cs="宋体"/>
                <w:b/>
                <w:bCs/>
                <w:color w:val="auto"/>
                <w:szCs w:val="21"/>
                <w:highlight w:val="none"/>
              </w:rPr>
              <w:t>年</w:t>
            </w:r>
            <w:r>
              <w:rPr>
                <w:rFonts w:hint="eastAsia" w:ascii="宋体" w:hAnsi="宋体" w:cs="宋体"/>
                <w:b/>
                <w:bCs/>
                <w:color w:val="auto"/>
                <w:szCs w:val="21"/>
                <w:highlight w:val="none"/>
                <w:lang w:val="en-US" w:eastAsia="zh-CN"/>
              </w:rPr>
              <w:t>10月21日</w:t>
            </w:r>
            <w:r>
              <w:rPr>
                <w:rFonts w:hint="eastAsia" w:ascii="宋体" w:hAnsi="宋体" w:eastAsia="宋体" w:cs="宋体"/>
                <w:b/>
                <w:bCs/>
                <w:color w:val="auto"/>
                <w:szCs w:val="21"/>
                <w:highlight w:val="none"/>
              </w:rPr>
              <w:t>08点00分（北京时间）</w:t>
            </w:r>
          </w:p>
          <w:p w14:paraId="5FE4E9B4">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开标地点：网上开标，投标人登录滁州市不见面开标系统参与网上开标（网址：</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"https://ggzy.chuzhou.gov.cn/BidOpening/bidopeninghallaction/hall/login）。操作手册见"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https://ggzy.chuzhou.gov.cn/BidOpening/bidopeninghallaction/hall/login）。操作手册见</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https://ggzy.chuzhou.gov.cn/fwzn/011006/20240510/f0637388-583d-4c69-8331-05b6adfcf24d.html。</w:t>
            </w:r>
          </w:p>
        </w:tc>
      </w:tr>
      <w:tr w14:paraId="6CBA1DA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048" w:type="dxa"/>
            <w:noWrap w:val="0"/>
            <w:vAlign w:val="center"/>
          </w:tcPr>
          <w:p w14:paraId="3537D84B">
            <w:pPr>
              <w:keepNext w:val="0"/>
              <w:keepLines w:val="0"/>
              <w:pageBreakBefore w:val="0"/>
              <w:kinsoku/>
              <w:overflowPunct/>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28.3</w:t>
            </w:r>
          </w:p>
        </w:tc>
        <w:tc>
          <w:tcPr>
            <w:tcW w:w="2140" w:type="dxa"/>
            <w:gridSpan w:val="2"/>
            <w:noWrap w:val="0"/>
            <w:vAlign w:val="center"/>
          </w:tcPr>
          <w:p w14:paraId="62D4C071">
            <w:pPr>
              <w:keepNext w:val="0"/>
              <w:keepLines w:val="0"/>
              <w:pageBreakBefore w:val="0"/>
              <w:kinsoku/>
              <w:overflowPunct/>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开标程序</w:t>
            </w:r>
          </w:p>
        </w:tc>
        <w:tc>
          <w:tcPr>
            <w:tcW w:w="7025" w:type="dxa"/>
            <w:noWrap w:val="0"/>
            <w:vAlign w:val="center"/>
          </w:tcPr>
          <w:p w14:paraId="39E342F0">
            <w:pPr>
              <w:keepNext w:val="0"/>
              <w:keepLines w:val="0"/>
              <w:pageBreakBefore w:val="0"/>
              <w:kinsoku/>
              <w:overflowPunct/>
              <w:autoSpaceDE/>
              <w:autoSpaceDN/>
              <w:bidi w:val="0"/>
              <w:adjustRightInd/>
              <w:spacing w:line="44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开标顺序：解密电子投标文件后，由评标委员会评审。</w:t>
            </w:r>
          </w:p>
        </w:tc>
      </w:tr>
      <w:tr w14:paraId="608CE7B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04" w:hRule="atLeast"/>
          <w:jc w:val="center"/>
        </w:trPr>
        <w:tc>
          <w:tcPr>
            <w:tcW w:w="1048" w:type="dxa"/>
            <w:noWrap w:val="0"/>
            <w:vAlign w:val="center"/>
          </w:tcPr>
          <w:p w14:paraId="51773FFC">
            <w:pPr>
              <w:pStyle w:val="19"/>
              <w:keepNext w:val="0"/>
              <w:keepLines w:val="0"/>
              <w:pageBreakBefore w:val="0"/>
              <w:kinsoku/>
              <w:overflowPunct/>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29.1</w:t>
            </w:r>
          </w:p>
        </w:tc>
        <w:tc>
          <w:tcPr>
            <w:tcW w:w="2140" w:type="dxa"/>
            <w:gridSpan w:val="2"/>
            <w:noWrap w:val="0"/>
            <w:vAlign w:val="center"/>
          </w:tcPr>
          <w:p w14:paraId="1544EF6A">
            <w:pPr>
              <w:keepNext w:val="0"/>
              <w:keepLines w:val="0"/>
              <w:pageBreakBefore w:val="0"/>
              <w:kinsoku/>
              <w:overflowPunct/>
              <w:autoSpaceDE/>
              <w:autoSpaceDN/>
              <w:bidi w:val="0"/>
              <w:adjustRightInd/>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评标委员会的组建</w:t>
            </w:r>
          </w:p>
        </w:tc>
        <w:tc>
          <w:tcPr>
            <w:tcW w:w="7025" w:type="dxa"/>
            <w:noWrap w:val="0"/>
            <w:vAlign w:val="top"/>
          </w:tcPr>
          <w:p w14:paraId="2AFB3A49">
            <w:pPr>
              <w:keepNext w:val="0"/>
              <w:keepLines w:val="0"/>
              <w:pageBreakBefore w:val="0"/>
              <w:kinsoku/>
              <w:overflowPunct/>
              <w:autoSpaceDE/>
              <w:autoSpaceDN/>
              <w:bidi w:val="0"/>
              <w:adjustRightInd/>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评标委员会构成：评标专家5人。</w:t>
            </w:r>
          </w:p>
          <w:p w14:paraId="647B28CD">
            <w:pPr>
              <w:keepNext w:val="0"/>
              <w:keepLines w:val="0"/>
              <w:pageBreakBefore w:val="0"/>
              <w:kinsoku/>
              <w:overflowPunct/>
              <w:autoSpaceDE/>
              <w:autoSpaceDN/>
              <w:bidi w:val="0"/>
              <w:adjustRightInd/>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评标专家确定方式：评标专家由招标人在开标前从专家库中随机抽取。</w:t>
            </w:r>
          </w:p>
        </w:tc>
      </w:tr>
      <w:tr w14:paraId="55E8CD8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4" w:hRule="atLeast"/>
          <w:jc w:val="center"/>
        </w:trPr>
        <w:tc>
          <w:tcPr>
            <w:tcW w:w="1048" w:type="dxa"/>
            <w:noWrap w:val="0"/>
            <w:vAlign w:val="center"/>
          </w:tcPr>
          <w:p w14:paraId="00885B72">
            <w:pPr>
              <w:pStyle w:val="19"/>
              <w:keepNext w:val="0"/>
              <w:keepLines w:val="0"/>
              <w:pageBreakBefore w:val="0"/>
              <w:kinsoku/>
              <w:overflowPunct/>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32.1.1</w:t>
            </w:r>
          </w:p>
        </w:tc>
        <w:tc>
          <w:tcPr>
            <w:tcW w:w="2140" w:type="dxa"/>
            <w:gridSpan w:val="2"/>
            <w:noWrap w:val="0"/>
            <w:vAlign w:val="center"/>
          </w:tcPr>
          <w:p w14:paraId="6B9F1732">
            <w:pPr>
              <w:pStyle w:val="19"/>
              <w:keepNext w:val="0"/>
              <w:keepLines w:val="0"/>
              <w:pageBreakBefore w:val="0"/>
              <w:kinsoku/>
              <w:overflowPunct/>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是否授权评标委员会确定中标候选人</w:t>
            </w:r>
          </w:p>
        </w:tc>
        <w:tc>
          <w:tcPr>
            <w:tcW w:w="7025" w:type="dxa"/>
            <w:noWrap w:val="0"/>
            <w:vAlign w:val="center"/>
          </w:tcPr>
          <w:p w14:paraId="5E70B89E">
            <w:pPr>
              <w:pStyle w:val="19"/>
              <w:keepNext w:val="0"/>
              <w:keepLines w:val="0"/>
              <w:pageBreakBefore w:val="0"/>
              <w:kinsoku/>
              <w:overflowPunct/>
              <w:autoSpaceDE/>
              <w:autoSpaceDN/>
              <w:bidi w:val="0"/>
              <w:adjustRightIn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是，评标委员会推荐3名中标候选人。</w:t>
            </w:r>
          </w:p>
        </w:tc>
      </w:tr>
      <w:tr w14:paraId="2A7E805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35" w:hRule="atLeast"/>
          <w:jc w:val="center"/>
        </w:trPr>
        <w:tc>
          <w:tcPr>
            <w:tcW w:w="1048" w:type="dxa"/>
            <w:noWrap w:val="0"/>
            <w:vAlign w:val="center"/>
          </w:tcPr>
          <w:p w14:paraId="20314E1A">
            <w:pPr>
              <w:pStyle w:val="19"/>
              <w:keepNext w:val="0"/>
              <w:keepLines w:val="0"/>
              <w:pageBreakBefore w:val="0"/>
              <w:kinsoku/>
              <w:overflowPunct/>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32.1.2</w:t>
            </w:r>
          </w:p>
        </w:tc>
        <w:tc>
          <w:tcPr>
            <w:tcW w:w="2140" w:type="dxa"/>
            <w:gridSpan w:val="2"/>
            <w:noWrap w:val="0"/>
            <w:vAlign w:val="center"/>
          </w:tcPr>
          <w:p w14:paraId="0C7EEE5A">
            <w:pPr>
              <w:pStyle w:val="19"/>
              <w:keepNext w:val="0"/>
              <w:keepLines w:val="0"/>
              <w:pageBreakBefore w:val="0"/>
              <w:kinsoku/>
              <w:overflowPunct/>
              <w:autoSpaceDE/>
              <w:autoSpaceDN/>
              <w:bidi w:val="0"/>
              <w:adjustRightInd/>
              <w:spacing w:line="440" w:lineRule="exact"/>
              <w:jc w:val="left"/>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中标结果公告媒介</w:t>
            </w:r>
            <w:r>
              <w:rPr>
                <w:rFonts w:hint="eastAsia" w:hAnsi="宋体" w:cs="宋体"/>
                <w:color w:val="auto"/>
                <w:szCs w:val="21"/>
                <w:highlight w:val="none"/>
                <w:lang w:val="en-US" w:eastAsia="zh-CN"/>
              </w:rPr>
              <w:t>及期限</w:t>
            </w:r>
          </w:p>
        </w:tc>
        <w:tc>
          <w:tcPr>
            <w:tcW w:w="7025" w:type="dxa"/>
            <w:noWrap w:val="0"/>
            <w:vAlign w:val="top"/>
          </w:tcPr>
          <w:p w14:paraId="7BA8BE6D">
            <w:pPr>
              <w:pStyle w:val="19"/>
              <w:keepNext w:val="0"/>
              <w:keepLines w:val="0"/>
              <w:pageBreakBefore w:val="0"/>
              <w:kinsoku/>
              <w:overflowPunct/>
              <w:autoSpaceDE/>
              <w:autoSpaceDN/>
              <w:bidi w:val="0"/>
              <w:adjustRightIn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公示媒介：同招标公告发布媒介</w:t>
            </w:r>
          </w:p>
          <w:p w14:paraId="16AF3A95">
            <w:pPr>
              <w:pStyle w:val="19"/>
              <w:keepNext w:val="0"/>
              <w:keepLines w:val="0"/>
              <w:pageBreakBefore w:val="0"/>
              <w:kinsoku/>
              <w:overflowPunct/>
              <w:autoSpaceDE/>
              <w:autoSpaceDN/>
              <w:bidi w:val="0"/>
              <w:adjustRightInd/>
              <w:spacing w:line="440" w:lineRule="exact"/>
              <w:textAlignment w:val="auto"/>
              <w:rPr>
                <w:rFonts w:hint="eastAsia" w:ascii="宋体" w:hAnsi="宋体" w:eastAsia="宋体" w:cs="宋体"/>
                <w:color w:val="auto"/>
                <w:spacing w:val="-4"/>
                <w:szCs w:val="21"/>
                <w:highlight w:val="none"/>
              </w:rPr>
            </w:pPr>
            <w:r>
              <w:rPr>
                <w:rFonts w:hint="eastAsia" w:ascii="宋体" w:hAnsi="宋体" w:eastAsia="宋体" w:cs="宋体"/>
                <w:color w:val="auto"/>
                <w:szCs w:val="21"/>
                <w:highlight w:val="none"/>
              </w:rPr>
              <w:t>公示期限：公示发布次日起3日（如公示第三日为休息日或节假日，则顺延至休息日或节假日后第一个工作日）</w:t>
            </w:r>
          </w:p>
        </w:tc>
      </w:tr>
      <w:tr w14:paraId="73DDB7B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25" w:hRule="atLeast"/>
          <w:jc w:val="center"/>
        </w:trPr>
        <w:tc>
          <w:tcPr>
            <w:tcW w:w="1048" w:type="dxa"/>
            <w:vMerge w:val="restart"/>
            <w:noWrap w:val="0"/>
            <w:vAlign w:val="center"/>
          </w:tcPr>
          <w:p w14:paraId="0C2AFA01">
            <w:pPr>
              <w:keepNext w:val="0"/>
              <w:keepLines w:val="0"/>
              <w:pageBreakBefore w:val="0"/>
              <w:kinsoku/>
              <w:overflowPunct/>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32.2</w:t>
            </w:r>
          </w:p>
        </w:tc>
        <w:tc>
          <w:tcPr>
            <w:tcW w:w="2140" w:type="dxa"/>
            <w:gridSpan w:val="2"/>
            <w:noWrap w:val="0"/>
            <w:vAlign w:val="center"/>
          </w:tcPr>
          <w:p w14:paraId="3551FFFC">
            <w:pPr>
              <w:keepNext w:val="0"/>
              <w:keepLines w:val="0"/>
              <w:pageBreakBefore w:val="0"/>
              <w:kinsoku/>
              <w:overflowPunct/>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中标通知书</w:t>
            </w:r>
          </w:p>
        </w:tc>
        <w:tc>
          <w:tcPr>
            <w:tcW w:w="7025" w:type="dxa"/>
            <w:noWrap w:val="0"/>
            <w:vAlign w:val="center"/>
          </w:tcPr>
          <w:p w14:paraId="6CEC7E40">
            <w:pPr>
              <w:keepNext w:val="0"/>
              <w:keepLines w:val="0"/>
              <w:pageBreakBefore w:val="0"/>
              <w:kinsoku/>
              <w:overflowPunct/>
              <w:autoSpaceDE/>
              <w:autoSpaceDN/>
              <w:bidi w:val="0"/>
              <w:adjustRightIn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中标通知书须加盖公共资源交易中心见证章后方可发出。</w:t>
            </w:r>
          </w:p>
        </w:tc>
      </w:tr>
      <w:tr w14:paraId="04A4B74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25" w:hRule="atLeast"/>
          <w:jc w:val="center"/>
        </w:trPr>
        <w:tc>
          <w:tcPr>
            <w:tcW w:w="1048" w:type="dxa"/>
            <w:vMerge w:val="continue"/>
            <w:noWrap w:val="0"/>
            <w:vAlign w:val="center"/>
          </w:tcPr>
          <w:p w14:paraId="12CB57A4">
            <w:pPr>
              <w:keepNext w:val="0"/>
              <w:keepLines w:val="0"/>
              <w:pageBreakBefore w:val="0"/>
              <w:kinsoku/>
              <w:overflowPunct/>
              <w:autoSpaceDE/>
              <w:autoSpaceDN/>
              <w:bidi w:val="0"/>
              <w:adjustRightInd/>
              <w:spacing w:line="440" w:lineRule="exact"/>
              <w:jc w:val="center"/>
              <w:textAlignment w:val="auto"/>
              <w:rPr>
                <w:rFonts w:hint="eastAsia" w:ascii="宋体" w:hAnsi="宋体" w:eastAsia="宋体" w:cs="宋体"/>
                <w:color w:val="auto"/>
                <w:szCs w:val="21"/>
                <w:highlight w:val="none"/>
              </w:rPr>
            </w:pPr>
          </w:p>
        </w:tc>
        <w:tc>
          <w:tcPr>
            <w:tcW w:w="2140" w:type="dxa"/>
            <w:gridSpan w:val="2"/>
            <w:noWrap w:val="0"/>
            <w:vAlign w:val="center"/>
          </w:tcPr>
          <w:p w14:paraId="62F9DA9A">
            <w:pPr>
              <w:keepNext w:val="0"/>
              <w:keepLines w:val="0"/>
              <w:pageBreakBefore w:val="0"/>
              <w:kinsoku/>
              <w:overflowPunct/>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中标通知书发出形式</w:t>
            </w:r>
          </w:p>
        </w:tc>
        <w:tc>
          <w:tcPr>
            <w:tcW w:w="7025" w:type="dxa"/>
            <w:noWrap w:val="0"/>
            <w:vAlign w:val="center"/>
          </w:tcPr>
          <w:p w14:paraId="2507B046">
            <w:pPr>
              <w:keepNext w:val="0"/>
              <w:keepLines w:val="0"/>
              <w:pageBreakBefore w:val="0"/>
              <w:kinsoku/>
              <w:overflowPunct/>
              <w:autoSpaceDE/>
              <w:autoSpaceDN/>
              <w:bidi w:val="0"/>
              <w:adjustRightIn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数据电文</w:t>
            </w:r>
          </w:p>
        </w:tc>
      </w:tr>
      <w:tr w14:paraId="21B96F2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45" w:hRule="atLeast"/>
          <w:jc w:val="center"/>
        </w:trPr>
        <w:tc>
          <w:tcPr>
            <w:tcW w:w="1048" w:type="dxa"/>
            <w:noWrap w:val="0"/>
            <w:vAlign w:val="center"/>
          </w:tcPr>
          <w:p w14:paraId="59BBECF9">
            <w:pPr>
              <w:keepNext w:val="0"/>
              <w:keepLines w:val="0"/>
              <w:pageBreakBefore w:val="0"/>
              <w:kinsoku/>
              <w:overflowPunct/>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36.1</w:t>
            </w:r>
          </w:p>
        </w:tc>
        <w:tc>
          <w:tcPr>
            <w:tcW w:w="2140" w:type="dxa"/>
            <w:gridSpan w:val="2"/>
            <w:noWrap w:val="0"/>
            <w:vAlign w:val="center"/>
          </w:tcPr>
          <w:p w14:paraId="7033EEF0">
            <w:pPr>
              <w:keepNext w:val="0"/>
              <w:keepLines w:val="0"/>
              <w:pageBreakBefore w:val="0"/>
              <w:kinsoku/>
              <w:overflowPunct/>
              <w:autoSpaceDE/>
              <w:autoSpaceDN/>
              <w:bidi w:val="0"/>
              <w:adjustRightInd/>
              <w:spacing w:line="440" w:lineRule="exact"/>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履约担保</w:t>
            </w:r>
          </w:p>
        </w:tc>
        <w:tc>
          <w:tcPr>
            <w:tcW w:w="7025" w:type="dxa"/>
            <w:noWrap w:val="0"/>
            <w:vAlign w:val="center"/>
          </w:tcPr>
          <w:p w14:paraId="12BDD6A9">
            <w:pPr>
              <w:keepNext w:val="0"/>
              <w:keepLines w:val="0"/>
              <w:pageBreakBefore w:val="0"/>
              <w:kinsoku/>
              <w:overflowPunct/>
              <w:autoSpaceDE/>
              <w:autoSpaceDN/>
              <w:bidi w:val="0"/>
              <w:adjustRightInd/>
              <w:spacing w:line="440" w:lineRule="exac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要求中标人提交履约保证金</w:t>
            </w:r>
            <w:r>
              <w:rPr>
                <w:rFonts w:hint="eastAsia" w:ascii="宋体" w:hAnsi="宋体" w:eastAsia="宋体" w:cs="宋体"/>
                <w:color w:val="auto"/>
                <w:szCs w:val="21"/>
                <w:highlight w:val="none"/>
                <w:lang w:eastAsia="zh-CN"/>
              </w:rPr>
              <w:t>。</w:t>
            </w:r>
          </w:p>
          <w:p w14:paraId="6E368133">
            <w:pPr>
              <w:keepNext w:val="0"/>
              <w:keepLines w:val="0"/>
              <w:pageBreakBefore w:val="0"/>
              <w:kinsoku/>
              <w:overflowPunct/>
              <w:autoSpaceDE/>
              <w:autoSpaceDN/>
              <w:bidi w:val="0"/>
              <w:adjustRightInd/>
              <w:spacing w:line="440" w:lineRule="exact"/>
              <w:textAlignment w:val="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形式：</w:t>
            </w:r>
            <w:r>
              <w:rPr>
                <w:rFonts w:hint="eastAsia" w:ascii="宋体" w:hAnsi="宋体" w:eastAsia="宋体" w:cs="宋体"/>
                <w:b/>
                <w:bCs/>
                <w:color w:val="auto"/>
                <w:szCs w:val="21"/>
                <w:highlight w:val="none"/>
              </w:rPr>
              <w:t>支持银行转账、银行电汇、银行保函、担保机构担保、保证保险使用。</w:t>
            </w:r>
          </w:p>
          <w:p w14:paraId="189BDF46">
            <w:pPr>
              <w:keepNext w:val="0"/>
              <w:keepLines w:val="0"/>
              <w:pageBreakBefore w:val="0"/>
              <w:kinsoku/>
              <w:overflowPunct/>
              <w:autoSpaceDE/>
              <w:autoSpaceDN/>
              <w:bidi w:val="0"/>
              <w:adjustRightIn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金额：</w:t>
            </w:r>
            <w:r>
              <w:rPr>
                <w:rFonts w:hint="eastAsia" w:ascii="宋体" w:hAnsi="宋体" w:cs="宋体"/>
                <w:color w:val="auto"/>
                <w:szCs w:val="21"/>
                <w:highlight w:val="none"/>
                <w:lang w:val="en-US" w:eastAsia="zh-CN"/>
              </w:rPr>
              <w:t>3万元</w:t>
            </w:r>
            <w:r>
              <w:rPr>
                <w:rFonts w:hint="eastAsia" w:ascii="宋体" w:hAnsi="宋体" w:eastAsia="宋体" w:cs="宋体"/>
                <w:color w:val="auto"/>
                <w:szCs w:val="21"/>
                <w:highlight w:val="none"/>
              </w:rPr>
              <w:t xml:space="preserve"> </w:t>
            </w:r>
          </w:p>
          <w:p w14:paraId="007234AB">
            <w:pPr>
              <w:keepNext w:val="0"/>
              <w:keepLines w:val="0"/>
              <w:pageBreakBefore w:val="0"/>
              <w:kinsoku/>
              <w:overflowPunct/>
              <w:autoSpaceDE/>
              <w:autoSpaceDN/>
              <w:bidi w:val="0"/>
              <w:adjustRightIn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收款单位：</w:t>
            </w:r>
            <w:r>
              <w:rPr>
                <w:rFonts w:hint="eastAsia" w:ascii="宋体" w:hAnsi="宋体" w:cs="宋体"/>
                <w:color w:val="auto"/>
                <w:szCs w:val="21"/>
                <w:highlight w:val="none"/>
                <w:lang w:val="en-US" w:eastAsia="zh-CN"/>
              </w:rPr>
              <w:t xml:space="preserve"> 另行通知</w:t>
            </w:r>
            <w:r>
              <w:rPr>
                <w:rFonts w:hint="eastAsia" w:ascii="宋体" w:hAnsi="宋体" w:eastAsia="宋体" w:cs="宋体"/>
                <w:color w:val="auto"/>
                <w:szCs w:val="21"/>
                <w:highlight w:val="none"/>
              </w:rPr>
              <w:t xml:space="preserve">                 </w:t>
            </w:r>
          </w:p>
          <w:p w14:paraId="743D13E4">
            <w:pPr>
              <w:keepNext w:val="0"/>
              <w:keepLines w:val="0"/>
              <w:pageBreakBefore w:val="0"/>
              <w:kinsoku/>
              <w:overflowPunct/>
              <w:autoSpaceDE/>
              <w:autoSpaceDN/>
              <w:bidi w:val="0"/>
              <w:adjustRightIn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cs="宋体"/>
                <w:color w:val="auto"/>
                <w:szCs w:val="21"/>
                <w:highlight w:val="none"/>
                <w:lang w:val="en-US" w:eastAsia="zh-CN"/>
              </w:rPr>
              <w:t xml:space="preserve"> 另行通知</w:t>
            </w:r>
            <w:r>
              <w:rPr>
                <w:rFonts w:hint="eastAsia" w:ascii="宋体" w:hAnsi="宋体" w:eastAsia="宋体" w:cs="宋体"/>
                <w:color w:val="auto"/>
                <w:szCs w:val="21"/>
                <w:highlight w:val="none"/>
              </w:rPr>
              <w:t xml:space="preserve">                     </w:t>
            </w:r>
          </w:p>
          <w:p w14:paraId="46359778">
            <w:pPr>
              <w:keepNext w:val="0"/>
              <w:keepLines w:val="0"/>
              <w:pageBreakBefore w:val="0"/>
              <w:kinsoku/>
              <w:overflowPunct/>
              <w:autoSpaceDE/>
              <w:autoSpaceDN/>
              <w:bidi w:val="0"/>
              <w:adjustRightIn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银行账号：</w:t>
            </w:r>
            <w:r>
              <w:rPr>
                <w:rFonts w:hint="eastAsia" w:ascii="宋体" w:hAnsi="宋体" w:cs="宋体"/>
                <w:color w:val="auto"/>
                <w:szCs w:val="21"/>
                <w:highlight w:val="none"/>
                <w:lang w:val="en-US" w:eastAsia="zh-CN"/>
              </w:rPr>
              <w:t xml:space="preserve"> 另行通知</w:t>
            </w:r>
            <w:r>
              <w:rPr>
                <w:rFonts w:hint="eastAsia" w:ascii="宋体" w:hAnsi="宋体" w:eastAsia="宋体" w:cs="宋体"/>
                <w:color w:val="auto"/>
                <w:szCs w:val="21"/>
                <w:highlight w:val="none"/>
              </w:rPr>
              <w:t xml:space="preserve">                  </w:t>
            </w:r>
          </w:p>
          <w:p w14:paraId="1AC04422">
            <w:pPr>
              <w:keepNext w:val="0"/>
              <w:keepLines w:val="0"/>
              <w:pageBreakBefore w:val="0"/>
              <w:kinsoku/>
              <w:overflowPunct/>
              <w:autoSpaceDE/>
              <w:autoSpaceDN/>
              <w:bidi w:val="0"/>
              <w:adjustRightIn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汇款务必注明缴款人名称及用途，切勿以现金存入。</w:t>
            </w:r>
          </w:p>
          <w:p w14:paraId="3627FE6F">
            <w:pPr>
              <w:keepNext w:val="0"/>
              <w:keepLines w:val="0"/>
              <w:pageBreakBefore w:val="0"/>
              <w:kinsoku/>
              <w:overflowPunct/>
              <w:autoSpaceDE/>
              <w:autoSpaceDN/>
              <w:bidi w:val="0"/>
              <w:adjustRightIn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缴纳时限：</w:t>
            </w:r>
            <w:r>
              <w:rPr>
                <w:rFonts w:hint="eastAsia"/>
                <w:color w:val="auto"/>
                <w:highlight w:val="none"/>
              </w:rPr>
              <w:t>中标人须在中标通知书发出后30日内完成履约保证金缴纳及合同签订。中标单位原因造成合同延期签订的，每延期一天按1000元予以处罚，延期签订情节严重的，招标人有权取消其中标资格</w:t>
            </w:r>
            <w:r>
              <w:rPr>
                <w:rFonts w:hint="eastAsia"/>
                <w:color w:val="auto"/>
                <w:highlight w:val="none"/>
                <w:lang w:eastAsia="zh-CN"/>
              </w:rPr>
              <w:t>，</w:t>
            </w:r>
            <w:r>
              <w:rPr>
                <w:rFonts w:hint="eastAsia"/>
                <w:color w:val="auto"/>
                <w:highlight w:val="none"/>
                <w:lang w:val="en-US" w:eastAsia="zh-CN"/>
              </w:rPr>
              <w:t>没收投标保证金</w:t>
            </w:r>
            <w:r>
              <w:rPr>
                <w:rFonts w:hint="eastAsia"/>
                <w:color w:val="auto"/>
                <w:highlight w:val="none"/>
              </w:rPr>
              <w:t>。并承担给招标人造成的损失，同时依法承担相应法律责任</w:t>
            </w:r>
            <w:r>
              <w:rPr>
                <w:rFonts w:hint="eastAsia" w:ascii="Times New Roman" w:hAnsi="Times New Roman" w:eastAsia="宋体" w:cs="Times New Roman"/>
                <w:color w:val="auto"/>
                <w:kern w:val="2"/>
                <w:sz w:val="21"/>
                <w:szCs w:val="21"/>
                <w:highlight w:val="none"/>
                <w:lang w:val="en-US" w:eastAsia="zh-CN" w:bidi="ar-SA"/>
              </w:rPr>
              <w:t>。</w:t>
            </w:r>
            <w:r>
              <w:rPr>
                <w:rFonts w:hint="eastAsia" w:ascii="宋体" w:hAnsi="宋体" w:eastAsia="宋体" w:cs="宋体"/>
                <w:color w:val="auto"/>
                <w:szCs w:val="21"/>
                <w:highlight w:val="none"/>
              </w:rPr>
              <w:t xml:space="preserve">                </w:t>
            </w:r>
          </w:p>
          <w:p w14:paraId="515853C9">
            <w:pPr>
              <w:keepNext w:val="0"/>
              <w:keepLines w:val="0"/>
              <w:pageBreakBefore w:val="0"/>
              <w:kinsoku/>
              <w:overflowPunct/>
              <w:autoSpaceDE/>
              <w:autoSpaceDN/>
              <w:bidi w:val="0"/>
              <w:adjustRightIn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履约保证金退还时限：履约保证金有效期满7日内。采用银行转</w:t>
            </w:r>
            <w:r>
              <w:rPr>
                <w:rFonts w:hint="eastAsia" w:ascii="宋体" w:hAnsi="宋体" w:cs="宋体"/>
                <w:color w:val="auto"/>
                <w:szCs w:val="21"/>
                <w:highlight w:val="none"/>
                <w:lang w:val="en-US" w:eastAsia="zh-CN"/>
              </w:rPr>
              <w:t>账</w:t>
            </w:r>
            <w:r>
              <w:rPr>
                <w:rFonts w:hint="eastAsia" w:ascii="宋体" w:hAnsi="宋体" w:eastAsia="宋体" w:cs="宋体"/>
                <w:color w:val="auto"/>
                <w:szCs w:val="21"/>
                <w:highlight w:val="none"/>
                <w:lang w:val="en-US" w:eastAsia="zh-CN"/>
              </w:rPr>
              <w:t>方式的，待项目完成后双方无异议办理书面正式移交手续后按招标人相关制度退还；采用银行或保险公司保函或</w:t>
            </w:r>
            <w:r>
              <w:rPr>
                <w:rFonts w:hint="eastAsia" w:ascii="宋体" w:hAnsi="宋体" w:eastAsia="宋体" w:cs="宋体"/>
                <w:color w:val="auto"/>
                <w:szCs w:val="21"/>
                <w:highlight w:val="none"/>
              </w:rPr>
              <w:t>担保机构担保</w:t>
            </w:r>
            <w:r>
              <w:rPr>
                <w:rFonts w:hint="eastAsia" w:ascii="宋体" w:hAnsi="宋体" w:eastAsia="宋体" w:cs="宋体"/>
                <w:color w:val="auto"/>
                <w:szCs w:val="21"/>
                <w:highlight w:val="none"/>
                <w:lang w:val="en-US" w:eastAsia="zh-CN"/>
              </w:rPr>
              <w:t>或保证保险方式的，有效期为自合同签订之日起至项目完成后1个月内，如果项目合同提前终止，应在终止日后满3个月后由采购人准许后撤销。</w:t>
            </w:r>
          </w:p>
          <w:p w14:paraId="4002A98C">
            <w:pPr>
              <w:keepNext w:val="0"/>
              <w:keepLines w:val="0"/>
              <w:pageBreakBefore w:val="0"/>
              <w:kinsoku/>
              <w:overflowPunct/>
              <w:autoSpaceDE/>
              <w:autoSpaceDN/>
              <w:bidi w:val="0"/>
              <w:adjustRightIn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具体要求：</w:t>
            </w:r>
          </w:p>
          <w:p w14:paraId="4A0C0F32">
            <w:pPr>
              <w:keepNext w:val="0"/>
              <w:keepLines w:val="0"/>
              <w:pageBreakBefore w:val="0"/>
              <w:kinsoku/>
              <w:overflowPunct/>
              <w:autoSpaceDE/>
              <w:autoSpaceDN/>
              <w:bidi w:val="0"/>
              <w:adjustRightIn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1、采用银行保函的具体要求：见索即付型（无条件保函），保函内容及格式须经招标人确认后开具；</w:t>
            </w:r>
          </w:p>
          <w:p w14:paraId="5CB4232D">
            <w:pPr>
              <w:keepNext w:val="0"/>
              <w:keepLines w:val="0"/>
              <w:pageBreakBefore w:val="0"/>
              <w:kinsoku/>
              <w:overflowPunct/>
              <w:autoSpaceDE/>
              <w:autoSpaceDN/>
              <w:bidi w:val="0"/>
              <w:adjustRightIn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2、采用担保保函的具体要求：见索即付型（无条件保函），保函内容及格式须经招标人确认后开具；</w:t>
            </w:r>
          </w:p>
          <w:p w14:paraId="5977F032">
            <w:pPr>
              <w:keepNext w:val="0"/>
              <w:keepLines w:val="0"/>
              <w:pageBreakBefore w:val="0"/>
              <w:kinsoku/>
              <w:overflowPunct/>
              <w:autoSpaceDE/>
              <w:autoSpaceDN/>
              <w:bidi w:val="0"/>
              <w:adjustRightIn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3、采用商业保险的具体要求：保险内容及格式须经招标人确认后开具；</w:t>
            </w:r>
          </w:p>
          <w:p w14:paraId="4048F022">
            <w:pPr>
              <w:keepNext w:val="0"/>
              <w:keepLines w:val="0"/>
              <w:pageBreakBefore w:val="0"/>
              <w:kinsoku/>
              <w:overflowPunct/>
              <w:autoSpaceDE/>
              <w:autoSpaceDN/>
              <w:bidi w:val="0"/>
              <w:adjustRightIn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4、采用第三方担保的具体要求：担保内容及格式须经招标人确认后开具。</w:t>
            </w:r>
          </w:p>
          <w:p w14:paraId="546F4990">
            <w:pPr>
              <w:keepNext w:val="0"/>
              <w:keepLines w:val="0"/>
              <w:pageBreakBefore w:val="0"/>
              <w:kinsoku/>
              <w:overflowPunct/>
              <w:autoSpaceDE/>
              <w:autoSpaceDN/>
              <w:bidi w:val="0"/>
              <w:adjustRightInd/>
              <w:spacing w:line="440" w:lineRule="exact"/>
              <w:textAlignment w:val="auto"/>
              <w:rPr>
                <w:rFonts w:hint="eastAsia"/>
                <w:color w:val="auto"/>
                <w:highlight w:val="none"/>
                <w:lang w:val="en-US" w:eastAsia="zh-CN"/>
              </w:rPr>
            </w:pPr>
            <w:r>
              <w:rPr>
                <w:rFonts w:hint="eastAsia" w:ascii="宋体" w:hAnsi="宋体" w:eastAsia="宋体" w:cs="宋体"/>
                <w:color w:val="auto"/>
                <w:szCs w:val="21"/>
                <w:highlight w:val="none"/>
                <w:lang w:val="en-US" w:eastAsia="zh-CN"/>
              </w:rPr>
              <w:t>注</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投标人或委托其分公司及全资子公司办理履约担保事项视同投标人办理。</w:t>
            </w:r>
          </w:p>
        </w:tc>
      </w:tr>
      <w:tr w14:paraId="4863E90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926" w:type="dxa"/>
            <w:gridSpan w:val="2"/>
            <w:noWrap w:val="0"/>
            <w:vAlign w:val="center"/>
          </w:tcPr>
          <w:p w14:paraId="72E13AED">
            <w:pPr>
              <w:keepNext w:val="0"/>
              <w:keepLines w:val="0"/>
              <w:pageBreakBefore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付款方式、时间、条件</w:t>
            </w:r>
          </w:p>
        </w:tc>
        <w:tc>
          <w:tcPr>
            <w:tcW w:w="8287" w:type="dxa"/>
            <w:gridSpan w:val="2"/>
            <w:noWrap w:val="0"/>
            <w:vAlign w:val="center"/>
          </w:tcPr>
          <w:p w14:paraId="5D0BA587">
            <w:pPr>
              <w:keepNext w:val="0"/>
              <w:keepLines w:val="0"/>
              <w:pageBreakBefore w:val="0"/>
              <w:numPr>
                <w:ilvl w:val="0"/>
                <w:numId w:val="0"/>
              </w:numPr>
              <w:kinsoku/>
              <w:wordWrap/>
              <w:overflowPunct/>
              <w:topLinePunct w:val="0"/>
              <w:autoSpaceDE/>
              <w:autoSpaceDN/>
              <w:bidi w:val="0"/>
              <w:adjustRightInd/>
              <w:snapToGrid w:val="0"/>
              <w:spacing w:line="440" w:lineRule="exact"/>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bCs/>
                <w:color w:val="auto"/>
                <w:highlight w:val="none"/>
                <w:lang w:val="en-US" w:eastAsia="zh-CN"/>
              </w:rPr>
              <w:t>物业服务费按季度支付，每季度结束后 20 日内支付上季度物业服务费；</w:t>
            </w:r>
            <w:r>
              <w:rPr>
                <w:rFonts w:hint="eastAsia" w:ascii="宋体" w:hAnsi="宋体" w:cs="宋体"/>
                <w:b/>
                <w:bCs/>
                <w:color w:val="auto"/>
                <w:highlight w:val="none"/>
                <w:lang w:val="en-US" w:eastAsia="zh-CN"/>
              </w:rPr>
              <w:t>中标人</w:t>
            </w:r>
            <w:r>
              <w:rPr>
                <w:rFonts w:hint="eastAsia" w:ascii="宋体" w:hAnsi="宋体" w:eastAsia="宋体" w:cs="宋体"/>
                <w:b/>
                <w:bCs/>
                <w:color w:val="auto"/>
                <w:highlight w:val="none"/>
                <w:lang w:val="en-US" w:eastAsia="zh-CN"/>
              </w:rPr>
              <w:t>发生重大安全事故，</w:t>
            </w:r>
            <w:r>
              <w:rPr>
                <w:rFonts w:hint="eastAsia" w:ascii="宋体" w:hAnsi="宋体" w:cs="宋体"/>
                <w:b/>
                <w:bCs/>
                <w:color w:val="auto"/>
                <w:highlight w:val="none"/>
                <w:lang w:val="en-US" w:eastAsia="zh-CN"/>
              </w:rPr>
              <w:t>招标人</w:t>
            </w:r>
            <w:r>
              <w:rPr>
                <w:rFonts w:hint="eastAsia" w:ascii="宋体" w:hAnsi="宋体" w:eastAsia="宋体" w:cs="宋体"/>
                <w:b/>
                <w:bCs/>
                <w:color w:val="auto"/>
                <w:highlight w:val="none"/>
                <w:lang w:val="en-US" w:eastAsia="zh-CN"/>
              </w:rPr>
              <w:t>有权扣除</w:t>
            </w:r>
            <w:r>
              <w:rPr>
                <w:rFonts w:hint="eastAsia" w:ascii="宋体" w:hAnsi="宋体" w:cs="宋体"/>
                <w:b/>
                <w:bCs/>
                <w:color w:val="auto"/>
                <w:highlight w:val="none"/>
                <w:lang w:val="en-US" w:eastAsia="zh-CN"/>
              </w:rPr>
              <w:t>中标人</w:t>
            </w:r>
            <w:r>
              <w:rPr>
                <w:rFonts w:hint="eastAsia" w:ascii="宋体" w:hAnsi="宋体" w:eastAsia="宋体" w:cs="宋体"/>
                <w:b/>
                <w:bCs/>
                <w:color w:val="auto"/>
                <w:highlight w:val="none"/>
                <w:lang w:val="en-US" w:eastAsia="zh-CN"/>
              </w:rPr>
              <w:t>相应季度总费用的10%并要求</w:t>
            </w:r>
            <w:r>
              <w:rPr>
                <w:rFonts w:hint="eastAsia" w:ascii="宋体" w:hAnsi="宋体" w:cs="宋体"/>
                <w:b/>
                <w:bCs/>
                <w:color w:val="auto"/>
                <w:highlight w:val="none"/>
                <w:lang w:val="en-US" w:eastAsia="zh-CN"/>
              </w:rPr>
              <w:t>中标人</w:t>
            </w:r>
            <w:r>
              <w:rPr>
                <w:rFonts w:hint="eastAsia" w:ascii="宋体" w:hAnsi="宋体" w:eastAsia="宋体" w:cs="宋体"/>
                <w:b/>
                <w:bCs/>
                <w:color w:val="auto"/>
                <w:highlight w:val="none"/>
                <w:lang w:val="en-US" w:eastAsia="zh-CN"/>
              </w:rPr>
              <w:t xml:space="preserve">承担相应责任。 </w:t>
            </w:r>
            <w:r>
              <w:rPr>
                <w:rFonts w:hint="eastAsia" w:ascii="宋体" w:hAnsi="宋体" w:cs="宋体"/>
                <w:b/>
                <w:bCs/>
                <w:color w:val="auto"/>
                <w:highlight w:val="none"/>
                <w:lang w:val="en-US" w:eastAsia="zh-CN"/>
              </w:rPr>
              <w:t>中标人</w:t>
            </w:r>
            <w:r>
              <w:rPr>
                <w:rFonts w:hint="eastAsia" w:ascii="宋体" w:hAnsi="宋体" w:eastAsia="宋体" w:cs="宋体"/>
                <w:b/>
                <w:bCs/>
                <w:color w:val="auto"/>
                <w:highlight w:val="none"/>
                <w:lang w:val="en-US" w:eastAsia="zh-CN"/>
              </w:rPr>
              <w:t>在服务期内有下列行为，造成的不当损失而产生</w:t>
            </w:r>
            <w:r>
              <w:rPr>
                <w:rFonts w:hint="eastAsia" w:ascii="宋体" w:hAnsi="宋体" w:cs="宋体"/>
                <w:b/>
                <w:bCs/>
                <w:color w:val="auto"/>
                <w:highlight w:val="none"/>
                <w:lang w:val="en-US" w:eastAsia="zh-CN"/>
              </w:rPr>
              <w:t>的相应</w:t>
            </w:r>
            <w:r>
              <w:rPr>
                <w:rFonts w:hint="eastAsia" w:ascii="宋体" w:hAnsi="宋体" w:eastAsia="宋体" w:cs="宋体"/>
                <w:b/>
                <w:bCs/>
                <w:color w:val="auto"/>
                <w:highlight w:val="none"/>
                <w:lang w:val="en-US" w:eastAsia="zh-CN"/>
              </w:rPr>
              <w:t>费用从</w:t>
            </w:r>
            <w:r>
              <w:rPr>
                <w:rFonts w:hint="eastAsia" w:ascii="宋体" w:hAnsi="宋体" w:cs="宋体"/>
                <w:b/>
                <w:bCs/>
                <w:color w:val="auto"/>
                <w:highlight w:val="none"/>
                <w:lang w:val="en-US" w:eastAsia="zh-CN"/>
              </w:rPr>
              <w:t>中标人</w:t>
            </w:r>
            <w:r>
              <w:rPr>
                <w:rFonts w:hint="eastAsia" w:ascii="宋体" w:hAnsi="宋体" w:eastAsia="宋体" w:cs="宋体"/>
                <w:b/>
                <w:bCs/>
                <w:color w:val="auto"/>
                <w:highlight w:val="none"/>
                <w:lang w:val="en-US" w:eastAsia="zh-CN"/>
              </w:rPr>
              <w:t>每季度</w:t>
            </w:r>
            <w:r>
              <w:rPr>
                <w:rFonts w:hint="eastAsia" w:ascii="宋体" w:hAnsi="宋体" w:cs="宋体"/>
                <w:b/>
                <w:bCs/>
                <w:color w:val="auto"/>
                <w:highlight w:val="none"/>
                <w:lang w:val="en-US" w:eastAsia="zh-CN"/>
              </w:rPr>
              <w:t>服务费用中</w:t>
            </w:r>
            <w:r>
              <w:rPr>
                <w:rFonts w:hint="eastAsia" w:ascii="宋体" w:hAnsi="宋体" w:eastAsia="宋体" w:cs="宋体"/>
                <w:b/>
                <w:bCs/>
                <w:color w:val="auto"/>
                <w:highlight w:val="none"/>
                <w:lang w:val="en-US" w:eastAsia="zh-CN"/>
              </w:rPr>
              <w:t>扣除：A、爱护与保管</w:t>
            </w:r>
            <w:r>
              <w:rPr>
                <w:rFonts w:hint="eastAsia" w:ascii="宋体" w:hAnsi="宋体" w:cs="宋体"/>
                <w:b/>
                <w:bCs/>
                <w:color w:val="auto"/>
                <w:highlight w:val="none"/>
                <w:lang w:val="en-US" w:eastAsia="zh-CN"/>
              </w:rPr>
              <w:t>招标人</w:t>
            </w:r>
            <w:r>
              <w:rPr>
                <w:rFonts w:hint="eastAsia" w:ascii="宋体" w:hAnsi="宋体" w:eastAsia="宋体" w:cs="宋体"/>
                <w:b/>
                <w:bCs/>
                <w:color w:val="auto"/>
                <w:highlight w:val="none"/>
                <w:lang w:val="en-US" w:eastAsia="zh-CN"/>
              </w:rPr>
              <w:t>财产，如损坏</w:t>
            </w:r>
            <w:r>
              <w:rPr>
                <w:rFonts w:hint="eastAsia" w:ascii="宋体" w:hAnsi="宋体" w:cs="宋体"/>
                <w:b/>
                <w:bCs/>
                <w:color w:val="auto"/>
                <w:highlight w:val="none"/>
                <w:lang w:val="en-US" w:eastAsia="zh-CN"/>
              </w:rPr>
              <w:t>招标人</w:t>
            </w:r>
            <w:r>
              <w:rPr>
                <w:rFonts w:hint="eastAsia" w:ascii="宋体" w:hAnsi="宋体" w:eastAsia="宋体" w:cs="宋体"/>
                <w:b/>
                <w:bCs/>
                <w:color w:val="auto"/>
                <w:highlight w:val="none"/>
                <w:lang w:val="en-US" w:eastAsia="zh-CN"/>
              </w:rPr>
              <w:t>设施等，按实际损失价值赔偿；B、其它因</w:t>
            </w:r>
            <w:r>
              <w:rPr>
                <w:rFonts w:hint="eastAsia" w:ascii="宋体" w:hAnsi="宋体" w:cs="宋体"/>
                <w:b/>
                <w:bCs/>
                <w:color w:val="auto"/>
                <w:highlight w:val="none"/>
                <w:lang w:val="en-US" w:eastAsia="zh-CN"/>
              </w:rPr>
              <w:t>中标人</w:t>
            </w:r>
            <w:r>
              <w:rPr>
                <w:rFonts w:hint="eastAsia" w:ascii="宋体" w:hAnsi="宋体" w:eastAsia="宋体" w:cs="宋体"/>
                <w:b/>
                <w:bCs/>
                <w:color w:val="auto"/>
                <w:highlight w:val="none"/>
                <w:lang w:val="en-US" w:eastAsia="zh-CN"/>
              </w:rPr>
              <w:t>不作为或管理不严等，造成</w:t>
            </w:r>
            <w:r>
              <w:rPr>
                <w:rFonts w:hint="eastAsia" w:ascii="宋体" w:hAnsi="宋体" w:cs="宋体"/>
                <w:b/>
                <w:bCs/>
                <w:color w:val="auto"/>
                <w:highlight w:val="none"/>
                <w:lang w:val="en-US" w:eastAsia="zh-CN"/>
              </w:rPr>
              <w:t>招标人</w:t>
            </w:r>
            <w:r>
              <w:rPr>
                <w:rFonts w:hint="eastAsia" w:ascii="宋体" w:hAnsi="宋体" w:eastAsia="宋体" w:cs="宋体"/>
                <w:b/>
                <w:bCs/>
                <w:color w:val="auto"/>
                <w:highlight w:val="none"/>
                <w:lang w:val="en-US" w:eastAsia="zh-CN"/>
              </w:rPr>
              <w:t>不良影响或损失；C、与招标文件不符合的做法或不履行其投标文件的承诺等。</w:t>
            </w:r>
          </w:p>
        </w:tc>
      </w:tr>
      <w:tr w14:paraId="3946A1F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jc w:val="center"/>
        </w:trPr>
        <w:tc>
          <w:tcPr>
            <w:tcW w:w="1926" w:type="dxa"/>
            <w:gridSpan w:val="2"/>
            <w:noWrap w:val="0"/>
            <w:vAlign w:val="center"/>
          </w:tcPr>
          <w:p w14:paraId="6A97D197">
            <w:pPr>
              <w:tabs>
                <w:tab w:val="left" w:pos="5034"/>
              </w:tabs>
              <w:spacing w:line="400" w:lineRule="exact"/>
              <w:jc w:val="center"/>
              <w:rPr>
                <w:rFonts w:hint="eastAsia" w:ascii="宋体" w:hAnsi="宋体" w:eastAsia="宋体" w:cs="宋体"/>
                <w:color w:val="auto"/>
                <w:szCs w:val="21"/>
                <w:highlight w:val="none"/>
              </w:rPr>
            </w:pPr>
            <w:r>
              <w:rPr>
                <w:rFonts w:hint="eastAsia"/>
                <w:color w:val="auto"/>
                <w:highlight w:val="none"/>
              </w:rPr>
              <w:t>电子招投标</w:t>
            </w:r>
          </w:p>
        </w:tc>
        <w:tc>
          <w:tcPr>
            <w:tcW w:w="8287" w:type="dxa"/>
            <w:gridSpan w:val="2"/>
            <w:noWrap w:val="0"/>
            <w:vAlign w:val="center"/>
          </w:tcPr>
          <w:p w14:paraId="19367C48">
            <w:pPr>
              <w:tabs>
                <w:tab w:val="left" w:pos="5034"/>
              </w:tabs>
              <w:spacing w:line="360" w:lineRule="exact"/>
              <w:rPr>
                <w:rFonts w:hint="eastAsia" w:ascii="宋体" w:hAnsi="宋体" w:eastAsia="宋体" w:cs="宋体"/>
                <w:color w:val="auto"/>
                <w:szCs w:val="21"/>
                <w:highlight w:val="none"/>
              </w:rPr>
            </w:pPr>
            <w:r>
              <w:rPr>
                <w:rFonts w:hint="eastAsia"/>
                <w:color w:val="auto"/>
                <w:highlight w:val="none"/>
              </w:rPr>
              <w:t>本项目采用电子招标投标方式。</w:t>
            </w:r>
          </w:p>
        </w:tc>
      </w:tr>
      <w:tr w14:paraId="2578BD8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jc w:val="center"/>
        </w:trPr>
        <w:tc>
          <w:tcPr>
            <w:tcW w:w="1926" w:type="dxa"/>
            <w:gridSpan w:val="2"/>
            <w:noWrap w:val="0"/>
            <w:vAlign w:val="center"/>
          </w:tcPr>
          <w:p w14:paraId="334BAC33">
            <w:pPr>
              <w:spacing w:line="400" w:lineRule="exact"/>
              <w:jc w:val="center"/>
              <w:rPr>
                <w:rFonts w:hint="eastAsia" w:ascii="宋体" w:hAnsi="宋体" w:eastAsia="宋体" w:cs="宋体"/>
                <w:color w:val="auto"/>
                <w:szCs w:val="21"/>
                <w:highlight w:val="none"/>
              </w:rPr>
            </w:pPr>
            <w:r>
              <w:rPr>
                <w:rFonts w:hint="eastAsia" w:ascii="宋体"/>
                <w:color w:val="auto"/>
                <w:szCs w:val="21"/>
                <w:highlight w:val="none"/>
              </w:rPr>
              <w:t>获取与查看通知</w:t>
            </w:r>
          </w:p>
        </w:tc>
        <w:tc>
          <w:tcPr>
            <w:tcW w:w="8287" w:type="dxa"/>
            <w:gridSpan w:val="2"/>
            <w:noWrap w:val="0"/>
            <w:vAlign w:val="center"/>
          </w:tcPr>
          <w:p w14:paraId="6A170896">
            <w:pPr>
              <w:spacing w:line="360" w:lineRule="exact"/>
              <w:jc w:val="left"/>
              <w:rPr>
                <w:rFonts w:hint="eastAsia" w:ascii="宋体" w:hAnsi="宋体" w:eastAsia="宋体" w:cs="宋体"/>
                <w:color w:val="auto"/>
                <w:szCs w:val="21"/>
                <w:highlight w:val="none"/>
              </w:rPr>
            </w:pPr>
            <w:r>
              <w:rPr>
                <w:rFonts w:hint="eastAsia" w:ascii="宋体"/>
                <w:color w:val="auto"/>
                <w:szCs w:val="21"/>
                <w:highlight w:val="none"/>
              </w:rPr>
              <w:t>本项目的招标文件等相关资料均通过滁州市公共资源交易中心网站发布，投标人应自行下载。投标人应当及时登录滁州市公共资源交易中心交易系统查看。</w:t>
            </w:r>
          </w:p>
        </w:tc>
      </w:tr>
      <w:tr w14:paraId="76B2BFB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jc w:val="center"/>
        </w:trPr>
        <w:tc>
          <w:tcPr>
            <w:tcW w:w="1926" w:type="dxa"/>
            <w:gridSpan w:val="2"/>
            <w:noWrap w:val="0"/>
            <w:vAlign w:val="center"/>
          </w:tcPr>
          <w:p w14:paraId="38E570E2">
            <w:pPr>
              <w:spacing w:line="400" w:lineRule="exact"/>
              <w:jc w:val="center"/>
              <w:rPr>
                <w:rFonts w:hint="eastAsia" w:ascii="宋体" w:hAnsi="宋体" w:eastAsia="宋体" w:cs="宋体"/>
                <w:color w:val="auto"/>
                <w:szCs w:val="21"/>
                <w:highlight w:val="none"/>
              </w:rPr>
            </w:pPr>
            <w:r>
              <w:rPr>
                <w:rFonts w:hint="eastAsia" w:ascii="宋体"/>
                <w:color w:val="auto"/>
                <w:szCs w:val="21"/>
                <w:highlight w:val="none"/>
              </w:rPr>
              <w:t>评标过程中的澄清、说明或补正</w:t>
            </w:r>
          </w:p>
        </w:tc>
        <w:tc>
          <w:tcPr>
            <w:tcW w:w="8287" w:type="dxa"/>
            <w:gridSpan w:val="2"/>
            <w:noWrap w:val="0"/>
            <w:vAlign w:val="center"/>
          </w:tcPr>
          <w:p w14:paraId="38D42A50">
            <w:pPr>
              <w:spacing w:line="360" w:lineRule="exact"/>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1</w:t>
            </w:r>
            <w:r>
              <w:rPr>
                <w:rFonts w:hint="eastAsia" w:ascii="宋体" w:cs="Times New Roman"/>
                <w:color w:val="auto"/>
                <w:szCs w:val="21"/>
                <w:highlight w:val="none"/>
                <w:lang w:eastAsia="zh-CN"/>
              </w:rPr>
              <w:t>.</w:t>
            </w:r>
            <w:r>
              <w:rPr>
                <w:rFonts w:hint="eastAsia" w:ascii="宋体" w:hAnsi="Times New Roman" w:eastAsia="宋体" w:cs="Times New Roman"/>
                <w:color w:val="auto"/>
                <w:szCs w:val="21"/>
                <w:highlight w:val="none"/>
              </w:rPr>
              <w:t>评标委员会通过网上招投标系统将需要澄清、说明或补正的内容以询标函的形式发送给投标人，投标人应安排专人登录网上招投标系统并保持在线状态，并确保联系方式有效，以便及时接收评标委员会可能发出的询标函。</w:t>
            </w:r>
          </w:p>
          <w:p w14:paraId="755C0084">
            <w:pPr>
              <w:spacing w:line="360" w:lineRule="exact"/>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2</w:t>
            </w:r>
            <w:r>
              <w:rPr>
                <w:rFonts w:hint="eastAsia" w:ascii="宋体" w:cs="Times New Roman"/>
                <w:color w:val="auto"/>
                <w:szCs w:val="21"/>
                <w:highlight w:val="none"/>
                <w:lang w:eastAsia="zh-CN"/>
              </w:rPr>
              <w:t>.</w:t>
            </w:r>
            <w:r>
              <w:rPr>
                <w:rFonts w:hint="eastAsia" w:ascii="宋体" w:hAnsi="Times New Roman" w:eastAsia="宋体" w:cs="Times New Roman"/>
                <w:color w:val="auto"/>
                <w:szCs w:val="21"/>
                <w:highlight w:val="none"/>
              </w:rPr>
              <w:t>因投标人未登录网上招投标系统导致无法及时接收询标函（远程网上询标）或未在规定时间内按评标委员会要求进行澄清、说明或补正内容的视同投标人放弃澄清、说明或补正内容的权利，评标委员会可按对投标人不利的解释进行判定。</w:t>
            </w:r>
          </w:p>
        </w:tc>
      </w:tr>
      <w:tr w14:paraId="766899A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jc w:val="center"/>
        </w:trPr>
        <w:tc>
          <w:tcPr>
            <w:tcW w:w="1926" w:type="dxa"/>
            <w:gridSpan w:val="2"/>
            <w:noWrap w:val="0"/>
            <w:vAlign w:val="center"/>
          </w:tcPr>
          <w:p w14:paraId="3260EBC4">
            <w:pPr>
              <w:adjustRightInd w:val="0"/>
              <w:snapToGrid w:val="0"/>
              <w:spacing w:line="560" w:lineRule="exact"/>
              <w:jc w:val="center"/>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解释权</w:t>
            </w:r>
          </w:p>
        </w:tc>
        <w:tc>
          <w:tcPr>
            <w:tcW w:w="8287" w:type="dxa"/>
            <w:gridSpan w:val="2"/>
            <w:noWrap w:val="0"/>
            <w:vAlign w:val="center"/>
          </w:tcPr>
          <w:p w14:paraId="29A1A8A4">
            <w:pPr>
              <w:keepNext w:val="0"/>
              <w:keepLines w:val="0"/>
              <w:pageBreakBefore w:val="0"/>
              <w:numPr>
                <w:ilvl w:val="0"/>
                <w:numId w:val="0"/>
              </w:numPr>
              <w:kinsoku/>
              <w:wordWrap/>
              <w:overflowPunct/>
              <w:topLinePunct w:val="0"/>
              <w:autoSpaceDE/>
              <w:autoSpaceDN/>
              <w:bidi w:val="0"/>
              <w:adjustRightInd/>
              <w:snapToGrid w:val="0"/>
              <w:spacing w:line="440" w:lineRule="exact"/>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1</w:t>
            </w:r>
            <w:r>
              <w:rPr>
                <w:rFonts w:hint="eastAsia" w:ascii="宋体" w:hAnsi="宋体" w:cs="宋体"/>
                <w:b w:val="0"/>
                <w:bCs w:val="0"/>
                <w:color w:val="auto"/>
                <w:highlight w:val="none"/>
                <w:lang w:eastAsia="zh-CN"/>
              </w:rPr>
              <w:t>.</w:t>
            </w:r>
            <w:r>
              <w:rPr>
                <w:rFonts w:hint="eastAsia" w:ascii="宋体" w:hAnsi="宋体" w:eastAsia="宋体" w:cs="宋体"/>
                <w:b w:val="0"/>
                <w:bCs w:val="0"/>
                <w:color w:val="auto"/>
                <w:highlight w:val="none"/>
              </w:rPr>
              <w:t>构成本招标文件的各个组成文件应互为解释，互为说明；</w:t>
            </w:r>
          </w:p>
          <w:p w14:paraId="0005F3AA">
            <w:pPr>
              <w:keepNext w:val="0"/>
              <w:keepLines w:val="0"/>
              <w:pageBreakBefore w:val="0"/>
              <w:numPr>
                <w:ilvl w:val="0"/>
                <w:numId w:val="0"/>
              </w:numPr>
              <w:kinsoku/>
              <w:wordWrap/>
              <w:overflowPunct/>
              <w:topLinePunct w:val="0"/>
              <w:autoSpaceDE/>
              <w:autoSpaceDN/>
              <w:bidi w:val="0"/>
              <w:adjustRightInd/>
              <w:snapToGrid w:val="0"/>
              <w:spacing w:line="440" w:lineRule="exact"/>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2</w:t>
            </w:r>
            <w:r>
              <w:rPr>
                <w:rFonts w:hint="eastAsia" w:ascii="宋体" w:hAnsi="宋体" w:cs="宋体"/>
                <w:b w:val="0"/>
                <w:bCs w:val="0"/>
                <w:color w:val="auto"/>
                <w:highlight w:val="none"/>
                <w:lang w:eastAsia="zh-CN"/>
              </w:rPr>
              <w:t>.</w:t>
            </w:r>
            <w:r>
              <w:rPr>
                <w:rFonts w:hint="eastAsia" w:ascii="宋体" w:hAnsi="宋体" w:eastAsia="宋体" w:cs="宋体"/>
                <w:b w:val="0"/>
                <w:bCs w:val="0"/>
                <w:color w:val="auto"/>
                <w:highlight w:val="none"/>
              </w:rPr>
              <w:t>同一组成文件中就同一事项的规定或约定不一致的，以编排顺序在后者为准；</w:t>
            </w:r>
          </w:p>
          <w:p w14:paraId="01D38F20">
            <w:pPr>
              <w:keepNext w:val="0"/>
              <w:keepLines w:val="0"/>
              <w:pageBreakBefore w:val="0"/>
              <w:numPr>
                <w:ilvl w:val="0"/>
                <w:numId w:val="0"/>
              </w:numPr>
              <w:kinsoku/>
              <w:wordWrap/>
              <w:overflowPunct/>
              <w:topLinePunct w:val="0"/>
              <w:autoSpaceDE/>
              <w:autoSpaceDN/>
              <w:bidi w:val="0"/>
              <w:adjustRightInd/>
              <w:snapToGrid w:val="0"/>
              <w:spacing w:line="440" w:lineRule="exact"/>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3</w:t>
            </w:r>
            <w:r>
              <w:rPr>
                <w:rFonts w:hint="eastAsia" w:ascii="宋体" w:hAnsi="宋体" w:cs="宋体"/>
                <w:b w:val="0"/>
                <w:bCs w:val="0"/>
                <w:color w:val="auto"/>
                <w:highlight w:val="none"/>
                <w:lang w:eastAsia="zh-CN"/>
              </w:rPr>
              <w:t>.</w:t>
            </w:r>
            <w:r>
              <w:rPr>
                <w:rFonts w:hint="eastAsia" w:ascii="宋体" w:hAnsi="宋体" w:eastAsia="宋体" w:cs="宋体"/>
                <w:b w:val="0"/>
                <w:bCs w:val="0"/>
                <w:color w:val="auto"/>
                <w:highlight w:val="none"/>
              </w:rPr>
              <w:t>如有不明确或不一致，构成合同文件组成内容的，以合同文件约定内容为准，且以专用合同条款约定的合同文件优先顺序解释；</w:t>
            </w:r>
          </w:p>
          <w:p w14:paraId="584F57C3">
            <w:pPr>
              <w:keepNext w:val="0"/>
              <w:keepLines w:val="0"/>
              <w:pageBreakBefore w:val="0"/>
              <w:numPr>
                <w:ilvl w:val="0"/>
                <w:numId w:val="0"/>
              </w:numPr>
              <w:kinsoku/>
              <w:wordWrap/>
              <w:overflowPunct/>
              <w:topLinePunct w:val="0"/>
              <w:autoSpaceDE/>
              <w:autoSpaceDN/>
              <w:bidi w:val="0"/>
              <w:adjustRightInd/>
              <w:snapToGrid w:val="0"/>
              <w:spacing w:line="440" w:lineRule="exact"/>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4</w:t>
            </w:r>
            <w:r>
              <w:rPr>
                <w:rFonts w:hint="eastAsia" w:ascii="宋体" w:hAnsi="宋体" w:cs="宋体"/>
                <w:b w:val="0"/>
                <w:bCs w:val="0"/>
                <w:color w:val="auto"/>
                <w:highlight w:val="none"/>
                <w:lang w:eastAsia="zh-CN"/>
              </w:rPr>
              <w:t>.</w:t>
            </w:r>
            <w:r>
              <w:rPr>
                <w:rFonts w:hint="eastAsia" w:ascii="宋体" w:hAnsi="宋体" w:eastAsia="宋体" w:cs="宋体"/>
                <w:b w:val="0"/>
                <w:bCs w:val="0"/>
                <w:color w:val="auto"/>
                <w:highlight w:val="none"/>
              </w:rPr>
              <w:t>系统中提供的表格（或格式文件）与招标文件中不一致时，以招标文件中提供的为准；</w:t>
            </w:r>
          </w:p>
          <w:p w14:paraId="090D82C4">
            <w:pPr>
              <w:keepNext w:val="0"/>
              <w:keepLines w:val="0"/>
              <w:pageBreakBefore w:val="0"/>
              <w:numPr>
                <w:ilvl w:val="0"/>
                <w:numId w:val="0"/>
              </w:numPr>
              <w:kinsoku/>
              <w:wordWrap/>
              <w:overflowPunct/>
              <w:topLinePunct w:val="0"/>
              <w:autoSpaceDE/>
              <w:autoSpaceDN/>
              <w:bidi w:val="0"/>
              <w:adjustRightInd/>
              <w:snapToGrid w:val="0"/>
              <w:spacing w:line="440" w:lineRule="exact"/>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5</w:t>
            </w:r>
            <w:r>
              <w:rPr>
                <w:rFonts w:hint="eastAsia" w:ascii="宋体" w:hAnsi="宋体" w:cs="宋体"/>
                <w:b w:val="0"/>
                <w:bCs w:val="0"/>
                <w:color w:val="auto"/>
                <w:highlight w:val="none"/>
                <w:lang w:eastAsia="zh-CN"/>
              </w:rPr>
              <w:t>.</w:t>
            </w:r>
            <w:r>
              <w:rPr>
                <w:rFonts w:hint="eastAsia" w:ascii="宋体" w:hAnsi="宋体" w:eastAsia="宋体" w:cs="宋体"/>
                <w:b w:val="0"/>
                <w:bCs w:val="0"/>
                <w:color w:val="auto"/>
                <w:highlight w:val="none"/>
              </w:rPr>
              <w:t>按本款前述规定仍不能形成结论的，由招标人负责解释。</w:t>
            </w:r>
          </w:p>
        </w:tc>
      </w:tr>
      <w:tr w14:paraId="0A8C8EB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jc w:val="center"/>
        </w:trPr>
        <w:tc>
          <w:tcPr>
            <w:tcW w:w="1926" w:type="dxa"/>
            <w:gridSpan w:val="2"/>
            <w:noWrap w:val="0"/>
            <w:vAlign w:val="center"/>
          </w:tcPr>
          <w:p w14:paraId="073A9E89">
            <w:pPr>
              <w:adjustRightInd w:val="0"/>
              <w:snapToGrid w:val="0"/>
              <w:spacing w:line="560" w:lineRule="exact"/>
              <w:jc w:val="center"/>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同义词语</w:t>
            </w:r>
          </w:p>
        </w:tc>
        <w:tc>
          <w:tcPr>
            <w:tcW w:w="8287" w:type="dxa"/>
            <w:gridSpan w:val="2"/>
            <w:noWrap w:val="0"/>
            <w:vAlign w:val="center"/>
          </w:tcPr>
          <w:p w14:paraId="590F7465">
            <w:pPr>
              <w:keepNext w:val="0"/>
              <w:keepLines w:val="0"/>
              <w:pageBreakBefore w:val="0"/>
              <w:numPr>
                <w:ilvl w:val="0"/>
                <w:numId w:val="0"/>
              </w:numPr>
              <w:kinsoku/>
              <w:wordWrap/>
              <w:overflowPunct/>
              <w:topLinePunct w:val="0"/>
              <w:autoSpaceDE/>
              <w:autoSpaceDN/>
              <w:bidi w:val="0"/>
              <w:adjustRightInd/>
              <w:snapToGrid w:val="0"/>
              <w:spacing w:line="440" w:lineRule="exact"/>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构成招标文件组成部分的“通用合同条款”、“专用合同条款”、“</w:t>
            </w:r>
            <w:r>
              <w:rPr>
                <w:rFonts w:hint="eastAsia" w:ascii="宋体" w:hAnsi="宋体" w:cs="宋体"/>
                <w:b w:val="0"/>
                <w:bCs w:val="0"/>
                <w:color w:val="auto"/>
                <w:highlight w:val="none"/>
                <w:lang w:val="en-US" w:eastAsia="zh-CN"/>
              </w:rPr>
              <w:t>采购需求</w:t>
            </w:r>
            <w:r>
              <w:rPr>
                <w:rFonts w:hint="eastAsia" w:ascii="宋体" w:hAnsi="宋体" w:eastAsia="宋体" w:cs="宋体"/>
                <w:b w:val="0"/>
                <w:bCs w:val="0"/>
                <w:color w:val="auto"/>
                <w:highlight w:val="none"/>
              </w:rPr>
              <w:t>”等章节中 “发包人”和“承包人”，等同于招标投标阶段的“招标人”和“投标人/中标人”。</w:t>
            </w:r>
          </w:p>
        </w:tc>
      </w:tr>
      <w:tr w14:paraId="24CCF6C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2" w:hRule="atLeast"/>
          <w:jc w:val="center"/>
        </w:trPr>
        <w:tc>
          <w:tcPr>
            <w:tcW w:w="1926" w:type="dxa"/>
            <w:gridSpan w:val="2"/>
            <w:noWrap w:val="0"/>
            <w:vAlign w:val="center"/>
          </w:tcPr>
          <w:p w14:paraId="64FA8420">
            <w:pPr>
              <w:keepNext w:val="0"/>
              <w:keepLines w:val="0"/>
              <w:pageBreakBefore w:val="0"/>
              <w:widowControl/>
              <w:suppressLineNumbers w:val="0"/>
              <w:kinsoku/>
              <w:overflowPunct/>
              <w:autoSpaceDE/>
              <w:autoSpaceDN/>
              <w:bidi w:val="0"/>
              <w:spacing w:before="0" w:beforeAutospacing="0" w:afterAutospacing="0" w:line="500" w:lineRule="exact"/>
              <w:ind w:left="0" w:leftChars="0" w:right="0" w:rightChars="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rPr>
              <w:t>特别提示</w:t>
            </w:r>
          </w:p>
        </w:tc>
        <w:tc>
          <w:tcPr>
            <w:tcW w:w="8287" w:type="dxa"/>
            <w:gridSpan w:val="2"/>
            <w:noWrap w:val="0"/>
            <w:vAlign w:val="top"/>
          </w:tcPr>
          <w:p w14:paraId="7E6F1641">
            <w:pPr>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50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1.本项目投标保证金、履约保证金、工程质量保证金、农民工工资保证金均支持保函使用。以现金形式提交保证金的，应当同时退还保证金本金和银行同期存款利息。</w:t>
            </w:r>
          </w:p>
          <w:p w14:paraId="2DF77183">
            <w:pPr>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50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2.投标人应填写投标信息并下载招标文件，否则无法上传投标文件。</w:t>
            </w:r>
          </w:p>
          <w:p w14:paraId="2E43510B">
            <w:pPr>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50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本项目采用电子招标投标，请投标人在滁州市公共资源交易中心网站&gt;服务指南&gt;软件下载栏目点击下载投标文件制作工具。投标人需采用最新版投标文件制作工具。软件运行需在国际互联网络通畅状态，投标人需注意更新，以免造成投标文件制作错误，如因此导致评标委员会否决其投标，责任自负。如有技术问题请联系0550-3801701，4009980000。</w:t>
            </w:r>
          </w:p>
          <w:p w14:paraId="3C9AC8B3">
            <w:pPr>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50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4.如果过程中出现招标文件更改，应以最后发布的招标答疑澄清文件中的模板制作本项目最新投标文件。</w:t>
            </w:r>
          </w:p>
          <w:p w14:paraId="55231E46">
            <w:pPr>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50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5.投标人应当用本单位CA数字证书制作投标文件，制作成功后进行投标文件上传。 </w:t>
            </w:r>
          </w:p>
          <w:p w14:paraId="443239E3">
            <w:pPr>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50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投标人须用CA数字证书盖章和加密投标文件，建议使用主锁。（如未办理CA数字证书请及时办理，网上办理和窗口办理均可。查看办理所需资料请登录滁州市公共资源交易中心网站&gt;服务指南&gt;办事指南&gt;CA数字证书和电子签章。因未及时办理CA数字证书手续导致无法投标的，责任自负）</w:t>
            </w:r>
          </w:p>
          <w:p w14:paraId="5E4962D7">
            <w:pPr>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50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7.请投标人注意加密投标文件CA数字证书的有效期，不在有效期的CA数字证书无法解密投标文件。</w:t>
            </w:r>
          </w:p>
          <w:p w14:paraId="05937ACB">
            <w:pPr>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50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8.投标人投标MAC地址一致或申请开具电子保函MAC地址一致的，由评标委员会否决其投标。</w:t>
            </w:r>
          </w:p>
          <w:p w14:paraId="4A189C00">
            <w:pPr>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50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9.投标人投标文件中单方面出现其他投标人材料的（依法组成联合体投标的除外），由评标委员会否决其投标。</w:t>
            </w:r>
          </w:p>
          <w:p w14:paraId="071F6DBC">
            <w:pPr>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50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10.评标时查询投标文件制作机器码、文件创建标识码及造价软件加密锁号。若存在投标文件制作机器码或创建标识码或造价软件加密锁号信息与其他投标人雷同的，由评标委员会否决其投标，依法依规予以处理。</w:t>
            </w:r>
          </w:p>
          <w:p w14:paraId="6F0F7491">
            <w:pPr>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50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11.若存在不予退还投标人投标保证金的情形，银行转账的，由市公共资源交易中心代为收缴，递交保函的，由招标人予以追缴。</w:t>
            </w:r>
          </w:p>
          <w:p w14:paraId="145B61D5">
            <w:pPr>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50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12.投标人以联合体名义投标的，其异议投诉应当由联合体全体成员共同提出。联合体成员单独进行异议投诉的，应当书面征得联合体其他成员同意，联合体成员之间投诉的除外。</w:t>
            </w:r>
          </w:p>
          <w:p w14:paraId="72E7BFBB">
            <w:pPr>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50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13.投标人联系人或联系电话相同的，由评标委员会否决其投标，并报告监管部门作不良行为处理和进一步调查。</w:t>
            </w:r>
          </w:p>
          <w:p w14:paraId="0F395F74">
            <w:pPr>
              <w:keepNext w:val="0"/>
              <w:keepLines w:val="0"/>
              <w:pageBreakBefore w:val="0"/>
              <w:suppressLineNumbers w:val="0"/>
              <w:kinsoku/>
              <w:overflowPunct/>
              <w:autoSpaceDE/>
              <w:autoSpaceDN/>
              <w:bidi w:val="0"/>
              <w:spacing w:before="0" w:beforeAutospacing="0" w:afterAutospacing="0" w:line="500" w:lineRule="exact"/>
              <w:ind w:left="0" w:leftChars="0" w:right="0" w:rightChars="0"/>
              <w:jc w:val="left"/>
              <w:textAlignment w:val="auto"/>
              <w:rPr>
                <w:rFonts w:hint="eastAsia" w:ascii="宋体" w:hAnsi="宋体" w:eastAsia="宋体" w:cs="宋体"/>
                <w:b/>
                <w:bCs/>
                <w:color w:val="auto"/>
                <w:szCs w:val="21"/>
                <w:highlight w:val="none"/>
                <w:lang w:bidi="ar"/>
              </w:rPr>
            </w:pPr>
            <w:r>
              <w:rPr>
                <w:rFonts w:hint="eastAsia" w:ascii="宋体" w:hAnsi="宋体" w:eastAsia="宋体" w:cs="宋体"/>
                <w:b w:val="0"/>
                <w:bCs w:val="0"/>
                <w:color w:val="auto"/>
                <w:sz w:val="21"/>
                <w:szCs w:val="21"/>
                <w:highlight w:val="none"/>
              </w:rPr>
              <w:t>14.注册地在安徽省内且未在安徽省外开展业务、省外无违法违规行为的企业可通过安徽政务服务网开具由安徽省公共信用信息服务中心出具的《公共信用信息报告（无违法违规证明版或核查版）》代替《诚信投标承诺书》，信用报告出具有关问题可咨询滁州市信用办0550-3035032。</w:t>
            </w:r>
          </w:p>
        </w:tc>
      </w:tr>
      <w:tr w14:paraId="2BC1A8C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2" w:hRule="atLeast"/>
          <w:jc w:val="center"/>
        </w:trPr>
        <w:tc>
          <w:tcPr>
            <w:tcW w:w="1926" w:type="dxa"/>
            <w:gridSpan w:val="2"/>
            <w:noWrap w:val="0"/>
            <w:vAlign w:val="center"/>
          </w:tcPr>
          <w:p w14:paraId="2528ACD9">
            <w:pPr>
              <w:keepNext w:val="0"/>
              <w:keepLines w:val="0"/>
              <w:pageBreakBefore w:val="0"/>
              <w:suppressLineNumbers w:val="0"/>
              <w:kinsoku/>
              <w:overflowPunct/>
              <w:topLinePunct w:val="0"/>
              <w:autoSpaceDE/>
              <w:autoSpaceDN/>
              <w:bidi w:val="0"/>
              <w:adjustRightInd/>
              <w:spacing w:before="0" w:beforeAutospacing="0" w:afterAutospacing="0" w:line="500" w:lineRule="exact"/>
              <w:ind w:left="0" w:leftChars="0" w:right="0" w:rightChars="0"/>
              <w:jc w:val="center"/>
              <w:textAlignment w:val="auto"/>
              <w:rPr>
                <w:rFonts w:hint="eastAsia" w:ascii="宋体" w:hAnsi="宋体" w:eastAsia="宋体" w:cs="宋体"/>
                <w:bCs/>
                <w:color w:val="auto"/>
                <w:szCs w:val="21"/>
                <w:highlight w:val="none"/>
                <w:lang w:val="en-US" w:eastAsia="zh-CN" w:bidi="ar"/>
              </w:rPr>
            </w:pPr>
            <w:bookmarkStart w:id="30" w:name="_Toc58430315"/>
            <w:bookmarkStart w:id="31" w:name="_Toc449028866"/>
            <w:bookmarkStart w:id="32" w:name="_Toc28397"/>
            <w:r>
              <w:rPr>
                <w:rFonts w:hint="eastAsia" w:ascii="宋体" w:hAnsi="宋体" w:eastAsia="宋体" w:cs="宋体"/>
                <w:bCs/>
                <w:color w:val="auto"/>
                <w:sz w:val="21"/>
                <w:szCs w:val="21"/>
                <w:highlight w:val="none"/>
                <w:lang w:val="en-US" w:eastAsia="zh-CN" w:bidi="ar"/>
              </w:rPr>
              <w:t>其他</w:t>
            </w:r>
          </w:p>
        </w:tc>
        <w:tc>
          <w:tcPr>
            <w:tcW w:w="8287" w:type="dxa"/>
            <w:gridSpan w:val="2"/>
            <w:noWrap w:val="0"/>
            <w:vAlign w:val="top"/>
          </w:tcPr>
          <w:p w14:paraId="4F9EB6D5">
            <w:pPr>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Autospacing="0" w:line="500" w:lineRule="exact"/>
              <w:ind w:left="0" w:righ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项目负责人必须是投标人本单位工作人员，提供虚假资料谋取中标将被依法处罚。投标人对所提交的投标人或拟派项目负责人业绩、投标人资质等证明资料承担缔约过失责任和法律责任。若投诉人或举报人对前述资料或证明资料存在争议，进行有效投诉或举报， 被投诉人、被举报人应当主动配合执法机关调查，并在规定的期限内举证，提供有关证明资料的原件；拒不配合执法机构调查，且未在规定期限内举证、提供证明资料原件的，执法机构（滁州市公共资源交易监督管理局）依法处理。</w:t>
            </w:r>
          </w:p>
          <w:p w14:paraId="26C482AB">
            <w:pPr>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Autospacing="0" w:line="500" w:lineRule="exact"/>
              <w:ind w:left="0" w:righ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2.中标人未履行下述义务的，滁州市公共资源交易监督管理局将依法对中标人进行处理，追究相关责任：</w:t>
            </w:r>
          </w:p>
          <w:p w14:paraId="2D3AC748">
            <w:pPr>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Autospacing="0" w:line="500" w:lineRule="exact"/>
              <w:ind w:left="0" w:righ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①中标人无正当理由不与招标人订立合同，在签订合同时向招标人提出附加条件，或者不按照招标文件要求提交履约保证金的，招标人有权取消中标人中标资格，并将相关违约行为报送监管部门处理；</w:t>
            </w:r>
          </w:p>
          <w:p w14:paraId="793CB6AF">
            <w:pPr>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Autospacing="0" w:line="500" w:lineRule="exact"/>
              <w:ind w:left="0" w:leftChars="0" w:right="0" w:rightChars="0" w:firstLine="0" w:firstLineChars="0"/>
              <w:textAlignment w:val="auto"/>
              <w:rPr>
                <w:rFonts w:hint="eastAsia" w:eastAsia="宋体"/>
                <w:color w:val="auto"/>
                <w:highlight w:val="none"/>
                <w:lang w:val="en-US" w:eastAsia="zh-CN"/>
              </w:rPr>
            </w:pPr>
            <w:r>
              <w:rPr>
                <w:rFonts w:hint="eastAsia" w:ascii="宋体" w:hAnsi="宋体" w:eastAsia="宋体" w:cs="宋体"/>
                <w:color w:val="auto"/>
                <w:kern w:val="2"/>
                <w:sz w:val="21"/>
                <w:szCs w:val="21"/>
                <w:highlight w:val="none"/>
                <w:lang w:val="en-US" w:eastAsia="zh-CN" w:bidi="ar-SA"/>
              </w:rPr>
              <w:t>②合同签订后，中标人存在规定时间内不组织人员进场开工、不履行供货安装义务等情况，招标人有权解除合同，并追究违约责任，同时将相关违约行为报送监管部门，记不良行为记录， 实施信用惩戒。</w:t>
            </w:r>
          </w:p>
        </w:tc>
      </w:tr>
      <w:tr w14:paraId="7F3396A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2" w:hRule="atLeast"/>
          <w:jc w:val="center"/>
        </w:trPr>
        <w:tc>
          <w:tcPr>
            <w:tcW w:w="1926" w:type="dxa"/>
            <w:gridSpan w:val="2"/>
            <w:noWrap w:val="0"/>
            <w:vAlign w:val="center"/>
          </w:tcPr>
          <w:p w14:paraId="0CE4781F">
            <w:pPr>
              <w:adjustRightInd w:val="0"/>
              <w:snapToGrid w:val="0"/>
              <w:spacing w:line="560" w:lineRule="exact"/>
              <w:jc w:val="center"/>
              <w:rPr>
                <w:rFonts w:hint="eastAsia" w:ascii="宋体" w:hAnsi="宋体" w:cs="宋体"/>
                <w:bCs/>
                <w:color w:val="auto"/>
                <w:szCs w:val="21"/>
                <w:highlight w:val="none"/>
                <w:lang w:val="en-US" w:eastAsia="zh-CN" w:bidi="ar"/>
              </w:rPr>
            </w:pPr>
            <w:r>
              <w:rPr>
                <w:rFonts w:hint="eastAsia" w:ascii="宋体" w:hAnsi="宋体" w:eastAsia="宋体" w:cs="宋体"/>
                <w:bCs/>
                <w:color w:val="auto"/>
                <w:szCs w:val="21"/>
                <w:highlight w:val="none"/>
                <w:lang w:val="en-US" w:eastAsia="zh-CN" w:bidi="ar"/>
              </w:rPr>
              <w:t>变更招标方式</w:t>
            </w:r>
          </w:p>
        </w:tc>
        <w:tc>
          <w:tcPr>
            <w:tcW w:w="8287" w:type="dxa"/>
            <w:gridSpan w:val="2"/>
            <w:noWrap w:val="0"/>
            <w:vAlign w:val="center"/>
          </w:tcPr>
          <w:p w14:paraId="36675E4B">
            <w:pPr>
              <w:pStyle w:val="17"/>
              <w:adjustRightInd w:val="0"/>
              <w:snapToGrid w:val="0"/>
              <w:spacing w:after="0" w:line="560" w:lineRule="exact"/>
              <w:rPr>
                <w:rFonts w:hint="eastAsia" w:ascii="宋体" w:hAnsi="宋体" w:eastAsia="宋体" w:cs="宋体"/>
                <w:b w:val="0"/>
                <w:bCs w:val="0"/>
                <w:color w:val="auto"/>
                <w:highlight w:val="none"/>
              </w:rPr>
            </w:pPr>
            <w:r>
              <w:rPr>
                <w:rFonts w:hint="eastAsia" w:ascii="宋体" w:hAnsi="宋体" w:eastAsia="宋体" w:cs="宋体"/>
                <w:b w:val="0"/>
                <w:bCs w:val="0"/>
                <w:color w:val="auto"/>
                <w:kern w:val="2"/>
                <w:sz w:val="21"/>
                <w:szCs w:val="24"/>
                <w:highlight w:val="none"/>
                <w:lang w:val="en-US" w:eastAsia="zh-CN" w:bidi="ar-SA"/>
              </w:rPr>
              <w:t>按照滁州市公共资源交易监督管理局现行规定执行。</w:t>
            </w:r>
          </w:p>
        </w:tc>
      </w:tr>
    </w:tbl>
    <w:p w14:paraId="1A5C89D1">
      <w:pPr>
        <w:keepNext w:val="0"/>
        <w:keepLines w:val="0"/>
        <w:pageBreakBefore/>
        <w:widowControl w:val="0"/>
        <w:kinsoku/>
        <w:wordWrap/>
        <w:overflowPunct/>
        <w:topLinePunct w:val="0"/>
        <w:autoSpaceDE/>
        <w:autoSpaceDN/>
        <w:bidi w:val="0"/>
        <w:spacing w:line="520" w:lineRule="exact"/>
        <w:ind w:left="0" w:right="0" w:rightChars="0" w:firstLine="562" w:firstLineChars="200"/>
        <w:jc w:val="center"/>
        <w:textAlignment w:val="auto"/>
        <w:outlineLvl w:val="1"/>
        <w:rPr>
          <w:rFonts w:hint="eastAsia" w:ascii="宋体"/>
          <w:b/>
          <w:color w:val="auto"/>
          <w:sz w:val="28"/>
          <w:szCs w:val="32"/>
          <w:highlight w:val="none"/>
        </w:rPr>
      </w:pPr>
      <w:r>
        <w:rPr>
          <w:rFonts w:hint="eastAsia" w:ascii="宋体"/>
          <w:b/>
          <w:color w:val="auto"/>
          <w:sz w:val="28"/>
          <w:szCs w:val="28"/>
          <w:highlight w:val="none"/>
        </w:rPr>
        <w:t>二、投标人须知</w:t>
      </w:r>
      <w:bookmarkEnd w:id="30"/>
      <w:bookmarkEnd w:id="31"/>
      <w:bookmarkEnd w:id="32"/>
    </w:p>
    <w:p w14:paraId="5C3CC863">
      <w:pPr>
        <w:keepNext w:val="0"/>
        <w:keepLines w:val="0"/>
        <w:widowControl w:val="0"/>
        <w:kinsoku/>
        <w:wordWrap/>
        <w:overflowPunct/>
        <w:topLinePunct w:val="0"/>
        <w:autoSpaceDE/>
        <w:autoSpaceDN/>
        <w:bidi w:val="0"/>
        <w:spacing w:line="520" w:lineRule="exact"/>
        <w:ind w:left="0" w:right="0" w:rightChars="0" w:firstLine="562" w:firstLineChars="200"/>
        <w:jc w:val="center"/>
        <w:textAlignment w:val="auto"/>
        <w:outlineLvl w:val="2"/>
        <w:rPr>
          <w:rFonts w:hint="eastAsia" w:ascii="宋体" w:hAnsi="宋体" w:cs="宋体"/>
          <w:color w:val="auto"/>
          <w:sz w:val="28"/>
          <w:szCs w:val="28"/>
          <w:highlight w:val="none"/>
        </w:rPr>
      </w:pPr>
      <w:bookmarkStart w:id="33" w:name="_Toc449028867"/>
      <w:r>
        <w:rPr>
          <w:rFonts w:hint="eastAsia" w:ascii="宋体" w:hAnsi="宋体" w:cs="宋体"/>
          <w:b/>
          <w:color w:val="auto"/>
          <w:sz w:val="28"/>
          <w:szCs w:val="28"/>
          <w:highlight w:val="none"/>
        </w:rPr>
        <w:t>（一）总  则</w:t>
      </w:r>
      <w:bookmarkEnd w:id="33"/>
    </w:p>
    <w:p w14:paraId="30DDF07D">
      <w:pPr>
        <w:keepNext w:val="0"/>
        <w:keepLines w:val="0"/>
        <w:widowControl w:val="0"/>
        <w:kinsoku/>
        <w:wordWrap/>
        <w:overflowPunct/>
        <w:topLinePunct w:val="0"/>
        <w:autoSpaceDE/>
        <w:autoSpaceDN/>
        <w:bidi w:val="0"/>
        <w:snapToGrid w:val="0"/>
        <w:spacing w:line="520" w:lineRule="exact"/>
        <w:ind w:left="0" w:right="0" w:rightChars="0" w:firstLine="422" w:firstLineChars="200"/>
        <w:jc w:val="left"/>
        <w:textAlignment w:val="auto"/>
        <w:outlineLvl w:val="3"/>
        <w:rPr>
          <w:rFonts w:hint="eastAsia" w:ascii="宋体" w:hAnsi="宋体" w:cs="宋体"/>
          <w:b/>
          <w:color w:val="auto"/>
          <w:szCs w:val="21"/>
          <w:highlight w:val="none"/>
        </w:rPr>
      </w:pPr>
      <w:r>
        <w:rPr>
          <w:rFonts w:hint="eastAsia" w:ascii="宋体" w:hAnsi="宋体" w:cs="宋体"/>
          <w:b/>
          <w:color w:val="auto"/>
          <w:szCs w:val="21"/>
          <w:highlight w:val="none"/>
        </w:rPr>
        <w:t>1.项目概况</w:t>
      </w:r>
    </w:p>
    <w:p w14:paraId="1D758039">
      <w:pPr>
        <w:keepNext w:val="0"/>
        <w:keepLines w:val="0"/>
        <w:widowControl w:val="0"/>
        <w:kinsoku/>
        <w:wordWrap/>
        <w:overflowPunct/>
        <w:topLinePunct w:val="0"/>
        <w:autoSpaceDE/>
        <w:autoSpaceDN/>
        <w:bidi w:val="0"/>
        <w:snapToGrid w:val="0"/>
        <w:spacing w:line="520" w:lineRule="exact"/>
        <w:ind w:left="0" w:right="0" w:rightChars="0" w:firstLine="420" w:firstLineChars="200"/>
        <w:jc w:val="left"/>
        <w:textAlignment w:val="auto"/>
        <w:outlineLvl w:val="4"/>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1.1本次招标项目名称：见投标人须知前附表。</w:t>
      </w:r>
    </w:p>
    <w:p w14:paraId="2BB1F285">
      <w:pPr>
        <w:keepNext w:val="0"/>
        <w:keepLines w:val="0"/>
        <w:widowControl w:val="0"/>
        <w:kinsoku/>
        <w:wordWrap/>
        <w:overflowPunct/>
        <w:topLinePunct w:val="0"/>
        <w:autoSpaceDE/>
        <w:autoSpaceDN/>
        <w:bidi w:val="0"/>
        <w:snapToGrid w:val="0"/>
        <w:spacing w:line="520" w:lineRule="exact"/>
        <w:ind w:left="0" w:right="0" w:rightChars="0"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项目编号：见投标人须知前附表。</w:t>
      </w:r>
    </w:p>
    <w:p w14:paraId="6BE129B6">
      <w:pPr>
        <w:keepNext w:val="0"/>
        <w:keepLines w:val="0"/>
        <w:widowControl w:val="0"/>
        <w:kinsoku/>
        <w:wordWrap/>
        <w:overflowPunct/>
        <w:topLinePunct w:val="0"/>
        <w:autoSpaceDE/>
        <w:autoSpaceDN/>
        <w:bidi w:val="0"/>
        <w:snapToGrid w:val="0"/>
        <w:spacing w:line="520" w:lineRule="exact"/>
        <w:ind w:left="0" w:right="0" w:rightChars="0"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招标人：见投标人须知前附表。</w:t>
      </w:r>
    </w:p>
    <w:p w14:paraId="47DCFA30">
      <w:pPr>
        <w:keepNext w:val="0"/>
        <w:keepLines w:val="0"/>
        <w:widowControl w:val="0"/>
        <w:kinsoku/>
        <w:wordWrap/>
        <w:overflowPunct/>
        <w:topLinePunct w:val="0"/>
        <w:autoSpaceDE/>
        <w:autoSpaceDN/>
        <w:bidi w:val="0"/>
        <w:snapToGrid w:val="0"/>
        <w:spacing w:line="520" w:lineRule="exact"/>
        <w:ind w:left="0" w:right="0" w:rightChars="0"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服务期限</w:t>
      </w:r>
      <w:r>
        <w:rPr>
          <w:rFonts w:hint="eastAsia" w:ascii="宋体" w:hAnsi="宋体" w:eastAsia="宋体" w:cs="宋体"/>
          <w:color w:val="auto"/>
          <w:szCs w:val="21"/>
          <w:highlight w:val="none"/>
        </w:rPr>
        <w:t>：见投标人须知前附表。</w:t>
      </w:r>
    </w:p>
    <w:p w14:paraId="2D3F4BF1">
      <w:pPr>
        <w:keepNext w:val="0"/>
        <w:keepLines w:val="0"/>
        <w:widowControl w:val="0"/>
        <w:kinsoku/>
        <w:wordWrap/>
        <w:overflowPunct/>
        <w:topLinePunct w:val="0"/>
        <w:autoSpaceDE/>
        <w:autoSpaceDN/>
        <w:bidi w:val="0"/>
        <w:snapToGrid w:val="0"/>
        <w:spacing w:line="520" w:lineRule="exact"/>
        <w:ind w:left="0" w:right="0" w:rightChars="0"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服务地点：见投标人须知前附表。</w:t>
      </w:r>
    </w:p>
    <w:p w14:paraId="40CB3F65">
      <w:pPr>
        <w:keepNext w:val="0"/>
        <w:keepLines w:val="0"/>
        <w:widowControl w:val="0"/>
        <w:kinsoku/>
        <w:wordWrap/>
        <w:overflowPunct/>
        <w:topLinePunct w:val="0"/>
        <w:autoSpaceDE/>
        <w:autoSpaceDN/>
        <w:bidi w:val="0"/>
        <w:snapToGrid w:val="0"/>
        <w:spacing w:line="520" w:lineRule="exact"/>
        <w:ind w:left="0" w:right="0" w:rightChars="0" w:firstLine="420" w:firstLineChars="200"/>
        <w:jc w:val="left"/>
        <w:textAlignment w:val="auto"/>
        <w:outlineLvl w:val="4"/>
        <w:rPr>
          <w:rFonts w:hint="eastAsia" w:ascii="宋体" w:hAnsi="宋体" w:eastAsia="宋体" w:cs="宋体"/>
          <w:color w:val="auto"/>
          <w:szCs w:val="21"/>
          <w:highlight w:val="none"/>
        </w:rPr>
      </w:pPr>
      <w:r>
        <w:rPr>
          <w:rFonts w:hint="eastAsia" w:ascii="宋体" w:hAnsi="宋体" w:eastAsia="宋体" w:cs="宋体"/>
          <w:color w:val="auto"/>
          <w:szCs w:val="21"/>
          <w:highlight w:val="none"/>
        </w:rPr>
        <w:t>1.2招标人及联系人: 见投标人须知前附表。</w:t>
      </w:r>
    </w:p>
    <w:p w14:paraId="44191BDF">
      <w:pPr>
        <w:keepNext w:val="0"/>
        <w:keepLines w:val="0"/>
        <w:widowControl w:val="0"/>
        <w:kinsoku/>
        <w:wordWrap/>
        <w:overflowPunct/>
        <w:topLinePunct w:val="0"/>
        <w:autoSpaceDE/>
        <w:autoSpaceDN/>
        <w:bidi w:val="0"/>
        <w:snapToGrid w:val="0"/>
        <w:spacing w:line="520" w:lineRule="exact"/>
        <w:ind w:left="0" w:right="0" w:righ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代理机构及联系人：见投标人须知前附表。</w:t>
      </w:r>
    </w:p>
    <w:p w14:paraId="507A5E0A">
      <w:pPr>
        <w:keepNext w:val="0"/>
        <w:keepLines w:val="0"/>
        <w:widowControl w:val="0"/>
        <w:kinsoku/>
        <w:wordWrap/>
        <w:overflowPunct/>
        <w:topLinePunct w:val="0"/>
        <w:autoSpaceDE/>
        <w:autoSpaceDN/>
        <w:bidi w:val="0"/>
        <w:snapToGrid w:val="0"/>
        <w:spacing w:line="520" w:lineRule="exact"/>
        <w:ind w:left="0" w:right="0" w:righ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1.3资金来源：见投标人须知前附表。</w:t>
      </w:r>
    </w:p>
    <w:p w14:paraId="4F4B6FCE">
      <w:pPr>
        <w:keepNext w:val="0"/>
        <w:keepLines w:val="0"/>
        <w:widowControl w:val="0"/>
        <w:kinsoku/>
        <w:wordWrap/>
        <w:overflowPunct/>
        <w:topLinePunct w:val="0"/>
        <w:autoSpaceDE/>
        <w:autoSpaceDN/>
        <w:bidi w:val="0"/>
        <w:snapToGrid w:val="0"/>
        <w:spacing w:line="520" w:lineRule="exact"/>
        <w:ind w:left="0" w:right="0" w:righ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1.4本项目预算：见投标人须知前附表。</w:t>
      </w:r>
    </w:p>
    <w:p w14:paraId="4D0F5F0C">
      <w:pPr>
        <w:keepNext w:val="0"/>
        <w:keepLines w:val="0"/>
        <w:widowControl w:val="0"/>
        <w:kinsoku/>
        <w:wordWrap/>
        <w:overflowPunct/>
        <w:topLinePunct w:val="0"/>
        <w:autoSpaceDE/>
        <w:autoSpaceDN/>
        <w:bidi w:val="0"/>
        <w:snapToGrid w:val="0"/>
        <w:spacing w:line="520" w:lineRule="exact"/>
        <w:ind w:left="0" w:right="0" w:righ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1.5本项目最高限价：见投标人须知前附表。</w:t>
      </w:r>
    </w:p>
    <w:p w14:paraId="5098E02E">
      <w:pPr>
        <w:keepNext w:val="0"/>
        <w:keepLines w:val="0"/>
        <w:widowControl w:val="0"/>
        <w:kinsoku/>
        <w:wordWrap/>
        <w:overflowPunct/>
        <w:topLinePunct w:val="0"/>
        <w:autoSpaceDE/>
        <w:autoSpaceDN/>
        <w:bidi w:val="0"/>
        <w:snapToGrid w:val="0"/>
        <w:spacing w:line="520" w:lineRule="exact"/>
        <w:ind w:left="0" w:right="0" w:rightChars="0" w:firstLine="422" w:firstLineChars="200"/>
        <w:jc w:val="left"/>
        <w:textAlignment w:val="auto"/>
        <w:outlineLvl w:val="3"/>
        <w:rPr>
          <w:rFonts w:hint="eastAsia" w:ascii="宋体" w:hAnsi="宋体" w:cs="宋体"/>
          <w:b/>
          <w:color w:val="auto"/>
          <w:szCs w:val="21"/>
          <w:highlight w:val="none"/>
        </w:rPr>
      </w:pPr>
      <w:r>
        <w:rPr>
          <w:rFonts w:hint="eastAsia" w:ascii="宋体" w:hAnsi="宋体" w:cs="宋体"/>
          <w:b/>
          <w:color w:val="auto"/>
          <w:szCs w:val="21"/>
          <w:highlight w:val="none"/>
        </w:rPr>
        <w:t>2.招标范围：</w:t>
      </w:r>
    </w:p>
    <w:p w14:paraId="458EA95A">
      <w:pPr>
        <w:keepNext w:val="0"/>
        <w:keepLines w:val="0"/>
        <w:widowControl w:val="0"/>
        <w:kinsoku/>
        <w:wordWrap/>
        <w:overflowPunct/>
        <w:topLinePunct w:val="0"/>
        <w:autoSpaceDE/>
        <w:autoSpaceDN/>
        <w:bidi w:val="0"/>
        <w:snapToGrid w:val="0"/>
        <w:spacing w:line="520" w:lineRule="exact"/>
        <w:ind w:left="0" w:right="0" w:rightChars="0" w:firstLine="420" w:firstLineChars="200"/>
        <w:jc w:val="left"/>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2.1 采购内容：详见《采购</w:t>
      </w:r>
      <w:r>
        <w:rPr>
          <w:rFonts w:hint="eastAsia" w:ascii="宋体" w:hAnsi="宋体" w:cs="宋体"/>
          <w:color w:val="auto"/>
          <w:szCs w:val="21"/>
          <w:highlight w:val="none"/>
          <w:lang w:val="en-US" w:eastAsia="zh-CN"/>
        </w:rPr>
        <w:t>需求</w:t>
      </w:r>
      <w:r>
        <w:rPr>
          <w:rFonts w:hint="eastAsia" w:ascii="宋体" w:hAnsi="宋体" w:cs="宋体"/>
          <w:color w:val="auto"/>
          <w:szCs w:val="21"/>
          <w:highlight w:val="none"/>
        </w:rPr>
        <w:t>》。</w:t>
      </w:r>
    </w:p>
    <w:p w14:paraId="7931DE94">
      <w:pPr>
        <w:keepNext w:val="0"/>
        <w:keepLines w:val="0"/>
        <w:widowControl w:val="0"/>
        <w:kinsoku/>
        <w:wordWrap/>
        <w:overflowPunct/>
        <w:topLinePunct w:val="0"/>
        <w:autoSpaceDE/>
        <w:autoSpaceDN/>
        <w:bidi w:val="0"/>
        <w:snapToGrid w:val="0"/>
        <w:spacing w:line="520" w:lineRule="exact"/>
        <w:ind w:left="0" w:right="0" w:righ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2.2 技术要求：详见《采购</w:t>
      </w:r>
      <w:r>
        <w:rPr>
          <w:rFonts w:hint="eastAsia" w:ascii="宋体" w:hAnsi="宋体" w:cs="宋体"/>
          <w:color w:val="auto"/>
          <w:szCs w:val="21"/>
          <w:highlight w:val="none"/>
          <w:lang w:val="en-US" w:eastAsia="zh-CN"/>
        </w:rPr>
        <w:t>需求</w:t>
      </w:r>
      <w:r>
        <w:rPr>
          <w:rFonts w:hint="eastAsia" w:ascii="宋体" w:hAnsi="宋体" w:cs="宋体"/>
          <w:color w:val="auto"/>
          <w:szCs w:val="21"/>
          <w:highlight w:val="none"/>
        </w:rPr>
        <w:t>》。</w:t>
      </w:r>
    </w:p>
    <w:p w14:paraId="196C9EBA">
      <w:pPr>
        <w:keepNext w:val="0"/>
        <w:keepLines w:val="0"/>
        <w:widowControl w:val="0"/>
        <w:kinsoku/>
        <w:wordWrap/>
        <w:overflowPunct/>
        <w:topLinePunct w:val="0"/>
        <w:autoSpaceDE/>
        <w:autoSpaceDN/>
        <w:bidi w:val="0"/>
        <w:snapToGrid w:val="0"/>
        <w:spacing w:line="520" w:lineRule="exact"/>
        <w:ind w:left="0" w:right="0" w:rightChars="0" w:firstLine="422" w:firstLineChars="200"/>
        <w:jc w:val="left"/>
        <w:textAlignment w:val="auto"/>
        <w:outlineLvl w:val="3"/>
        <w:rPr>
          <w:rFonts w:hint="eastAsia" w:ascii="宋体" w:hAnsi="宋体" w:cs="宋体"/>
          <w:b/>
          <w:color w:val="auto"/>
          <w:szCs w:val="21"/>
          <w:highlight w:val="none"/>
        </w:rPr>
      </w:pPr>
      <w:r>
        <w:rPr>
          <w:rFonts w:hint="eastAsia" w:ascii="宋体" w:hAnsi="宋体" w:cs="宋体"/>
          <w:b/>
          <w:color w:val="auto"/>
          <w:szCs w:val="21"/>
          <w:highlight w:val="none"/>
        </w:rPr>
        <w:t>3.标包划分：</w:t>
      </w:r>
    </w:p>
    <w:p w14:paraId="3FA4CAAA">
      <w:pPr>
        <w:keepNext w:val="0"/>
        <w:keepLines w:val="0"/>
        <w:widowControl w:val="0"/>
        <w:kinsoku/>
        <w:wordWrap/>
        <w:overflowPunct/>
        <w:topLinePunct w:val="0"/>
        <w:autoSpaceDE/>
        <w:autoSpaceDN/>
        <w:bidi w:val="0"/>
        <w:snapToGrid w:val="0"/>
        <w:spacing w:line="520" w:lineRule="exact"/>
        <w:ind w:left="0" w:right="0" w:rightChars="0" w:firstLine="420" w:firstLineChars="200"/>
        <w:jc w:val="left"/>
        <w:textAlignment w:val="auto"/>
        <w:outlineLvl w:val="4"/>
        <w:rPr>
          <w:rFonts w:hint="eastAsia" w:ascii="宋体" w:hAnsi="宋体" w:cs="宋体"/>
          <w:color w:val="auto"/>
          <w:szCs w:val="21"/>
          <w:highlight w:val="none"/>
        </w:rPr>
      </w:pPr>
      <w:r>
        <w:rPr>
          <w:rFonts w:hint="eastAsia" w:ascii="宋体" w:hAnsi="宋体" w:cs="宋体"/>
          <w:color w:val="auto"/>
          <w:szCs w:val="21"/>
          <w:highlight w:val="none"/>
        </w:rPr>
        <w:t>3.1本项目划分：见投标人须知前附表。</w:t>
      </w:r>
    </w:p>
    <w:p w14:paraId="75A8800B">
      <w:pPr>
        <w:keepNext w:val="0"/>
        <w:keepLines w:val="0"/>
        <w:widowControl w:val="0"/>
        <w:kinsoku/>
        <w:wordWrap/>
        <w:overflowPunct/>
        <w:topLinePunct w:val="0"/>
        <w:autoSpaceDE/>
        <w:autoSpaceDN/>
        <w:bidi w:val="0"/>
        <w:snapToGrid w:val="0"/>
        <w:spacing w:line="520" w:lineRule="exact"/>
        <w:ind w:left="0" w:right="0" w:rightChars="0" w:firstLine="422" w:firstLineChars="200"/>
        <w:jc w:val="left"/>
        <w:textAlignment w:val="auto"/>
        <w:outlineLvl w:val="3"/>
        <w:rPr>
          <w:rFonts w:hint="eastAsia" w:ascii="宋体" w:hAnsi="宋体" w:cs="宋体"/>
          <w:b/>
          <w:color w:val="auto"/>
          <w:szCs w:val="21"/>
          <w:highlight w:val="none"/>
        </w:rPr>
      </w:pPr>
      <w:r>
        <w:rPr>
          <w:rFonts w:hint="eastAsia" w:ascii="宋体" w:hAnsi="宋体" w:cs="宋体"/>
          <w:b/>
          <w:color w:val="auto"/>
          <w:szCs w:val="21"/>
          <w:highlight w:val="none"/>
        </w:rPr>
        <w:t>4.招标方式：</w:t>
      </w:r>
    </w:p>
    <w:p w14:paraId="5B019EB2">
      <w:pPr>
        <w:keepNext w:val="0"/>
        <w:keepLines w:val="0"/>
        <w:widowControl w:val="0"/>
        <w:kinsoku/>
        <w:wordWrap/>
        <w:overflowPunct/>
        <w:topLinePunct w:val="0"/>
        <w:autoSpaceDE/>
        <w:autoSpaceDN/>
        <w:bidi w:val="0"/>
        <w:snapToGrid w:val="0"/>
        <w:spacing w:line="520" w:lineRule="exact"/>
        <w:ind w:left="0" w:right="0" w:rightChars="0" w:firstLine="420" w:firstLineChars="200"/>
        <w:jc w:val="left"/>
        <w:textAlignment w:val="auto"/>
        <w:outlineLvl w:val="4"/>
        <w:rPr>
          <w:rFonts w:hint="eastAsia" w:ascii="宋体" w:hAnsi="宋体" w:cs="宋体"/>
          <w:color w:val="auto"/>
          <w:szCs w:val="21"/>
          <w:highlight w:val="none"/>
        </w:rPr>
      </w:pPr>
      <w:r>
        <w:rPr>
          <w:rFonts w:hint="eastAsia" w:ascii="宋体" w:hAnsi="宋体" w:cs="宋体"/>
          <w:color w:val="auto"/>
          <w:szCs w:val="21"/>
          <w:highlight w:val="none"/>
        </w:rPr>
        <w:t>4.1本项目招标方式：见投标人须知前附表。</w:t>
      </w:r>
    </w:p>
    <w:p w14:paraId="5CA8B9A2">
      <w:pPr>
        <w:keepNext w:val="0"/>
        <w:keepLines w:val="0"/>
        <w:widowControl w:val="0"/>
        <w:kinsoku/>
        <w:wordWrap/>
        <w:overflowPunct/>
        <w:topLinePunct w:val="0"/>
        <w:autoSpaceDE/>
        <w:autoSpaceDN/>
        <w:bidi w:val="0"/>
        <w:snapToGrid w:val="0"/>
        <w:spacing w:line="520" w:lineRule="exact"/>
        <w:ind w:left="0" w:right="0" w:rightChars="0" w:firstLine="422" w:firstLineChars="200"/>
        <w:jc w:val="left"/>
        <w:textAlignment w:val="auto"/>
        <w:outlineLvl w:val="3"/>
        <w:rPr>
          <w:rFonts w:hint="eastAsia" w:ascii="宋体" w:hAnsi="宋体" w:cs="宋体"/>
          <w:b/>
          <w:color w:val="auto"/>
          <w:szCs w:val="21"/>
          <w:highlight w:val="none"/>
        </w:rPr>
      </w:pPr>
      <w:r>
        <w:rPr>
          <w:rFonts w:hint="eastAsia" w:ascii="宋体" w:hAnsi="宋体" w:cs="宋体"/>
          <w:b/>
          <w:color w:val="auto"/>
          <w:szCs w:val="21"/>
          <w:highlight w:val="none"/>
        </w:rPr>
        <w:t>5.计价方式：</w:t>
      </w:r>
    </w:p>
    <w:p w14:paraId="742417EB">
      <w:pPr>
        <w:keepNext w:val="0"/>
        <w:keepLines w:val="0"/>
        <w:widowControl w:val="0"/>
        <w:kinsoku/>
        <w:wordWrap/>
        <w:overflowPunct/>
        <w:topLinePunct w:val="0"/>
        <w:autoSpaceDE/>
        <w:autoSpaceDN/>
        <w:bidi w:val="0"/>
        <w:snapToGrid w:val="0"/>
        <w:spacing w:line="520" w:lineRule="exact"/>
        <w:ind w:left="0" w:right="0" w:rightChars="0" w:firstLine="420" w:firstLineChars="200"/>
        <w:jc w:val="left"/>
        <w:textAlignment w:val="auto"/>
        <w:outlineLvl w:val="4"/>
        <w:rPr>
          <w:rFonts w:hint="eastAsia" w:ascii="宋体" w:hAnsi="宋体" w:cs="宋体"/>
          <w:color w:val="auto"/>
          <w:szCs w:val="21"/>
          <w:highlight w:val="none"/>
        </w:rPr>
      </w:pPr>
      <w:r>
        <w:rPr>
          <w:rFonts w:hint="eastAsia" w:ascii="宋体" w:hAnsi="宋体" w:cs="宋体"/>
          <w:color w:val="auto"/>
          <w:szCs w:val="21"/>
          <w:highlight w:val="none"/>
        </w:rPr>
        <w:t>5.1本次招标项目合同采用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固定单价</w:t>
      </w:r>
      <w:r>
        <w:rPr>
          <w:rFonts w:hint="eastAsia" w:ascii="宋体" w:hAnsi="宋体" w:cs="宋体"/>
          <w:color w:val="auto"/>
          <w:szCs w:val="21"/>
          <w:highlight w:val="none"/>
          <w:u w:val="single"/>
        </w:rPr>
        <w:t xml:space="preserve"> 。</w:t>
      </w:r>
    </w:p>
    <w:p w14:paraId="59898711">
      <w:pPr>
        <w:keepNext w:val="0"/>
        <w:keepLines w:val="0"/>
        <w:widowControl w:val="0"/>
        <w:kinsoku/>
        <w:wordWrap/>
        <w:overflowPunct/>
        <w:topLinePunct w:val="0"/>
        <w:autoSpaceDE/>
        <w:autoSpaceDN/>
        <w:bidi w:val="0"/>
        <w:snapToGrid w:val="0"/>
        <w:spacing w:line="520" w:lineRule="exact"/>
        <w:ind w:left="0" w:right="0" w:rightChars="0" w:firstLine="422" w:firstLineChars="200"/>
        <w:jc w:val="left"/>
        <w:textAlignment w:val="auto"/>
        <w:outlineLvl w:val="3"/>
        <w:rPr>
          <w:rFonts w:hint="eastAsia" w:ascii="宋体" w:hAnsi="宋体" w:cs="宋体"/>
          <w:b/>
          <w:color w:val="auto"/>
          <w:szCs w:val="21"/>
          <w:highlight w:val="none"/>
        </w:rPr>
      </w:pPr>
      <w:r>
        <w:rPr>
          <w:rFonts w:hint="eastAsia" w:ascii="宋体" w:hAnsi="宋体" w:cs="宋体"/>
          <w:b/>
          <w:color w:val="auto"/>
          <w:szCs w:val="21"/>
          <w:highlight w:val="none"/>
        </w:rPr>
        <w:t>6.评标办法：</w:t>
      </w:r>
    </w:p>
    <w:p w14:paraId="526C073E">
      <w:pPr>
        <w:keepNext w:val="0"/>
        <w:keepLines w:val="0"/>
        <w:widowControl w:val="0"/>
        <w:kinsoku/>
        <w:wordWrap/>
        <w:overflowPunct/>
        <w:topLinePunct w:val="0"/>
        <w:autoSpaceDE/>
        <w:autoSpaceDN/>
        <w:bidi w:val="0"/>
        <w:snapToGrid w:val="0"/>
        <w:spacing w:line="520" w:lineRule="exact"/>
        <w:ind w:left="0" w:right="0" w:rightChars="0" w:firstLine="420" w:firstLineChars="200"/>
        <w:jc w:val="left"/>
        <w:textAlignment w:val="auto"/>
        <w:outlineLvl w:val="4"/>
        <w:rPr>
          <w:rFonts w:hint="eastAsia" w:ascii="宋体" w:hAnsi="宋体" w:cs="宋体"/>
          <w:color w:val="auto"/>
          <w:szCs w:val="21"/>
          <w:highlight w:val="none"/>
        </w:rPr>
      </w:pPr>
      <w:r>
        <w:rPr>
          <w:rFonts w:hint="eastAsia" w:ascii="宋体" w:hAnsi="宋体" w:cs="宋体"/>
          <w:color w:val="auto"/>
          <w:szCs w:val="21"/>
          <w:highlight w:val="none"/>
        </w:rPr>
        <w:t>6.1本次招标评标采用</w:t>
      </w:r>
      <w:r>
        <w:rPr>
          <w:rFonts w:hint="eastAsia" w:ascii="宋体" w:hAnsi="宋体" w:cs="宋体"/>
          <w:color w:val="auto"/>
          <w:szCs w:val="21"/>
          <w:highlight w:val="none"/>
          <w:u w:val="single"/>
        </w:rPr>
        <w:t xml:space="preserve"> </w:t>
      </w:r>
      <w:r>
        <w:rPr>
          <w:rFonts w:hint="eastAsia" w:ascii="宋体"/>
          <w:b/>
          <w:bCs/>
          <w:color w:val="auto"/>
          <w:szCs w:val="21"/>
          <w:highlight w:val="none"/>
          <w:u w:val="single"/>
          <w:lang w:val="en-US" w:eastAsia="zh-CN"/>
        </w:rPr>
        <w:t>综合评分法</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（详见第三章评标办法）</w:t>
      </w:r>
    </w:p>
    <w:p w14:paraId="5EAD2306">
      <w:pPr>
        <w:keepNext w:val="0"/>
        <w:keepLines w:val="0"/>
        <w:widowControl w:val="0"/>
        <w:kinsoku/>
        <w:wordWrap/>
        <w:overflowPunct/>
        <w:topLinePunct w:val="0"/>
        <w:autoSpaceDE/>
        <w:autoSpaceDN/>
        <w:bidi w:val="0"/>
        <w:snapToGrid w:val="0"/>
        <w:spacing w:line="520" w:lineRule="exact"/>
        <w:ind w:left="0" w:right="0" w:rightChars="0" w:firstLine="422" w:firstLineChars="200"/>
        <w:jc w:val="left"/>
        <w:textAlignment w:val="auto"/>
        <w:outlineLvl w:val="3"/>
        <w:rPr>
          <w:rFonts w:hint="eastAsia" w:ascii="宋体" w:hAnsi="宋体" w:cs="宋体"/>
          <w:b/>
          <w:color w:val="auto"/>
          <w:szCs w:val="21"/>
          <w:highlight w:val="none"/>
        </w:rPr>
      </w:pPr>
      <w:r>
        <w:rPr>
          <w:rFonts w:hint="eastAsia" w:ascii="宋体" w:hAnsi="宋体" w:cs="宋体"/>
          <w:b/>
          <w:color w:val="auto"/>
          <w:szCs w:val="21"/>
          <w:highlight w:val="none"/>
        </w:rPr>
        <w:t>7.投标人资格：</w:t>
      </w:r>
    </w:p>
    <w:p w14:paraId="6BE26A5A">
      <w:pPr>
        <w:keepNext w:val="0"/>
        <w:keepLines w:val="0"/>
        <w:widowControl w:val="0"/>
        <w:kinsoku/>
        <w:wordWrap/>
        <w:overflowPunct/>
        <w:topLinePunct w:val="0"/>
        <w:autoSpaceDE/>
        <w:autoSpaceDN/>
        <w:bidi w:val="0"/>
        <w:snapToGrid w:val="0"/>
        <w:spacing w:line="520" w:lineRule="exact"/>
        <w:ind w:left="0" w:right="0" w:rightChars="0" w:firstLine="420" w:firstLineChars="200"/>
        <w:jc w:val="left"/>
        <w:textAlignment w:val="auto"/>
        <w:outlineLvl w:val="4"/>
        <w:rPr>
          <w:rFonts w:hint="eastAsia" w:ascii="宋体" w:hAnsi="宋体" w:cs="宋体"/>
          <w:color w:val="auto"/>
          <w:szCs w:val="21"/>
          <w:highlight w:val="none"/>
        </w:rPr>
      </w:pPr>
      <w:r>
        <w:rPr>
          <w:rFonts w:hint="eastAsia" w:ascii="宋体" w:hAnsi="宋体" w:cs="宋体"/>
          <w:color w:val="auto"/>
          <w:szCs w:val="21"/>
          <w:highlight w:val="none"/>
        </w:rPr>
        <w:t>7.1</w:t>
      </w:r>
      <w:r>
        <w:rPr>
          <w:rFonts w:hint="eastAsia" w:ascii="宋体"/>
          <w:color w:val="auto"/>
          <w:szCs w:val="21"/>
          <w:highlight w:val="none"/>
        </w:rPr>
        <w:t>详见投标人须知前附表。</w:t>
      </w:r>
    </w:p>
    <w:p w14:paraId="3229B958">
      <w:pPr>
        <w:keepNext w:val="0"/>
        <w:keepLines w:val="0"/>
        <w:widowControl w:val="0"/>
        <w:kinsoku/>
        <w:wordWrap/>
        <w:overflowPunct/>
        <w:topLinePunct w:val="0"/>
        <w:autoSpaceDE/>
        <w:autoSpaceDN/>
        <w:bidi w:val="0"/>
        <w:spacing w:line="520" w:lineRule="exact"/>
        <w:ind w:left="0" w:right="0" w:rightChars="0" w:firstLine="422" w:firstLineChars="200"/>
        <w:jc w:val="left"/>
        <w:textAlignment w:val="auto"/>
        <w:outlineLvl w:val="3"/>
        <w:rPr>
          <w:rFonts w:hint="eastAsia" w:ascii="宋体" w:hAnsi="宋体" w:cs="宋体"/>
          <w:b/>
          <w:color w:val="auto"/>
          <w:szCs w:val="21"/>
          <w:highlight w:val="none"/>
        </w:rPr>
      </w:pPr>
      <w:r>
        <w:rPr>
          <w:rFonts w:hint="eastAsia" w:ascii="宋体" w:hAnsi="宋体" w:cs="宋体"/>
          <w:b/>
          <w:color w:val="auto"/>
          <w:szCs w:val="21"/>
          <w:highlight w:val="none"/>
        </w:rPr>
        <w:t>8. 投标费用</w:t>
      </w:r>
    </w:p>
    <w:p w14:paraId="415BA09F">
      <w:pPr>
        <w:keepNext w:val="0"/>
        <w:keepLines w:val="0"/>
        <w:widowControl w:val="0"/>
        <w:kinsoku/>
        <w:wordWrap/>
        <w:overflowPunct/>
        <w:topLinePunct w:val="0"/>
        <w:autoSpaceDE/>
        <w:autoSpaceDN/>
        <w:bidi w:val="0"/>
        <w:snapToGrid w:val="0"/>
        <w:spacing w:line="520" w:lineRule="exact"/>
        <w:ind w:left="0" w:right="0" w:rightChars="0" w:firstLine="420" w:firstLineChars="200"/>
        <w:jc w:val="left"/>
        <w:textAlignment w:val="auto"/>
        <w:outlineLvl w:val="4"/>
        <w:rPr>
          <w:rFonts w:hint="eastAsia" w:ascii="宋体" w:hAnsi="宋体" w:cs="宋体"/>
          <w:color w:val="auto"/>
          <w:szCs w:val="21"/>
          <w:highlight w:val="none"/>
        </w:rPr>
      </w:pPr>
      <w:r>
        <w:rPr>
          <w:rFonts w:hint="eastAsia" w:ascii="宋体" w:hAnsi="宋体" w:cs="宋体"/>
          <w:color w:val="auto"/>
          <w:szCs w:val="21"/>
          <w:highlight w:val="none"/>
        </w:rPr>
        <w:t>8.1投标人准备和参加投标活动发生费用的自理。</w:t>
      </w:r>
    </w:p>
    <w:p w14:paraId="6381C1A8">
      <w:pPr>
        <w:keepNext w:val="0"/>
        <w:keepLines w:val="0"/>
        <w:widowControl w:val="0"/>
        <w:kinsoku/>
        <w:wordWrap/>
        <w:overflowPunct/>
        <w:topLinePunct w:val="0"/>
        <w:autoSpaceDE/>
        <w:autoSpaceDN/>
        <w:bidi w:val="0"/>
        <w:spacing w:line="520" w:lineRule="exact"/>
        <w:ind w:left="0" w:right="0" w:rightChars="0" w:firstLine="422" w:firstLineChars="200"/>
        <w:jc w:val="left"/>
        <w:textAlignment w:val="auto"/>
        <w:outlineLvl w:val="3"/>
        <w:rPr>
          <w:rFonts w:hint="eastAsia" w:ascii="宋体" w:hAnsi="宋体" w:cs="宋体"/>
          <w:b/>
          <w:color w:val="auto"/>
          <w:szCs w:val="21"/>
          <w:highlight w:val="none"/>
        </w:rPr>
      </w:pPr>
      <w:r>
        <w:rPr>
          <w:rFonts w:hint="eastAsia" w:ascii="宋体" w:hAnsi="宋体" w:cs="宋体"/>
          <w:b/>
          <w:color w:val="auto"/>
          <w:szCs w:val="21"/>
          <w:highlight w:val="none"/>
        </w:rPr>
        <w:t>9.</w:t>
      </w:r>
      <w:bookmarkStart w:id="34" w:name="_Toc152042315"/>
      <w:bookmarkStart w:id="35" w:name="_Toc296602429"/>
      <w:bookmarkStart w:id="36" w:name="_Toc152045539"/>
      <w:bookmarkStart w:id="37" w:name="_Toc247513962"/>
      <w:bookmarkStart w:id="38" w:name="_Toc247527563"/>
      <w:bookmarkStart w:id="39" w:name="_Toc247592876"/>
      <w:bookmarkStart w:id="40" w:name="_Toc144974507"/>
      <w:r>
        <w:rPr>
          <w:rFonts w:hint="eastAsia" w:ascii="宋体" w:hAnsi="宋体" w:cs="宋体"/>
          <w:b/>
          <w:color w:val="auto"/>
          <w:szCs w:val="21"/>
          <w:highlight w:val="none"/>
        </w:rPr>
        <w:t xml:space="preserve"> 踏勘现场</w:t>
      </w:r>
      <w:bookmarkEnd w:id="34"/>
      <w:bookmarkEnd w:id="35"/>
      <w:bookmarkEnd w:id="36"/>
      <w:bookmarkEnd w:id="37"/>
      <w:bookmarkEnd w:id="38"/>
      <w:bookmarkEnd w:id="39"/>
      <w:bookmarkEnd w:id="40"/>
    </w:p>
    <w:p w14:paraId="51C99CB2">
      <w:pPr>
        <w:spacing w:line="440" w:lineRule="exact"/>
        <w:ind w:firstLine="409" w:firstLineChars="195"/>
        <w:rPr>
          <w:rFonts w:hint="eastAsia" w:ascii="宋体"/>
          <w:color w:val="auto"/>
          <w:szCs w:val="21"/>
          <w:highlight w:val="none"/>
        </w:rPr>
      </w:pPr>
      <w:bookmarkStart w:id="41" w:name="_Toc144974508"/>
      <w:bookmarkStart w:id="42" w:name="_Toc247527564"/>
      <w:bookmarkStart w:id="43" w:name="_Toc152045540"/>
      <w:bookmarkStart w:id="44" w:name="_Toc296602430"/>
      <w:bookmarkStart w:id="45" w:name="_Toc247592877"/>
      <w:bookmarkStart w:id="46" w:name="_Toc152042316"/>
      <w:bookmarkStart w:id="47" w:name="_Toc247513963"/>
      <w:r>
        <w:rPr>
          <w:rFonts w:hint="eastAsia" w:ascii="宋体"/>
          <w:color w:val="auto"/>
          <w:szCs w:val="21"/>
          <w:highlight w:val="none"/>
        </w:rPr>
        <w:t xml:space="preserve">9.1 投标人须知前附表规定组织踏勘现场的，招标人按投标人须知前附表规定的时间、地点组织投标人踏勘项目现场。 </w:t>
      </w:r>
    </w:p>
    <w:p w14:paraId="07EA6D32">
      <w:pPr>
        <w:spacing w:line="440" w:lineRule="exact"/>
        <w:ind w:firstLine="409" w:firstLineChars="195"/>
        <w:outlineLvl w:val="4"/>
        <w:rPr>
          <w:rFonts w:hint="eastAsia" w:ascii="宋体"/>
          <w:color w:val="auto"/>
          <w:szCs w:val="21"/>
          <w:highlight w:val="none"/>
        </w:rPr>
      </w:pPr>
      <w:r>
        <w:rPr>
          <w:rFonts w:hint="eastAsia" w:ascii="宋体"/>
          <w:color w:val="auto"/>
          <w:szCs w:val="21"/>
          <w:highlight w:val="none"/>
        </w:rPr>
        <w:t>9.2 投标人踏勘现场发生的费用自理。</w:t>
      </w:r>
    </w:p>
    <w:p w14:paraId="585FB609">
      <w:pPr>
        <w:spacing w:line="440" w:lineRule="exact"/>
        <w:ind w:firstLine="409" w:firstLineChars="195"/>
        <w:rPr>
          <w:rFonts w:hint="eastAsia" w:ascii="宋体"/>
          <w:color w:val="auto"/>
          <w:szCs w:val="21"/>
          <w:highlight w:val="none"/>
        </w:rPr>
      </w:pPr>
      <w:r>
        <w:rPr>
          <w:rFonts w:hint="eastAsia" w:ascii="宋体"/>
          <w:color w:val="auto"/>
          <w:szCs w:val="21"/>
          <w:highlight w:val="none"/>
        </w:rPr>
        <w:t>9.3 除招标人的原因外，投标人自行负责在踏勘现场中所发生的人员伤亡和财产损失。</w:t>
      </w:r>
    </w:p>
    <w:p w14:paraId="071E463D">
      <w:pPr>
        <w:spacing w:line="440" w:lineRule="exact"/>
        <w:ind w:firstLine="409" w:firstLineChars="195"/>
        <w:rPr>
          <w:rFonts w:hint="eastAsia" w:ascii="宋体"/>
          <w:color w:val="auto"/>
          <w:szCs w:val="21"/>
          <w:highlight w:val="none"/>
        </w:rPr>
      </w:pPr>
      <w:r>
        <w:rPr>
          <w:rFonts w:hint="eastAsia" w:ascii="宋体"/>
          <w:color w:val="auto"/>
          <w:szCs w:val="21"/>
          <w:highlight w:val="none"/>
        </w:rPr>
        <w:t>9.4 招标人在踏勘现场中介绍的场地和相关的周边环境情况，供投标人在编制投标文件时参考，招标人不对投标人据此作出的判断和决策负责。</w:t>
      </w:r>
    </w:p>
    <w:p w14:paraId="321E3E5C">
      <w:pPr>
        <w:spacing w:line="440" w:lineRule="exact"/>
        <w:ind w:firstLine="409" w:firstLineChars="195"/>
        <w:rPr>
          <w:rFonts w:hint="eastAsia" w:ascii="宋体"/>
          <w:color w:val="auto"/>
          <w:szCs w:val="21"/>
          <w:highlight w:val="none"/>
        </w:rPr>
      </w:pPr>
      <w:r>
        <w:rPr>
          <w:rFonts w:hint="eastAsia" w:ascii="宋体"/>
          <w:color w:val="auto"/>
          <w:szCs w:val="21"/>
          <w:highlight w:val="none"/>
        </w:rPr>
        <w:t>9.5无论投标人是否到现场实地踏勘，中标后签订合同时和履约过程中，投标人不得以不完全了解现场情况或现场情况与招标文件描述不一致等为由，提出任何形式的增加</w:t>
      </w:r>
      <w:r>
        <w:rPr>
          <w:rFonts w:hint="eastAsia" w:ascii="宋体"/>
          <w:color w:val="auto"/>
          <w:szCs w:val="21"/>
          <w:highlight w:val="none"/>
          <w:lang w:val="en-US" w:eastAsia="zh-CN"/>
        </w:rPr>
        <w:t>合同价</w:t>
      </w:r>
      <w:r>
        <w:rPr>
          <w:rFonts w:hint="eastAsia" w:ascii="宋体"/>
          <w:color w:val="auto"/>
          <w:szCs w:val="21"/>
          <w:highlight w:val="none"/>
        </w:rPr>
        <w:t>或索赔的要求。</w:t>
      </w:r>
    </w:p>
    <w:p w14:paraId="488ED471">
      <w:pPr>
        <w:keepNext w:val="0"/>
        <w:keepLines w:val="0"/>
        <w:widowControl w:val="0"/>
        <w:kinsoku/>
        <w:wordWrap/>
        <w:overflowPunct/>
        <w:topLinePunct w:val="0"/>
        <w:autoSpaceDE/>
        <w:autoSpaceDN/>
        <w:bidi w:val="0"/>
        <w:spacing w:line="520" w:lineRule="exact"/>
        <w:ind w:left="0" w:right="0" w:rightChars="0" w:firstLine="422" w:firstLineChars="200"/>
        <w:jc w:val="left"/>
        <w:textAlignment w:val="auto"/>
        <w:outlineLvl w:val="3"/>
        <w:rPr>
          <w:rFonts w:hint="eastAsia" w:ascii="宋体" w:hAnsi="宋体" w:cs="宋体"/>
          <w:b/>
          <w:color w:val="auto"/>
          <w:szCs w:val="21"/>
          <w:highlight w:val="none"/>
        </w:rPr>
      </w:pPr>
      <w:r>
        <w:rPr>
          <w:rFonts w:hint="eastAsia" w:ascii="宋体" w:hAnsi="宋体" w:cs="宋体"/>
          <w:b/>
          <w:color w:val="auto"/>
          <w:szCs w:val="21"/>
          <w:highlight w:val="none"/>
        </w:rPr>
        <w:t>10. 投标预备会</w:t>
      </w:r>
      <w:bookmarkEnd w:id="41"/>
      <w:bookmarkEnd w:id="42"/>
      <w:bookmarkEnd w:id="43"/>
      <w:bookmarkEnd w:id="44"/>
      <w:bookmarkEnd w:id="45"/>
      <w:bookmarkEnd w:id="46"/>
      <w:bookmarkEnd w:id="47"/>
      <w:r>
        <w:rPr>
          <w:rFonts w:hint="eastAsia" w:ascii="宋体" w:hAnsi="宋体" w:cs="宋体"/>
          <w:b/>
          <w:color w:val="auto"/>
          <w:szCs w:val="21"/>
          <w:highlight w:val="none"/>
        </w:rPr>
        <w:t>（本项目不采用）</w:t>
      </w:r>
    </w:p>
    <w:p w14:paraId="1E52D0E3">
      <w:pPr>
        <w:spacing w:line="440" w:lineRule="exact"/>
        <w:ind w:firstLine="420" w:firstLineChars="200"/>
        <w:rPr>
          <w:rFonts w:hint="eastAsia" w:ascii="宋体"/>
          <w:color w:val="auto"/>
          <w:szCs w:val="21"/>
          <w:highlight w:val="none"/>
        </w:rPr>
      </w:pPr>
      <w:r>
        <w:rPr>
          <w:rFonts w:hint="eastAsia" w:ascii="宋体"/>
          <w:color w:val="auto"/>
          <w:szCs w:val="21"/>
          <w:highlight w:val="none"/>
        </w:rPr>
        <w:t>10.1投标人须知前附表规定召开投标预备会的，招标人按投标人须知前附表规定的时间和地点召开投标预备会，澄清投标人提出的问题。</w:t>
      </w:r>
    </w:p>
    <w:p w14:paraId="2429F51E">
      <w:pPr>
        <w:keepNext w:val="0"/>
        <w:keepLines w:val="0"/>
        <w:widowControl w:val="0"/>
        <w:kinsoku/>
        <w:wordWrap/>
        <w:overflowPunct/>
        <w:topLinePunct w:val="0"/>
        <w:autoSpaceDE/>
        <w:autoSpaceDN/>
        <w:bidi w:val="0"/>
        <w:spacing w:line="520" w:lineRule="exact"/>
        <w:ind w:left="0" w:right="0" w:rightChars="0" w:firstLine="422" w:firstLineChars="200"/>
        <w:jc w:val="left"/>
        <w:textAlignment w:val="auto"/>
        <w:outlineLvl w:val="3"/>
        <w:rPr>
          <w:rFonts w:hint="eastAsia" w:ascii="宋体" w:hAnsi="宋体" w:cs="宋体"/>
          <w:b/>
          <w:color w:val="auto"/>
          <w:szCs w:val="21"/>
          <w:highlight w:val="none"/>
        </w:rPr>
      </w:pPr>
      <w:r>
        <w:rPr>
          <w:rFonts w:hint="eastAsia" w:ascii="宋体" w:hAnsi="宋体" w:cs="宋体"/>
          <w:b/>
          <w:color w:val="auto"/>
          <w:szCs w:val="21"/>
          <w:highlight w:val="none"/>
        </w:rPr>
        <w:t>11. 联合投标</w:t>
      </w:r>
    </w:p>
    <w:p w14:paraId="2B69FA50">
      <w:pPr>
        <w:pStyle w:val="3"/>
        <w:spacing w:after="0" w:line="400" w:lineRule="exact"/>
        <w:ind w:left="0" w:leftChars="0" w:firstLine="424" w:firstLineChars="202"/>
        <w:outlineLvl w:val="4"/>
        <w:rPr>
          <w:rFonts w:hint="eastAsia"/>
          <w:bCs/>
          <w:color w:val="auto"/>
          <w:szCs w:val="21"/>
          <w:highlight w:val="none"/>
        </w:rPr>
      </w:pPr>
      <w:r>
        <w:rPr>
          <w:rFonts w:hint="eastAsia" w:ascii="宋体"/>
          <w:bCs/>
          <w:color w:val="auto"/>
          <w:szCs w:val="21"/>
          <w:highlight w:val="none"/>
        </w:rPr>
        <w:t>11.1本项</w:t>
      </w:r>
      <w:r>
        <w:rPr>
          <w:rFonts w:hint="eastAsia"/>
          <w:bCs/>
          <w:color w:val="auto"/>
          <w:szCs w:val="21"/>
          <w:highlight w:val="none"/>
        </w:rPr>
        <w:t xml:space="preserve">目不接受联合体投标。 </w:t>
      </w:r>
    </w:p>
    <w:p w14:paraId="7157FD07">
      <w:pPr>
        <w:spacing w:line="440" w:lineRule="exact"/>
        <w:ind w:firstLine="413" w:firstLineChars="196"/>
        <w:jc w:val="left"/>
        <w:outlineLvl w:val="3"/>
        <w:rPr>
          <w:rFonts w:hint="eastAsia" w:ascii="宋体"/>
          <w:b/>
          <w:color w:val="auto"/>
          <w:szCs w:val="21"/>
          <w:highlight w:val="none"/>
        </w:rPr>
      </w:pPr>
      <w:r>
        <w:rPr>
          <w:rFonts w:hint="eastAsia" w:ascii="宋体"/>
          <w:b/>
          <w:color w:val="auto"/>
          <w:szCs w:val="21"/>
          <w:highlight w:val="none"/>
        </w:rPr>
        <w:t>12.招标代理服务费和专家评审劳务费</w:t>
      </w:r>
    </w:p>
    <w:p w14:paraId="5914372D">
      <w:pPr>
        <w:spacing w:line="440" w:lineRule="exact"/>
        <w:ind w:firstLine="420" w:firstLineChars="200"/>
        <w:rPr>
          <w:rFonts w:hint="eastAsia" w:ascii="宋体"/>
          <w:color w:val="auto"/>
          <w:szCs w:val="21"/>
          <w:highlight w:val="none"/>
        </w:rPr>
      </w:pPr>
      <w:r>
        <w:rPr>
          <w:rFonts w:hint="eastAsia" w:ascii="宋体"/>
          <w:color w:val="auto"/>
          <w:szCs w:val="21"/>
          <w:highlight w:val="none"/>
        </w:rPr>
        <w:t>12.1 本项目的招标代理服务费详见投标人须知前附表。</w:t>
      </w:r>
    </w:p>
    <w:p w14:paraId="7E27BB00">
      <w:pPr>
        <w:spacing w:line="440" w:lineRule="exact"/>
        <w:ind w:firstLine="420" w:firstLineChars="200"/>
        <w:rPr>
          <w:rFonts w:hint="eastAsia" w:ascii="宋体"/>
          <w:color w:val="auto"/>
          <w:szCs w:val="21"/>
          <w:highlight w:val="none"/>
        </w:rPr>
      </w:pPr>
      <w:r>
        <w:rPr>
          <w:rFonts w:hint="eastAsia" w:ascii="宋体"/>
          <w:color w:val="auto"/>
          <w:szCs w:val="21"/>
          <w:highlight w:val="none"/>
        </w:rPr>
        <w:t>12.2本项目的专家评审劳务费详见投标人须知前附表。</w:t>
      </w:r>
    </w:p>
    <w:p w14:paraId="2C12BBC3">
      <w:pPr>
        <w:keepNext w:val="0"/>
        <w:keepLines w:val="0"/>
        <w:widowControl w:val="0"/>
        <w:kinsoku/>
        <w:wordWrap/>
        <w:overflowPunct/>
        <w:topLinePunct w:val="0"/>
        <w:autoSpaceDE/>
        <w:autoSpaceDN/>
        <w:bidi w:val="0"/>
        <w:spacing w:line="520" w:lineRule="exact"/>
        <w:ind w:left="0" w:right="0" w:rightChars="0" w:firstLine="422" w:firstLineChars="200"/>
        <w:jc w:val="left"/>
        <w:textAlignment w:val="auto"/>
        <w:outlineLvl w:val="3"/>
        <w:rPr>
          <w:rFonts w:hint="eastAsia" w:ascii="宋体" w:hAnsi="宋体" w:cs="宋体"/>
          <w:b/>
          <w:color w:val="auto"/>
          <w:szCs w:val="21"/>
          <w:highlight w:val="none"/>
        </w:rPr>
      </w:pPr>
      <w:r>
        <w:rPr>
          <w:rFonts w:hint="eastAsia" w:ascii="宋体" w:hAnsi="宋体" w:cs="宋体"/>
          <w:b/>
          <w:color w:val="auto"/>
          <w:szCs w:val="21"/>
          <w:highlight w:val="none"/>
        </w:rPr>
        <w:t>13.投标人应注意的事项</w:t>
      </w:r>
    </w:p>
    <w:p w14:paraId="59DDAAA0">
      <w:pPr>
        <w:spacing w:line="360" w:lineRule="auto"/>
        <w:ind w:firstLine="420" w:firstLineChars="200"/>
        <w:rPr>
          <w:rFonts w:hint="eastAsia" w:ascii="宋体"/>
          <w:color w:val="auto"/>
          <w:szCs w:val="21"/>
          <w:highlight w:val="none"/>
        </w:rPr>
      </w:pPr>
      <w:r>
        <w:rPr>
          <w:rFonts w:hint="eastAsia" w:ascii="宋体"/>
          <w:color w:val="auto"/>
          <w:szCs w:val="21"/>
          <w:highlight w:val="none"/>
        </w:rPr>
        <w:t>13.1投标人一旦按规定参加投标，即被认为接受了本招标文件中的所有条件和规定。投标人必须严格按招标文件的要求编制投标文件，以便评委审核。否则，由此产生的一切后果由投标人承担。</w:t>
      </w:r>
    </w:p>
    <w:p w14:paraId="38F1CC34">
      <w:pPr>
        <w:spacing w:line="360" w:lineRule="auto"/>
        <w:ind w:firstLine="420" w:firstLineChars="200"/>
        <w:rPr>
          <w:rFonts w:hint="eastAsia" w:ascii="宋体"/>
          <w:color w:val="auto"/>
          <w:szCs w:val="21"/>
          <w:highlight w:val="none"/>
        </w:rPr>
      </w:pPr>
      <w:r>
        <w:rPr>
          <w:rFonts w:hint="eastAsia" w:ascii="宋体"/>
          <w:color w:val="auto"/>
          <w:szCs w:val="21"/>
          <w:highlight w:val="none"/>
        </w:rPr>
        <w:t>13.2投标人对采购内容中规定的</w:t>
      </w:r>
      <w:r>
        <w:rPr>
          <w:rFonts w:hint="eastAsia" w:ascii="宋体"/>
          <w:color w:val="auto"/>
          <w:szCs w:val="21"/>
          <w:highlight w:val="none"/>
          <w:lang w:eastAsia="zh-CN"/>
        </w:rPr>
        <w:t>采购需求及服务要求</w:t>
      </w:r>
      <w:r>
        <w:rPr>
          <w:rFonts w:hint="eastAsia" w:ascii="宋体"/>
          <w:color w:val="auto"/>
          <w:szCs w:val="21"/>
          <w:highlight w:val="none"/>
        </w:rPr>
        <w:t>等必须满足招标文件的相关要求。</w:t>
      </w:r>
    </w:p>
    <w:p w14:paraId="7B304D94">
      <w:pPr>
        <w:spacing w:line="440" w:lineRule="exact"/>
        <w:ind w:firstLine="411" w:firstLineChars="196"/>
        <w:rPr>
          <w:rFonts w:ascii="宋体"/>
          <w:bCs/>
          <w:color w:val="auto"/>
          <w:szCs w:val="21"/>
          <w:highlight w:val="none"/>
        </w:rPr>
      </w:pPr>
      <w:r>
        <w:rPr>
          <w:rFonts w:hint="eastAsia" w:ascii="宋体"/>
          <w:bCs/>
          <w:color w:val="auto"/>
          <w:szCs w:val="21"/>
          <w:highlight w:val="none"/>
        </w:rPr>
        <w:t>13.3 所有投标人的投标保证金都应在招标文件规定的投标保证金缴纳截止日期前缴纳，银行转账形式的以资金到账时间为准。</w:t>
      </w:r>
    </w:p>
    <w:p w14:paraId="3176867E">
      <w:pPr>
        <w:keepNext w:val="0"/>
        <w:keepLines w:val="0"/>
        <w:widowControl w:val="0"/>
        <w:kinsoku/>
        <w:wordWrap/>
        <w:overflowPunct/>
        <w:topLinePunct w:val="0"/>
        <w:autoSpaceDE/>
        <w:autoSpaceDN/>
        <w:bidi w:val="0"/>
        <w:spacing w:line="520" w:lineRule="exact"/>
        <w:ind w:left="0" w:right="0" w:righ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13.</w:t>
      </w:r>
      <w:r>
        <w:rPr>
          <w:rFonts w:hint="eastAsia" w:ascii="宋体" w:hAnsi="宋体" w:cs="宋体"/>
          <w:color w:val="auto"/>
          <w:szCs w:val="21"/>
          <w:highlight w:val="none"/>
          <w:lang w:val="en-US" w:eastAsia="zh-CN"/>
        </w:rPr>
        <w:t>4</w:t>
      </w:r>
      <w:r>
        <w:rPr>
          <w:rFonts w:hint="eastAsia" w:ascii="宋体" w:hAnsi="宋体" w:cs="宋体"/>
          <w:bCs/>
          <w:color w:val="auto"/>
          <w:szCs w:val="21"/>
          <w:highlight w:val="none"/>
        </w:rPr>
        <w:t>单位负责人为同一人或者存在直接控股、管理关系的</w:t>
      </w:r>
      <w:r>
        <w:rPr>
          <w:rFonts w:hint="eastAsia" w:ascii="宋体" w:hAnsi="宋体" w:eastAsia="宋体" w:cs="宋体"/>
          <w:bCs/>
          <w:color w:val="auto"/>
          <w:szCs w:val="21"/>
          <w:highlight w:val="none"/>
        </w:rPr>
        <w:t>不同投标人</w:t>
      </w:r>
      <w:r>
        <w:rPr>
          <w:rFonts w:hint="eastAsia" w:ascii="宋体" w:hAnsi="宋体" w:eastAsia="宋体" w:cs="宋体"/>
          <w:bCs/>
          <w:color w:val="auto"/>
          <w:szCs w:val="21"/>
          <w:highlight w:val="none"/>
          <w:lang w:val="en-US" w:eastAsia="zh-CN"/>
        </w:rPr>
        <w:t>（包含法定代表人为同一个人的两个及两个以上法人，母公司、全资子公司及其控股公司）</w:t>
      </w:r>
      <w:r>
        <w:rPr>
          <w:rFonts w:hint="eastAsia" w:ascii="宋体" w:hAnsi="宋体" w:cs="宋体"/>
          <w:bCs/>
          <w:color w:val="auto"/>
          <w:szCs w:val="21"/>
          <w:highlight w:val="none"/>
        </w:rPr>
        <w:t>，不得参加同一合同项下的采购活动。</w:t>
      </w:r>
      <w:r>
        <w:rPr>
          <w:rFonts w:hint="eastAsia" w:ascii="宋体" w:hAnsi="宋体" w:cs="宋体"/>
          <w:color w:val="auto"/>
          <w:szCs w:val="21"/>
          <w:highlight w:val="none"/>
        </w:rPr>
        <w:t>为采购项目提供整体设计、规范编制或者项目管理、监理、检测等服务的投标人，不得再参加该采购项目的其他采购活动。</w:t>
      </w:r>
    </w:p>
    <w:p w14:paraId="7F47966D">
      <w:pPr>
        <w:spacing w:line="400" w:lineRule="exact"/>
        <w:ind w:firstLine="417" w:firstLineChars="199"/>
        <w:jc w:val="left"/>
        <w:rPr>
          <w:rFonts w:hint="eastAsia" w:ascii="宋体"/>
          <w:color w:val="auto"/>
          <w:szCs w:val="21"/>
          <w:highlight w:val="none"/>
        </w:rPr>
      </w:pPr>
      <w:r>
        <w:rPr>
          <w:rFonts w:hint="eastAsia" w:ascii="宋体"/>
          <w:color w:val="auto"/>
          <w:szCs w:val="21"/>
          <w:highlight w:val="none"/>
        </w:rPr>
        <w:t>13.5投标人被视为充分熟悉本招标项目所在地的与履行合同有关的各种情况，包括但不限于：</w:t>
      </w:r>
    </w:p>
    <w:p w14:paraId="5CB60E44">
      <w:pPr>
        <w:spacing w:line="400" w:lineRule="exact"/>
        <w:ind w:firstLine="315" w:firstLineChars="150"/>
        <w:rPr>
          <w:rFonts w:hint="eastAsia" w:ascii="宋体"/>
          <w:color w:val="auto"/>
          <w:szCs w:val="21"/>
          <w:highlight w:val="none"/>
        </w:rPr>
      </w:pPr>
      <w:r>
        <w:rPr>
          <w:rFonts w:hint="eastAsia" w:ascii="宋体"/>
          <w:color w:val="auto"/>
          <w:szCs w:val="21"/>
          <w:highlight w:val="none"/>
        </w:rPr>
        <w:t>（1）国家对本次投标货物和服务的生产、安装调试、验收、维修等有关法律、法规及行业管理标准；</w:t>
      </w:r>
    </w:p>
    <w:p w14:paraId="25A24885">
      <w:pPr>
        <w:spacing w:line="400" w:lineRule="exact"/>
        <w:ind w:firstLine="315" w:firstLineChars="150"/>
        <w:outlineLvl w:val="4"/>
        <w:rPr>
          <w:rFonts w:hint="eastAsia" w:ascii="宋体"/>
          <w:color w:val="auto"/>
          <w:szCs w:val="21"/>
          <w:highlight w:val="none"/>
        </w:rPr>
      </w:pPr>
      <w:r>
        <w:rPr>
          <w:rFonts w:hint="eastAsia" w:ascii="宋体"/>
          <w:color w:val="auto"/>
          <w:szCs w:val="21"/>
          <w:highlight w:val="none"/>
        </w:rPr>
        <w:t>（2）安徽省及滁州市等有关管理部门的相关规定；</w:t>
      </w:r>
    </w:p>
    <w:p w14:paraId="655D8710">
      <w:pPr>
        <w:spacing w:line="400" w:lineRule="exact"/>
        <w:ind w:firstLine="315" w:firstLineChars="150"/>
        <w:rPr>
          <w:rFonts w:hint="eastAsia" w:ascii="宋体"/>
          <w:color w:val="auto"/>
          <w:szCs w:val="21"/>
          <w:highlight w:val="none"/>
        </w:rPr>
      </w:pPr>
      <w:r>
        <w:rPr>
          <w:rFonts w:hint="eastAsia" w:ascii="宋体"/>
          <w:color w:val="auto"/>
          <w:szCs w:val="21"/>
          <w:highlight w:val="none"/>
        </w:rPr>
        <w:t>（3）招标人的相关场地情况、基础建设、电力供应情况及相关设计标准。</w:t>
      </w:r>
    </w:p>
    <w:p w14:paraId="42DB41A3">
      <w:pPr>
        <w:spacing w:line="400" w:lineRule="exact"/>
        <w:ind w:firstLine="315" w:firstLineChars="150"/>
        <w:rPr>
          <w:rFonts w:ascii="宋体"/>
          <w:color w:val="auto"/>
          <w:szCs w:val="21"/>
          <w:highlight w:val="none"/>
        </w:rPr>
      </w:pPr>
      <w:r>
        <w:rPr>
          <w:rFonts w:hint="eastAsia" w:ascii="宋体"/>
          <w:color w:val="auto"/>
          <w:szCs w:val="21"/>
          <w:highlight w:val="none"/>
        </w:rPr>
        <w:t>本招标文件不再对上述情况进行描述。</w:t>
      </w:r>
    </w:p>
    <w:p w14:paraId="14EDD162">
      <w:pPr>
        <w:spacing w:line="400" w:lineRule="exact"/>
        <w:ind w:firstLine="420" w:firstLineChars="200"/>
        <w:rPr>
          <w:rFonts w:hint="eastAsia" w:ascii="宋体"/>
          <w:color w:val="auto"/>
          <w:szCs w:val="21"/>
          <w:highlight w:val="none"/>
        </w:rPr>
      </w:pPr>
      <w:r>
        <w:rPr>
          <w:rFonts w:hint="eastAsia" w:ascii="宋体"/>
          <w:color w:val="auto"/>
          <w:szCs w:val="21"/>
          <w:highlight w:val="none"/>
        </w:rPr>
        <w:t>13.6 凡投标人在我市公共资源交易活动中出现违法违规、破坏市场秩序等不良行为且被监管部门处罚的，一律在滁州市公共资源交易网等相关网站曝光。</w:t>
      </w:r>
    </w:p>
    <w:p w14:paraId="1F89E23E">
      <w:pPr>
        <w:keepNext w:val="0"/>
        <w:keepLines w:val="0"/>
        <w:widowControl w:val="0"/>
        <w:kinsoku/>
        <w:wordWrap/>
        <w:overflowPunct/>
        <w:topLinePunct w:val="0"/>
        <w:autoSpaceDE/>
        <w:autoSpaceDN/>
        <w:bidi w:val="0"/>
        <w:spacing w:line="520" w:lineRule="exact"/>
        <w:ind w:left="0" w:right="0" w:rightChars="0" w:firstLine="420" w:firstLineChars="200"/>
        <w:jc w:val="left"/>
        <w:textAlignment w:val="auto"/>
        <w:rPr>
          <w:rFonts w:hint="eastAsia" w:ascii="宋体"/>
          <w:color w:val="auto"/>
          <w:szCs w:val="21"/>
          <w:highlight w:val="none"/>
        </w:rPr>
      </w:pPr>
      <w:r>
        <w:rPr>
          <w:rFonts w:hint="eastAsia" w:ascii="宋体"/>
          <w:color w:val="auto"/>
          <w:szCs w:val="21"/>
          <w:highlight w:val="none"/>
        </w:rPr>
        <w:t>13.7 投标人的不良行为、失信行为及行政处罚等效力不因企业名称的变更而改变。</w:t>
      </w:r>
    </w:p>
    <w:p w14:paraId="3E4D9409">
      <w:pPr>
        <w:keepNext w:val="0"/>
        <w:keepLines w:val="0"/>
        <w:widowControl w:val="0"/>
        <w:kinsoku/>
        <w:wordWrap/>
        <w:overflowPunct/>
        <w:topLinePunct w:val="0"/>
        <w:autoSpaceDE/>
        <w:autoSpaceDN/>
        <w:bidi w:val="0"/>
        <w:spacing w:line="520" w:lineRule="exact"/>
        <w:ind w:left="0" w:right="0" w:rightChars="0" w:firstLine="422" w:firstLineChars="200"/>
        <w:jc w:val="left"/>
        <w:textAlignment w:val="auto"/>
        <w:outlineLvl w:val="3"/>
        <w:rPr>
          <w:rFonts w:hint="eastAsia" w:ascii="宋体" w:hAnsi="宋体" w:cs="宋体"/>
          <w:b/>
          <w:color w:val="auto"/>
          <w:szCs w:val="21"/>
          <w:highlight w:val="none"/>
        </w:rPr>
      </w:pPr>
      <w:r>
        <w:rPr>
          <w:rFonts w:hint="eastAsia" w:ascii="宋体" w:hAnsi="宋体" w:cs="宋体"/>
          <w:b/>
          <w:color w:val="auto"/>
          <w:szCs w:val="21"/>
          <w:highlight w:val="none"/>
        </w:rPr>
        <w:t>14.保密</w:t>
      </w:r>
    </w:p>
    <w:p w14:paraId="51BADE8E">
      <w:pPr>
        <w:pStyle w:val="2"/>
        <w:keepNext w:val="0"/>
        <w:keepLines w:val="0"/>
        <w:widowControl w:val="0"/>
        <w:kinsoku/>
        <w:wordWrap/>
        <w:overflowPunct/>
        <w:topLinePunct w:val="0"/>
        <w:autoSpaceDE/>
        <w:autoSpaceDN/>
        <w:bidi w:val="0"/>
        <w:spacing w:after="0" w:afterLines="0" w:line="520" w:lineRule="exact"/>
        <w:ind w:left="0" w:leftChars="0" w:right="0" w:rightChars="0"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参与招标投标活动的各方应对招标文件和投标文件中的商业和技术等秘密保密，违者应对由此造成的后果承担法律责任。 </w:t>
      </w:r>
    </w:p>
    <w:p w14:paraId="58B48058">
      <w:pPr>
        <w:keepNext w:val="0"/>
        <w:keepLines w:val="0"/>
        <w:widowControl w:val="0"/>
        <w:kinsoku/>
        <w:wordWrap/>
        <w:overflowPunct/>
        <w:topLinePunct w:val="0"/>
        <w:autoSpaceDE/>
        <w:autoSpaceDN/>
        <w:bidi w:val="0"/>
        <w:spacing w:line="520" w:lineRule="exact"/>
        <w:ind w:left="0" w:right="0" w:rightChars="0" w:firstLine="562" w:firstLineChars="200"/>
        <w:jc w:val="center"/>
        <w:textAlignment w:val="auto"/>
        <w:outlineLvl w:val="2"/>
        <w:rPr>
          <w:rFonts w:hint="eastAsia" w:ascii="宋体" w:hAnsi="宋体" w:cs="宋体"/>
          <w:b/>
          <w:color w:val="auto"/>
          <w:sz w:val="28"/>
          <w:szCs w:val="28"/>
          <w:highlight w:val="none"/>
        </w:rPr>
      </w:pPr>
      <w:bookmarkStart w:id="48" w:name="_Toc449028868"/>
      <w:r>
        <w:rPr>
          <w:rFonts w:hint="eastAsia" w:ascii="宋体" w:hAnsi="宋体" w:cs="宋体"/>
          <w:b/>
          <w:color w:val="auto"/>
          <w:sz w:val="28"/>
          <w:szCs w:val="28"/>
          <w:highlight w:val="none"/>
        </w:rPr>
        <w:t>（二）</w:t>
      </w:r>
      <w:bookmarkEnd w:id="48"/>
      <w:r>
        <w:rPr>
          <w:rFonts w:hint="eastAsia" w:ascii="宋体" w:hAnsi="宋体" w:cs="宋体"/>
          <w:b/>
          <w:color w:val="auto"/>
          <w:sz w:val="28"/>
          <w:szCs w:val="28"/>
          <w:highlight w:val="none"/>
        </w:rPr>
        <w:t>招标文件</w:t>
      </w:r>
    </w:p>
    <w:p w14:paraId="0027A16E">
      <w:pPr>
        <w:keepNext w:val="0"/>
        <w:keepLines w:val="0"/>
        <w:widowControl w:val="0"/>
        <w:kinsoku/>
        <w:wordWrap/>
        <w:overflowPunct/>
        <w:topLinePunct w:val="0"/>
        <w:autoSpaceDE/>
        <w:autoSpaceDN/>
        <w:bidi w:val="0"/>
        <w:spacing w:line="520" w:lineRule="exact"/>
        <w:ind w:left="0" w:right="0" w:rightChars="0" w:firstLine="422" w:firstLineChars="200"/>
        <w:jc w:val="left"/>
        <w:textAlignment w:val="auto"/>
        <w:outlineLvl w:val="3"/>
        <w:rPr>
          <w:rFonts w:hint="eastAsia" w:ascii="宋体" w:hAnsi="宋体" w:cs="宋体"/>
          <w:b/>
          <w:color w:val="auto"/>
          <w:szCs w:val="21"/>
          <w:highlight w:val="none"/>
        </w:rPr>
      </w:pPr>
      <w:r>
        <w:rPr>
          <w:rFonts w:hint="eastAsia" w:ascii="宋体" w:hAnsi="宋体" w:cs="宋体"/>
          <w:b/>
          <w:color w:val="auto"/>
          <w:szCs w:val="21"/>
          <w:highlight w:val="none"/>
        </w:rPr>
        <w:t>15. 招标文件的编制依据</w:t>
      </w:r>
    </w:p>
    <w:p w14:paraId="13B0B48A">
      <w:pPr>
        <w:keepNext w:val="0"/>
        <w:keepLines w:val="0"/>
        <w:widowControl w:val="0"/>
        <w:kinsoku/>
        <w:wordWrap/>
        <w:overflowPunct/>
        <w:topLinePunct w:val="0"/>
        <w:autoSpaceDE/>
        <w:autoSpaceDN/>
        <w:bidi w:val="0"/>
        <w:spacing w:line="520" w:lineRule="exact"/>
        <w:ind w:left="0" w:right="0" w:rightChars="0" w:firstLine="420" w:firstLineChars="200"/>
        <w:textAlignment w:val="auto"/>
        <w:rPr>
          <w:rFonts w:hint="eastAsia" w:ascii="宋体"/>
          <w:color w:val="auto"/>
          <w:szCs w:val="21"/>
          <w:highlight w:val="none"/>
        </w:rPr>
      </w:pPr>
      <w:r>
        <w:rPr>
          <w:rFonts w:hint="eastAsia" w:ascii="宋体"/>
          <w:color w:val="auto"/>
          <w:szCs w:val="21"/>
          <w:highlight w:val="none"/>
        </w:rPr>
        <w:t>根据</w:t>
      </w:r>
      <w:r>
        <w:rPr>
          <w:rFonts w:hint="eastAsia"/>
          <w:color w:val="auto"/>
          <w:highlight w:val="none"/>
        </w:rPr>
        <w:t>《中华人民共和国招标投标法》、《中华人民共和国招标投标法实施条例》</w:t>
      </w:r>
      <w:r>
        <w:rPr>
          <w:rFonts w:hint="eastAsia" w:ascii="宋体"/>
          <w:color w:val="auto"/>
          <w:szCs w:val="21"/>
          <w:highlight w:val="none"/>
        </w:rPr>
        <w:t>和</w:t>
      </w:r>
      <w:r>
        <w:rPr>
          <w:rFonts w:hint="eastAsia"/>
          <w:color w:val="auto"/>
          <w:highlight w:val="none"/>
        </w:rPr>
        <w:t>《中华人民共和国民法典》</w:t>
      </w:r>
      <w:r>
        <w:rPr>
          <w:rFonts w:hint="eastAsia" w:ascii="宋体"/>
          <w:color w:val="auto"/>
          <w:spacing w:val="-2"/>
          <w:szCs w:val="21"/>
          <w:highlight w:val="none"/>
        </w:rPr>
        <w:t>等相关法律法规和规章及部、省、市级规范性文件的规定，编制本招标文件。</w:t>
      </w:r>
    </w:p>
    <w:p w14:paraId="385D3B0B">
      <w:pPr>
        <w:keepNext w:val="0"/>
        <w:keepLines w:val="0"/>
        <w:widowControl w:val="0"/>
        <w:kinsoku/>
        <w:wordWrap/>
        <w:overflowPunct/>
        <w:topLinePunct w:val="0"/>
        <w:autoSpaceDE/>
        <w:autoSpaceDN/>
        <w:bidi w:val="0"/>
        <w:spacing w:line="520" w:lineRule="exact"/>
        <w:ind w:left="0" w:right="0" w:rightChars="0" w:firstLine="422" w:firstLineChars="200"/>
        <w:jc w:val="left"/>
        <w:textAlignment w:val="auto"/>
        <w:outlineLvl w:val="3"/>
        <w:rPr>
          <w:rFonts w:hint="eastAsia" w:ascii="宋体" w:hAnsi="宋体" w:cs="宋体"/>
          <w:b/>
          <w:color w:val="auto"/>
          <w:szCs w:val="21"/>
          <w:highlight w:val="none"/>
        </w:rPr>
      </w:pPr>
      <w:r>
        <w:rPr>
          <w:rFonts w:hint="eastAsia" w:ascii="宋体" w:hAnsi="宋体" w:cs="宋体"/>
          <w:b/>
          <w:color w:val="auto"/>
          <w:szCs w:val="21"/>
          <w:highlight w:val="none"/>
        </w:rPr>
        <w:t>16. 招标文件的组成</w:t>
      </w:r>
    </w:p>
    <w:p w14:paraId="6F797A01">
      <w:pPr>
        <w:keepNext w:val="0"/>
        <w:keepLines w:val="0"/>
        <w:widowControl w:val="0"/>
        <w:kinsoku/>
        <w:wordWrap/>
        <w:overflowPunct/>
        <w:topLinePunct w:val="0"/>
        <w:autoSpaceDE/>
        <w:autoSpaceDN/>
        <w:bidi w:val="0"/>
        <w:spacing w:line="520" w:lineRule="exact"/>
        <w:ind w:left="0" w:right="0" w:rightChars="0" w:firstLine="420" w:firstLineChars="200"/>
        <w:jc w:val="left"/>
        <w:textAlignment w:val="auto"/>
        <w:outlineLvl w:val="4"/>
        <w:rPr>
          <w:rFonts w:hint="eastAsia" w:ascii="宋体" w:hAnsi="宋体" w:cs="宋体"/>
          <w:color w:val="auto"/>
          <w:szCs w:val="21"/>
          <w:highlight w:val="none"/>
        </w:rPr>
      </w:pPr>
      <w:r>
        <w:rPr>
          <w:rFonts w:hint="eastAsia" w:ascii="宋体" w:hAnsi="宋体" w:cs="宋体"/>
          <w:color w:val="auto"/>
          <w:szCs w:val="21"/>
          <w:highlight w:val="none"/>
        </w:rPr>
        <w:t>16.1 招标文件包括内容：</w:t>
      </w:r>
    </w:p>
    <w:p w14:paraId="26711374">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第一章  招标公告</w:t>
      </w:r>
    </w:p>
    <w:p w14:paraId="754F1C19">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第二章  投标人须知</w:t>
      </w:r>
    </w:p>
    <w:p w14:paraId="02C3A6DE">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第三章  资格审查办法</w:t>
      </w:r>
    </w:p>
    <w:p w14:paraId="7CEF56E3">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第四章  评标办法</w:t>
      </w:r>
    </w:p>
    <w:p w14:paraId="58CFF9DF">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eastAsia="宋体"/>
          <w:color w:val="auto"/>
          <w:szCs w:val="21"/>
          <w:highlight w:val="none"/>
          <w:lang w:eastAsia="zh-CN"/>
        </w:rPr>
      </w:pPr>
      <w:r>
        <w:rPr>
          <w:rFonts w:hint="eastAsia" w:ascii="宋体"/>
          <w:color w:val="auto"/>
          <w:szCs w:val="21"/>
          <w:highlight w:val="none"/>
        </w:rPr>
        <w:t xml:space="preserve">第五章  </w:t>
      </w:r>
      <w:r>
        <w:rPr>
          <w:rFonts w:hint="eastAsia" w:ascii="宋体" w:hAnsi="宋体" w:cs="宋体"/>
          <w:color w:val="auto"/>
          <w:szCs w:val="21"/>
          <w:highlight w:val="none"/>
          <w:lang w:eastAsia="zh-CN"/>
        </w:rPr>
        <w:t>采购需求及服务要求</w:t>
      </w:r>
    </w:p>
    <w:p w14:paraId="7A6C21F5">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第六章  合同条款及格式</w:t>
      </w:r>
    </w:p>
    <w:p w14:paraId="2800122A">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第七章  投标文件格式</w:t>
      </w:r>
    </w:p>
    <w:p w14:paraId="06F0958C">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color w:val="auto"/>
          <w:highlight w:val="none"/>
        </w:rPr>
      </w:pPr>
      <w:r>
        <w:rPr>
          <w:rFonts w:hint="eastAsia" w:ascii="宋体"/>
          <w:color w:val="auto"/>
          <w:szCs w:val="21"/>
          <w:highlight w:val="none"/>
        </w:rPr>
        <w:t>第八章  招标单位、招标代理机构对本招标文件的确认</w:t>
      </w:r>
    </w:p>
    <w:p w14:paraId="35BCF40F">
      <w:pPr>
        <w:keepNext w:val="0"/>
        <w:keepLines w:val="0"/>
        <w:widowControl w:val="0"/>
        <w:kinsoku/>
        <w:wordWrap/>
        <w:overflowPunct/>
        <w:topLinePunct w:val="0"/>
        <w:autoSpaceDE/>
        <w:autoSpaceDN/>
        <w:bidi w:val="0"/>
        <w:spacing w:line="520" w:lineRule="exact"/>
        <w:ind w:left="0" w:right="0" w:righ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16.2 除16.1款内容外，招标答疑亦为招标文件的组成部分，对招标人和投标人起约束作用。</w:t>
      </w:r>
    </w:p>
    <w:p w14:paraId="5D44C0C5">
      <w:pPr>
        <w:keepNext w:val="0"/>
        <w:keepLines w:val="0"/>
        <w:widowControl w:val="0"/>
        <w:kinsoku/>
        <w:wordWrap/>
        <w:overflowPunct/>
        <w:topLinePunct w:val="0"/>
        <w:autoSpaceDE/>
        <w:autoSpaceDN/>
        <w:bidi w:val="0"/>
        <w:spacing w:line="520" w:lineRule="exact"/>
        <w:ind w:left="0" w:right="0" w:righ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16.3投标人应仔细阅读和检查招标文件的全部内容。如发现缺页或附件不全，应及时向招标人提出，以便补齐。</w:t>
      </w:r>
    </w:p>
    <w:p w14:paraId="31A36B3D">
      <w:pPr>
        <w:spacing w:line="440" w:lineRule="exact"/>
        <w:ind w:firstLine="420" w:firstLineChars="200"/>
        <w:rPr>
          <w:rFonts w:hint="eastAsia" w:ascii="宋体"/>
          <w:color w:val="auto"/>
          <w:szCs w:val="21"/>
          <w:highlight w:val="none"/>
        </w:rPr>
      </w:pPr>
      <w:r>
        <w:rPr>
          <w:rFonts w:hint="eastAsia" w:ascii="宋体"/>
          <w:color w:val="auto"/>
          <w:szCs w:val="21"/>
          <w:highlight w:val="none"/>
        </w:rPr>
        <w:t>16.4 当招标文件、招标文件的澄清或修改等在同一内容的表述上不一致时，以最后发出的文件为准。</w:t>
      </w:r>
    </w:p>
    <w:p w14:paraId="15A0950E">
      <w:pPr>
        <w:keepNext w:val="0"/>
        <w:keepLines w:val="0"/>
        <w:widowControl w:val="0"/>
        <w:kinsoku/>
        <w:wordWrap/>
        <w:overflowPunct/>
        <w:topLinePunct w:val="0"/>
        <w:autoSpaceDE/>
        <w:autoSpaceDN/>
        <w:bidi w:val="0"/>
        <w:spacing w:line="520" w:lineRule="exact"/>
        <w:ind w:left="0" w:right="0" w:rightChars="0" w:firstLine="422" w:firstLineChars="200"/>
        <w:jc w:val="left"/>
        <w:textAlignment w:val="auto"/>
        <w:outlineLvl w:val="3"/>
        <w:rPr>
          <w:rFonts w:hint="eastAsia" w:ascii="宋体" w:hAnsi="宋体" w:cs="宋体"/>
          <w:b/>
          <w:bCs/>
          <w:color w:val="auto"/>
          <w:szCs w:val="21"/>
          <w:highlight w:val="none"/>
        </w:rPr>
      </w:pPr>
      <w:r>
        <w:rPr>
          <w:rFonts w:hint="eastAsia" w:ascii="宋体" w:hAnsi="宋体" w:cs="宋体"/>
          <w:b/>
          <w:bCs/>
          <w:color w:val="auto"/>
          <w:szCs w:val="21"/>
          <w:highlight w:val="none"/>
        </w:rPr>
        <w:t>17. 招标文件的异议、澄清</w:t>
      </w:r>
    </w:p>
    <w:p w14:paraId="5808696E">
      <w:pPr>
        <w:spacing w:line="440" w:lineRule="exact"/>
        <w:ind w:firstLine="420" w:firstLineChars="200"/>
        <w:rPr>
          <w:rFonts w:hint="eastAsia" w:ascii="宋体"/>
          <w:bCs/>
          <w:color w:val="auto"/>
          <w:szCs w:val="21"/>
          <w:highlight w:val="none"/>
        </w:rPr>
      </w:pPr>
      <w:r>
        <w:rPr>
          <w:rFonts w:hint="eastAsia" w:ascii="宋体"/>
          <w:bCs/>
          <w:color w:val="auto"/>
          <w:szCs w:val="21"/>
          <w:highlight w:val="none"/>
        </w:rPr>
        <w:t>17.1投标人或其他利害关系人投标人应仔细阅读和检查招标文件的全部内容，对招标文件有异议的，应在投标截止时间10日前以以投标人须知前附表规定的网上留言或书面形式提出。招标人将在收到异议之日起3日内作出答复；作出答复前，将暂停招标投标活动。</w:t>
      </w:r>
    </w:p>
    <w:p w14:paraId="72B364BD">
      <w:pPr>
        <w:spacing w:line="440" w:lineRule="exact"/>
        <w:ind w:firstLine="420" w:firstLineChars="200"/>
        <w:rPr>
          <w:rFonts w:hint="eastAsia" w:ascii="宋体"/>
          <w:bCs/>
          <w:color w:val="auto"/>
          <w:szCs w:val="21"/>
          <w:highlight w:val="none"/>
        </w:rPr>
      </w:pPr>
      <w:r>
        <w:rPr>
          <w:rFonts w:hint="eastAsia" w:ascii="宋体"/>
          <w:bCs/>
          <w:color w:val="auto"/>
          <w:szCs w:val="21"/>
          <w:highlight w:val="none"/>
        </w:rPr>
        <w:t>17.2 招标人可以澄清招标文件，并以以投标人须知前附表规定澄清的方式在滁州市公共资源交易中心网站发布。但如果修改招标文件的时间距投标截止时间不足15天，并且修改内容影响投标文件编制的，将相应延长投标截止时间。</w:t>
      </w:r>
    </w:p>
    <w:p w14:paraId="65B76F57">
      <w:pPr>
        <w:keepNext w:val="0"/>
        <w:keepLines w:val="0"/>
        <w:widowControl w:val="0"/>
        <w:kinsoku/>
        <w:wordWrap/>
        <w:overflowPunct/>
        <w:topLinePunct w:val="0"/>
        <w:autoSpaceDE/>
        <w:autoSpaceDN/>
        <w:bidi w:val="0"/>
        <w:spacing w:line="520" w:lineRule="exact"/>
        <w:ind w:left="0" w:right="0" w:rightChars="0" w:firstLine="422" w:firstLineChars="200"/>
        <w:jc w:val="left"/>
        <w:textAlignment w:val="auto"/>
        <w:outlineLvl w:val="3"/>
        <w:rPr>
          <w:rFonts w:hint="eastAsia" w:ascii="宋体" w:hAnsi="宋体" w:cs="宋体"/>
          <w:b/>
          <w:color w:val="auto"/>
          <w:szCs w:val="21"/>
          <w:highlight w:val="none"/>
        </w:rPr>
      </w:pPr>
      <w:r>
        <w:rPr>
          <w:rFonts w:hint="eastAsia" w:ascii="宋体" w:hAnsi="宋体" w:cs="宋体"/>
          <w:b/>
          <w:color w:val="auto"/>
          <w:szCs w:val="21"/>
          <w:highlight w:val="none"/>
        </w:rPr>
        <w:t>18. 招标文件的发出</w:t>
      </w:r>
    </w:p>
    <w:p w14:paraId="1871AC2A">
      <w:pPr>
        <w:spacing w:line="440" w:lineRule="exact"/>
        <w:ind w:firstLine="420" w:firstLineChars="200"/>
        <w:rPr>
          <w:rFonts w:hint="eastAsia" w:ascii="宋体"/>
          <w:color w:val="auto"/>
          <w:szCs w:val="21"/>
          <w:highlight w:val="none"/>
        </w:rPr>
      </w:pPr>
      <w:bookmarkStart w:id="49" w:name="_Toc449028869"/>
      <w:r>
        <w:rPr>
          <w:rFonts w:hint="eastAsia" w:ascii="宋体"/>
          <w:color w:val="auto"/>
          <w:szCs w:val="21"/>
          <w:highlight w:val="none"/>
        </w:rPr>
        <w:t>18.1招标文件、招标文件的澄清、修改、补充及招标答疑等均应报公共资源交易监督管理机构备案后，方可发出。</w:t>
      </w:r>
    </w:p>
    <w:p w14:paraId="661DCFC9">
      <w:pPr>
        <w:keepNext w:val="0"/>
        <w:keepLines w:val="0"/>
        <w:widowControl w:val="0"/>
        <w:kinsoku/>
        <w:wordWrap/>
        <w:overflowPunct/>
        <w:topLinePunct w:val="0"/>
        <w:autoSpaceDE/>
        <w:autoSpaceDN/>
        <w:bidi w:val="0"/>
        <w:spacing w:line="520" w:lineRule="exact"/>
        <w:ind w:left="0" w:right="0" w:rightChars="0" w:firstLine="562" w:firstLineChars="200"/>
        <w:jc w:val="center"/>
        <w:textAlignment w:val="auto"/>
        <w:outlineLvl w:val="2"/>
        <w:rPr>
          <w:rFonts w:hint="default"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rPr>
        <w:t>（三）投标文件的编制</w:t>
      </w:r>
      <w:bookmarkEnd w:id="49"/>
    </w:p>
    <w:p w14:paraId="6FB3E67E">
      <w:pPr>
        <w:keepNext w:val="0"/>
        <w:keepLines w:val="0"/>
        <w:widowControl w:val="0"/>
        <w:kinsoku/>
        <w:wordWrap/>
        <w:overflowPunct/>
        <w:topLinePunct w:val="0"/>
        <w:autoSpaceDE/>
        <w:autoSpaceDN/>
        <w:bidi w:val="0"/>
        <w:spacing w:line="520" w:lineRule="exact"/>
        <w:ind w:left="0" w:right="0" w:rightChars="0" w:firstLine="422" w:firstLineChars="200"/>
        <w:jc w:val="left"/>
        <w:textAlignment w:val="auto"/>
        <w:outlineLvl w:val="3"/>
        <w:rPr>
          <w:rFonts w:hint="eastAsia" w:ascii="宋体" w:hAnsi="宋体" w:cs="宋体"/>
          <w:b/>
          <w:color w:val="auto"/>
          <w:szCs w:val="21"/>
          <w:highlight w:val="none"/>
        </w:rPr>
      </w:pPr>
      <w:r>
        <w:rPr>
          <w:rFonts w:hint="eastAsia" w:ascii="宋体" w:hAnsi="宋体" w:cs="宋体"/>
          <w:b/>
          <w:color w:val="auto"/>
          <w:szCs w:val="21"/>
          <w:highlight w:val="none"/>
          <w:lang w:eastAsia="zh-CN"/>
        </w:rPr>
        <w:t>19</w:t>
      </w:r>
      <w:r>
        <w:rPr>
          <w:rFonts w:hint="eastAsia" w:ascii="宋体" w:hAnsi="宋体" w:cs="宋体"/>
          <w:b/>
          <w:color w:val="auto"/>
          <w:szCs w:val="21"/>
          <w:highlight w:val="none"/>
        </w:rPr>
        <w:t>. 投标的语言及度量衡单位</w:t>
      </w:r>
    </w:p>
    <w:p w14:paraId="7649C1C8">
      <w:pPr>
        <w:keepNext w:val="0"/>
        <w:keepLines w:val="0"/>
        <w:widowControl w:val="0"/>
        <w:kinsoku/>
        <w:wordWrap/>
        <w:overflowPunct/>
        <w:topLinePunct w:val="0"/>
        <w:autoSpaceDE/>
        <w:autoSpaceDN/>
        <w:bidi w:val="0"/>
        <w:spacing w:line="520" w:lineRule="exact"/>
        <w:ind w:left="0" w:right="0" w:righ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19</w:t>
      </w:r>
      <w:r>
        <w:rPr>
          <w:rFonts w:hint="eastAsia" w:ascii="宋体" w:hAnsi="宋体" w:cs="宋体"/>
          <w:color w:val="auto"/>
          <w:szCs w:val="21"/>
          <w:highlight w:val="none"/>
        </w:rPr>
        <w:t>.1投标人的投标文件、以及投标人与招标人就投标的所有往来函电，均须使用简体中文。</w:t>
      </w:r>
    </w:p>
    <w:p w14:paraId="2FC1A9AD">
      <w:pPr>
        <w:keepNext w:val="0"/>
        <w:keepLines w:val="0"/>
        <w:widowControl w:val="0"/>
        <w:kinsoku/>
        <w:wordWrap/>
        <w:overflowPunct/>
        <w:topLinePunct w:val="0"/>
        <w:autoSpaceDE/>
        <w:autoSpaceDN/>
        <w:bidi w:val="0"/>
        <w:spacing w:line="520" w:lineRule="exact"/>
        <w:ind w:left="0" w:right="0" w:righ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19</w:t>
      </w:r>
      <w:r>
        <w:rPr>
          <w:rFonts w:hint="eastAsia" w:ascii="宋体" w:hAnsi="宋体" w:cs="宋体"/>
          <w:color w:val="auto"/>
          <w:szCs w:val="21"/>
          <w:highlight w:val="none"/>
        </w:rPr>
        <w:t>.2除招标文件中另有规定外，投标文件所使用的度量衡均须采用法定计量单位。</w:t>
      </w:r>
    </w:p>
    <w:p w14:paraId="26AB3A44">
      <w:pPr>
        <w:keepNext w:val="0"/>
        <w:keepLines w:val="0"/>
        <w:widowControl w:val="0"/>
        <w:kinsoku/>
        <w:wordWrap/>
        <w:overflowPunct/>
        <w:topLinePunct w:val="0"/>
        <w:autoSpaceDE/>
        <w:autoSpaceDN/>
        <w:bidi w:val="0"/>
        <w:spacing w:line="520" w:lineRule="exact"/>
        <w:ind w:left="0" w:right="0" w:rightChars="0" w:firstLine="422" w:firstLineChars="200"/>
        <w:jc w:val="left"/>
        <w:textAlignment w:val="auto"/>
        <w:outlineLvl w:val="3"/>
        <w:rPr>
          <w:rFonts w:hint="eastAsia" w:ascii="宋体" w:hAnsi="宋体" w:cs="宋体"/>
          <w:b/>
          <w:color w:val="auto"/>
          <w:szCs w:val="21"/>
          <w:highlight w:val="none"/>
        </w:rPr>
      </w:pPr>
      <w:r>
        <w:rPr>
          <w:rFonts w:hint="eastAsia" w:ascii="宋体" w:hAnsi="宋体" w:cs="宋体"/>
          <w:b/>
          <w:color w:val="auto"/>
          <w:szCs w:val="21"/>
          <w:highlight w:val="none"/>
          <w:lang w:eastAsia="zh-CN"/>
        </w:rPr>
        <w:t>20</w:t>
      </w:r>
      <w:r>
        <w:rPr>
          <w:rFonts w:hint="eastAsia" w:ascii="宋体" w:hAnsi="宋体" w:cs="宋体"/>
          <w:b/>
          <w:color w:val="auto"/>
          <w:szCs w:val="21"/>
          <w:highlight w:val="none"/>
        </w:rPr>
        <w:t xml:space="preserve">. </w:t>
      </w:r>
      <w:r>
        <w:rPr>
          <w:rFonts w:hint="eastAsia" w:ascii="宋体"/>
          <w:b/>
          <w:bCs/>
          <w:color w:val="auto"/>
          <w:szCs w:val="21"/>
          <w:highlight w:val="none"/>
        </w:rPr>
        <w:t>投标文件的组成、编制</w:t>
      </w:r>
    </w:p>
    <w:p w14:paraId="777D9332">
      <w:pPr>
        <w:keepNext w:val="0"/>
        <w:keepLines w:val="0"/>
        <w:widowControl w:val="0"/>
        <w:kinsoku/>
        <w:wordWrap/>
        <w:overflowPunct/>
        <w:topLinePunct w:val="0"/>
        <w:autoSpaceDE/>
        <w:autoSpaceDN/>
        <w:bidi w:val="0"/>
        <w:spacing w:line="520" w:lineRule="exact"/>
        <w:ind w:left="0" w:right="0" w:rightChars="0" w:firstLine="422" w:firstLineChars="200"/>
        <w:jc w:val="left"/>
        <w:textAlignment w:val="auto"/>
        <w:outlineLvl w:val="4"/>
        <w:rPr>
          <w:rFonts w:hint="eastAsia" w:ascii="宋体" w:hAnsi="宋体" w:cs="宋体"/>
          <w:color w:val="auto"/>
          <w:szCs w:val="21"/>
          <w:highlight w:val="none"/>
        </w:rPr>
      </w:pPr>
      <w:r>
        <w:rPr>
          <w:rFonts w:hint="eastAsia" w:ascii="宋体" w:hAnsi="宋体" w:cs="宋体"/>
          <w:b/>
          <w:color w:val="auto"/>
          <w:szCs w:val="21"/>
          <w:highlight w:val="none"/>
          <w:lang w:eastAsia="zh-CN"/>
        </w:rPr>
        <w:t>20</w:t>
      </w:r>
      <w:r>
        <w:rPr>
          <w:rFonts w:hint="eastAsia" w:ascii="宋体" w:hAnsi="宋体" w:cs="宋体"/>
          <w:b/>
          <w:color w:val="auto"/>
          <w:szCs w:val="21"/>
          <w:highlight w:val="none"/>
        </w:rPr>
        <w:t>.1投标文件的组成</w:t>
      </w:r>
    </w:p>
    <w:p w14:paraId="2F9D8B3B">
      <w:pPr>
        <w:keepNext w:val="0"/>
        <w:keepLines w:val="0"/>
        <w:widowControl w:val="0"/>
        <w:kinsoku/>
        <w:wordWrap/>
        <w:overflowPunct/>
        <w:topLinePunct w:val="0"/>
        <w:autoSpaceDE/>
        <w:autoSpaceDN/>
        <w:bidi w:val="0"/>
        <w:spacing w:line="520" w:lineRule="exact"/>
        <w:ind w:left="0" w:right="0" w:rightChars="0" w:firstLine="422" w:firstLineChars="200"/>
        <w:jc w:val="left"/>
        <w:textAlignment w:val="auto"/>
        <w:rPr>
          <w:rFonts w:hint="eastAsia" w:ascii="宋体" w:hAnsi="宋体" w:cs="宋体"/>
          <w:color w:val="auto"/>
          <w:szCs w:val="21"/>
          <w:highlight w:val="none"/>
        </w:rPr>
      </w:pPr>
      <w:r>
        <w:rPr>
          <w:rFonts w:hint="eastAsia" w:ascii="宋体" w:hAnsi="宋体"/>
          <w:b/>
          <w:bCs/>
          <w:color w:val="auto"/>
          <w:szCs w:val="21"/>
          <w:highlight w:val="none"/>
        </w:rPr>
        <w:t>投标文件具体详见第七章投标文件格式内容。</w:t>
      </w:r>
    </w:p>
    <w:p w14:paraId="4BF7BD5F">
      <w:pPr>
        <w:keepNext w:val="0"/>
        <w:keepLines w:val="0"/>
        <w:widowControl w:val="0"/>
        <w:kinsoku/>
        <w:wordWrap/>
        <w:overflowPunct/>
        <w:topLinePunct w:val="0"/>
        <w:autoSpaceDE/>
        <w:autoSpaceDN/>
        <w:bidi w:val="0"/>
        <w:spacing w:line="520" w:lineRule="exact"/>
        <w:ind w:left="0" w:right="0" w:rightChars="0" w:firstLine="422" w:firstLineChars="200"/>
        <w:jc w:val="left"/>
        <w:textAlignment w:val="auto"/>
        <w:outlineLvl w:val="4"/>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eastAsia="zh-CN"/>
        </w:rPr>
        <w:t>20</w:t>
      </w:r>
      <w:r>
        <w:rPr>
          <w:rFonts w:hint="eastAsia" w:ascii="宋体" w:hAnsi="宋体" w:eastAsia="宋体" w:cs="宋体"/>
          <w:b/>
          <w:color w:val="auto"/>
          <w:szCs w:val="21"/>
          <w:highlight w:val="none"/>
        </w:rPr>
        <w:t>.2投标文件的编制</w:t>
      </w:r>
    </w:p>
    <w:p w14:paraId="3F6E3099">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20</w:t>
      </w:r>
      <w:r>
        <w:rPr>
          <w:rFonts w:hint="eastAsia" w:ascii="宋体" w:hAnsi="宋体"/>
          <w:color w:val="auto"/>
          <w:szCs w:val="21"/>
          <w:highlight w:val="none"/>
        </w:rPr>
        <w:t>.2.1投标文件应按第七章“投标文件格式”进行编写，如有必要，可以增加附页，作为投标文件的组成部分。其中，投标函在满足招标文件实质性要求的基础上，可以提出比招标文件要求更有利于招标人的承诺。</w:t>
      </w:r>
    </w:p>
    <w:p w14:paraId="46B0D0DD">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20</w:t>
      </w:r>
      <w:r>
        <w:rPr>
          <w:rFonts w:hint="eastAsia" w:ascii="宋体" w:hAnsi="宋体"/>
          <w:color w:val="auto"/>
          <w:szCs w:val="21"/>
          <w:highlight w:val="none"/>
        </w:rPr>
        <w:t>.2.2本次投标不需要提供纸质投标文件，投标人应按照电子招标投标的要求，在投标人的电子系统中制作、签章、上传加密的电子投标文件。</w:t>
      </w:r>
    </w:p>
    <w:p w14:paraId="710C938C">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20</w:t>
      </w:r>
      <w:r>
        <w:rPr>
          <w:rFonts w:hint="eastAsia" w:ascii="宋体" w:hAnsi="宋体"/>
          <w:color w:val="auto"/>
          <w:szCs w:val="21"/>
          <w:highlight w:val="none"/>
        </w:rPr>
        <w:t>.2.3投标文件应当对招标文件有关</w:t>
      </w:r>
      <w:r>
        <w:rPr>
          <w:rFonts w:hint="eastAsia" w:ascii="宋体" w:hAnsi="宋体"/>
          <w:color w:val="auto"/>
          <w:szCs w:val="21"/>
          <w:highlight w:val="none"/>
          <w:lang w:val="en-US" w:eastAsia="zh-CN"/>
        </w:rPr>
        <w:t>服务期</w:t>
      </w:r>
      <w:r>
        <w:rPr>
          <w:rFonts w:hint="eastAsia" w:ascii="宋体" w:hAnsi="宋体"/>
          <w:color w:val="auto"/>
          <w:szCs w:val="21"/>
          <w:highlight w:val="none"/>
        </w:rPr>
        <w:t>、投标有效期、质量要求、技术标准和要求、招标范围等实质性内容作出响应。</w:t>
      </w:r>
    </w:p>
    <w:p w14:paraId="127CDD9F">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20</w:t>
      </w:r>
      <w:r>
        <w:rPr>
          <w:rFonts w:hint="eastAsia" w:ascii="宋体" w:hAnsi="宋体"/>
          <w:color w:val="auto"/>
          <w:szCs w:val="21"/>
          <w:highlight w:val="none"/>
        </w:rPr>
        <w:t>.2.4招标人有权核查投标人在投标文件中提供的资料，若在评标期间发现投标人提供了虚假资料，其投标将被否决；若在签订合同前发现作为中标候选人的投标人提供了虚假资料，招标人有权取消其中标资格；如果签订合同后发现中标人提供了虚假材料，招标人有权解除合同。同时招标人将投标人上述弄虚作假行为上报公共资源交易监督管理部门处理。</w:t>
      </w:r>
    </w:p>
    <w:p w14:paraId="29531483">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20</w:t>
      </w:r>
      <w:r>
        <w:rPr>
          <w:rFonts w:hint="eastAsia" w:ascii="宋体" w:hAnsi="宋体"/>
          <w:color w:val="auto"/>
          <w:szCs w:val="21"/>
          <w:highlight w:val="none"/>
        </w:rPr>
        <w:t>.2.5投标文件的制作应满足以下规定：</w:t>
      </w:r>
    </w:p>
    <w:p w14:paraId="76E28193">
      <w:pPr>
        <w:spacing w:line="400" w:lineRule="exact"/>
        <w:rPr>
          <w:rFonts w:hint="eastAsia" w:ascii="宋体" w:hAnsi="宋体"/>
          <w:color w:val="auto"/>
          <w:szCs w:val="21"/>
          <w:highlight w:val="none"/>
        </w:rPr>
      </w:pPr>
      <w:r>
        <w:rPr>
          <w:rFonts w:hint="eastAsia" w:ascii="宋体" w:hAnsi="宋体"/>
          <w:color w:val="auto"/>
          <w:szCs w:val="21"/>
          <w:highlight w:val="none"/>
          <w:lang w:eastAsia="zh-CN"/>
        </w:rPr>
        <w:t>　　</w:t>
      </w:r>
      <w:r>
        <w:rPr>
          <w:rFonts w:hint="eastAsia" w:ascii="宋体" w:hAnsi="宋体"/>
          <w:color w:val="auto"/>
          <w:szCs w:val="21"/>
          <w:highlight w:val="none"/>
        </w:rPr>
        <w:t>（1）投标文件由投标人使用电子交易系统提供的“投标文件制作工具”制作生成。“投标文件制作工具”可以通过电子交易系统下载。</w:t>
      </w:r>
    </w:p>
    <w:p w14:paraId="3574143F">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招标文件中“签章”是指签字或盖章。在第七章“投标文件格式”中要求签章处，投标人应加盖投标人单位电子印章和法定代表人的个人电子印章/电子签名章或直接上传加盖投标人单位印章和法定代表人的印章（或签字）的原件彩色扫描件。联合体投标的，除联合体协议书外，投标文件由联合体牵头人按上述规定加盖联合体牵头人单位电子印章和法定代表人的个人电子印章/电子签名章或直接上传加盖联合体牵头人单位印章和法定代表人的印章（或签字）的原件彩色扫描件。</w:t>
      </w:r>
    </w:p>
    <w:p w14:paraId="77AC24F4">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投标文件制作完成后，投标人应对投标文件进行文件加密，形成加密的投标文件。采用CA数字证书加密的，加密时投标文件的所有内容均只能使用同一把CA数字证书进行加密，否则引起的解密失败责任由投标人自行承担。</w:t>
      </w:r>
    </w:p>
    <w:p w14:paraId="12682191">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（4）投标文件制作的具体方法详见“投标文件制作工具”中的帮助文档。</w:t>
      </w:r>
    </w:p>
    <w:p w14:paraId="74883A5D">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20</w:t>
      </w:r>
      <w:r>
        <w:rPr>
          <w:rFonts w:hint="eastAsia" w:ascii="宋体" w:hAnsi="宋体"/>
          <w:color w:val="auto"/>
          <w:szCs w:val="21"/>
          <w:highlight w:val="none"/>
        </w:rPr>
        <w:t>.2.6 因投标人自身原因而导致投标文件无法导入电子交易系统电子开标、评标系统，该投标视为无效投标，投标人自行承担由此导致的全部责任。</w:t>
      </w:r>
    </w:p>
    <w:p w14:paraId="7C1A545A">
      <w:pPr>
        <w:spacing w:line="400" w:lineRule="exact"/>
        <w:ind w:firstLine="420" w:firstLineChars="200"/>
        <w:rPr>
          <w:rFonts w:ascii="宋体"/>
          <w:b/>
          <w:color w:val="auto"/>
          <w:szCs w:val="21"/>
          <w:highlight w:val="none"/>
        </w:rPr>
      </w:pPr>
      <w:r>
        <w:rPr>
          <w:rFonts w:hint="eastAsia" w:ascii="宋体" w:hAnsi="宋体"/>
          <w:color w:val="auto"/>
          <w:szCs w:val="21"/>
          <w:highlight w:val="none"/>
          <w:lang w:val="en-US" w:eastAsia="zh-CN"/>
        </w:rPr>
        <w:t>20</w:t>
      </w:r>
      <w:r>
        <w:rPr>
          <w:rFonts w:hint="eastAsia" w:ascii="宋体" w:hAnsi="宋体"/>
          <w:color w:val="auto"/>
          <w:szCs w:val="21"/>
          <w:highlight w:val="none"/>
        </w:rPr>
        <w:t>.2.7 投标人中标后须递交与网上电子投标文件完全一致的纸质版投标文件，在领取中标通知书时，一并递交给招标代理机构。</w:t>
      </w:r>
    </w:p>
    <w:p w14:paraId="569F9F9B">
      <w:pPr>
        <w:keepNext w:val="0"/>
        <w:keepLines w:val="0"/>
        <w:widowControl w:val="0"/>
        <w:kinsoku/>
        <w:wordWrap/>
        <w:overflowPunct/>
        <w:topLinePunct w:val="0"/>
        <w:autoSpaceDE/>
        <w:autoSpaceDN/>
        <w:bidi w:val="0"/>
        <w:spacing w:line="520" w:lineRule="exact"/>
        <w:ind w:left="0" w:right="0" w:rightChars="0" w:firstLine="422" w:firstLineChars="200"/>
        <w:jc w:val="left"/>
        <w:textAlignment w:val="auto"/>
        <w:outlineLvl w:val="3"/>
        <w:rPr>
          <w:rFonts w:hint="eastAsia" w:ascii="宋体" w:hAnsi="宋体" w:cs="宋体"/>
          <w:color w:val="auto"/>
          <w:szCs w:val="21"/>
          <w:highlight w:val="none"/>
        </w:rPr>
      </w:pPr>
      <w:r>
        <w:rPr>
          <w:rFonts w:hint="eastAsia" w:ascii="宋体" w:hAnsi="宋体" w:cs="宋体"/>
          <w:b/>
          <w:color w:val="auto"/>
          <w:szCs w:val="21"/>
          <w:highlight w:val="none"/>
          <w:lang w:eastAsia="zh-CN"/>
        </w:rPr>
        <w:t>21</w:t>
      </w:r>
      <w:r>
        <w:rPr>
          <w:rFonts w:hint="eastAsia" w:ascii="宋体" w:hAnsi="宋体" w:cs="宋体"/>
          <w:color w:val="auto"/>
          <w:szCs w:val="21"/>
          <w:highlight w:val="none"/>
        </w:rPr>
        <w:t>.</w:t>
      </w:r>
      <w:r>
        <w:rPr>
          <w:rFonts w:hint="eastAsia" w:ascii="宋体" w:hAnsi="宋体" w:cs="宋体"/>
          <w:b/>
          <w:color w:val="auto"/>
          <w:szCs w:val="21"/>
          <w:highlight w:val="none"/>
        </w:rPr>
        <w:t>投标报价</w:t>
      </w:r>
    </w:p>
    <w:p w14:paraId="130BEA42">
      <w:pPr>
        <w:spacing w:line="400" w:lineRule="exact"/>
        <w:ind w:firstLine="403" w:firstLineChars="192"/>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.1投标报价文件中的单价和总价全部采用人民币表示。投标人的报价应含有</w:t>
      </w:r>
      <w:r>
        <w:rPr>
          <w:rFonts w:hint="eastAsia" w:ascii="宋体"/>
          <w:color w:val="auto"/>
          <w:szCs w:val="21"/>
          <w:highlight w:val="none"/>
          <w:lang w:val="en-US" w:eastAsia="zh-CN"/>
        </w:rPr>
        <w:t>服务</w:t>
      </w:r>
      <w:r>
        <w:rPr>
          <w:rFonts w:hint="eastAsia" w:ascii="宋体"/>
          <w:color w:val="auto"/>
          <w:szCs w:val="21"/>
          <w:highlight w:val="none"/>
        </w:rPr>
        <w:t>、利润、税金、政策性文件规定及合同包含的所有风险、责任、义务等，即为完成招标文件要求的</w:t>
      </w:r>
      <w:r>
        <w:rPr>
          <w:rFonts w:hint="eastAsia" w:ascii="宋体"/>
          <w:color w:val="auto"/>
          <w:szCs w:val="21"/>
          <w:highlight w:val="none"/>
          <w:lang w:val="en-US" w:eastAsia="zh-CN"/>
        </w:rPr>
        <w:t>服务</w:t>
      </w:r>
      <w:r>
        <w:rPr>
          <w:rFonts w:hint="eastAsia" w:ascii="宋体"/>
          <w:color w:val="auto"/>
          <w:szCs w:val="21"/>
          <w:highlight w:val="none"/>
        </w:rPr>
        <w:t>内容所包含的一切应有费用，</w:t>
      </w:r>
      <w:r>
        <w:rPr>
          <w:rFonts w:hint="eastAsia" w:ascii="宋体" w:hAnsi="宋体" w:eastAsia="宋体" w:cs="Times New Roman"/>
          <w:color w:val="auto"/>
          <w:szCs w:val="21"/>
          <w:highlight w:val="none"/>
          <w:lang w:val="en-US" w:eastAsia="zh-CN"/>
        </w:rPr>
        <w:t>中标价格除合同约定调整内容以外的</w:t>
      </w:r>
      <w:r>
        <w:rPr>
          <w:rFonts w:hint="eastAsia" w:ascii="宋体" w:hAnsi="宋体" w:eastAsia="宋体" w:cs="Times New Roman"/>
          <w:color w:val="auto"/>
          <w:szCs w:val="21"/>
          <w:highlight w:val="none"/>
        </w:rPr>
        <w:t>今后将不作任何调整</w:t>
      </w:r>
      <w:r>
        <w:rPr>
          <w:rFonts w:hint="eastAsia" w:ascii="宋体" w:hAnsi="宋体" w:eastAsia="宋体" w:cs="Times New Roman"/>
          <w:color w:val="auto"/>
          <w:szCs w:val="21"/>
          <w:highlight w:val="none"/>
          <w:lang w:eastAsia="zh-CN"/>
        </w:rPr>
        <w:t>，</w:t>
      </w:r>
      <w:r>
        <w:rPr>
          <w:rFonts w:hint="eastAsia" w:ascii="宋体" w:eastAsia="宋体"/>
          <w:color w:val="auto"/>
          <w:szCs w:val="21"/>
          <w:highlight w:val="none"/>
          <w:lang w:val="en-US" w:eastAsia="zh-CN"/>
        </w:rPr>
        <w:t>招标人</w:t>
      </w:r>
      <w:r>
        <w:rPr>
          <w:rFonts w:hint="eastAsia" w:ascii="宋体"/>
          <w:color w:val="auto"/>
          <w:szCs w:val="21"/>
          <w:highlight w:val="none"/>
        </w:rPr>
        <w:t>后期不再追加费用，投标</w:t>
      </w:r>
      <w:r>
        <w:rPr>
          <w:rFonts w:hint="eastAsia" w:ascii="宋体"/>
          <w:color w:val="auto"/>
          <w:szCs w:val="21"/>
          <w:highlight w:val="none"/>
          <w:lang w:val="en-US" w:eastAsia="zh-CN"/>
        </w:rPr>
        <w:t>人</w:t>
      </w:r>
      <w:r>
        <w:rPr>
          <w:rFonts w:hint="eastAsia" w:ascii="宋体"/>
          <w:color w:val="auto"/>
          <w:szCs w:val="21"/>
          <w:highlight w:val="none"/>
        </w:rPr>
        <w:t>自行考虑投标风险。</w:t>
      </w:r>
    </w:p>
    <w:p w14:paraId="1A863FFE">
      <w:pPr>
        <w:keepNext w:val="0"/>
        <w:keepLines w:val="0"/>
        <w:pageBreakBefore w:val="0"/>
        <w:kinsoku/>
        <w:overflowPunct/>
        <w:topLinePunct w:val="0"/>
        <w:bidi w:val="0"/>
        <w:spacing w:line="360" w:lineRule="exact"/>
        <w:ind w:firstLine="420" w:firstLineChars="200"/>
        <w:textAlignment w:val="auto"/>
        <w:outlineLvl w:val="4"/>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.2投标人只允许有一个方案、一个报价。</w:t>
      </w:r>
    </w:p>
    <w:p w14:paraId="5525CFF4">
      <w:pPr>
        <w:spacing w:line="440" w:lineRule="exact"/>
        <w:ind w:firstLine="420"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.3投标报价是完成项目全部内容（包括后期的相关服务）交付验收的</w:t>
      </w:r>
      <w:r>
        <w:rPr>
          <w:rFonts w:hint="eastAsia" w:ascii="宋体"/>
          <w:color w:val="auto"/>
          <w:szCs w:val="21"/>
          <w:highlight w:val="none"/>
          <w:lang w:val="en-US" w:eastAsia="zh-CN"/>
        </w:rPr>
        <w:t>价格</w:t>
      </w:r>
      <w:r>
        <w:rPr>
          <w:rFonts w:hint="eastAsia" w:ascii="宋体"/>
          <w:color w:val="auto"/>
          <w:szCs w:val="21"/>
          <w:highlight w:val="none"/>
        </w:rPr>
        <w:t>，其</w:t>
      </w:r>
      <w:r>
        <w:rPr>
          <w:rFonts w:hint="eastAsia" w:ascii="宋体"/>
          <w:color w:val="auto"/>
          <w:szCs w:val="21"/>
          <w:highlight w:val="none"/>
          <w:lang w:val="en-US" w:eastAsia="zh-CN"/>
        </w:rPr>
        <w:t>单</w:t>
      </w:r>
      <w:r>
        <w:rPr>
          <w:rFonts w:hint="eastAsia" w:ascii="宋体"/>
          <w:color w:val="auto"/>
          <w:szCs w:val="21"/>
          <w:highlight w:val="none"/>
        </w:rPr>
        <w:t>价即为履行合同的固定</w:t>
      </w:r>
      <w:r>
        <w:rPr>
          <w:rFonts w:hint="eastAsia" w:ascii="宋体"/>
          <w:color w:val="auto"/>
          <w:szCs w:val="21"/>
          <w:highlight w:val="none"/>
          <w:lang w:val="en-US" w:eastAsia="zh-CN"/>
        </w:rPr>
        <w:t>单价</w:t>
      </w:r>
      <w:r>
        <w:rPr>
          <w:rFonts w:hint="eastAsia" w:ascii="宋体"/>
          <w:color w:val="auto"/>
          <w:szCs w:val="21"/>
          <w:highlight w:val="none"/>
        </w:rPr>
        <w:t>。</w:t>
      </w:r>
    </w:p>
    <w:p w14:paraId="4F46D99D">
      <w:pPr>
        <w:keepNext w:val="0"/>
        <w:keepLines w:val="0"/>
        <w:pageBreakBefore w:val="0"/>
        <w:kinsoku/>
        <w:overflowPunct/>
        <w:topLinePunct w:val="0"/>
        <w:bidi w:val="0"/>
        <w:spacing w:line="360" w:lineRule="exact"/>
        <w:ind w:firstLine="420" w:firstLineChars="200"/>
        <w:textAlignment w:val="auto"/>
        <w:outlineLvl w:val="4"/>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.4投标报价应由法定代表人或被授权人签署。</w:t>
      </w:r>
    </w:p>
    <w:p w14:paraId="2BBD7C61">
      <w:pPr>
        <w:keepNext w:val="0"/>
        <w:keepLines w:val="0"/>
        <w:pageBreakBefore w:val="0"/>
        <w:kinsoku/>
        <w:overflowPunct/>
        <w:topLinePunct w:val="0"/>
        <w:bidi w:val="0"/>
        <w:spacing w:line="360" w:lineRule="exact"/>
        <w:ind w:firstLine="420" w:firstLineChars="200"/>
        <w:textAlignment w:val="auto"/>
        <w:rPr>
          <w:rFonts w:hint="eastAsia" w:ascii="宋体" w:hAnsi="宋体"/>
          <w:b/>
          <w:bCs/>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.5</w:t>
      </w:r>
      <w:r>
        <w:rPr>
          <w:rFonts w:hint="eastAsia" w:ascii="宋体"/>
          <w:bCs/>
          <w:color w:val="auto"/>
          <w:szCs w:val="21"/>
          <w:highlight w:val="none"/>
        </w:rPr>
        <w:t>投标人的报价不得高于本次招标最高限价</w:t>
      </w:r>
      <w:r>
        <w:rPr>
          <w:rFonts w:hint="eastAsia" w:ascii="宋体" w:hAnsi="宋体"/>
          <w:b/>
          <w:color w:val="auto"/>
          <w:szCs w:val="21"/>
          <w:highlight w:val="none"/>
        </w:rPr>
        <w:t>，</w:t>
      </w:r>
      <w:r>
        <w:rPr>
          <w:rFonts w:hint="eastAsia" w:ascii="宋体" w:hAnsi="宋体"/>
          <w:b/>
          <w:bCs/>
          <w:color w:val="auto"/>
          <w:szCs w:val="21"/>
          <w:highlight w:val="none"/>
        </w:rPr>
        <w:t>否则将作为无效投标处理。</w:t>
      </w:r>
    </w:p>
    <w:p w14:paraId="3D73893C">
      <w:pPr>
        <w:keepNext w:val="0"/>
        <w:keepLines w:val="0"/>
        <w:pageBreakBefore w:val="0"/>
        <w:kinsoku/>
        <w:overflowPunct/>
        <w:topLinePunct w:val="0"/>
        <w:bidi w:val="0"/>
        <w:spacing w:line="360" w:lineRule="exact"/>
        <w:ind w:firstLine="420" w:firstLineChars="200"/>
        <w:textAlignment w:val="auto"/>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.6如投标文件中未列明全面实现投标货物功能而必须配置的配套或辅助设施及相应技术措施的费用，这些费用将被视为已包含在总投标价中。</w:t>
      </w:r>
    </w:p>
    <w:p w14:paraId="24465A9B">
      <w:pPr>
        <w:spacing w:line="440" w:lineRule="exact"/>
        <w:ind w:firstLine="420"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.7投标价中不得包含招标文件要求以外的内容，否则，在评标时不予核减，但在授予合同时，招标人有权将这部分价格从其中标价格中扣除。</w:t>
      </w:r>
    </w:p>
    <w:p w14:paraId="28BEECA2">
      <w:pPr>
        <w:spacing w:line="440" w:lineRule="exact"/>
        <w:ind w:firstLine="405" w:firstLineChars="192"/>
        <w:rPr>
          <w:rFonts w:hint="eastAsia" w:ascii="宋体"/>
          <w:color w:val="auto"/>
          <w:szCs w:val="21"/>
          <w:highlight w:val="none"/>
        </w:rPr>
      </w:pPr>
      <w:r>
        <w:rPr>
          <w:rFonts w:hint="eastAsia" w:ascii="宋体"/>
          <w:b/>
          <w:bCs w:val="0"/>
          <w:color w:val="auto"/>
          <w:szCs w:val="21"/>
          <w:highlight w:val="none"/>
        </w:rPr>
        <w:t>2</w:t>
      </w:r>
      <w:r>
        <w:rPr>
          <w:rFonts w:hint="eastAsia" w:ascii="宋体"/>
          <w:b/>
          <w:bCs w:val="0"/>
          <w:color w:val="auto"/>
          <w:szCs w:val="21"/>
          <w:highlight w:val="none"/>
          <w:lang w:val="en-US" w:eastAsia="zh-CN"/>
        </w:rPr>
        <w:t>1</w:t>
      </w:r>
      <w:r>
        <w:rPr>
          <w:rFonts w:hint="eastAsia" w:ascii="宋体"/>
          <w:b/>
          <w:bCs w:val="0"/>
          <w:color w:val="auto"/>
          <w:szCs w:val="21"/>
          <w:highlight w:val="none"/>
        </w:rPr>
        <w:t>.8</w:t>
      </w:r>
      <w:r>
        <w:rPr>
          <w:rFonts w:hint="eastAsia" w:ascii="宋体"/>
          <w:color w:val="auto"/>
          <w:szCs w:val="21"/>
          <w:highlight w:val="none"/>
        </w:rPr>
        <w:t>投标价中不得缺漏招标文件所要求的内容，否则，评标时将有效投标中该项内容的最高价计入其评标总价，但在授予合同时，缺漏项目的报价视作已含在其他项目的报价中，这些项目将作为免费赠送而包含在合同内。</w:t>
      </w:r>
    </w:p>
    <w:p w14:paraId="2A05B75A">
      <w:pPr>
        <w:keepNext w:val="0"/>
        <w:keepLines w:val="0"/>
        <w:widowControl w:val="0"/>
        <w:kinsoku/>
        <w:wordWrap/>
        <w:overflowPunct/>
        <w:topLinePunct w:val="0"/>
        <w:autoSpaceDE/>
        <w:autoSpaceDN/>
        <w:bidi w:val="0"/>
        <w:spacing w:line="520" w:lineRule="exact"/>
        <w:ind w:left="0" w:right="0" w:rightChars="0" w:firstLine="422" w:firstLineChars="200"/>
        <w:jc w:val="left"/>
        <w:textAlignment w:val="auto"/>
        <w:outlineLvl w:val="3"/>
        <w:rPr>
          <w:rFonts w:hint="eastAsia" w:ascii="宋体" w:hAnsi="宋体" w:cs="宋体"/>
          <w:b/>
          <w:color w:val="auto"/>
          <w:szCs w:val="21"/>
          <w:highlight w:val="none"/>
        </w:rPr>
      </w:pPr>
      <w:r>
        <w:rPr>
          <w:rFonts w:hint="eastAsia" w:ascii="宋体" w:hAnsi="宋体" w:cs="宋体"/>
          <w:b/>
          <w:color w:val="auto"/>
          <w:szCs w:val="21"/>
          <w:highlight w:val="none"/>
          <w:lang w:eastAsia="zh-CN"/>
        </w:rPr>
        <w:t>22</w:t>
      </w:r>
      <w:r>
        <w:rPr>
          <w:rFonts w:hint="eastAsia" w:ascii="宋体" w:hAnsi="宋体" w:cs="宋体"/>
          <w:b/>
          <w:color w:val="auto"/>
          <w:szCs w:val="21"/>
          <w:highlight w:val="none"/>
        </w:rPr>
        <w:t>. 投标有效期</w:t>
      </w:r>
    </w:p>
    <w:p w14:paraId="79EC7EA8">
      <w:pPr>
        <w:keepNext w:val="0"/>
        <w:keepLines w:val="0"/>
        <w:widowControl w:val="0"/>
        <w:kinsoku/>
        <w:wordWrap/>
        <w:overflowPunct/>
        <w:topLinePunct w:val="0"/>
        <w:autoSpaceDE/>
        <w:autoSpaceDN/>
        <w:bidi w:val="0"/>
        <w:spacing w:line="520" w:lineRule="exact"/>
        <w:ind w:left="0" w:right="0" w:rightChars="0" w:firstLine="420" w:firstLineChars="200"/>
        <w:jc w:val="left"/>
        <w:textAlignment w:val="auto"/>
        <w:outlineLvl w:val="4"/>
        <w:rPr>
          <w:rFonts w:hint="eastAsia" w:ascii="宋体" w:hAnsi="宋体" w:cs="宋体"/>
          <w:color w:val="auto"/>
          <w:szCs w:val="21"/>
          <w:highlight w:val="none"/>
        </w:rPr>
      </w:pPr>
      <w:r>
        <w:rPr>
          <w:rFonts w:hint="eastAsia" w:ascii="宋体" w:hAnsi="宋体" w:cs="宋体"/>
          <w:color w:val="auto"/>
          <w:szCs w:val="21"/>
          <w:highlight w:val="none"/>
          <w:lang w:eastAsia="zh-CN"/>
        </w:rPr>
        <w:t>22</w:t>
      </w:r>
      <w:r>
        <w:rPr>
          <w:rFonts w:hint="eastAsia" w:ascii="宋体" w:hAnsi="宋体" w:cs="宋体"/>
          <w:color w:val="auto"/>
          <w:szCs w:val="21"/>
          <w:highlight w:val="none"/>
        </w:rPr>
        <w:t xml:space="preserve">.1 </w:t>
      </w:r>
      <w:r>
        <w:rPr>
          <w:rFonts w:hint="eastAsia" w:ascii="宋体"/>
          <w:color w:val="auto"/>
          <w:szCs w:val="21"/>
          <w:highlight w:val="none"/>
        </w:rPr>
        <w:t>投标有效期见投标人须知前附表。</w:t>
      </w:r>
    </w:p>
    <w:p w14:paraId="287051E5">
      <w:pPr>
        <w:spacing w:line="440" w:lineRule="exact"/>
        <w:ind w:firstLine="420" w:firstLineChars="200"/>
        <w:rPr>
          <w:rFonts w:hint="eastAsia" w:ascii="宋体"/>
          <w:color w:val="auto"/>
          <w:szCs w:val="21"/>
          <w:highlight w:val="none"/>
        </w:rPr>
      </w:pPr>
      <w:r>
        <w:rPr>
          <w:rFonts w:hint="eastAsia" w:ascii="宋体" w:hAnsi="宋体" w:cs="宋体"/>
          <w:color w:val="auto"/>
          <w:szCs w:val="21"/>
          <w:highlight w:val="none"/>
          <w:lang w:eastAsia="zh-CN"/>
        </w:rPr>
        <w:t>22</w:t>
      </w:r>
      <w:r>
        <w:rPr>
          <w:rFonts w:hint="eastAsia" w:ascii="宋体" w:hAnsi="宋体" w:cs="宋体"/>
          <w:color w:val="auto"/>
          <w:szCs w:val="21"/>
          <w:highlight w:val="none"/>
        </w:rPr>
        <w:t>.2</w:t>
      </w:r>
      <w:r>
        <w:rPr>
          <w:rFonts w:hint="eastAsia" w:ascii="宋体"/>
          <w:color w:val="auto"/>
          <w:szCs w:val="21"/>
          <w:highlight w:val="none"/>
        </w:rPr>
        <w:t>在投标有效期内，投标人撤销或修改其投标文件的，应承担招标文件和法律规定的责任。</w:t>
      </w:r>
    </w:p>
    <w:p w14:paraId="7E807804">
      <w:pPr>
        <w:spacing w:line="440" w:lineRule="exact"/>
        <w:ind w:firstLine="420" w:firstLineChars="200"/>
        <w:rPr>
          <w:rFonts w:ascii="宋体"/>
          <w:color w:val="auto"/>
          <w:szCs w:val="21"/>
          <w:highlight w:val="none"/>
        </w:rPr>
      </w:pPr>
      <w:r>
        <w:rPr>
          <w:rFonts w:hint="eastAsia" w:ascii="宋体" w:hAnsi="宋体" w:cs="宋体"/>
          <w:color w:val="auto"/>
          <w:szCs w:val="21"/>
          <w:highlight w:val="none"/>
          <w:lang w:eastAsia="zh-CN"/>
        </w:rPr>
        <w:t>22</w:t>
      </w:r>
      <w:r>
        <w:rPr>
          <w:rFonts w:hint="eastAsia" w:ascii="宋体" w:hAnsi="宋体" w:cs="宋体"/>
          <w:color w:val="auto"/>
          <w:szCs w:val="21"/>
          <w:highlight w:val="none"/>
        </w:rPr>
        <w:t>.3</w:t>
      </w:r>
      <w:r>
        <w:rPr>
          <w:rFonts w:hint="eastAsia" w:ascii="宋体"/>
          <w:color w:val="auto"/>
          <w:szCs w:val="21"/>
          <w:highlight w:val="none"/>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676653B8">
      <w:pPr>
        <w:keepNext w:val="0"/>
        <w:keepLines w:val="0"/>
        <w:widowControl w:val="0"/>
        <w:kinsoku/>
        <w:wordWrap/>
        <w:overflowPunct/>
        <w:topLinePunct w:val="0"/>
        <w:autoSpaceDE/>
        <w:autoSpaceDN/>
        <w:bidi w:val="0"/>
        <w:spacing w:line="520" w:lineRule="exact"/>
        <w:ind w:left="0" w:right="0" w:rightChars="0" w:firstLine="422" w:firstLineChars="200"/>
        <w:jc w:val="left"/>
        <w:textAlignment w:val="auto"/>
        <w:outlineLvl w:val="3"/>
        <w:rPr>
          <w:rFonts w:hint="default" w:ascii="宋体" w:hAnsi="宋体" w:eastAsia="宋体" w:cs="宋体"/>
          <w:b/>
          <w:color w:val="auto"/>
          <w:szCs w:val="21"/>
          <w:highlight w:val="none"/>
          <w:lang w:val="en-US" w:eastAsia="zh-CN"/>
        </w:rPr>
      </w:pPr>
      <w:r>
        <w:rPr>
          <w:rFonts w:hint="eastAsia" w:ascii="宋体" w:hAnsi="宋体" w:cs="宋体"/>
          <w:b/>
          <w:color w:val="auto"/>
          <w:szCs w:val="21"/>
          <w:highlight w:val="none"/>
          <w:lang w:eastAsia="zh-CN"/>
        </w:rPr>
        <w:t>23</w:t>
      </w:r>
      <w:r>
        <w:rPr>
          <w:rFonts w:hint="eastAsia" w:ascii="宋体" w:hAnsi="宋体" w:cs="宋体"/>
          <w:b/>
          <w:color w:val="auto"/>
          <w:szCs w:val="21"/>
          <w:highlight w:val="none"/>
        </w:rPr>
        <w:t>. 投标保证金</w:t>
      </w:r>
      <w:r>
        <w:rPr>
          <w:rFonts w:hint="eastAsia" w:ascii="宋体" w:hAnsi="宋体" w:cs="宋体"/>
          <w:b/>
          <w:color w:val="auto"/>
          <w:szCs w:val="21"/>
          <w:highlight w:val="none"/>
          <w:lang w:eastAsia="zh-CN"/>
        </w:rPr>
        <w:t>（</w:t>
      </w:r>
      <w:r>
        <w:rPr>
          <w:rFonts w:hint="eastAsia" w:ascii="宋体" w:hAnsi="宋体" w:eastAsia="宋体" w:cs="宋体"/>
          <w:b/>
          <w:color w:val="auto"/>
          <w:szCs w:val="21"/>
          <w:highlight w:val="none"/>
          <w:lang w:val="en-US" w:eastAsia="zh-CN"/>
        </w:rPr>
        <w:t>本项目不要求投标人提交投标保证金）</w:t>
      </w:r>
    </w:p>
    <w:p w14:paraId="6A2A2E5D">
      <w:pPr>
        <w:spacing w:line="440" w:lineRule="exact"/>
        <w:ind w:firstLine="420" w:firstLineChars="200"/>
        <w:rPr>
          <w:rFonts w:hint="eastAsia" w:ascii="宋体"/>
          <w:color w:val="auto"/>
          <w:szCs w:val="21"/>
          <w:highlight w:val="none"/>
        </w:rPr>
      </w:pPr>
      <w:bookmarkStart w:id="50" w:name="_Toc449028870"/>
      <w:r>
        <w:rPr>
          <w:rFonts w:hint="eastAsia" w:ascii="宋体"/>
          <w:color w:val="auto"/>
          <w:szCs w:val="21"/>
          <w:highlight w:val="none"/>
        </w:rPr>
        <w:t>2</w:t>
      </w:r>
      <w:r>
        <w:rPr>
          <w:rFonts w:hint="eastAsia" w:ascii="宋体"/>
          <w:color w:val="auto"/>
          <w:szCs w:val="21"/>
          <w:highlight w:val="none"/>
          <w:lang w:val="en-US" w:eastAsia="zh-CN"/>
        </w:rPr>
        <w:t>3</w:t>
      </w:r>
      <w:r>
        <w:rPr>
          <w:rFonts w:hint="eastAsia" w:ascii="宋体"/>
          <w:color w:val="auto"/>
          <w:szCs w:val="21"/>
          <w:highlight w:val="none"/>
        </w:rPr>
        <w:t>.1投标人须知前附表规定递交投标保证金的，投标人在递交投标文件的同时，应按投标人须知前附表规定的金额、担保形式和第七章“投标文件格式”规定的或者事先经过招标人认可的保证金格式递交保证金，并作为其投标文件的组成部分。联合体投标的，其投标保证金由牵头人递交，并应符合投标人须知前附表的规定。</w:t>
      </w:r>
    </w:p>
    <w:p w14:paraId="10C0FB75">
      <w:pPr>
        <w:spacing w:line="440" w:lineRule="exact"/>
        <w:ind w:firstLine="420" w:firstLineChars="200"/>
        <w:rPr>
          <w:rFonts w:hint="eastAsia" w:ascii="宋体"/>
          <w:color w:val="auto"/>
          <w:szCs w:val="21"/>
          <w:highlight w:val="none"/>
        </w:rPr>
      </w:pPr>
      <w:r>
        <w:rPr>
          <w:rFonts w:hint="eastAsia" w:ascii="宋体"/>
          <w:color w:val="auto"/>
          <w:szCs w:val="21"/>
          <w:highlight w:val="none"/>
        </w:rPr>
        <w:t>无论采取何种形式的投标保证金，投标保证金有效期均应与投标有效期一致（采用投标电子保函的保证期截止时间不得早于该项目投标有效期的截止时间）。招标人如果按本章第2</w:t>
      </w:r>
      <w:r>
        <w:rPr>
          <w:rFonts w:hint="eastAsia" w:ascii="宋体"/>
          <w:color w:val="auto"/>
          <w:szCs w:val="21"/>
          <w:highlight w:val="none"/>
          <w:lang w:val="en-US" w:eastAsia="zh-CN"/>
        </w:rPr>
        <w:t>2</w:t>
      </w:r>
      <w:r>
        <w:rPr>
          <w:rFonts w:hint="eastAsia" w:ascii="宋体"/>
          <w:color w:val="auto"/>
          <w:szCs w:val="21"/>
          <w:highlight w:val="none"/>
        </w:rPr>
        <w:t>.3项的规定延长了投标有效期，则投标保证金的有效期也相应延长。</w:t>
      </w:r>
    </w:p>
    <w:p w14:paraId="0A2F9F5C">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.2投标人不按本章第2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.1项要求提交投标保证金的，评标委员会将否决其投标。</w:t>
      </w:r>
    </w:p>
    <w:p w14:paraId="719E8206">
      <w:pPr>
        <w:spacing w:line="440" w:lineRule="exact"/>
        <w:ind w:firstLine="420" w:firstLineChars="200"/>
        <w:rPr>
          <w:rFonts w:hint="eastAsia" w:ascii="宋体" w:eastAsia="宋体"/>
          <w:color w:val="auto"/>
          <w:szCs w:val="21"/>
          <w:highlight w:val="none"/>
          <w:lang w:eastAsia="zh-CN"/>
        </w:rPr>
      </w:pPr>
      <w:r>
        <w:rPr>
          <w:rFonts w:hint="eastAsia" w:ascii="宋体"/>
          <w:color w:val="auto"/>
          <w:szCs w:val="21"/>
          <w:highlight w:val="none"/>
          <w:lang w:val="en-US" w:eastAsia="zh-CN"/>
        </w:rPr>
        <w:t>23</w:t>
      </w:r>
      <w:r>
        <w:rPr>
          <w:rFonts w:hint="eastAsia" w:ascii="宋体"/>
          <w:color w:val="auto"/>
          <w:szCs w:val="21"/>
          <w:highlight w:val="none"/>
        </w:rPr>
        <w:t>.3</w:t>
      </w:r>
      <w:r>
        <w:rPr>
          <w:rFonts w:hint="eastAsia" w:ascii="宋体" w:hAnsi="宋体" w:cs="宋体"/>
          <w:color w:val="auto"/>
          <w:szCs w:val="21"/>
          <w:highlight w:val="none"/>
          <w:lang w:eastAsia="zh-CN"/>
        </w:rPr>
        <w:t>未中标投标人的投标保证金，中标通知书同步推送至交易中心服务端，银行接到退还指令后一个工作日内退还保证金到达原交纳的基本账户；中标人的投标保证金，在中标人与招标人签订合同并将公开信息推送至交易中心服务端，银行接到退还指令后一个工作日内退付保证金到达原交纳的基本账户。</w:t>
      </w:r>
    </w:p>
    <w:p w14:paraId="6593AEAE">
      <w:pPr>
        <w:spacing w:line="440" w:lineRule="exact"/>
        <w:ind w:firstLine="420" w:firstLineChars="200"/>
        <w:outlineLvl w:val="4"/>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 xml:space="preserve">.4有下列情形之一的，投标保证金将不予退还： </w:t>
      </w:r>
    </w:p>
    <w:p w14:paraId="10D9E8AB">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（1）投标截止后投标人撤销投标文件的；</w:t>
      </w:r>
    </w:p>
    <w:p w14:paraId="1B922C42">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（2）中标人无正当理由不与招标人订立合同，在签订合同时向招标人提出附加条件，或者不按照招标文件要求提交履约保证金的。</w:t>
      </w:r>
    </w:p>
    <w:p w14:paraId="31EEBEB6">
      <w:pPr>
        <w:wordWrap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.5投标保证金按《</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"https://www.chuzhou.gov.cn/group1/M00/12/83/CpYI8mGDiKqAD_IkAAEIAMLVghw186.doc" \t "_blank"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滁州市公共资源交易投标保证金管理规定</w:t>
      </w:r>
      <w:r>
        <w:rPr>
          <w:rFonts w:hint="eastAsia" w:ascii="宋体" w:hAnsi="宋体" w:cs="宋体"/>
          <w:color w:val="auto"/>
          <w:szCs w:val="21"/>
          <w:highlight w:val="none"/>
        </w:rPr>
        <w:fldChar w:fldCharType="end"/>
      </w:r>
      <w:r>
        <w:rPr>
          <w:rFonts w:hint="eastAsia" w:ascii="宋体" w:hAnsi="宋体" w:cs="宋体"/>
          <w:color w:val="auto"/>
          <w:szCs w:val="21"/>
          <w:highlight w:val="none"/>
        </w:rPr>
        <w:t>》（滁公管〔2021〕7号）规定执行。</w:t>
      </w:r>
    </w:p>
    <w:p w14:paraId="45A4FAD7">
      <w:pPr>
        <w:keepNext w:val="0"/>
        <w:keepLines w:val="0"/>
        <w:widowControl w:val="0"/>
        <w:kinsoku/>
        <w:wordWrap/>
        <w:overflowPunct/>
        <w:topLinePunct w:val="0"/>
        <w:autoSpaceDE/>
        <w:autoSpaceDN/>
        <w:bidi w:val="0"/>
        <w:spacing w:line="520" w:lineRule="exact"/>
        <w:ind w:left="0" w:right="0" w:rightChars="0" w:firstLine="562" w:firstLineChars="200"/>
        <w:jc w:val="center"/>
        <w:textAlignment w:val="auto"/>
        <w:outlineLvl w:val="2"/>
        <w:rPr>
          <w:rFonts w:hint="default"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rPr>
        <w:t>（四）投标文件的递交</w:t>
      </w:r>
      <w:bookmarkEnd w:id="50"/>
    </w:p>
    <w:p w14:paraId="0C04D2F3">
      <w:pPr>
        <w:keepNext w:val="0"/>
        <w:keepLines w:val="0"/>
        <w:widowControl w:val="0"/>
        <w:kinsoku/>
        <w:wordWrap/>
        <w:overflowPunct/>
        <w:topLinePunct w:val="0"/>
        <w:autoSpaceDE/>
        <w:autoSpaceDN/>
        <w:bidi w:val="0"/>
        <w:spacing w:line="520" w:lineRule="exact"/>
        <w:ind w:left="0" w:right="0" w:rightChars="0" w:firstLine="422" w:firstLineChars="200"/>
        <w:jc w:val="left"/>
        <w:textAlignment w:val="auto"/>
        <w:outlineLvl w:val="3"/>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eastAsia="zh-CN"/>
        </w:rPr>
        <w:t>24</w:t>
      </w:r>
      <w:r>
        <w:rPr>
          <w:rFonts w:hint="eastAsia" w:ascii="宋体" w:hAnsi="宋体" w:eastAsia="宋体" w:cs="宋体"/>
          <w:b/>
          <w:color w:val="auto"/>
          <w:szCs w:val="21"/>
          <w:highlight w:val="none"/>
        </w:rPr>
        <w:t>.投标文件的密封和标记</w:t>
      </w:r>
    </w:p>
    <w:p w14:paraId="6693D198">
      <w:pPr>
        <w:spacing w:line="440" w:lineRule="exact"/>
        <w:ind w:firstLine="420" w:firstLineChars="200"/>
        <w:rPr>
          <w:rFonts w:hint="eastAsia" w:ascii="宋体" w:hAnsi="宋体" w:eastAsia="宋体" w:cs="宋体"/>
          <w:color w:val="auto"/>
          <w:szCs w:val="21"/>
          <w:highlight w:val="none"/>
          <w:lang w:eastAsia="zh-CN"/>
        </w:rPr>
      </w:pPr>
      <w:bookmarkStart w:id="51" w:name="_Toc449028871"/>
      <w:r>
        <w:rPr>
          <w:rFonts w:hint="eastAsia" w:ascii="宋体" w:hAnsi="宋体" w:eastAsia="宋体" w:cs="宋体"/>
          <w:color w:val="auto"/>
          <w:szCs w:val="21"/>
          <w:highlight w:val="none"/>
          <w:lang w:eastAsia="zh-CN"/>
        </w:rPr>
        <w:t>24.1投标文件应按照本章第2</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lang w:eastAsia="zh-CN"/>
        </w:rPr>
        <w:t>.2.5项要求制作并加密，未按要求加密的投标文件将被拒绝接收。以投标人在投标截止时间前网上递交的电子投标文件为准。</w:t>
      </w:r>
    </w:p>
    <w:p w14:paraId="2E82EAFD">
      <w:pPr>
        <w:keepNext w:val="0"/>
        <w:keepLines w:val="0"/>
        <w:widowControl w:val="0"/>
        <w:kinsoku/>
        <w:wordWrap/>
        <w:overflowPunct/>
        <w:topLinePunct w:val="0"/>
        <w:autoSpaceDE/>
        <w:autoSpaceDN/>
        <w:bidi w:val="0"/>
        <w:spacing w:line="520" w:lineRule="exact"/>
        <w:ind w:left="0" w:right="0" w:rightChars="0" w:firstLine="422" w:firstLineChars="200"/>
        <w:jc w:val="left"/>
        <w:textAlignment w:val="auto"/>
        <w:outlineLvl w:val="3"/>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25</w:t>
      </w:r>
      <w:r>
        <w:rPr>
          <w:rFonts w:hint="eastAsia" w:ascii="宋体" w:hAnsi="宋体" w:cs="宋体"/>
          <w:b/>
          <w:color w:val="auto"/>
          <w:szCs w:val="21"/>
          <w:highlight w:val="none"/>
        </w:rPr>
        <w:t xml:space="preserve">. </w:t>
      </w:r>
      <w:r>
        <w:rPr>
          <w:rFonts w:hint="eastAsia" w:ascii="宋体"/>
          <w:b/>
          <w:color w:val="auto"/>
          <w:szCs w:val="21"/>
          <w:highlight w:val="none"/>
        </w:rPr>
        <w:t>投标文件上传</w:t>
      </w:r>
    </w:p>
    <w:p w14:paraId="7473381A">
      <w:pPr>
        <w:spacing w:line="44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25</w:t>
      </w:r>
      <w:r>
        <w:rPr>
          <w:rFonts w:hint="eastAsia" w:ascii="宋体" w:hAnsi="宋体" w:eastAsia="宋体" w:cs="宋体"/>
          <w:color w:val="auto"/>
          <w:szCs w:val="21"/>
          <w:highlight w:val="none"/>
          <w:lang w:eastAsia="zh-CN"/>
        </w:rPr>
        <w:t>.1请投标人通过系统下载投标工具制作投标文件，并利用CA数字证书进行上传投标文件，上传已加密的投标文件，务必通过此方式上传投标文件。</w:t>
      </w:r>
    </w:p>
    <w:p w14:paraId="14957C63">
      <w:pPr>
        <w:spacing w:line="440" w:lineRule="exact"/>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25.2</w:t>
      </w:r>
      <w:r>
        <w:rPr>
          <w:rFonts w:hint="eastAsia" w:ascii="宋体" w:hAnsi="宋体" w:eastAsia="宋体" w:cs="宋体"/>
          <w:color w:val="auto"/>
          <w:szCs w:val="21"/>
          <w:highlight w:val="none"/>
          <w:lang w:eastAsia="zh-CN"/>
        </w:rPr>
        <w:t>投标人在投标文件编制、签章、上传过程中如有任何操作的疑问请及时联系技术支持，电话：0550-3801701。</w:t>
      </w:r>
    </w:p>
    <w:p w14:paraId="364B74B2">
      <w:pPr>
        <w:keepNext w:val="0"/>
        <w:keepLines w:val="0"/>
        <w:widowControl w:val="0"/>
        <w:kinsoku/>
        <w:wordWrap/>
        <w:overflowPunct/>
        <w:topLinePunct w:val="0"/>
        <w:autoSpaceDE/>
        <w:autoSpaceDN/>
        <w:bidi w:val="0"/>
        <w:spacing w:line="520" w:lineRule="exact"/>
        <w:ind w:left="0" w:right="0" w:rightChars="0" w:firstLine="422" w:firstLineChars="200"/>
        <w:jc w:val="left"/>
        <w:textAlignment w:val="auto"/>
        <w:outlineLvl w:val="3"/>
        <w:rPr>
          <w:rFonts w:hint="eastAsia" w:ascii="宋体" w:hAnsi="Times New Roman" w:eastAsia="宋体" w:cs="Times New Roman"/>
          <w:b/>
          <w:color w:val="auto"/>
          <w:szCs w:val="21"/>
          <w:highlight w:val="none"/>
        </w:rPr>
      </w:pPr>
      <w:r>
        <w:rPr>
          <w:rFonts w:hint="eastAsia" w:ascii="宋体" w:hAnsi="Times New Roman" w:eastAsia="宋体" w:cs="Times New Roman"/>
          <w:b/>
          <w:color w:val="auto"/>
          <w:szCs w:val="21"/>
          <w:highlight w:val="none"/>
          <w:lang w:val="en-US" w:eastAsia="zh-CN"/>
        </w:rPr>
        <w:t>26</w:t>
      </w:r>
      <w:r>
        <w:rPr>
          <w:rFonts w:hint="eastAsia" w:ascii="宋体" w:hAnsi="Times New Roman" w:eastAsia="宋体" w:cs="Times New Roman"/>
          <w:b/>
          <w:color w:val="auto"/>
          <w:szCs w:val="21"/>
          <w:highlight w:val="none"/>
        </w:rPr>
        <w:t>．投标文件的递交</w:t>
      </w:r>
    </w:p>
    <w:p w14:paraId="27889FEF">
      <w:pPr>
        <w:spacing w:line="44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eastAsia="zh-CN"/>
        </w:rPr>
        <w:t>.1 投标人应当在第一章“招标公告”规定的投标截止时间前，将加密投标文件上传至电子交易系统。</w:t>
      </w:r>
    </w:p>
    <w:p w14:paraId="3A402126">
      <w:pPr>
        <w:spacing w:line="44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eastAsia="zh-CN"/>
        </w:rPr>
        <w:t>.2 除投标人须知前附表另有规定外，投标人所递交的投标文件不予退还。</w:t>
      </w:r>
    </w:p>
    <w:p w14:paraId="5C58DBE0">
      <w:pPr>
        <w:spacing w:line="44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eastAsia="zh-CN"/>
        </w:rPr>
        <w:t>.3 投标人应当在投标截止时间前完成投标文件的网上递交，并可以补充、修改或者撤回投标文件。投标截止时间前未完成投标文件网上递交的，视为撤回投标文件。未按规定加密或投标截止时间后通过网上招标投标系统递交电子投标文件的，电子交易系统应当拒收，投标无效。</w:t>
      </w:r>
    </w:p>
    <w:p w14:paraId="59A65B1A">
      <w:pPr>
        <w:keepNext w:val="0"/>
        <w:keepLines w:val="0"/>
        <w:widowControl w:val="0"/>
        <w:kinsoku/>
        <w:wordWrap/>
        <w:overflowPunct/>
        <w:topLinePunct w:val="0"/>
        <w:autoSpaceDE/>
        <w:autoSpaceDN/>
        <w:bidi w:val="0"/>
        <w:spacing w:line="520" w:lineRule="exact"/>
        <w:ind w:left="0" w:right="0" w:rightChars="0" w:firstLine="422" w:firstLineChars="200"/>
        <w:jc w:val="left"/>
        <w:textAlignment w:val="auto"/>
        <w:outlineLvl w:val="3"/>
        <w:rPr>
          <w:rFonts w:hint="eastAsia" w:ascii="宋体"/>
          <w:b/>
          <w:color w:val="auto"/>
          <w:szCs w:val="21"/>
          <w:highlight w:val="none"/>
        </w:rPr>
      </w:pPr>
      <w:r>
        <w:rPr>
          <w:rFonts w:hint="eastAsia" w:ascii="宋体"/>
          <w:b/>
          <w:color w:val="auto"/>
          <w:szCs w:val="21"/>
          <w:highlight w:val="none"/>
          <w:lang w:val="en-US" w:eastAsia="zh-CN"/>
        </w:rPr>
        <w:t>27</w:t>
      </w:r>
      <w:r>
        <w:rPr>
          <w:rFonts w:hint="eastAsia" w:ascii="宋体"/>
          <w:b/>
          <w:color w:val="auto"/>
          <w:szCs w:val="21"/>
          <w:highlight w:val="none"/>
        </w:rPr>
        <w:t>.投标文件的修改与撤回</w:t>
      </w:r>
    </w:p>
    <w:p w14:paraId="66E280A0">
      <w:pPr>
        <w:keepNext w:val="0"/>
        <w:keepLines w:val="0"/>
        <w:widowControl w:val="0"/>
        <w:kinsoku/>
        <w:wordWrap/>
        <w:overflowPunct/>
        <w:topLinePunct w:val="0"/>
        <w:autoSpaceDE/>
        <w:autoSpaceDN/>
        <w:bidi w:val="0"/>
        <w:spacing w:line="520" w:lineRule="exact"/>
        <w:ind w:left="0" w:right="0" w:righ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27</w:t>
      </w:r>
      <w:r>
        <w:rPr>
          <w:rFonts w:hint="eastAsia" w:ascii="宋体" w:hAnsi="宋体" w:cs="宋体"/>
          <w:color w:val="auto"/>
          <w:szCs w:val="21"/>
          <w:highlight w:val="none"/>
        </w:rPr>
        <w:t>.1在第一章“招标公告”规定的投标截止时间前，投标人可以自行从网上招投标系统撤回已递交的投标文件，并可修改后重新加密上传，开标时以投标截止时间前投标人最终上传的投标文件为准。</w:t>
      </w:r>
    </w:p>
    <w:p w14:paraId="5C999B15">
      <w:pPr>
        <w:keepNext w:val="0"/>
        <w:keepLines w:val="0"/>
        <w:widowControl w:val="0"/>
        <w:kinsoku/>
        <w:wordWrap/>
        <w:overflowPunct/>
        <w:topLinePunct w:val="0"/>
        <w:autoSpaceDE/>
        <w:autoSpaceDN/>
        <w:bidi w:val="0"/>
        <w:spacing w:line="520" w:lineRule="exact"/>
        <w:ind w:left="0" w:right="0" w:rightChars="0" w:firstLine="422" w:firstLineChars="200"/>
        <w:jc w:val="left"/>
        <w:textAlignment w:val="auto"/>
        <w:outlineLvl w:val="3"/>
        <w:rPr>
          <w:rFonts w:hint="eastAsia" w:ascii="宋体" w:hAnsi="Times New Roman" w:eastAsia="宋体" w:cs="Times New Roman"/>
          <w:b/>
          <w:color w:val="auto"/>
          <w:szCs w:val="21"/>
          <w:highlight w:val="none"/>
        </w:rPr>
      </w:pPr>
      <w:r>
        <w:rPr>
          <w:rFonts w:hint="eastAsia" w:ascii="宋体" w:hAnsi="Times New Roman" w:eastAsia="宋体" w:cs="Times New Roman"/>
          <w:b/>
          <w:color w:val="auto"/>
          <w:szCs w:val="21"/>
          <w:highlight w:val="none"/>
        </w:rPr>
        <w:t>2</w:t>
      </w:r>
      <w:r>
        <w:rPr>
          <w:rFonts w:hint="eastAsia" w:ascii="宋体" w:hAnsi="Times New Roman" w:eastAsia="宋体" w:cs="Times New Roman"/>
          <w:b/>
          <w:color w:val="auto"/>
          <w:szCs w:val="21"/>
          <w:highlight w:val="none"/>
          <w:lang w:val="en-US" w:eastAsia="zh-CN"/>
        </w:rPr>
        <w:t>8</w:t>
      </w:r>
      <w:r>
        <w:rPr>
          <w:rFonts w:hint="eastAsia" w:ascii="宋体" w:hAnsi="Times New Roman" w:eastAsia="宋体" w:cs="Times New Roman"/>
          <w:b/>
          <w:color w:val="auto"/>
          <w:szCs w:val="21"/>
          <w:highlight w:val="none"/>
        </w:rPr>
        <w:t>.偏离</w:t>
      </w:r>
    </w:p>
    <w:p w14:paraId="0A490C86">
      <w:pPr>
        <w:keepNext w:val="0"/>
        <w:keepLines w:val="0"/>
        <w:widowControl w:val="0"/>
        <w:kinsoku/>
        <w:wordWrap/>
        <w:overflowPunct/>
        <w:topLinePunct w:val="0"/>
        <w:autoSpaceDE/>
        <w:autoSpaceDN/>
        <w:bidi w:val="0"/>
        <w:spacing w:line="520" w:lineRule="exact"/>
        <w:ind w:left="0" w:right="0" w:righ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.1投标文件偏离招标文件某些要求，视为投标文件存在偏差。偏差包括重大偏差和细微偏差。</w:t>
      </w:r>
    </w:p>
    <w:p w14:paraId="5DE849ED">
      <w:pPr>
        <w:keepNext w:val="0"/>
        <w:keepLines w:val="0"/>
        <w:widowControl w:val="0"/>
        <w:kinsoku/>
        <w:wordWrap/>
        <w:overflowPunct/>
        <w:topLinePunct w:val="0"/>
        <w:autoSpaceDE/>
        <w:autoSpaceDN/>
        <w:bidi w:val="0"/>
        <w:spacing w:line="520" w:lineRule="exact"/>
        <w:ind w:left="0" w:right="0" w:righ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28</w:t>
      </w:r>
      <w:r>
        <w:rPr>
          <w:rFonts w:hint="eastAsia" w:ascii="宋体" w:hAnsi="宋体" w:eastAsia="宋体" w:cs="宋体"/>
          <w:color w:val="auto"/>
          <w:szCs w:val="21"/>
          <w:highlight w:val="none"/>
        </w:rPr>
        <w:t>.1.1投标文件应对招标文件的实质性要求和条件作出满足性或更有利于招标人的响应，否则，视为投标文件存在重大偏差，投标人的投标将被否决。</w:t>
      </w:r>
    </w:p>
    <w:p w14:paraId="6E73B1C9">
      <w:pPr>
        <w:keepNext w:val="0"/>
        <w:keepLines w:val="0"/>
        <w:widowControl w:val="0"/>
        <w:kinsoku/>
        <w:wordWrap/>
        <w:overflowPunct/>
        <w:topLinePunct w:val="0"/>
        <w:autoSpaceDE/>
        <w:autoSpaceDN/>
        <w:bidi w:val="0"/>
        <w:spacing w:line="520" w:lineRule="exact"/>
        <w:ind w:left="0" w:right="0" w:righ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投标文件存在第四章“评标办法”中所列任一无效投标情形的，均属于存在重大偏差。</w:t>
      </w:r>
    </w:p>
    <w:p w14:paraId="1C02BF72">
      <w:pPr>
        <w:keepNext w:val="0"/>
        <w:keepLines w:val="0"/>
        <w:widowControl w:val="0"/>
        <w:kinsoku/>
        <w:wordWrap/>
        <w:overflowPunct/>
        <w:topLinePunct w:val="0"/>
        <w:autoSpaceDE/>
        <w:autoSpaceDN/>
        <w:bidi w:val="0"/>
        <w:spacing w:line="520" w:lineRule="exact"/>
        <w:ind w:left="0" w:right="0" w:rightChars="0" w:firstLine="420" w:firstLineChars="200"/>
        <w:jc w:val="left"/>
        <w:textAlignment w:val="auto"/>
        <w:outlineLvl w:val="4"/>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.1.2投标文件中的下列偏差为细微偏差：</w:t>
      </w:r>
    </w:p>
    <w:p w14:paraId="6A23A1AF">
      <w:pPr>
        <w:keepNext w:val="0"/>
        <w:keepLines w:val="0"/>
        <w:widowControl w:val="0"/>
        <w:kinsoku/>
        <w:wordWrap/>
        <w:overflowPunct/>
        <w:topLinePunct w:val="0"/>
        <w:autoSpaceDE/>
        <w:autoSpaceDN/>
        <w:bidi w:val="0"/>
        <w:spacing w:line="520" w:lineRule="exact"/>
        <w:ind w:left="0" w:right="0" w:righ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在按照第四章“评标办法”的规定对投标价进行算术性错误修正及其他错误修正后，最终投标报价未超过最高投标限价（如有）或未被否决投标的情况下，出现第四章“评标办法”规定的算术性错误和投标报价的其他错误；</w:t>
      </w:r>
    </w:p>
    <w:p w14:paraId="3391FA10">
      <w:pPr>
        <w:keepNext w:val="0"/>
        <w:keepLines w:val="0"/>
        <w:widowControl w:val="0"/>
        <w:kinsoku/>
        <w:wordWrap/>
        <w:overflowPunct/>
        <w:topLinePunct w:val="0"/>
        <w:autoSpaceDE/>
        <w:autoSpaceDN/>
        <w:bidi w:val="0"/>
        <w:spacing w:line="520" w:lineRule="exact"/>
        <w:ind w:left="0" w:right="0" w:righ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（2）投标文件个别文字有遗漏错误等不影响投标文件实质性内容的偏差。</w:t>
      </w:r>
    </w:p>
    <w:p w14:paraId="32D37E94">
      <w:pPr>
        <w:keepNext w:val="0"/>
        <w:keepLines w:val="0"/>
        <w:widowControl w:val="0"/>
        <w:kinsoku/>
        <w:wordWrap/>
        <w:overflowPunct/>
        <w:topLinePunct w:val="0"/>
        <w:autoSpaceDE/>
        <w:autoSpaceDN/>
        <w:bidi w:val="0"/>
        <w:spacing w:line="520" w:lineRule="exact"/>
        <w:ind w:left="0" w:right="0" w:rightChars="0" w:firstLine="420" w:firstLineChars="200"/>
        <w:jc w:val="left"/>
        <w:textAlignment w:val="auto"/>
        <w:outlineLvl w:val="4"/>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.1.3评标委员会对投标文件中的细微偏差按如下规定处理：</w:t>
      </w:r>
    </w:p>
    <w:p w14:paraId="3ECFDE34">
      <w:pPr>
        <w:keepNext w:val="0"/>
        <w:keepLines w:val="0"/>
        <w:widowControl w:val="0"/>
        <w:kinsoku/>
        <w:wordWrap/>
        <w:overflowPunct/>
        <w:topLinePunct w:val="0"/>
        <w:autoSpaceDE/>
        <w:autoSpaceDN/>
        <w:bidi w:val="0"/>
        <w:spacing w:line="520" w:lineRule="exact"/>
        <w:ind w:left="0" w:right="0" w:righ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对于本章第</w:t>
      </w:r>
      <w:r>
        <w:rPr>
          <w:rFonts w:hint="eastAsia" w:ascii="宋体" w:hAnsi="宋体" w:eastAsia="宋体" w:cs="宋体"/>
          <w:color w:val="auto"/>
          <w:szCs w:val="21"/>
          <w:highlight w:val="none"/>
          <w:lang w:val="en-US" w:eastAsia="zh-CN"/>
        </w:rPr>
        <w:t>28</w:t>
      </w:r>
      <w:r>
        <w:rPr>
          <w:rFonts w:hint="eastAsia" w:ascii="宋体" w:hAnsi="宋体" w:eastAsia="宋体" w:cs="宋体"/>
          <w:color w:val="auto"/>
          <w:szCs w:val="21"/>
          <w:highlight w:val="none"/>
        </w:rPr>
        <w:t>.1.2 项（1）目所述的细微偏差，按照第三章“评标办法”的规定予以修正并要求投标人进行澄清；</w:t>
      </w:r>
    </w:p>
    <w:p w14:paraId="2688EC33">
      <w:pPr>
        <w:keepNext w:val="0"/>
        <w:keepLines w:val="0"/>
        <w:widowControl w:val="0"/>
        <w:kinsoku/>
        <w:wordWrap/>
        <w:overflowPunct/>
        <w:topLinePunct w:val="0"/>
        <w:autoSpaceDE/>
        <w:autoSpaceDN/>
        <w:bidi w:val="0"/>
        <w:spacing w:line="520" w:lineRule="exact"/>
        <w:ind w:left="0" w:right="0" w:righ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对于本章第</w:t>
      </w:r>
      <w:r>
        <w:rPr>
          <w:rFonts w:hint="eastAsia" w:ascii="宋体" w:hAnsi="宋体" w:eastAsia="宋体" w:cs="宋体"/>
          <w:color w:val="auto"/>
          <w:szCs w:val="21"/>
          <w:highlight w:val="none"/>
          <w:lang w:val="en-US" w:eastAsia="zh-CN"/>
        </w:rPr>
        <w:t>28</w:t>
      </w:r>
      <w:r>
        <w:rPr>
          <w:rFonts w:hint="eastAsia" w:ascii="宋体" w:hAnsi="宋体" w:eastAsia="宋体" w:cs="宋体"/>
          <w:color w:val="auto"/>
          <w:szCs w:val="21"/>
          <w:highlight w:val="none"/>
        </w:rPr>
        <w:t>.1.2 项（2）目所述的细微偏差，可要求投标人对细微偏差进行澄清。</w:t>
      </w:r>
    </w:p>
    <w:p w14:paraId="77F74337">
      <w:pPr>
        <w:keepNext w:val="0"/>
        <w:keepLines w:val="0"/>
        <w:widowControl w:val="0"/>
        <w:kinsoku/>
        <w:wordWrap/>
        <w:overflowPunct/>
        <w:topLinePunct w:val="0"/>
        <w:autoSpaceDE/>
        <w:autoSpaceDN/>
        <w:bidi w:val="0"/>
        <w:spacing w:line="520" w:lineRule="exact"/>
        <w:ind w:left="0" w:right="0" w:rightChars="0" w:firstLine="562" w:firstLineChars="200"/>
        <w:jc w:val="center"/>
        <w:textAlignment w:val="auto"/>
        <w:outlineLvl w:val="2"/>
        <w:rPr>
          <w:rFonts w:hint="default"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rPr>
        <w:t>（五）开标和评标</w:t>
      </w:r>
      <w:bookmarkEnd w:id="51"/>
    </w:p>
    <w:p w14:paraId="01090C61">
      <w:pPr>
        <w:keepNext w:val="0"/>
        <w:keepLines w:val="0"/>
        <w:widowControl w:val="0"/>
        <w:kinsoku/>
        <w:wordWrap/>
        <w:overflowPunct/>
        <w:topLinePunct w:val="0"/>
        <w:autoSpaceDE/>
        <w:autoSpaceDN/>
        <w:bidi w:val="0"/>
        <w:spacing w:line="520" w:lineRule="exact"/>
        <w:ind w:left="0" w:right="0" w:rightChars="0" w:firstLine="422" w:firstLineChars="200"/>
        <w:jc w:val="left"/>
        <w:textAlignment w:val="auto"/>
        <w:outlineLvl w:val="3"/>
        <w:rPr>
          <w:rFonts w:hint="eastAsia" w:ascii="宋体"/>
          <w:b/>
          <w:color w:val="auto"/>
          <w:szCs w:val="21"/>
          <w:highlight w:val="none"/>
        </w:rPr>
      </w:pPr>
      <w:r>
        <w:rPr>
          <w:rFonts w:hint="eastAsia" w:ascii="宋体"/>
          <w:b/>
          <w:color w:val="auto"/>
          <w:szCs w:val="21"/>
          <w:highlight w:val="none"/>
          <w:lang w:val="en-US" w:eastAsia="zh-CN"/>
        </w:rPr>
        <w:t>29</w:t>
      </w:r>
      <w:r>
        <w:rPr>
          <w:rFonts w:hint="eastAsia" w:ascii="宋体"/>
          <w:b/>
          <w:color w:val="auto"/>
          <w:szCs w:val="21"/>
          <w:highlight w:val="none"/>
        </w:rPr>
        <w:t>. 开标</w:t>
      </w:r>
    </w:p>
    <w:p w14:paraId="5D620E4F">
      <w:pPr>
        <w:keepNext w:val="0"/>
        <w:keepLines w:val="0"/>
        <w:widowControl w:val="0"/>
        <w:kinsoku/>
        <w:wordWrap/>
        <w:overflowPunct/>
        <w:topLinePunct w:val="0"/>
        <w:autoSpaceDE/>
        <w:autoSpaceDN/>
        <w:bidi w:val="0"/>
        <w:spacing w:line="520" w:lineRule="exact"/>
        <w:ind w:left="0" w:right="0" w:rightChars="0" w:firstLine="420" w:firstLineChars="200"/>
        <w:jc w:val="left"/>
        <w:textAlignment w:val="auto"/>
        <w:outlineLvl w:val="4"/>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29</w:t>
      </w:r>
      <w:r>
        <w:rPr>
          <w:rFonts w:hint="eastAsia" w:ascii="宋体" w:hAnsi="宋体" w:eastAsia="宋体" w:cs="宋体"/>
          <w:color w:val="auto"/>
          <w:szCs w:val="21"/>
          <w:highlight w:val="none"/>
        </w:rPr>
        <w:t>.1 开标的时间和地点</w:t>
      </w:r>
    </w:p>
    <w:p w14:paraId="3C9C1676">
      <w:pPr>
        <w:keepNext w:val="0"/>
        <w:keepLines w:val="0"/>
        <w:widowControl w:val="0"/>
        <w:kinsoku/>
        <w:wordWrap/>
        <w:overflowPunct/>
        <w:topLinePunct w:val="0"/>
        <w:autoSpaceDE/>
        <w:autoSpaceDN/>
        <w:bidi w:val="0"/>
        <w:spacing w:line="520" w:lineRule="exact"/>
        <w:ind w:left="0" w:right="0" w:righ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29</w:t>
      </w:r>
      <w:r>
        <w:rPr>
          <w:rFonts w:hint="eastAsia" w:ascii="宋体" w:hAnsi="宋体" w:eastAsia="宋体" w:cs="宋体"/>
          <w:color w:val="auto"/>
          <w:szCs w:val="21"/>
          <w:highlight w:val="none"/>
        </w:rPr>
        <w:t>.1.1招标人在第一章“招标公告”规定的投标截止时间前（开标时间）和地点通过电子交易系统公开开标。</w:t>
      </w:r>
    </w:p>
    <w:p w14:paraId="7087F77E">
      <w:pPr>
        <w:keepNext w:val="0"/>
        <w:keepLines w:val="0"/>
        <w:widowControl w:val="0"/>
        <w:kinsoku/>
        <w:wordWrap/>
        <w:overflowPunct/>
        <w:topLinePunct w:val="0"/>
        <w:autoSpaceDE/>
        <w:autoSpaceDN/>
        <w:bidi w:val="0"/>
        <w:spacing w:line="520" w:lineRule="exact"/>
        <w:ind w:left="0" w:right="0" w:rightChars="0" w:firstLine="420" w:firstLineChars="200"/>
        <w:jc w:val="left"/>
        <w:textAlignment w:val="auto"/>
        <w:outlineLvl w:val="4"/>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29</w:t>
      </w:r>
      <w:r>
        <w:rPr>
          <w:rFonts w:hint="eastAsia" w:ascii="宋体" w:hAnsi="宋体" w:eastAsia="宋体" w:cs="宋体"/>
          <w:color w:val="auto"/>
          <w:szCs w:val="21"/>
          <w:highlight w:val="none"/>
        </w:rPr>
        <w:t>.2开标程序</w:t>
      </w:r>
    </w:p>
    <w:p w14:paraId="73162B70">
      <w:pPr>
        <w:keepNext w:val="0"/>
        <w:keepLines w:val="0"/>
        <w:widowControl w:val="0"/>
        <w:kinsoku/>
        <w:wordWrap/>
        <w:overflowPunct/>
        <w:topLinePunct w:val="0"/>
        <w:autoSpaceDE/>
        <w:autoSpaceDN/>
        <w:bidi w:val="0"/>
        <w:spacing w:line="520" w:lineRule="exact"/>
        <w:ind w:left="0" w:right="0" w:righ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29</w:t>
      </w:r>
      <w:r>
        <w:rPr>
          <w:rFonts w:hint="eastAsia" w:ascii="宋体" w:hAnsi="宋体" w:eastAsia="宋体" w:cs="宋体"/>
          <w:color w:val="auto"/>
          <w:szCs w:val="21"/>
          <w:highlight w:val="none"/>
        </w:rPr>
        <w:t>.2.1主持人按下列程序进行开标：</w:t>
      </w:r>
    </w:p>
    <w:p w14:paraId="689C4A41">
      <w:pPr>
        <w:keepNext w:val="0"/>
        <w:keepLines w:val="0"/>
        <w:widowControl w:val="0"/>
        <w:kinsoku/>
        <w:wordWrap/>
        <w:overflowPunct/>
        <w:topLinePunct w:val="0"/>
        <w:autoSpaceDE/>
        <w:autoSpaceDN/>
        <w:bidi w:val="0"/>
        <w:spacing w:line="520" w:lineRule="exact"/>
        <w:ind w:left="0" w:right="0" w:righ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（1）公布在投标截止时间前通过电子交易系统完成投标文件递交的投标人名称；</w:t>
      </w:r>
    </w:p>
    <w:p w14:paraId="591439C8">
      <w:pPr>
        <w:keepNext w:val="0"/>
        <w:keepLines w:val="0"/>
        <w:widowControl w:val="0"/>
        <w:kinsoku/>
        <w:wordWrap/>
        <w:overflowPunct/>
        <w:topLinePunct w:val="0"/>
        <w:autoSpaceDE/>
        <w:autoSpaceDN/>
        <w:bidi w:val="0"/>
        <w:spacing w:line="520" w:lineRule="exact"/>
        <w:ind w:left="0" w:right="0" w:righ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（2）投标人在投标截止时间后在投标人须知前附表规定的解密时间内完成投标文件的解密工作；</w:t>
      </w:r>
    </w:p>
    <w:p w14:paraId="453120C9">
      <w:pPr>
        <w:keepNext w:val="0"/>
        <w:keepLines w:val="0"/>
        <w:widowControl w:val="0"/>
        <w:kinsoku/>
        <w:wordWrap/>
        <w:overflowPunct/>
        <w:topLinePunct w:val="0"/>
        <w:autoSpaceDE/>
        <w:autoSpaceDN/>
        <w:bidi w:val="0"/>
        <w:spacing w:line="520" w:lineRule="exact"/>
        <w:ind w:left="0" w:right="0" w:righ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（3）招标人或招标代理机构完成解密工作，导入并读取所有成功解密的投标文件；</w:t>
      </w:r>
    </w:p>
    <w:p w14:paraId="66D590B6">
      <w:pPr>
        <w:keepNext w:val="0"/>
        <w:keepLines w:val="0"/>
        <w:widowControl w:val="0"/>
        <w:kinsoku/>
        <w:wordWrap/>
        <w:overflowPunct/>
        <w:topLinePunct w:val="0"/>
        <w:autoSpaceDE/>
        <w:autoSpaceDN/>
        <w:bidi w:val="0"/>
        <w:spacing w:line="520" w:lineRule="exact"/>
        <w:ind w:left="0" w:right="0" w:righ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（4）按投标人须知前附表规定公布投标人名称、标段名称、投标报价、质量目标、工期及其他内容；</w:t>
      </w:r>
    </w:p>
    <w:p w14:paraId="0512B007">
      <w:pPr>
        <w:keepNext w:val="0"/>
        <w:keepLines w:val="0"/>
        <w:widowControl w:val="0"/>
        <w:kinsoku/>
        <w:wordWrap/>
        <w:overflowPunct/>
        <w:topLinePunct w:val="0"/>
        <w:autoSpaceDE/>
        <w:autoSpaceDN/>
        <w:bidi w:val="0"/>
        <w:spacing w:line="520" w:lineRule="exact"/>
        <w:ind w:left="0" w:right="0" w:righ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（5）开标结束。</w:t>
      </w:r>
    </w:p>
    <w:p w14:paraId="7D649818">
      <w:pPr>
        <w:keepNext w:val="0"/>
        <w:keepLines w:val="0"/>
        <w:widowControl w:val="0"/>
        <w:kinsoku/>
        <w:wordWrap/>
        <w:overflowPunct/>
        <w:topLinePunct w:val="0"/>
        <w:autoSpaceDE/>
        <w:autoSpaceDN/>
        <w:bidi w:val="0"/>
        <w:spacing w:line="520" w:lineRule="exact"/>
        <w:ind w:left="0" w:right="0" w:rightChars="0" w:firstLine="420" w:firstLineChars="200"/>
        <w:jc w:val="left"/>
        <w:textAlignment w:val="auto"/>
        <w:outlineLvl w:val="4"/>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29</w:t>
      </w:r>
      <w:r>
        <w:rPr>
          <w:rFonts w:hint="eastAsia" w:ascii="宋体" w:hAnsi="宋体" w:eastAsia="宋体" w:cs="宋体"/>
          <w:color w:val="auto"/>
          <w:szCs w:val="21"/>
          <w:highlight w:val="none"/>
        </w:rPr>
        <w:t>.3开标异议</w:t>
      </w:r>
    </w:p>
    <w:p w14:paraId="77FAF369">
      <w:pPr>
        <w:keepNext w:val="0"/>
        <w:keepLines w:val="0"/>
        <w:widowControl w:val="0"/>
        <w:kinsoku/>
        <w:wordWrap/>
        <w:overflowPunct/>
        <w:topLinePunct w:val="0"/>
        <w:autoSpaceDE/>
        <w:autoSpaceDN/>
        <w:bidi w:val="0"/>
        <w:spacing w:line="520" w:lineRule="exact"/>
        <w:ind w:left="0" w:right="0" w:righ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29</w:t>
      </w:r>
      <w:r>
        <w:rPr>
          <w:rFonts w:hint="eastAsia" w:ascii="宋体" w:hAnsi="宋体" w:eastAsia="宋体" w:cs="宋体"/>
          <w:color w:val="auto"/>
          <w:szCs w:val="21"/>
          <w:highlight w:val="none"/>
        </w:rPr>
        <w:t>.3.1投标人对开标有异议的，应当在开标过程中提出，招标人在开标过程中作出答复，并制作记录。异议与答复应通过电子交易系统进行。</w:t>
      </w:r>
    </w:p>
    <w:p w14:paraId="35299798">
      <w:pPr>
        <w:keepNext w:val="0"/>
        <w:keepLines w:val="0"/>
        <w:widowControl w:val="0"/>
        <w:kinsoku/>
        <w:wordWrap/>
        <w:overflowPunct/>
        <w:topLinePunct w:val="0"/>
        <w:autoSpaceDE/>
        <w:autoSpaceDN/>
        <w:bidi w:val="0"/>
        <w:spacing w:line="520" w:lineRule="exact"/>
        <w:ind w:left="0" w:right="0" w:rightChars="0" w:firstLine="422" w:firstLineChars="200"/>
        <w:jc w:val="left"/>
        <w:textAlignment w:val="auto"/>
        <w:outlineLvl w:val="3"/>
        <w:rPr>
          <w:rFonts w:hint="eastAsia" w:ascii="宋体"/>
          <w:b/>
          <w:color w:val="auto"/>
          <w:szCs w:val="21"/>
          <w:highlight w:val="none"/>
        </w:rPr>
      </w:pPr>
      <w:r>
        <w:rPr>
          <w:rFonts w:hint="eastAsia" w:ascii="宋体"/>
          <w:b/>
          <w:color w:val="auto"/>
          <w:szCs w:val="21"/>
          <w:highlight w:val="none"/>
          <w:lang w:val="en-US" w:eastAsia="zh-CN"/>
        </w:rPr>
        <w:t>30</w:t>
      </w:r>
      <w:r>
        <w:rPr>
          <w:rFonts w:hint="eastAsia" w:ascii="宋体"/>
          <w:b/>
          <w:color w:val="auto"/>
          <w:szCs w:val="21"/>
          <w:highlight w:val="none"/>
        </w:rPr>
        <w:t>.评标委员会</w:t>
      </w:r>
    </w:p>
    <w:p w14:paraId="00F35BB7">
      <w:pPr>
        <w:keepNext w:val="0"/>
        <w:keepLines w:val="0"/>
        <w:widowControl w:val="0"/>
        <w:kinsoku/>
        <w:wordWrap/>
        <w:overflowPunct/>
        <w:topLinePunct w:val="0"/>
        <w:autoSpaceDE/>
        <w:autoSpaceDN/>
        <w:bidi w:val="0"/>
        <w:spacing w:line="520" w:lineRule="exact"/>
        <w:ind w:left="0" w:right="0" w:rightChars="0" w:firstLine="420" w:firstLineChars="200"/>
        <w:jc w:val="left"/>
        <w:textAlignment w:val="auto"/>
        <w:rPr>
          <w:rFonts w:ascii="宋体" w:cs="宋体"/>
          <w:color w:val="auto"/>
          <w:szCs w:val="21"/>
          <w:highlight w:val="none"/>
        </w:rPr>
      </w:pPr>
      <w:r>
        <w:rPr>
          <w:rFonts w:hint="eastAsia" w:ascii="宋体"/>
          <w:color w:val="auto"/>
          <w:szCs w:val="21"/>
          <w:highlight w:val="none"/>
          <w:lang w:val="en-US" w:eastAsia="zh-CN"/>
        </w:rPr>
        <w:t>30</w:t>
      </w:r>
      <w:r>
        <w:rPr>
          <w:rFonts w:hint="eastAsia" w:ascii="宋体"/>
          <w:color w:val="auto"/>
          <w:szCs w:val="21"/>
          <w:highlight w:val="none"/>
        </w:rPr>
        <w:t>.1</w:t>
      </w:r>
      <w:r>
        <w:rPr>
          <w:rFonts w:hint="eastAsia" w:ascii="宋体" w:hAnsi="宋体" w:cs="宋体"/>
          <w:color w:val="auto"/>
          <w:szCs w:val="21"/>
          <w:highlight w:val="none"/>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7159AAA4">
      <w:pPr>
        <w:keepNext w:val="0"/>
        <w:keepLines w:val="0"/>
        <w:widowControl w:val="0"/>
        <w:kinsoku/>
        <w:wordWrap/>
        <w:overflowPunct/>
        <w:topLinePunct w:val="0"/>
        <w:autoSpaceDE/>
        <w:autoSpaceDN/>
        <w:bidi w:val="0"/>
        <w:spacing w:line="520" w:lineRule="exact"/>
        <w:ind w:left="0" w:right="0" w:rightChars="0" w:firstLine="420" w:firstLineChars="200"/>
        <w:jc w:val="left"/>
        <w:textAlignment w:val="auto"/>
        <w:outlineLvl w:val="4"/>
        <w:rPr>
          <w:rFonts w:ascii="宋体" w:cs="宋体"/>
          <w:color w:val="auto"/>
          <w:szCs w:val="21"/>
          <w:highlight w:val="none"/>
        </w:rPr>
      </w:pPr>
      <w:r>
        <w:rPr>
          <w:rFonts w:hint="eastAsia" w:ascii="宋体" w:hAnsi="宋体" w:cs="宋体"/>
          <w:color w:val="auto"/>
          <w:szCs w:val="21"/>
          <w:highlight w:val="none"/>
          <w:lang w:val="en-US" w:eastAsia="zh-CN"/>
        </w:rPr>
        <w:t>30</w:t>
      </w:r>
      <w:r>
        <w:rPr>
          <w:rFonts w:ascii="宋体" w:hAnsi="宋体" w:cs="宋体"/>
          <w:color w:val="auto"/>
          <w:szCs w:val="21"/>
          <w:highlight w:val="none"/>
        </w:rPr>
        <w:t xml:space="preserve">.2 </w:t>
      </w:r>
      <w:r>
        <w:rPr>
          <w:rFonts w:hint="eastAsia" w:ascii="宋体" w:hAnsi="宋体" w:cs="宋体"/>
          <w:color w:val="auto"/>
          <w:szCs w:val="21"/>
          <w:highlight w:val="none"/>
        </w:rPr>
        <w:t>评标委员会成员有下列情形之一的，应当回避：</w:t>
      </w:r>
    </w:p>
    <w:p w14:paraId="0F9C2A2F">
      <w:pPr>
        <w:keepNext w:val="0"/>
        <w:keepLines w:val="0"/>
        <w:widowControl w:val="0"/>
        <w:kinsoku/>
        <w:wordWrap/>
        <w:overflowPunct/>
        <w:topLinePunct w:val="0"/>
        <w:autoSpaceDE/>
        <w:autoSpaceDN/>
        <w:bidi w:val="0"/>
        <w:spacing w:line="520" w:lineRule="exact"/>
        <w:ind w:left="0" w:right="0" w:rightChars="0"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）投标人或投标人主要负责人的近亲属；</w:t>
      </w:r>
    </w:p>
    <w:p w14:paraId="1B452B94">
      <w:pPr>
        <w:keepNext w:val="0"/>
        <w:keepLines w:val="0"/>
        <w:widowControl w:val="0"/>
        <w:kinsoku/>
        <w:wordWrap/>
        <w:overflowPunct/>
        <w:topLinePunct w:val="0"/>
        <w:autoSpaceDE/>
        <w:autoSpaceDN/>
        <w:bidi w:val="0"/>
        <w:spacing w:line="520" w:lineRule="exact"/>
        <w:ind w:left="0" w:right="0" w:rightChars="0"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）项目主管部门或者行政监督部门的人员；</w:t>
      </w:r>
    </w:p>
    <w:p w14:paraId="1A238691">
      <w:pPr>
        <w:keepNext w:val="0"/>
        <w:keepLines w:val="0"/>
        <w:widowControl w:val="0"/>
        <w:kinsoku/>
        <w:wordWrap/>
        <w:overflowPunct/>
        <w:topLinePunct w:val="0"/>
        <w:autoSpaceDE/>
        <w:autoSpaceDN/>
        <w:bidi w:val="0"/>
        <w:spacing w:line="520" w:lineRule="exact"/>
        <w:ind w:left="0" w:right="0" w:rightChars="0"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）与投标人有经济利益关系；</w:t>
      </w:r>
    </w:p>
    <w:p w14:paraId="14E826BF">
      <w:pPr>
        <w:keepNext w:val="0"/>
        <w:keepLines w:val="0"/>
        <w:widowControl w:val="0"/>
        <w:kinsoku/>
        <w:wordWrap/>
        <w:overflowPunct/>
        <w:topLinePunct w:val="0"/>
        <w:autoSpaceDE/>
        <w:autoSpaceDN/>
        <w:bidi w:val="0"/>
        <w:spacing w:line="520" w:lineRule="exact"/>
        <w:ind w:left="0" w:right="0" w:rightChars="0"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）曾因在招标、评标以及其他与招标投标有关活动中从事违法行为而受过行政处罚或刑事处罚的；</w:t>
      </w:r>
    </w:p>
    <w:p w14:paraId="562D2709">
      <w:pPr>
        <w:keepNext w:val="0"/>
        <w:keepLines w:val="0"/>
        <w:widowControl w:val="0"/>
        <w:kinsoku/>
        <w:wordWrap/>
        <w:overflowPunct/>
        <w:topLinePunct w:val="0"/>
        <w:autoSpaceDE/>
        <w:autoSpaceDN/>
        <w:bidi w:val="0"/>
        <w:spacing w:line="520" w:lineRule="exact"/>
        <w:ind w:left="0" w:right="0" w:rightChars="0" w:firstLine="420" w:firstLineChars="200"/>
        <w:jc w:val="left"/>
        <w:textAlignment w:val="auto"/>
        <w:rPr>
          <w:rFonts w:hint="eastAsia" w:ascii="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）与投标人有其他利害关系。</w:t>
      </w:r>
    </w:p>
    <w:p w14:paraId="544BB892">
      <w:pPr>
        <w:spacing w:line="420" w:lineRule="exact"/>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项目实施主体及其子公司、下属单位、上级主管部门或者控股公司的工作人员或者退休人员不得以专家身份参与本单位或者代理项目的评标评审。 </w:t>
      </w:r>
    </w:p>
    <w:p w14:paraId="25F00B30">
      <w:pPr>
        <w:spacing w:line="420" w:lineRule="exact"/>
        <w:ind w:firstLine="422" w:firstLineChars="200"/>
        <w:jc w:val="left"/>
        <w:rPr>
          <w:rFonts w:hint="eastAsia" w:ascii="宋体" w:hAnsi="宋体" w:cs="宋体"/>
          <w:b/>
          <w:bCs/>
          <w:color w:val="auto"/>
          <w:szCs w:val="21"/>
          <w:highlight w:val="none"/>
          <w:lang w:val="en-US" w:eastAsia="zh-CN"/>
        </w:rPr>
      </w:pPr>
      <w:r>
        <w:rPr>
          <w:rFonts w:hint="eastAsia" w:ascii="宋体" w:hAnsi="宋体" w:eastAsia="宋体" w:cs="宋体"/>
          <w:b/>
          <w:bCs/>
          <w:color w:val="auto"/>
          <w:szCs w:val="21"/>
          <w:highlight w:val="none"/>
        </w:rPr>
        <w:t xml:space="preserve">评标委员会或评审机构成员有前两款规定情形的，应当主动提出回避；已经进入的应当更换，被更换的成员评标评审意见无效。 </w:t>
      </w:r>
    </w:p>
    <w:p w14:paraId="533E5B8A">
      <w:pPr>
        <w:keepNext w:val="0"/>
        <w:keepLines w:val="0"/>
        <w:widowControl w:val="0"/>
        <w:kinsoku/>
        <w:wordWrap/>
        <w:overflowPunct/>
        <w:topLinePunct w:val="0"/>
        <w:autoSpaceDE/>
        <w:autoSpaceDN/>
        <w:bidi w:val="0"/>
        <w:spacing w:line="520" w:lineRule="exact"/>
        <w:ind w:left="0" w:right="0" w:righ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29</w:t>
      </w:r>
      <w:r>
        <w:rPr>
          <w:rFonts w:hint="eastAsia" w:ascii="宋体" w:hAnsi="宋体" w:cs="宋体"/>
          <w:color w:val="auto"/>
          <w:szCs w:val="21"/>
          <w:highlight w:val="none"/>
        </w:rPr>
        <w:t>.3评标过程中，评标委员会成员有回避事由、擅离职守或因健康等原因不能继续评标的， 招标人有权更换。被更换的评标委员会成员作出的评审结论无效，由更换后的评标委员会成员重新进行评审。</w:t>
      </w:r>
    </w:p>
    <w:p w14:paraId="42535C5D">
      <w:pPr>
        <w:spacing w:line="420" w:lineRule="exact"/>
        <w:ind w:firstLine="421"/>
        <w:jc w:val="left"/>
        <w:outlineLvl w:val="3"/>
        <w:rPr>
          <w:rFonts w:hint="eastAsia" w:ascii="宋体"/>
          <w:b/>
          <w:color w:val="auto"/>
          <w:szCs w:val="21"/>
          <w:highlight w:val="none"/>
        </w:rPr>
      </w:pPr>
      <w:r>
        <w:rPr>
          <w:rFonts w:hint="eastAsia" w:ascii="宋体"/>
          <w:b/>
          <w:color w:val="auto"/>
          <w:szCs w:val="21"/>
          <w:highlight w:val="none"/>
        </w:rPr>
        <w:t>3</w:t>
      </w:r>
      <w:r>
        <w:rPr>
          <w:rFonts w:hint="eastAsia" w:ascii="宋体"/>
          <w:b/>
          <w:color w:val="auto"/>
          <w:szCs w:val="21"/>
          <w:highlight w:val="none"/>
          <w:lang w:val="en-US" w:eastAsia="zh-CN"/>
        </w:rPr>
        <w:t>0</w:t>
      </w:r>
      <w:r>
        <w:rPr>
          <w:rFonts w:hint="eastAsia" w:ascii="宋体"/>
          <w:b/>
          <w:color w:val="auto"/>
          <w:szCs w:val="21"/>
          <w:highlight w:val="none"/>
        </w:rPr>
        <w:t>.评标原则</w:t>
      </w:r>
    </w:p>
    <w:p w14:paraId="56C5A9CB">
      <w:pPr>
        <w:spacing w:line="420" w:lineRule="exact"/>
        <w:ind w:firstLine="420" w:firstLineChars="200"/>
        <w:jc w:val="left"/>
        <w:outlineLvl w:val="4"/>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.1评标活动遵循公平、公正、科学和择优的原则。</w:t>
      </w:r>
    </w:p>
    <w:p w14:paraId="23680C65">
      <w:pPr>
        <w:keepNext w:val="0"/>
        <w:keepLines w:val="0"/>
        <w:widowControl w:val="0"/>
        <w:kinsoku/>
        <w:wordWrap/>
        <w:overflowPunct/>
        <w:topLinePunct w:val="0"/>
        <w:autoSpaceDE/>
        <w:autoSpaceDN/>
        <w:bidi w:val="0"/>
        <w:spacing w:line="520" w:lineRule="exact"/>
        <w:ind w:left="0" w:right="0" w:rightChars="0" w:firstLine="422" w:firstLineChars="200"/>
        <w:jc w:val="left"/>
        <w:textAlignment w:val="auto"/>
        <w:outlineLvl w:val="3"/>
        <w:rPr>
          <w:rFonts w:hint="eastAsia" w:ascii="宋体"/>
          <w:b/>
          <w:color w:val="auto"/>
          <w:szCs w:val="21"/>
          <w:highlight w:val="none"/>
        </w:rPr>
      </w:pPr>
      <w:r>
        <w:rPr>
          <w:rFonts w:hint="eastAsia" w:ascii="宋体"/>
          <w:b/>
          <w:color w:val="auto"/>
          <w:szCs w:val="21"/>
          <w:highlight w:val="none"/>
        </w:rPr>
        <w:t>3</w:t>
      </w:r>
      <w:r>
        <w:rPr>
          <w:rFonts w:hint="eastAsia" w:ascii="宋体"/>
          <w:b/>
          <w:color w:val="auto"/>
          <w:szCs w:val="21"/>
          <w:highlight w:val="none"/>
          <w:lang w:val="en-US" w:eastAsia="zh-CN"/>
        </w:rPr>
        <w:t>1</w:t>
      </w:r>
      <w:r>
        <w:rPr>
          <w:rFonts w:hint="eastAsia" w:ascii="宋体"/>
          <w:b/>
          <w:color w:val="auto"/>
          <w:szCs w:val="21"/>
          <w:highlight w:val="none"/>
        </w:rPr>
        <w:t>.评标</w:t>
      </w:r>
    </w:p>
    <w:p w14:paraId="33ADBD21">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.1</w:t>
      </w:r>
      <w:bookmarkStart w:id="52" w:name="_Toc449028873"/>
      <w:r>
        <w:rPr>
          <w:rFonts w:hint="eastAsia" w:ascii="宋体" w:hAnsi="宋体" w:eastAsia="宋体" w:cs="宋体"/>
          <w:color w:val="auto"/>
          <w:szCs w:val="21"/>
          <w:highlight w:val="none"/>
        </w:rPr>
        <w:t>评标委员会按照第四章“评标办法”规定的方法、评审因素、标准和程序对投标文件进行评审。第四章“评标办法”没有规定的方法、评审因素和标准，不作为评标依据。</w:t>
      </w:r>
    </w:p>
    <w:p w14:paraId="224B4852">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.2评标完成后，评标委员会应向招标人提交书面评标报告和中标候选人名单。评标委员会推荐中标候选人的人数见投标人须知前附表。</w:t>
      </w:r>
    </w:p>
    <w:p w14:paraId="26D13EE6">
      <w:pPr>
        <w:keepNext w:val="0"/>
        <w:keepLines w:val="0"/>
        <w:widowControl w:val="0"/>
        <w:kinsoku/>
        <w:wordWrap/>
        <w:overflowPunct/>
        <w:topLinePunct w:val="0"/>
        <w:autoSpaceDE/>
        <w:autoSpaceDN/>
        <w:bidi w:val="0"/>
        <w:spacing w:line="520" w:lineRule="exact"/>
        <w:ind w:left="0" w:right="0" w:rightChars="0" w:firstLine="560" w:firstLineChars="200"/>
        <w:jc w:val="center"/>
        <w:textAlignment w:val="auto"/>
        <w:outlineLvl w:val="2"/>
        <w:rPr>
          <w:rFonts w:hint="eastAsia" w:ascii="黑体" w:eastAsia="黑体"/>
          <w:color w:val="auto"/>
          <w:sz w:val="24"/>
          <w:highlight w:val="none"/>
        </w:rPr>
      </w:pPr>
      <w:r>
        <w:rPr>
          <w:rFonts w:hint="eastAsia" w:ascii="黑体" w:eastAsia="黑体"/>
          <w:color w:val="auto"/>
          <w:sz w:val="28"/>
          <w:szCs w:val="28"/>
          <w:highlight w:val="none"/>
        </w:rPr>
        <w:t>（六）合同授予</w:t>
      </w:r>
      <w:bookmarkEnd w:id="52"/>
    </w:p>
    <w:p w14:paraId="4636B96D">
      <w:pPr>
        <w:spacing w:line="420" w:lineRule="exact"/>
        <w:ind w:firstLine="421"/>
        <w:jc w:val="left"/>
        <w:outlineLvl w:val="3"/>
        <w:rPr>
          <w:rFonts w:hint="eastAsia" w:ascii="宋体" w:hAnsi="Times New Roman" w:eastAsia="宋体" w:cs="Times New Roman"/>
          <w:b/>
          <w:color w:val="auto"/>
          <w:szCs w:val="21"/>
          <w:highlight w:val="none"/>
        </w:rPr>
      </w:pPr>
      <w:bookmarkStart w:id="53" w:name="_Toc449028874"/>
      <w:r>
        <w:rPr>
          <w:rFonts w:hint="eastAsia" w:ascii="宋体" w:hAnsi="Times New Roman" w:eastAsia="宋体" w:cs="Times New Roman"/>
          <w:b/>
          <w:color w:val="auto"/>
          <w:szCs w:val="21"/>
          <w:highlight w:val="none"/>
        </w:rPr>
        <w:t>3</w:t>
      </w:r>
      <w:r>
        <w:rPr>
          <w:rFonts w:hint="eastAsia" w:ascii="宋体" w:hAnsi="Times New Roman" w:eastAsia="宋体" w:cs="Times New Roman"/>
          <w:b/>
          <w:color w:val="auto"/>
          <w:szCs w:val="21"/>
          <w:highlight w:val="none"/>
          <w:lang w:val="en-US" w:eastAsia="zh-CN"/>
        </w:rPr>
        <w:t>2</w:t>
      </w:r>
      <w:r>
        <w:rPr>
          <w:rFonts w:hint="eastAsia" w:ascii="宋体" w:hAnsi="Times New Roman" w:eastAsia="宋体" w:cs="Times New Roman"/>
          <w:b/>
          <w:color w:val="auto"/>
          <w:szCs w:val="21"/>
          <w:highlight w:val="none"/>
        </w:rPr>
        <w:t>.中标公示</w:t>
      </w:r>
    </w:p>
    <w:p w14:paraId="568E5602">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.1招标人在收到评标报告之日起3日内，按照投标人须知前附表规定的公示媒介和期限依法公示。公示期不得少于3日。</w:t>
      </w:r>
    </w:p>
    <w:p w14:paraId="02295EEA">
      <w:pPr>
        <w:spacing w:line="420" w:lineRule="exact"/>
        <w:ind w:firstLine="421"/>
        <w:jc w:val="left"/>
        <w:outlineLvl w:val="3"/>
        <w:rPr>
          <w:rFonts w:hint="eastAsia" w:ascii="宋体" w:hAnsi="Times New Roman" w:eastAsia="宋体" w:cs="Times New Roman"/>
          <w:b/>
          <w:color w:val="auto"/>
          <w:szCs w:val="21"/>
          <w:highlight w:val="none"/>
        </w:rPr>
      </w:pPr>
      <w:r>
        <w:rPr>
          <w:rFonts w:hint="eastAsia" w:ascii="宋体" w:hAnsi="Times New Roman" w:eastAsia="宋体" w:cs="Times New Roman"/>
          <w:b/>
          <w:color w:val="auto"/>
          <w:szCs w:val="21"/>
          <w:highlight w:val="none"/>
          <w:lang w:val="en-US" w:eastAsia="zh-CN"/>
        </w:rPr>
        <w:t>33.</w:t>
      </w:r>
      <w:r>
        <w:rPr>
          <w:rFonts w:hint="eastAsia" w:ascii="宋体" w:hAnsi="Times New Roman" w:eastAsia="宋体" w:cs="Times New Roman"/>
          <w:b/>
          <w:color w:val="auto"/>
          <w:szCs w:val="21"/>
          <w:highlight w:val="none"/>
        </w:rPr>
        <w:t>评标结果异议</w:t>
      </w:r>
    </w:p>
    <w:p w14:paraId="69234AB3">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.1投标人或其他利害关系人对评标结果有异议的，应在中标候选人公示期内提出。招标人将在收到异议之日起3日内作出答复；作出答复前，将暂停招标投标活动。</w:t>
      </w:r>
    </w:p>
    <w:p w14:paraId="365352A6">
      <w:pPr>
        <w:spacing w:line="420" w:lineRule="exact"/>
        <w:ind w:firstLine="421"/>
        <w:jc w:val="left"/>
        <w:outlineLvl w:val="3"/>
        <w:rPr>
          <w:rFonts w:hint="eastAsia" w:ascii="宋体" w:hAnsi="Times New Roman" w:eastAsia="宋体" w:cs="Times New Roman"/>
          <w:b/>
          <w:color w:val="auto"/>
          <w:szCs w:val="21"/>
          <w:highlight w:val="none"/>
        </w:rPr>
      </w:pPr>
      <w:r>
        <w:rPr>
          <w:rFonts w:hint="eastAsia" w:ascii="宋体" w:hAnsi="Times New Roman" w:eastAsia="宋体" w:cs="Times New Roman"/>
          <w:b/>
          <w:color w:val="auto"/>
          <w:szCs w:val="21"/>
          <w:highlight w:val="none"/>
          <w:lang w:val="en-US" w:eastAsia="zh-CN"/>
        </w:rPr>
        <w:t>34.</w:t>
      </w:r>
      <w:r>
        <w:rPr>
          <w:rFonts w:hint="eastAsia" w:ascii="宋体" w:hAnsi="Times New Roman" w:eastAsia="宋体" w:cs="Times New Roman"/>
          <w:b/>
          <w:color w:val="auto"/>
          <w:szCs w:val="21"/>
          <w:highlight w:val="none"/>
        </w:rPr>
        <w:t>中标候选人履约能力审查</w:t>
      </w:r>
    </w:p>
    <w:p w14:paraId="081FB1E6">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34</w:t>
      </w:r>
      <w:r>
        <w:rPr>
          <w:rFonts w:hint="eastAsia" w:ascii="宋体" w:hAnsi="宋体" w:eastAsia="宋体" w:cs="宋体"/>
          <w:color w:val="auto"/>
          <w:szCs w:val="21"/>
          <w:highlight w:val="none"/>
        </w:rPr>
        <w:t>.1中标候选人的经营、财务状况发生较大变化或者存在违法行为，招标人认为可能影响其履约能力的，应当在发出中标通知书前由原评标委员会按照招标文件规定的标准和方法审查确认。</w:t>
      </w:r>
    </w:p>
    <w:p w14:paraId="7F9C4509">
      <w:pPr>
        <w:spacing w:line="420" w:lineRule="exact"/>
        <w:ind w:firstLine="421"/>
        <w:jc w:val="left"/>
        <w:outlineLvl w:val="3"/>
        <w:rPr>
          <w:rFonts w:hint="eastAsia" w:ascii="宋体" w:hAnsi="Times New Roman" w:eastAsia="宋体" w:cs="Times New Roman"/>
          <w:b/>
          <w:color w:val="auto"/>
          <w:szCs w:val="21"/>
          <w:highlight w:val="none"/>
        </w:rPr>
      </w:pPr>
      <w:r>
        <w:rPr>
          <w:rFonts w:hint="eastAsia" w:ascii="宋体" w:hAnsi="Times New Roman" w:eastAsia="宋体" w:cs="Times New Roman"/>
          <w:b/>
          <w:color w:val="auto"/>
          <w:szCs w:val="21"/>
          <w:highlight w:val="none"/>
          <w:lang w:val="en-US" w:eastAsia="zh-CN"/>
        </w:rPr>
        <w:t>35.</w:t>
      </w:r>
      <w:r>
        <w:rPr>
          <w:rFonts w:hint="eastAsia" w:ascii="宋体" w:hAnsi="Times New Roman" w:eastAsia="宋体" w:cs="Times New Roman"/>
          <w:b/>
          <w:color w:val="auto"/>
          <w:szCs w:val="21"/>
          <w:highlight w:val="none"/>
        </w:rPr>
        <w:t>业绩公示</w:t>
      </w:r>
    </w:p>
    <w:p w14:paraId="771F4BCB">
      <w:pPr>
        <w:spacing w:line="420" w:lineRule="exact"/>
        <w:ind w:firstLine="420" w:firstLineChars="200"/>
        <w:jc w:val="left"/>
        <w:outlineLvl w:val="4"/>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.1招标人对中标人的得分业绩进行公示。</w:t>
      </w:r>
    </w:p>
    <w:p w14:paraId="56FFBD3C">
      <w:pPr>
        <w:spacing w:line="420" w:lineRule="exact"/>
        <w:ind w:firstLine="421"/>
        <w:jc w:val="left"/>
        <w:outlineLvl w:val="3"/>
        <w:rPr>
          <w:rFonts w:hint="eastAsia" w:ascii="宋体" w:hAnsi="Times New Roman" w:eastAsia="宋体" w:cs="Times New Roman"/>
          <w:b/>
          <w:color w:val="auto"/>
          <w:szCs w:val="21"/>
          <w:highlight w:val="none"/>
        </w:rPr>
      </w:pPr>
      <w:r>
        <w:rPr>
          <w:rFonts w:hint="eastAsia" w:ascii="宋体" w:hAnsi="Times New Roman" w:eastAsia="宋体" w:cs="Times New Roman"/>
          <w:b/>
          <w:color w:val="auto"/>
          <w:szCs w:val="21"/>
          <w:highlight w:val="none"/>
          <w:lang w:val="en-US" w:eastAsia="zh-CN"/>
        </w:rPr>
        <w:t>36.</w:t>
      </w:r>
      <w:r>
        <w:rPr>
          <w:rFonts w:hint="eastAsia" w:ascii="宋体" w:hAnsi="Times New Roman" w:eastAsia="宋体" w:cs="Times New Roman"/>
          <w:b/>
          <w:color w:val="auto"/>
          <w:szCs w:val="21"/>
          <w:highlight w:val="none"/>
        </w:rPr>
        <w:t>定标</w:t>
      </w:r>
    </w:p>
    <w:p w14:paraId="1B1C5EA6">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2685F399">
      <w:pPr>
        <w:spacing w:line="420" w:lineRule="exact"/>
        <w:ind w:firstLine="421"/>
        <w:jc w:val="left"/>
        <w:outlineLvl w:val="3"/>
        <w:rPr>
          <w:rFonts w:hint="eastAsia" w:ascii="宋体" w:hAnsi="Times New Roman" w:eastAsia="宋体" w:cs="Times New Roman"/>
          <w:b/>
          <w:color w:val="auto"/>
          <w:szCs w:val="21"/>
          <w:highlight w:val="none"/>
        </w:rPr>
      </w:pPr>
      <w:r>
        <w:rPr>
          <w:rFonts w:hint="eastAsia" w:ascii="宋体" w:hAnsi="Times New Roman" w:eastAsia="宋体" w:cs="Times New Roman"/>
          <w:b/>
          <w:color w:val="auto"/>
          <w:szCs w:val="21"/>
          <w:highlight w:val="none"/>
          <w:lang w:val="en-US" w:eastAsia="zh-CN"/>
        </w:rPr>
        <w:t>37.</w:t>
      </w:r>
      <w:r>
        <w:rPr>
          <w:rFonts w:hint="eastAsia" w:ascii="宋体" w:hAnsi="Times New Roman" w:eastAsia="宋体" w:cs="Times New Roman"/>
          <w:b/>
          <w:color w:val="auto"/>
          <w:szCs w:val="21"/>
          <w:highlight w:val="none"/>
        </w:rPr>
        <w:t>中标通知</w:t>
      </w:r>
    </w:p>
    <w:p w14:paraId="4A5D538A">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.1在本招标文件规定的投标有效期内，招标人以数据电文向中标人发出中标通知书，同时将中标结果通知未中标的投标人。</w:t>
      </w:r>
    </w:p>
    <w:p w14:paraId="41B418CA">
      <w:pPr>
        <w:spacing w:line="420" w:lineRule="exact"/>
        <w:ind w:firstLine="421"/>
        <w:jc w:val="left"/>
        <w:outlineLvl w:val="3"/>
        <w:rPr>
          <w:rFonts w:hint="eastAsia" w:ascii="宋体" w:hAnsi="Times New Roman" w:eastAsia="宋体" w:cs="Times New Roman"/>
          <w:b/>
          <w:color w:val="auto"/>
          <w:szCs w:val="21"/>
          <w:highlight w:val="none"/>
        </w:rPr>
      </w:pPr>
      <w:r>
        <w:rPr>
          <w:rFonts w:hint="eastAsia" w:ascii="宋体" w:hAnsi="Times New Roman" w:eastAsia="宋体" w:cs="Times New Roman"/>
          <w:b/>
          <w:color w:val="auto"/>
          <w:szCs w:val="21"/>
          <w:highlight w:val="none"/>
          <w:lang w:val="en-US" w:eastAsia="zh-CN"/>
        </w:rPr>
        <w:t>38.</w:t>
      </w:r>
      <w:r>
        <w:rPr>
          <w:rFonts w:hint="eastAsia" w:ascii="宋体" w:hAnsi="Times New Roman" w:eastAsia="宋体" w:cs="Times New Roman"/>
          <w:b/>
          <w:color w:val="auto"/>
          <w:szCs w:val="21"/>
          <w:highlight w:val="none"/>
        </w:rPr>
        <w:t>履约担保</w:t>
      </w:r>
    </w:p>
    <w:p w14:paraId="559875E8">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38</w:t>
      </w:r>
      <w:r>
        <w:rPr>
          <w:rFonts w:hint="eastAsia" w:ascii="宋体" w:hAnsi="宋体" w:eastAsia="宋体" w:cs="宋体"/>
          <w:color w:val="auto"/>
          <w:szCs w:val="21"/>
          <w:highlight w:val="none"/>
        </w:rPr>
        <w:t>.1在签订合同前，中标人应按投标人须知前附表规定的担保形式和招标文件第六章“合同条款及格式”规定的或者事先经过招标人书面认可的履约担保格式向招标人提交履约担保。联合体中标的，其履约担保应符合投标人须知前附表规定的金额、担保形式和招标文件第六章“合同条款及格式”规定的履约担保格式要求。</w:t>
      </w:r>
    </w:p>
    <w:p w14:paraId="522C2A1D">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38</w:t>
      </w:r>
      <w:r>
        <w:rPr>
          <w:rFonts w:hint="eastAsia" w:ascii="宋体" w:hAnsi="宋体" w:eastAsia="宋体" w:cs="宋体"/>
          <w:color w:val="auto"/>
          <w:szCs w:val="21"/>
          <w:highlight w:val="none"/>
        </w:rPr>
        <w:t>.2中标人不能按本章第</w:t>
      </w:r>
      <w:r>
        <w:rPr>
          <w:rFonts w:hint="eastAsia" w:ascii="宋体" w:hAnsi="宋体" w:eastAsia="宋体" w:cs="宋体"/>
          <w:color w:val="auto"/>
          <w:szCs w:val="21"/>
          <w:highlight w:val="none"/>
          <w:lang w:val="en-US" w:eastAsia="zh-CN"/>
        </w:rPr>
        <w:t>38</w:t>
      </w:r>
      <w:r>
        <w:rPr>
          <w:rFonts w:hint="eastAsia" w:ascii="宋体" w:hAnsi="宋体" w:eastAsia="宋体" w:cs="宋体"/>
          <w:color w:val="auto"/>
          <w:szCs w:val="21"/>
          <w:highlight w:val="none"/>
        </w:rPr>
        <w:t>.1项要求提交履约担保的，视为放弃中标，其投标保证金不予退还，给招标人造成的损失超过投标保证金数额的，中标人还应当对超过部分予以赔偿。</w:t>
      </w:r>
    </w:p>
    <w:p w14:paraId="714716C8">
      <w:pPr>
        <w:spacing w:line="420" w:lineRule="exact"/>
        <w:ind w:firstLine="421"/>
        <w:jc w:val="left"/>
        <w:outlineLvl w:val="3"/>
        <w:rPr>
          <w:rFonts w:hint="eastAsia" w:ascii="宋体" w:hAnsi="Times New Roman" w:eastAsia="宋体" w:cs="Times New Roman"/>
          <w:b/>
          <w:color w:val="auto"/>
          <w:szCs w:val="21"/>
          <w:highlight w:val="none"/>
        </w:rPr>
      </w:pPr>
      <w:r>
        <w:rPr>
          <w:rFonts w:hint="eastAsia" w:ascii="宋体" w:hAnsi="Times New Roman" w:eastAsia="宋体" w:cs="Times New Roman"/>
          <w:b/>
          <w:color w:val="auto"/>
          <w:szCs w:val="21"/>
          <w:highlight w:val="none"/>
          <w:lang w:val="en-US" w:eastAsia="zh-CN"/>
        </w:rPr>
        <w:t>39.</w:t>
      </w:r>
      <w:r>
        <w:rPr>
          <w:rFonts w:hint="eastAsia" w:ascii="宋体" w:hAnsi="Times New Roman" w:eastAsia="宋体" w:cs="Times New Roman"/>
          <w:b/>
          <w:color w:val="auto"/>
          <w:szCs w:val="21"/>
          <w:highlight w:val="none"/>
        </w:rPr>
        <w:t>签订合同</w:t>
      </w:r>
    </w:p>
    <w:p w14:paraId="30514238">
      <w:pPr>
        <w:spacing w:line="420" w:lineRule="exact"/>
        <w:ind w:firstLine="420" w:firstLineChars="200"/>
        <w:jc w:val="left"/>
        <w:outlineLvl w:val="4"/>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39</w:t>
      </w:r>
      <w:r>
        <w:rPr>
          <w:rFonts w:hint="eastAsia" w:ascii="宋体" w:hAnsi="宋体" w:eastAsia="宋体" w:cs="宋体"/>
          <w:color w:val="auto"/>
          <w:szCs w:val="21"/>
          <w:highlight w:val="none"/>
        </w:rPr>
        <w:t>.1本项目合同将授予按本须知第</w:t>
      </w:r>
      <w:r>
        <w:rPr>
          <w:rFonts w:hint="eastAsia" w:ascii="宋体" w:hAnsi="宋体" w:eastAsia="宋体" w:cs="宋体"/>
          <w:color w:val="auto"/>
          <w:szCs w:val="21"/>
          <w:highlight w:val="none"/>
          <w:lang w:val="en-US" w:eastAsia="zh-CN"/>
        </w:rPr>
        <w:t>37</w:t>
      </w:r>
      <w:r>
        <w:rPr>
          <w:rFonts w:hint="eastAsia" w:ascii="宋体" w:hAnsi="宋体" w:eastAsia="宋体" w:cs="宋体"/>
          <w:color w:val="auto"/>
          <w:szCs w:val="21"/>
          <w:highlight w:val="none"/>
        </w:rPr>
        <w:t>款规定所确定的中标人。</w:t>
      </w:r>
    </w:p>
    <w:p w14:paraId="07827BB3">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39</w:t>
      </w:r>
      <w:r>
        <w:rPr>
          <w:rFonts w:hint="eastAsia" w:ascii="宋体" w:hAnsi="宋体" w:eastAsia="宋体" w:cs="宋体"/>
          <w:color w:val="auto"/>
          <w:szCs w:val="21"/>
          <w:highlight w:val="none"/>
        </w:rPr>
        <w:t>.2招标人和中标人应当自中标通知书发出之日起30天内，根据招标文件和中标人的投标文件订立书面合同。中标人无正当理由拒签合同的，在签订合同时向招标人提出附加条件，或不按照招标文件要求提交履约保证金的，招标人取消其中标资格，其投标保证金不予退还；给招标人造成的损失超过投标保证金数额的，中标人还应当对超过部分予以赔偿。</w:t>
      </w:r>
    </w:p>
    <w:p w14:paraId="290FBC6D">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39</w:t>
      </w:r>
      <w:r>
        <w:rPr>
          <w:rFonts w:hint="eastAsia" w:ascii="宋体" w:hAnsi="宋体" w:eastAsia="宋体" w:cs="宋体"/>
          <w:color w:val="auto"/>
          <w:szCs w:val="21"/>
          <w:highlight w:val="none"/>
        </w:rPr>
        <w:t>.3发出中标通知书后，招标人无正当理由拒签合同的，招标人向中标人退还投标保证金；给中标人造成损失的，还应当赔偿损失。</w:t>
      </w:r>
    </w:p>
    <w:p w14:paraId="72486D3B">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39</w:t>
      </w:r>
      <w:r>
        <w:rPr>
          <w:rFonts w:hint="eastAsia" w:ascii="宋体" w:hAnsi="宋体" w:eastAsia="宋体" w:cs="宋体"/>
          <w:color w:val="auto"/>
          <w:szCs w:val="21"/>
          <w:highlight w:val="none"/>
        </w:rPr>
        <w:t>.4 除法定情形外，建设工程合同履行期间项目经理（建造师）不得更换。项目经理（建造师）确需变更的，应根据招标文件要求，变更后的项目经理（建造师）不低于投标文件中拟派项目经理（建造师）的资格条件。</w:t>
      </w:r>
    </w:p>
    <w:p w14:paraId="58E4699E">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39</w:t>
      </w:r>
      <w:r>
        <w:rPr>
          <w:rFonts w:hint="eastAsia" w:ascii="宋体" w:hAnsi="宋体" w:eastAsia="宋体" w:cs="宋体"/>
          <w:color w:val="auto"/>
          <w:szCs w:val="21"/>
          <w:highlight w:val="none"/>
        </w:rPr>
        <w:t>.5联合体中标的，联合体各方应当共同与招标人签订合同，就中标项目向招标人承担连带责任。</w:t>
      </w:r>
    </w:p>
    <w:p w14:paraId="52E4472B">
      <w:pPr>
        <w:spacing w:line="420" w:lineRule="exact"/>
        <w:ind w:firstLine="421"/>
        <w:jc w:val="left"/>
        <w:outlineLvl w:val="3"/>
        <w:rPr>
          <w:rFonts w:hint="eastAsia" w:ascii="宋体" w:hAnsi="Times New Roman" w:eastAsia="宋体" w:cs="Times New Roman"/>
          <w:b/>
          <w:color w:val="auto"/>
          <w:szCs w:val="21"/>
          <w:highlight w:val="none"/>
        </w:rPr>
      </w:pPr>
      <w:r>
        <w:rPr>
          <w:rFonts w:hint="eastAsia" w:ascii="宋体" w:hAnsi="Times New Roman" w:eastAsia="宋体" w:cs="Times New Roman"/>
          <w:b/>
          <w:color w:val="auto"/>
          <w:szCs w:val="21"/>
          <w:highlight w:val="none"/>
          <w:lang w:val="en-US" w:eastAsia="zh-CN"/>
        </w:rPr>
        <w:t>40.</w:t>
      </w:r>
      <w:r>
        <w:rPr>
          <w:rFonts w:hint="eastAsia" w:ascii="宋体" w:hAnsi="Times New Roman" w:eastAsia="宋体" w:cs="Times New Roman"/>
          <w:b/>
          <w:color w:val="auto"/>
          <w:szCs w:val="21"/>
          <w:highlight w:val="none"/>
        </w:rPr>
        <w:t>重新招标和不再招标</w:t>
      </w:r>
    </w:p>
    <w:p w14:paraId="1E131DFC">
      <w:pPr>
        <w:spacing w:line="420" w:lineRule="exact"/>
        <w:ind w:firstLine="420" w:firstLineChars="200"/>
        <w:jc w:val="left"/>
        <w:outlineLvl w:val="4"/>
        <w:rPr>
          <w:rFonts w:hint="eastAsia" w:ascii="宋体" w:hAnsi="宋体" w:eastAsia="宋体" w:cs="宋体"/>
          <w:color w:val="auto"/>
          <w:szCs w:val="21"/>
          <w:highlight w:val="none"/>
        </w:rPr>
      </w:pPr>
      <w:bookmarkStart w:id="54" w:name="_Toc152045572"/>
      <w:bookmarkStart w:id="55" w:name="_Toc60061479"/>
      <w:bookmarkStart w:id="56" w:name="_Toc179632590"/>
      <w:bookmarkStart w:id="57" w:name="_Toc144974540"/>
      <w:bookmarkStart w:id="58" w:name="_Toc95223382"/>
      <w:bookmarkStart w:id="59" w:name="_Toc152042348"/>
      <w:bookmarkStart w:id="60" w:name="_Toc83301733"/>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.1 重新招标</w:t>
      </w:r>
      <w:bookmarkEnd w:id="54"/>
      <w:bookmarkEnd w:id="55"/>
      <w:bookmarkEnd w:id="56"/>
      <w:bookmarkEnd w:id="57"/>
      <w:bookmarkEnd w:id="58"/>
      <w:bookmarkEnd w:id="59"/>
      <w:bookmarkEnd w:id="60"/>
    </w:p>
    <w:p w14:paraId="22E3163D">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.1.1依法必须招标的项目有下列情形之一的，招标人将重新招标：</w:t>
      </w:r>
    </w:p>
    <w:p w14:paraId="28D0EC33">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（1）投标截止时间止，投标人少于3个的；</w:t>
      </w:r>
    </w:p>
    <w:p w14:paraId="73FF38E9">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（2）经评标委员会评审后否决所有投标的；</w:t>
      </w:r>
    </w:p>
    <w:p w14:paraId="03203369">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（3）中标候选人均未与招标人签订合同的；</w:t>
      </w:r>
    </w:p>
    <w:p w14:paraId="7698396F">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（4）法律、法规规定的其他情形。</w:t>
      </w:r>
    </w:p>
    <w:p w14:paraId="45FDAF26">
      <w:pPr>
        <w:spacing w:line="420" w:lineRule="exact"/>
        <w:ind w:firstLine="420" w:firstLineChars="200"/>
        <w:jc w:val="left"/>
        <w:outlineLvl w:val="4"/>
        <w:rPr>
          <w:rFonts w:hint="eastAsia" w:ascii="宋体" w:hAnsi="宋体" w:eastAsia="宋体" w:cs="宋体"/>
          <w:color w:val="auto"/>
          <w:szCs w:val="21"/>
          <w:highlight w:val="none"/>
        </w:rPr>
      </w:pPr>
      <w:bookmarkStart w:id="61" w:name="_Toc179632591"/>
      <w:bookmarkStart w:id="62" w:name="_Toc144974541"/>
      <w:bookmarkStart w:id="63" w:name="_Toc152042349"/>
      <w:bookmarkStart w:id="64" w:name="_Toc152045573"/>
      <w:bookmarkStart w:id="65" w:name="_Toc60061480"/>
      <w:bookmarkStart w:id="66" w:name="_Toc83301734"/>
      <w:bookmarkStart w:id="67" w:name="_Toc95223383"/>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.2 不再招标</w:t>
      </w:r>
      <w:bookmarkEnd w:id="61"/>
      <w:bookmarkEnd w:id="62"/>
      <w:bookmarkEnd w:id="63"/>
      <w:bookmarkEnd w:id="64"/>
      <w:bookmarkEnd w:id="65"/>
      <w:bookmarkEnd w:id="66"/>
      <w:bookmarkEnd w:id="67"/>
    </w:p>
    <w:p w14:paraId="4760FEC9">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40</w:t>
      </w:r>
      <w:r>
        <w:rPr>
          <w:rFonts w:hint="eastAsia" w:ascii="宋体" w:hAnsi="宋体" w:eastAsia="宋体" w:cs="宋体"/>
          <w:color w:val="auto"/>
          <w:szCs w:val="21"/>
          <w:highlight w:val="none"/>
        </w:rPr>
        <w:t>.2.1重新招标后投标人仍少于3个或者所有投标被否决的，属于必须审批或核准的工程建设项目，经原审批或核准部门批准后不再进行招标。</w:t>
      </w:r>
    </w:p>
    <w:p w14:paraId="0567F33D">
      <w:pPr>
        <w:keepNext w:val="0"/>
        <w:keepLines w:val="0"/>
        <w:widowControl w:val="0"/>
        <w:kinsoku/>
        <w:wordWrap/>
        <w:overflowPunct/>
        <w:topLinePunct w:val="0"/>
        <w:autoSpaceDE/>
        <w:autoSpaceDN/>
        <w:bidi w:val="0"/>
        <w:spacing w:line="520" w:lineRule="exact"/>
        <w:ind w:left="0" w:right="0" w:rightChars="0" w:firstLine="562" w:firstLineChars="200"/>
        <w:jc w:val="center"/>
        <w:textAlignment w:val="auto"/>
        <w:outlineLvl w:val="2"/>
        <w:rPr>
          <w:rFonts w:hint="eastAsia" w:ascii="宋体" w:hAnsi="Times New Roman" w:eastAsia="宋体" w:cs="Times New Roman"/>
          <w:b/>
          <w:color w:val="auto"/>
          <w:sz w:val="28"/>
          <w:szCs w:val="28"/>
          <w:highlight w:val="none"/>
        </w:rPr>
      </w:pPr>
      <w:r>
        <w:rPr>
          <w:rFonts w:hint="eastAsia" w:ascii="宋体" w:hAnsi="Times New Roman" w:eastAsia="宋体" w:cs="Times New Roman"/>
          <w:b/>
          <w:color w:val="auto"/>
          <w:sz w:val="28"/>
          <w:szCs w:val="28"/>
          <w:highlight w:val="none"/>
        </w:rPr>
        <w:t>（七）纪律和监督</w:t>
      </w:r>
      <w:bookmarkEnd w:id="53"/>
    </w:p>
    <w:p w14:paraId="5228FBB9">
      <w:pPr>
        <w:spacing w:line="420" w:lineRule="exact"/>
        <w:ind w:firstLine="421"/>
        <w:jc w:val="left"/>
        <w:outlineLvl w:val="3"/>
        <w:rPr>
          <w:rFonts w:hint="eastAsia" w:ascii="宋体" w:hAnsi="Times New Roman" w:eastAsia="宋体" w:cs="Times New Roman"/>
          <w:b/>
          <w:color w:val="auto"/>
          <w:szCs w:val="21"/>
          <w:highlight w:val="none"/>
        </w:rPr>
      </w:pPr>
      <w:r>
        <w:rPr>
          <w:rFonts w:hint="eastAsia" w:ascii="宋体" w:hAnsi="Times New Roman" w:eastAsia="宋体" w:cs="Times New Roman"/>
          <w:b/>
          <w:color w:val="auto"/>
          <w:szCs w:val="21"/>
          <w:highlight w:val="none"/>
          <w:lang w:val="en-US" w:eastAsia="zh-CN"/>
        </w:rPr>
        <w:t>41.</w:t>
      </w:r>
      <w:r>
        <w:rPr>
          <w:rFonts w:hint="eastAsia" w:ascii="宋体" w:hAnsi="Times New Roman" w:eastAsia="宋体" w:cs="Times New Roman"/>
          <w:b/>
          <w:color w:val="auto"/>
          <w:szCs w:val="21"/>
          <w:highlight w:val="none"/>
        </w:rPr>
        <w:t xml:space="preserve">对招标人的纪律要求 </w:t>
      </w:r>
    </w:p>
    <w:p w14:paraId="4D21C0A1">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.1招标人不得泄漏招标投标活动中应当保密的情况和资料，不得与投标人串通损害国家利益、社会公共利益或者他人合法权益。</w:t>
      </w:r>
    </w:p>
    <w:p w14:paraId="227A8D31">
      <w:pPr>
        <w:spacing w:line="420" w:lineRule="exact"/>
        <w:ind w:firstLine="421"/>
        <w:jc w:val="left"/>
        <w:outlineLvl w:val="3"/>
        <w:rPr>
          <w:rFonts w:hint="eastAsia" w:ascii="宋体" w:hAnsi="Times New Roman" w:eastAsia="宋体" w:cs="Times New Roman"/>
          <w:b/>
          <w:color w:val="auto"/>
          <w:szCs w:val="21"/>
          <w:highlight w:val="none"/>
        </w:rPr>
      </w:pPr>
      <w:r>
        <w:rPr>
          <w:rFonts w:hint="eastAsia" w:ascii="宋体" w:hAnsi="Times New Roman" w:eastAsia="宋体" w:cs="Times New Roman"/>
          <w:b/>
          <w:color w:val="auto"/>
          <w:szCs w:val="21"/>
          <w:highlight w:val="none"/>
          <w:lang w:val="en-US" w:eastAsia="zh-CN"/>
        </w:rPr>
        <w:t>42.</w:t>
      </w:r>
      <w:r>
        <w:rPr>
          <w:rFonts w:hint="eastAsia" w:ascii="宋体" w:hAnsi="Times New Roman" w:eastAsia="宋体" w:cs="Times New Roman"/>
          <w:b/>
          <w:color w:val="auto"/>
          <w:szCs w:val="21"/>
          <w:highlight w:val="none"/>
        </w:rPr>
        <w:t xml:space="preserve">对投标人的纪律要求 </w:t>
      </w:r>
    </w:p>
    <w:p w14:paraId="597D9998">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.1投标人不得相互串通投标或者与招标人串通投标，不得向招标人或者评标委员会成员行贿谋取中标，不得以他人名义投标或者以其他方式弄虚作假骗取中标；投标人不得以任何方式干扰、影响评标工作。</w:t>
      </w:r>
    </w:p>
    <w:p w14:paraId="4AF56EB7">
      <w:pPr>
        <w:spacing w:line="420" w:lineRule="exact"/>
        <w:ind w:firstLine="421"/>
        <w:jc w:val="left"/>
        <w:outlineLvl w:val="3"/>
        <w:rPr>
          <w:rFonts w:hint="eastAsia" w:ascii="宋体" w:hAnsi="Times New Roman" w:eastAsia="宋体" w:cs="Times New Roman"/>
          <w:b/>
          <w:color w:val="auto"/>
          <w:szCs w:val="21"/>
          <w:highlight w:val="none"/>
        </w:rPr>
      </w:pPr>
      <w:r>
        <w:rPr>
          <w:rFonts w:hint="eastAsia" w:ascii="宋体" w:hAnsi="Times New Roman" w:eastAsia="宋体" w:cs="Times New Roman"/>
          <w:b/>
          <w:color w:val="auto"/>
          <w:szCs w:val="21"/>
          <w:highlight w:val="none"/>
          <w:lang w:val="en-US" w:eastAsia="zh-CN"/>
        </w:rPr>
        <w:t>43.</w:t>
      </w:r>
      <w:r>
        <w:rPr>
          <w:rFonts w:hint="eastAsia" w:ascii="宋体" w:hAnsi="Times New Roman" w:eastAsia="宋体" w:cs="Times New Roman"/>
          <w:b/>
          <w:color w:val="auto"/>
          <w:szCs w:val="21"/>
          <w:highlight w:val="none"/>
        </w:rPr>
        <w:t xml:space="preserve">对评标委员会成员的纪律要求 </w:t>
      </w:r>
    </w:p>
    <w:p w14:paraId="082DD567">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1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四章“评标办法”没有规定的评审因素和标准进行评标。</w:t>
      </w:r>
    </w:p>
    <w:p w14:paraId="1EF15B87">
      <w:pPr>
        <w:spacing w:line="420" w:lineRule="exact"/>
        <w:ind w:firstLine="421"/>
        <w:jc w:val="left"/>
        <w:outlineLvl w:val="3"/>
        <w:rPr>
          <w:rFonts w:hint="eastAsia" w:ascii="宋体" w:hAnsi="Times New Roman" w:eastAsia="宋体" w:cs="Times New Roman"/>
          <w:b/>
          <w:color w:val="auto"/>
          <w:szCs w:val="21"/>
          <w:highlight w:val="none"/>
        </w:rPr>
      </w:pPr>
      <w:r>
        <w:rPr>
          <w:rFonts w:hint="eastAsia" w:ascii="宋体" w:hAnsi="Times New Roman" w:eastAsia="宋体" w:cs="Times New Roman"/>
          <w:b/>
          <w:color w:val="auto"/>
          <w:szCs w:val="21"/>
          <w:highlight w:val="none"/>
          <w:lang w:val="en-US" w:eastAsia="zh-CN"/>
        </w:rPr>
        <w:t>44.</w:t>
      </w:r>
      <w:r>
        <w:rPr>
          <w:rFonts w:hint="eastAsia" w:ascii="宋体" w:hAnsi="Times New Roman" w:eastAsia="宋体" w:cs="Times New Roman"/>
          <w:b/>
          <w:color w:val="auto"/>
          <w:szCs w:val="21"/>
          <w:highlight w:val="none"/>
        </w:rPr>
        <w:t xml:space="preserve">对与评标活动有关的工作人员的纪律要求 </w:t>
      </w:r>
    </w:p>
    <w:p w14:paraId="1C1F2639">
      <w:pPr>
        <w:spacing w:line="420" w:lineRule="exact"/>
        <w:ind w:firstLine="420" w:firstLineChars="200"/>
        <w:jc w:val="left"/>
        <w:rPr>
          <w:rFonts w:hint="eastAsia" w:ascii="宋体" w:hAnsi="宋体" w:eastAsia="宋体" w:cs="宋体"/>
          <w:color w:val="auto"/>
          <w:szCs w:val="21"/>
          <w:highlight w:val="none"/>
        </w:rPr>
      </w:pPr>
      <w:bookmarkStart w:id="68" w:name="_Toc152042355"/>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68"/>
    </w:p>
    <w:p w14:paraId="2E11900B">
      <w:pPr>
        <w:keepNext w:val="0"/>
        <w:keepLines w:val="0"/>
        <w:widowControl w:val="0"/>
        <w:kinsoku/>
        <w:wordWrap/>
        <w:overflowPunct/>
        <w:topLinePunct w:val="0"/>
        <w:autoSpaceDE/>
        <w:autoSpaceDN/>
        <w:bidi w:val="0"/>
        <w:spacing w:line="520" w:lineRule="exact"/>
        <w:ind w:left="0" w:right="0" w:rightChars="0" w:firstLine="562" w:firstLineChars="200"/>
        <w:jc w:val="center"/>
        <w:textAlignment w:val="auto"/>
        <w:outlineLvl w:val="2"/>
        <w:rPr>
          <w:rFonts w:hint="eastAsia" w:ascii="宋体" w:hAnsi="Times New Roman" w:eastAsia="宋体" w:cs="Times New Roman"/>
          <w:b/>
          <w:color w:val="auto"/>
          <w:sz w:val="28"/>
          <w:szCs w:val="28"/>
          <w:highlight w:val="none"/>
        </w:rPr>
      </w:pPr>
      <w:r>
        <w:rPr>
          <w:rFonts w:hint="eastAsia" w:ascii="宋体" w:hAnsi="Times New Roman" w:eastAsia="宋体" w:cs="Times New Roman"/>
          <w:b/>
          <w:color w:val="auto"/>
          <w:sz w:val="28"/>
          <w:szCs w:val="28"/>
          <w:highlight w:val="none"/>
        </w:rPr>
        <w:t>（八）投诉</w:t>
      </w:r>
    </w:p>
    <w:p w14:paraId="5D9A1662">
      <w:pPr>
        <w:spacing w:line="420" w:lineRule="exact"/>
        <w:ind w:firstLine="421"/>
        <w:jc w:val="left"/>
        <w:outlineLvl w:val="3"/>
        <w:rPr>
          <w:rFonts w:hint="eastAsia" w:ascii="宋体" w:hAnsi="Times New Roman" w:eastAsia="宋体" w:cs="Times New Roman"/>
          <w:b/>
          <w:color w:val="auto"/>
          <w:szCs w:val="21"/>
          <w:highlight w:val="none"/>
        </w:rPr>
      </w:pPr>
      <w:r>
        <w:rPr>
          <w:rFonts w:hint="eastAsia" w:ascii="宋体" w:hAnsi="Times New Roman" w:eastAsia="宋体" w:cs="Times New Roman"/>
          <w:b/>
          <w:color w:val="auto"/>
          <w:szCs w:val="21"/>
          <w:highlight w:val="none"/>
        </w:rPr>
        <w:t>4</w:t>
      </w:r>
      <w:r>
        <w:rPr>
          <w:rFonts w:hint="eastAsia" w:ascii="宋体" w:hAnsi="Times New Roman" w:eastAsia="宋体" w:cs="Times New Roman"/>
          <w:b/>
          <w:color w:val="auto"/>
          <w:szCs w:val="21"/>
          <w:highlight w:val="none"/>
          <w:lang w:val="en-US" w:eastAsia="zh-CN"/>
        </w:rPr>
        <w:t>5</w:t>
      </w:r>
      <w:r>
        <w:rPr>
          <w:rFonts w:hint="eastAsia" w:ascii="宋体" w:hAnsi="Times New Roman" w:eastAsia="宋体" w:cs="Times New Roman"/>
          <w:b/>
          <w:color w:val="auto"/>
          <w:szCs w:val="21"/>
          <w:highlight w:val="none"/>
        </w:rPr>
        <w:t>. 投诉</w:t>
      </w:r>
    </w:p>
    <w:p w14:paraId="7C554752">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.1投标人或者其他利害关系人认为招标投标活动违反法律、法规和规章规定的，有权向相关行政监督部门投诉。投诉应当有明确的请求和必要的证明材料。</w:t>
      </w:r>
    </w:p>
    <w:p w14:paraId="2277CC36">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.2投标人和其他利害关系人对招标文件、开标和评标结果事项投诉的，应当按照投标人须知的规定先向招标人提出异议。异议答复期间不计算在第4</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.1项规定的期限内。</w:t>
      </w:r>
    </w:p>
    <w:p w14:paraId="23A690D3">
      <w:pPr>
        <w:rPr>
          <w:rFonts w:hint="eastAsia" w:ascii="宋体"/>
          <w:bCs w:val="0"/>
          <w:color w:val="auto"/>
          <w:szCs w:val="32"/>
          <w:highlight w:val="none"/>
        </w:rPr>
      </w:pPr>
      <w:bookmarkStart w:id="69" w:name="_Toc28871"/>
      <w:r>
        <w:rPr>
          <w:rFonts w:hint="eastAsia" w:ascii="宋体"/>
          <w:bCs w:val="0"/>
          <w:color w:val="auto"/>
          <w:szCs w:val="32"/>
          <w:highlight w:val="none"/>
        </w:rPr>
        <w:br w:type="page"/>
      </w:r>
    </w:p>
    <w:p w14:paraId="4075E232">
      <w:pPr>
        <w:pStyle w:val="5"/>
        <w:spacing w:before="0" w:after="0" w:line="240" w:lineRule="auto"/>
        <w:jc w:val="center"/>
        <w:rPr>
          <w:rFonts w:hint="eastAsia"/>
          <w:color w:val="auto"/>
          <w:highlight w:val="none"/>
        </w:rPr>
      </w:pPr>
      <w:r>
        <w:rPr>
          <w:rFonts w:hint="eastAsia" w:ascii="宋体"/>
          <w:b/>
          <w:color w:val="auto"/>
          <w:sz w:val="28"/>
          <w:szCs w:val="28"/>
          <w:highlight w:val="none"/>
        </w:rPr>
        <w:t>第三章 资格审查办法</w:t>
      </w:r>
    </w:p>
    <w:p w14:paraId="6F597E36">
      <w:pPr>
        <w:spacing w:before="240" w:beforeLines="100" w:after="240" w:afterLines="100" w:line="400" w:lineRule="exact"/>
        <w:jc w:val="center"/>
        <w:rPr>
          <w:rFonts w:hint="eastAsia" w:ascii="宋体"/>
          <w:b/>
          <w:color w:val="auto"/>
          <w:sz w:val="28"/>
          <w:szCs w:val="28"/>
          <w:highlight w:val="none"/>
        </w:rPr>
      </w:pPr>
      <w:r>
        <w:rPr>
          <w:rFonts w:hint="eastAsia" w:ascii="宋体"/>
          <w:b/>
          <w:color w:val="auto"/>
          <w:sz w:val="28"/>
          <w:szCs w:val="28"/>
          <w:highlight w:val="none"/>
        </w:rPr>
        <w:t>资格审查办法前附表</w:t>
      </w:r>
    </w:p>
    <w:tbl>
      <w:tblPr>
        <w:tblStyle w:val="35"/>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235"/>
        <w:gridCol w:w="3008"/>
        <w:gridCol w:w="3929"/>
      </w:tblGrid>
      <w:tr w14:paraId="381BF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25" w:type="dxa"/>
            <w:noWrap w:val="0"/>
            <w:vAlign w:val="center"/>
          </w:tcPr>
          <w:p w14:paraId="4CC3096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auto"/>
                <w:highlight w:val="none"/>
              </w:rPr>
            </w:pPr>
            <w:r>
              <w:rPr>
                <w:rFonts w:hint="eastAsia" w:ascii="黑体" w:eastAsia="黑体" w:cs="黑体"/>
                <w:b/>
                <w:bCs/>
                <w:color w:val="auto"/>
                <w:szCs w:val="21"/>
                <w:highlight w:val="none"/>
              </w:rPr>
              <w:t>序号</w:t>
            </w:r>
          </w:p>
        </w:tc>
        <w:tc>
          <w:tcPr>
            <w:tcW w:w="4243" w:type="dxa"/>
            <w:gridSpan w:val="2"/>
            <w:noWrap w:val="0"/>
            <w:vAlign w:val="center"/>
          </w:tcPr>
          <w:p w14:paraId="353F4A5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auto"/>
                <w:highlight w:val="none"/>
              </w:rPr>
            </w:pPr>
            <w:r>
              <w:rPr>
                <w:rFonts w:hint="eastAsia" w:ascii="宋体" w:hAnsi="宋体"/>
                <w:color w:val="auto"/>
                <w:szCs w:val="21"/>
                <w:highlight w:val="none"/>
              </w:rPr>
              <w:t>评审因素</w:t>
            </w:r>
          </w:p>
        </w:tc>
        <w:tc>
          <w:tcPr>
            <w:tcW w:w="3929" w:type="dxa"/>
            <w:noWrap w:val="0"/>
            <w:vAlign w:val="center"/>
          </w:tcPr>
          <w:p w14:paraId="3CE63EC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auto"/>
                <w:highlight w:val="none"/>
              </w:rPr>
            </w:pPr>
            <w:r>
              <w:rPr>
                <w:rFonts w:hint="eastAsia" w:ascii="宋体" w:hAnsi="宋体"/>
                <w:color w:val="auto"/>
                <w:szCs w:val="21"/>
                <w:highlight w:val="none"/>
              </w:rPr>
              <w:t>评审标准</w:t>
            </w:r>
          </w:p>
        </w:tc>
      </w:tr>
      <w:tr w14:paraId="6D88F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725" w:type="dxa"/>
            <w:noWrap w:val="0"/>
            <w:vAlign w:val="center"/>
          </w:tcPr>
          <w:p w14:paraId="62C1915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olor w:val="auto"/>
                <w:szCs w:val="21"/>
                <w:highlight w:val="none"/>
              </w:rPr>
            </w:pPr>
            <w:r>
              <w:rPr>
                <w:rFonts w:hint="eastAsia" w:ascii="宋体" w:hAnsi="宋体"/>
                <w:color w:val="auto"/>
                <w:szCs w:val="21"/>
                <w:highlight w:val="none"/>
              </w:rPr>
              <w:t>1</w:t>
            </w:r>
          </w:p>
        </w:tc>
        <w:tc>
          <w:tcPr>
            <w:tcW w:w="1235" w:type="dxa"/>
            <w:noWrap w:val="0"/>
            <w:vAlign w:val="center"/>
          </w:tcPr>
          <w:p w14:paraId="75869B6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olor w:val="auto"/>
                <w:szCs w:val="21"/>
                <w:highlight w:val="none"/>
              </w:rPr>
            </w:pPr>
            <w:r>
              <w:rPr>
                <w:rFonts w:hint="eastAsia" w:ascii="宋体"/>
                <w:color w:val="auto"/>
                <w:szCs w:val="21"/>
                <w:highlight w:val="none"/>
              </w:rPr>
              <w:t>重要要求</w:t>
            </w:r>
          </w:p>
        </w:tc>
        <w:tc>
          <w:tcPr>
            <w:tcW w:w="3008" w:type="dxa"/>
            <w:noWrap w:val="0"/>
            <w:vAlign w:val="center"/>
          </w:tcPr>
          <w:p w14:paraId="45B7DAB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（1）法定代表人身份证明和本人有效身份证(或法定代表人授权委托书和委托代理人有效身份证)</w:t>
            </w:r>
          </w:p>
        </w:tc>
        <w:tc>
          <w:tcPr>
            <w:tcW w:w="3929" w:type="dxa"/>
            <w:noWrap w:val="0"/>
            <w:vAlign w:val="center"/>
          </w:tcPr>
          <w:p w14:paraId="0BE743AD">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olor w:val="auto"/>
                <w:szCs w:val="21"/>
                <w:highlight w:val="none"/>
              </w:rPr>
            </w:pPr>
            <w:r>
              <w:rPr>
                <w:rFonts w:hint="eastAsia"/>
                <w:color w:val="auto"/>
                <w:highlight w:val="none"/>
              </w:rPr>
              <w:t>检验电子标书。</w:t>
            </w:r>
          </w:p>
        </w:tc>
      </w:tr>
      <w:tr w14:paraId="19B97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2" w:hRule="atLeast"/>
          <w:jc w:val="center"/>
        </w:trPr>
        <w:tc>
          <w:tcPr>
            <w:tcW w:w="725" w:type="dxa"/>
            <w:vMerge w:val="restart"/>
            <w:noWrap w:val="0"/>
            <w:vAlign w:val="center"/>
          </w:tcPr>
          <w:p w14:paraId="4C7456E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olor w:val="auto"/>
                <w:szCs w:val="21"/>
                <w:highlight w:val="none"/>
              </w:rPr>
            </w:pPr>
            <w:r>
              <w:rPr>
                <w:rFonts w:hint="eastAsia" w:ascii="宋体" w:hAnsi="宋体"/>
                <w:color w:val="auto"/>
                <w:szCs w:val="21"/>
                <w:highlight w:val="none"/>
              </w:rPr>
              <w:t>2</w:t>
            </w:r>
          </w:p>
        </w:tc>
        <w:tc>
          <w:tcPr>
            <w:tcW w:w="1235" w:type="dxa"/>
            <w:vMerge w:val="restart"/>
            <w:noWrap w:val="0"/>
            <w:vAlign w:val="center"/>
          </w:tcPr>
          <w:p w14:paraId="37B251B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olor w:val="auto"/>
                <w:szCs w:val="21"/>
                <w:highlight w:val="none"/>
              </w:rPr>
            </w:pPr>
            <w:r>
              <w:rPr>
                <w:rFonts w:hint="eastAsia" w:ascii="宋体" w:hAnsi="宋体"/>
                <w:color w:val="auto"/>
                <w:szCs w:val="21"/>
                <w:highlight w:val="none"/>
              </w:rPr>
              <w:t>投标人应符合的基本资格条件</w:t>
            </w:r>
          </w:p>
        </w:tc>
        <w:tc>
          <w:tcPr>
            <w:tcW w:w="3008" w:type="dxa"/>
            <w:noWrap w:val="0"/>
            <w:vAlign w:val="center"/>
          </w:tcPr>
          <w:p w14:paraId="482EC6B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（2）具有独立承担民事责任的能力</w:t>
            </w:r>
          </w:p>
        </w:tc>
        <w:tc>
          <w:tcPr>
            <w:tcW w:w="3929" w:type="dxa"/>
            <w:noWrap w:val="0"/>
            <w:vAlign w:val="center"/>
          </w:tcPr>
          <w:p w14:paraId="395DA89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olor w:val="auto"/>
                <w:szCs w:val="21"/>
                <w:highlight w:val="none"/>
              </w:rPr>
            </w:pPr>
            <w:r>
              <w:rPr>
                <w:rFonts w:hint="eastAsia" w:ascii="宋体"/>
                <w:b/>
                <w:color w:val="auto"/>
                <w:szCs w:val="21"/>
                <w:highlight w:val="none"/>
              </w:rPr>
              <w:t>评审核验电子标书中的下列证书、证明材料：</w:t>
            </w:r>
          </w:p>
          <w:p w14:paraId="0BDF0C0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eastAsia="宋体"/>
                <w:color w:val="auto"/>
                <w:szCs w:val="21"/>
                <w:highlight w:val="none"/>
                <w:lang w:eastAsia="zh-CN"/>
              </w:rPr>
            </w:pPr>
            <w:r>
              <w:rPr>
                <w:rFonts w:hint="eastAsia" w:ascii="宋体"/>
                <w:color w:val="auto"/>
                <w:szCs w:val="21"/>
                <w:highlight w:val="none"/>
              </w:rPr>
              <w:t>投标人有效的营业执照、税务登记证、组织机构码证（或“三证合一证书”）</w:t>
            </w:r>
          </w:p>
        </w:tc>
      </w:tr>
      <w:tr w14:paraId="38B06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25" w:type="dxa"/>
            <w:vMerge w:val="continue"/>
            <w:noWrap w:val="0"/>
            <w:vAlign w:val="center"/>
          </w:tcPr>
          <w:p w14:paraId="49AB816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olor w:val="auto"/>
                <w:szCs w:val="21"/>
                <w:highlight w:val="none"/>
              </w:rPr>
            </w:pPr>
          </w:p>
        </w:tc>
        <w:tc>
          <w:tcPr>
            <w:tcW w:w="1235" w:type="dxa"/>
            <w:vMerge w:val="continue"/>
            <w:noWrap w:val="0"/>
            <w:vAlign w:val="center"/>
          </w:tcPr>
          <w:p w14:paraId="52A2F36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olor w:val="auto"/>
                <w:szCs w:val="21"/>
                <w:highlight w:val="none"/>
              </w:rPr>
            </w:pPr>
          </w:p>
        </w:tc>
        <w:tc>
          <w:tcPr>
            <w:tcW w:w="3008" w:type="dxa"/>
            <w:noWrap w:val="0"/>
            <w:vAlign w:val="top"/>
          </w:tcPr>
          <w:p w14:paraId="7A5CE12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）诚信投标承诺书（或《</w:t>
            </w:r>
            <w:r>
              <w:rPr>
                <w:rFonts w:hint="eastAsia" w:ascii="宋体" w:hAnsi="宋体" w:eastAsia="宋体" w:cs="宋体"/>
                <w:color w:val="auto"/>
                <w:kern w:val="0"/>
                <w:szCs w:val="21"/>
                <w:highlight w:val="none"/>
              </w:rPr>
              <w:t>公共信用信息报告（无违法违规证明版或核查版）</w:t>
            </w:r>
            <w:r>
              <w:rPr>
                <w:rFonts w:hint="eastAsia" w:ascii="宋体" w:hAnsi="宋体" w:eastAsia="宋体" w:cs="宋体"/>
                <w:color w:val="auto"/>
                <w:szCs w:val="21"/>
                <w:highlight w:val="none"/>
              </w:rPr>
              <w:t>》）</w:t>
            </w:r>
          </w:p>
        </w:tc>
        <w:tc>
          <w:tcPr>
            <w:tcW w:w="3929" w:type="dxa"/>
            <w:noWrap w:val="0"/>
            <w:vAlign w:val="top"/>
          </w:tcPr>
          <w:p w14:paraId="2C38A85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b/>
                <w:color w:val="auto"/>
                <w:szCs w:val="21"/>
                <w:highlight w:val="none"/>
              </w:rPr>
            </w:pPr>
            <w:r>
              <w:rPr>
                <w:rFonts w:hint="eastAsia"/>
                <w:color w:val="auto"/>
                <w:highlight w:val="none"/>
              </w:rPr>
              <w:t>格式见附件，检验电子标书</w:t>
            </w:r>
          </w:p>
        </w:tc>
      </w:tr>
      <w:tr w14:paraId="68060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25" w:type="dxa"/>
            <w:vMerge w:val="continue"/>
            <w:noWrap w:val="0"/>
            <w:vAlign w:val="center"/>
          </w:tcPr>
          <w:p w14:paraId="0077545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olor w:val="auto"/>
                <w:szCs w:val="21"/>
                <w:highlight w:val="none"/>
              </w:rPr>
            </w:pPr>
          </w:p>
        </w:tc>
        <w:tc>
          <w:tcPr>
            <w:tcW w:w="1235" w:type="dxa"/>
            <w:vMerge w:val="continue"/>
            <w:noWrap w:val="0"/>
            <w:vAlign w:val="center"/>
          </w:tcPr>
          <w:p w14:paraId="11D3626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olor w:val="auto"/>
                <w:szCs w:val="21"/>
                <w:highlight w:val="none"/>
              </w:rPr>
            </w:pPr>
          </w:p>
        </w:tc>
        <w:tc>
          <w:tcPr>
            <w:tcW w:w="3008" w:type="dxa"/>
            <w:noWrap w:val="0"/>
            <w:vAlign w:val="center"/>
          </w:tcPr>
          <w:p w14:paraId="4B6A9C2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）服务承诺书</w:t>
            </w:r>
          </w:p>
        </w:tc>
        <w:tc>
          <w:tcPr>
            <w:tcW w:w="3929" w:type="dxa"/>
            <w:noWrap w:val="0"/>
            <w:vAlign w:val="center"/>
          </w:tcPr>
          <w:p w14:paraId="18D7A63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olor w:val="auto"/>
                <w:szCs w:val="21"/>
                <w:highlight w:val="none"/>
              </w:rPr>
            </w:pPr>
            <w:r>
              <w:rPr>
                <w:rFonts w:hint="eastAsia"/>
                <w:color w:val="auto"/>
                <w:highlight w:val="none"/>
              </w:rPr>
              <w:t>格式见附件，检验电子标书</w:t>
            </w:r>
          </w:p>
        </w:tc>
      </w:tr>
    </w:tbl>
    <w:p w14:paraId="7037EF55">
      <w:pPr>
        <w:adjustRightInd w:val="0"/>
        <w:snapToGrid w:val="0"/>
        <w:spacing w:line="440" w:lineRule="exact"/>
        <w:ind w:firstLine="422" w:firstLineChars="200"/>
        <w:jc w:val="left"/>
        <w:rPr>
          <w:rFonts w:hint="eastAsia" w:ascii="黑体" w:hAnsi="黑体" w:eastAsia="黑体" w:cs="黑体"/>
          <w:b/>
          <w:bCs/>
          <w:color w:val="auto"/>
          <w:szCs w:val="21"/>
          <w:highlight w:val="none"/>
        </w:rPr>
      </w:pPr>
      <w:r>
        <w:rPr>
          <w:rFonts w:hint="eastAsia" w:ascii="黑体" w:hAnsi="黑体" w:eastAsia="黑体" w:cs="黑体"/>
          <w:b/>
          <w:bCs/>
          <w:color w:val="auto"/>
          <w:szCs w:val="21"/>
          <w:highlight w:val="none"/>
        </w:rPr>
        <w:t>重要提示：</w:t>
      </w:r>
    </w:p>
    <w:p w14:paraId="35520FE8">
      <w:pPr>
        <w:adjustRightInd w:val="0"/>
        <w:snapToGrid w:val="0"/>
        <w:spacing w:line="440" w:lineRule="exact"/>
        <w:ind w:firstLine="422" w:firstLineChars="200"/>
        <w:jc w:val="left"/>
        <w:rPr>
          <w:rFonts w:hint="eastAsia" w:ascii="黑体" w:hAnsi="黑体" w:eastAsia="黑体" w:cs="黑体"/>
          <w:b/>
          <w:bCs/>
          <w:color w:val="auto"/>
          <w:szCs w:val="21"/>
          <w:highlight w:val="none"/>
        </w:rPr>
      </w:pPr>
      <w:bookmarkStart w:id="70" w:name="_Toc95223395"/>
      <w:bookmarkStart w:id="71" w:name="_Toc15058909"/>
      <w:bookmarkStart w:id="72" w:name="_Toc60061492"/>
      <w:bookmarkStart w:id="73" w:name="_Toc506107320"/>
      <w:r>
        <w:rPr>
          <w:rFonts w:hint="eastAsia" w:ascii="黑体" w:hAnsi="黑体" w:eastAsia="黑体" w:cs="黑体"/>
          <w:b/>
          <w:bCs/>
          <w:color w:val="auto"/>
          <w:szCs w:val="21"/>
          <w:highlight w:val="none"/>
        </w:rPr>
        <w:t>（1）资格审查材料可以选择①上传到安徽省公共资源交易市场主体库中，制作投标文件时插上CA数字证书，从安徽省公共资源交易市场主体库中挑选相关材料，或按招标文件要求上传至指定位置；若所需材料无对应栏目，则将该材料上传至“其他所需材料”里，做电子投标文件时从“其他所需材料”里获取。请各投标人自行完善安徽省公共资源交易市场主体库中的单位信息，保证信息最新且有效。②或使用国家企业信用信息公示系统和全国建筑市场监管公共服务平台接口获取营业执照、建设工程相关证书等政务数据，投标人自行核验政务数据的准确性，对引用的政务数据承担责任。</w:t>
      </w:r>
    </w:p>
    <w:p w14:paraId="0C0B0C1E">
      <w:pPr>
        <w:adjustRightInd w:val="0"/>
        <w:snapToGrid w:val="0"/>
        <w:spacing w:line="440" w:lineRule="exact"/>
        <w:ind w:firstLine="422" w:firstLineChars="200"/>
        <w:jc w:val="left"/>
        <w:rPr>
          <w:rFonts w:hint="eastAsia" w:ascii="黑体" w:hAnsi="黑体" w:eastAsia="黑体" w:cs="黑体"/>
          <w:b/>
          <w:bCs/>
          <w:color w:val="auto"/>
          <w:szCs w:val="21"/>
          <w:highlight w:val="none"/>
        </w:rPr>
      </w:pPr>
      <w:r>
        <w:rPr>
          <w:rFonts w:hint="eastAsia" w:ascii="黑体" w:hAnsi="黑体" w:eastAsia="黑体" w:cs="黑体"/>
          <w:b/>
          <w:bCs/>
          <w:color w:val="auto"/>
          <w:szCs w:val="21"/>
          <w:highlight w:val="none"/>
        </w:rPr>
        <w:t>（2）评标专家在检验电子投标文件过程中，如果由于投标人自身原因导致评标专家无法查看并检验电子投标文件中相关资料的，视为无效标处理。即使投标人将原件携带至现场的，同样按无效标处理。</w:t>
      </w:r>
    </w:p>
    <w:bookmarkEnd w:id="70"/>
    <w:bookmarkEnd w:id="71"/>
    <w:bookmarkEnd w:id="72"/>
    <w:bookmarkEnd w:id="73"/>
    <w:p w14:paraId="18D4AEAA">
      <w:pPr>
        <w:adjustRightInd w:val="0"/>
        <w:snapToGrid w:val="0"/>
        <w:spacing w:line="420" w:lineRule="exact"/>
        <w:outlineLvl w:val="1"/>
        <w:rPr>
          <w:rFonts w:hint="eastAsia" w:ascii="宋体" w:hAnsi="宋体" w:cs="宋体"/>
          <w:color w:val="auto"/>
          <w:szCs w:val="21"/>
          <w:highlight w:val="none"/>
        </w:rPr>
      </w:pPr>
      <w:r>
        <w:rPr>
          <w:rFonts w:hint="eastAsia" w:ascii="宋体" w:hAnsi="宋体" w:cs="宋体"/>
          <w:color w:val="auto"/>
          <w:szCs w:val="21"/>
          <w:highlight w:val="none"/>
          <w:lang w:eastAsia="zh-CN"/>
        </w:rPr>
        <w:t>　　</w:t>
      </w:r>
      <w:r>
        <w:rPr>
          <w:rFonts w:hint="eastAsia" w:ascii="宋体" w:hAnsi="宋体" w:cs="宋体"/>
          <w:color w:val="auto"/>
          <w:szCs w:val="21"/>
          <w:highlight w:val="none"/>
        </w:rPr>
        <w:t>1.审查资料</w:t>
      </w:r>
    </w:p>
    <w:p w14:paraId="1860720F">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　　</w:t>
      </w:r>
      <w:r>
        <w:rPr>
          <w:rFonts w:hint="eastAsia" w:ascii="宋体" w:hAnsi="宋体" w:cs="宋体"/>
          <w:color w:val="auto"/>
          <w:szCs w:val="21"/>
          <w:highlight w:val="none"/>
        </w:rPr>
        <w:t>（1）法定代表人身份证明及其有效身份证（或法定代表人授权委托书</w:t>
      </w:r>
      <w:r>
        <w:rPr>
          <w:rFonts w:hint="eastAsia" w:ascii="宋体" w:hAnsi="宋体" w:eastAsia="宋体" w:cs="宋体"/>
          <w:color w:val="auto"/>
          <w:szCs w:val="21"/>
          <w:highlight w:val="none"/>
        </w:rPr>
        <w:t>及其有效身份证）（格式见附件）；</w:t>
      </w:r>
    </w:p>
    <w:p w14:paraId="64BBF02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eastAsia="宋体" w:cs="宋体"/>
          <w:color w:val="auto"/>
          <w:szCs w:val="21"/>
          <w:highlight w:val="none"/>
        </w:rPr>
        <w:t>投标人有效的营业执照、税务登记证、组织机构代码证（或三合一证书）</w:t>
      </w:r>
      <w:r>
        <w:rPr>
          <w:rFonts w:hint="eastAsia" w:ascii="宋体" w:hAnsi="宋体" w:cs="宋体"/>
          <w:color w:val="auto"/>
          <w:szCs w:val="21"/>
          <w:highlight w:val="none"/>
        </w:rPr>
        <w:t>；</w:t>
      </w:r>
    </w:p>
    <w:p w14:paraId="3B53554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（3）诚信投标承诺书（或《公共信用信息报告（无违法违规证明版或核查版）》）；</w:t>
      </w:r>
    </w:p>
    <w:p w14:paraId="18C152D9">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）服务承诺：是否响应招标文件要求的书面说明和服务承诺书（格式见附件）</w:t>
      </w:r>
      <w:r>
        <w:rPr>
          <w:rFonts w:hint="eastAsia" w:ascii="宋体" w:hAnsi="宋体" w:cs="宋体"/>
          <w:color w:val="auto"/>
          <w:szCs w:val="21"/>
          <w:highlight w:val="none"/>
          <w:lang w:eastAsia="zh-CN"/>
        </w:rPr>
        <w:t>。</w:t>
      </w:r>
    </w:p>
    <w:p w14:paraId="2B76722F">
      <w:pPr>
        <w:adjustRightInd w:val="0"/>
        <w:snapToGrid w:val="0"/>
        <w:spacing w:line="420" w:lineRule="exact"/>
        <w:outlineLvl w:val="1"/>
        <w:rPr>
          <w:rFonts w:hint="eastAsia" w:ascii="宋体" w:hAnsi="宋体" w:cs="宋体"/>
          <w:color w:val="auto"/>
          <w:szCs w:val="21"/>
          <w:highlight w:val="none"/>
        </w:rPr>
      </w:pPr>
      <w:r>
        <w:rPr>
          <w:rFonts w:hint="eastAsia" w:ascii="宋体" w:hAnsi="宋体" w:cs="宋体"/>
          <w:color w:val="auto"/>
          <w:szCs w:val="21"/>
          <w:highlight w:val="none"/>
          <w:lang w:eastAsia="zh-CN"/>
        </w:rPr>
        <w:t>　　</w:t>
      </w:r>
      <w:r>
        <w:rPr>
          <w:rFonts w:hint="eastAsia" w:ascii="宋体" w:hAnsi="宋体" w:cs="宋体"/>
          <w:color w:val="auto"/>
          <w:szCs w:val="21"/>
          <w:highlight w:val="none"/>
        </w:rPr>
        <w:t>2.审查办法</w:t>
      </w:r>
    </w:p>
    <w:p w14:paraId="179AC7E3">
      <w:pPr>
        <w:spacing w:line="360" w:lineRule="auto"/>
        <w:rPr>
          <w:rFonts w:hint="eastAsia" w:ascii="宋体" w:hAnsi="宋体" w:cs="宋体"/>
          <w:color w:val="auto"/>
          <w:szCs w:val="21"/>
          <w:highlight w:val="none"/>
        </w:rPr>
      </w:pPr>
      <w:bookmarkStart w:id="74" w:name="_Toc506107321"/>
      <w:bookmarkStart w:id="75" w:name="_Toc15058910"/>
      <w:bookmarkStart w:id="76" w:name="_Toc60061493"/>
      <w:bookmarkStart w:id="77" w:name="_Toc324404868"/>
      <w:r>
        <w:rPr>
          <w:rFonts w:hint="eastAsia" w:ascii="宋体" w:hAnsi="宋体" w:cs="宋体"/>
          <w:color w:val="auto"/>
          <w:szCs w:val="21"/>
          <w:highlight w:val="none"/>
          <w:lang w:eastAsia="zh-CN"/>
        </w:rPr>
        <w:t>　　</w:t>
      </w:r>
      <w:r>
        <w:rPr>
          <w:rFonts w:hint="eastAsia" w:ascii="宋体" w:hAnsi="宋体" w:cs="宋体"/>
          <w:color w:val="auto"/>
          <w:szCs w:val="21"/>
          <w:highlight w:val="none"/>
        </w:rPr>
        <w:t>由资格审查委员会（评标委员会）按资格审查办法前附表中资格审查必要合格条件评审表要求对投标人审查资料进行核验。</w:t>
      </w:r>
    </w:p>
    <w:p w14:paraId="0F02F6DA">
      <w:pPr>
        <w:adjustRightInd w:val="0"/>
        <w:snapToGrid w:val="0"/>
        <w:spacing w:line="420" w:lineRule="exact"/>
        <w:outlineLvl w:val="1"/>
        <w:rPr>
          <w:rFonts w:hint="eastAsia" w:ascii="宋体" w:hAnsi="宋体" w:cs="宋体"/>
          <w:color w:val="auto"/>
          <w:szCs w:val="21"/>
          <w:highlight w:val="none"/>
        </w:rPr>
      </w:pPr>
      <w:bookmarkStart w:id="78" w:name="_Toc95223396"/>
      <w:r>
        <w:rPr>
          <w:rFonts w:hint="eastAsia" w:ascii="宋体" w:hAnsi="宋体" w:cs="宋体"/>
          <w:color w:val="auto"/>
          <w:szCs w:val="21"/>
          <w:highlight w:val="none"/>
          <w:lang w:eastAsia="zh-CN"/>
        </w:rPr>
        <w:t>　　</w:t>
      </w:r>
      <w:r>
        <w:rPr>
          <w:rFonts w:hint="eastAsia" w:ascii="宋体" w:hAnsi="宋体" w:cs="宋体"/>
          <w:color w:val="auto"/>
          <w:szCs w:val="21"/>
          <w:highlight w:val="none"/>
        </w:rPr>
        <w:t>3.资格审查委员会和审查标准</w:t>
      </w:r>
      <w:bookmarkEnd w:id="74"/>
      <w:bookmarkEnd w:id="75"/>
      <w:bookmarkEnd w:id="76"/>
      <w:bookmarkEnd w:id="77"/>
      <w:bookmarkEnd w:id="78"/>
    </w:p>
    <w:p w14:paraId="62916BFD">
      <w:pPr>
        <w:adjustRightInd w:val="0"/>
        <w:snapToGrid w:val="0"/>
        <w:spacing w:line="420" w:lineRule="exact"/>
        <w:rPr>
          <w:rFonts w:hint="eastAsia" w:ascii="宋体" w:hAnsi="宋体" w:cs="宋体"/>
          <w:color w:val="auto"/>
          <w:szCs w:val="21"/>
          <w:highlight w:val="none"/>
        </w:rPr>
      </w:pPr>
      <w:r>
        <w:rPr>
          <w:rFonts w:hint="eastAsia" w:ascii="宋体" w:hAnsi="宋体" w:cs="宋体"/>
          <w:color w:val="auto"/>
          <w:szCs w:val="21"/>
          <w:highlight w:val="none"/>
          <w:lang w:eastAsia="zh-CN"/>
        </w:rPr>
        <w:t>　　</w:t>
      </w:r>
      <w:r>
        <w:rPr>
          <w:rFonts w:hint="eastAsia" w:ascii="宋体" w:hAnsi="宋体" w:cs="宋体"/>
          <w:color w:val="auto"/>
          <w:szCs w:val="21"/>
          <w:highlight w:val="none"/>
        </w:rPr>
        <w:t>3.1资格审查由招标人依法组建的资格审查委员会（或评标委员会）负责。审查标准见资格审查办法前附表。</w:t>
      </w:r>
    </w:p>
    <w:p w14:paraId="354A9A59">
      <w:pPr>
        <w:adjustRightInd w:val="0"/>
        <w:snapToGrid w:val="0"/>
        <w:spacing w:line="420" w:lineRule="exact"/>
        <w:rPr>
          <w:rFonts w:hint="eastAsia" w:ascii="宋体" w:hAnsi="宋体" w:cs="宋体"/>
          <w:color w:val="auto"/>
          <w:szCs w:val="21"/>
          <w:highlight w:val="none"/>
        </w:rPr>
      </w:pPr>
      <w:r>
        <w:rPr>
          <w:rFonts w:hint="eastAsia" w:ascii="宋体" w:hAnsi="宋体" w:cs="宋体"/>
          <w:color w:val="auto"/>
          <w:szCs w:val="21"/>
          <w:highlight w:val="none"/>
          <w:lang w:eastAsia="zh-CN"/>
        </w:rPr>
        <w:t>　　</w:t>
      </w:r>
      <w:r>
        <w:rPr>
          <w:rFonts w:hint="eastAsia" w:ascii="宋体" w:hAnsi="宋体" w:cs="宋体"/>
          <w:color w:val="auto"/>
          <w:szCs w:val="21"/>
          <w:highlight w:val="none"/>
        </w:rPr>
        <w:t xml:space="preserve">3.2由资格审查委员会（评标委员会）按资格审查办法前附表要求对投标人的审查资料进行核验。投标申请人有下列情形之一的，其资格审查为不合格： </w:t>
      </w:r>
    </w:p>
    <w:p w14:paraId="18A0622E">
      <w:pPr>
        <w:adjustRightInd w:val="0"/>
        <w:snapToGrid w:val="0"/>
        <w:spacing w:line="420" w:lineRule="exact"/>
        <w:ind w:firstLine="315" w:firstLineChars="150"/>
        <w:rPr>
          <w:rFonts w:hint="eastAsia" w:ascii="宋体" w:hAnsi="宋体" w:cs="宋体"/>
          <w:color w:val="auto"/>
          <w:szCs w:val="21"/>
          <w:highlight w:val="none"/>
        </w:rPr>
      </w:pPr>
      <w:bookmarkStart w:id="79" w:name="_Toc95223397"/>
      <w:bookmarkStart w:id="80" w:name="_Toc15058911"/>
      <w:bookmarkStart w:id="81" w:name="_Toc60061494"/>
      <w:bookmarkStart w:id="82" w:name="_Toc506107322"/>
      <w:bookmarkStart w:id="83" w:name="_Toc324404869"/>
      <w:r>
        <w:rPr>
          <w:rFonts w:hint="eastAsia" w:ascii="宋体" w:hAnsi="宋体" w:cs="宋体"/>
          <w:color w:val="auto"/>
          <w:szCs w:val="21"/>
          <w:highlight w:val="none"/>
        </w:rPr>
        <w:t>（1）未上传电子标书或电子标书经审查不合格；</w:t>
      </w:r>
    </w:p>
    <w:p w14:paraId="6AF53C30">
      <w:pPr>
        <w:adjustRightInd w:val="0"/>
        <w:snapToGrid w:val="0"/>
        <w:spacing w:line="420" w:lineRule="exact"/>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（2）联合体投标人没有提交联合体协议书</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本条不采用）</w:t>
      </w:r>
      <w:r>
        <w:rPr>
          <w:rFonts w:hint="eastAsia" w:ascii="宋体" w:hAnsi="宋体" w:cs="宋体"/>
          <w:color w:val="auto"/>
          <w:szCs w:val="21"/>
          <w:highlight w:val="none"/>
        </w:rPr>
        <w:t>；</w:t>
      </w:r>
    </w:p>
    <w:p w14:paraId="6BF68436">
      <w:pPr>
        <w:adjustRightInd w:val="0"/>
        <w:snapToGrid w:val="0"/>
        <w:spacing w:line="420" w:lineRule="exact"/>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 xml:space="preserve">（3）保证金不按第一章“招标公告”要求提交投标保证金的； </w:t>
      </w:r>
    </w:p>
    <w:p w14:paraId="0769E61C">
      <w:pPr>
        <w:adjustRightInd w:val="0"/>
        <w:snapToGrid w:val="0"/>
        <w:spacing w:line="420" w:lineRule="exact"/>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（4）投标人未办理省主体库登记入库手续的；</w:t>
      </w:r>
    </w:p>
    <w:p w14:paraId="437D4C2F">
      <w:pPr>
        <w:adjustRightInd w:val="0"/>
        <w:snapToGrid w:val="0"/>
        <w:spacing w:line="420" w:lineRule="exact"/>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（5）投标人投标 MAC 地址一致的；</w:t>
      </w:r>
    </w:p>
    <w:p w14:paraId="6BE07A49">
      <w:pPr>
        <w:adjustRightInd w:val="0"/>
        <w:snapToGrid w:val="0"/>
        <w:spacing w:line="420" w:lineRule="exact"/>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（6）投标人申请开具电子保函 MAC 地址一致的；</w:t>
      </w:r>
    </w:p>
    <w:p w14:paraId="4C3B8022">
      <w:pPr>
        <w:adjustRightInd w:val="0"/>
        <w:snapToGrid w:val="0"/>
        <w:spacing w:line="420" w:lineRule="exact"/>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（7）投标人投标文件制作机器码、文件创建标识码及造价软件加密锁号信息雷同的；</w:t>
      </w:r>
    </w:p>
    <w:p w14:paraId="6C7FBE6F">
      <w:pPr>
        <w:adjustRightInd w:val="0"/>
        <w:snapToGrid w:val="0"/>
        <w:spacing w:line="420" w:lineRule="exact"/>
        <w:ind w:firstLine="315" w:firstLineChars="150"/>
        <w:outlineLvl w:val="2"/>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）法律、法规规定的其他情形。</w:t>
      </w:r>
    </w:p>
    <w:p w14:paraId="170DCB94">
      <w:pPr>
        <w:adjustRightInd w:val="0"/>
        <w:snapToGrid w:val="0"/>
        <w:spacing w:line="420" w:lineRule="exact"/>
        <w:outlineLvl w:val="1"/>
        <w:rPr>
          <w:rFonts w:hint="eastAsia" w:ascii="宋体" w:hAnsi="宋体" w:cs="宋体"/>
          <w:color w:val="auto"/>
          <w:szCs w:val="21"/>
          <w:highlight w:val="none"/>
        </w:rPr>
      </w:pPr>
      <w:r>
        <w:rPr>
          <w:rFonts w:hint="eastAsia" w:ascii="宋体" w:hAnsi="宋体" w:cs="宋体"/>
          <w:color w:val="auto"/>
          <w:szCs w:val="21"/>
          <w:highlight w:val="none"/>
          <w:lang w:eastAsia="zh-CN"/>
        </w:rPr>
        <w:t>　　</w:t>
      </w:r>
      <w:r>
        <w:rPr>
          <w:rFonts w:hint="eastAsia" w:ascii="宋体" w:hAnsi="宋体" w:cs="宋体"/>
          <w:color w:val="auto"/>
          <w:szCs w:val="21"/>
          <w:highlight w:val="none"/>
        </w:rPr>
        <w:t>4.审查结果</w:t>
      </w:r>
      <w:bookmarkEnd w:id="79"/>
      <w:bookmarkEnd w:id="80"/>
      <w:bookmarkEnd w:id="81"/>
      <w:bookmarkEnd w:id="82"/>
      <w:bookmarkEnd w:id="83"/>
    </w:p>
    <w:p w14:paraId="466E39FD">
      <w:pPr>
        <w:adjustRightInd w:val="0"/>
        <w:snapToGrid w:val="0"/>
        <w:spacing w:line="420" w:lineRule="exact"/>
        <w:rPr>
          <w:rFonts w:hint="eastAsia" w:ascii="宋体" w:hAnsi="宋体" w:cs="宋体"/>
          <w:color w:val="auto"/>
          <w:szCs w:val="21"/>
          <w:highlight w:val="none"/>
        </w:rPr>
      </w:pPr>
      <w:r>
        <w:rPr>
          <w:rFonts w:hint="eastAsia" w:ascii="宋体" w:hAnsi="宋体" w:cs="宋体"/>
          <w:color w:val="auto"/>
          <w:szCs w:val="21"/>
          <w:highlight w:val="none"/>
          <w:lang w:eastAsia="zh-CN"/>
        </w:rPr>
        <w:t>　　</w:t>
      </w:r>
      <w:r>
        <w:rPr>
          <w:rFonts w:hint="eastAsia" w:ascii="宋体" w:hAnsi="宋体" w:cs="宋体"/>
          <w:color w:val="auto"/>
          <w:szCs w:val="21"/>
          <w:highlight w:val="none"/>
        </w:rPr>
        <w:t>只有通过资格审查的投标人才能进入下一步的评标程序。</w:t>
      </w:r>
    </w:p>
    <w:p w14:paraId="30E52F2C">
      <w:pPr>
        <w:rPr>
          <w:rFonts w:hint="eastAsia" w:ascii="华文中宋" w:hAnsi="华文中宋" w:eastAsia="华文中宋"/>
          <w:color w:val="auto"/>
          <w:highlight w:val="none"/>
        </w:rPr>
      </w:pPr>
      <w:r>
        <w:rPr>
          <w:rFonts w:hint="eastAsia" w:ascii="华文中宋" w:hAnsi="华文中宋" w:eastAsia="华文中宋"/>
          <w:color w:val="auto"/>
          <w:highlight w:val="none"/>
        </w:rPr>
        <w:br w:type="page"/>
      </w:r>
    </w:p>
    <w:bookmarkEnd w:id="69"/>
    <w:p w14:paraId="1E183FA0">
      <w:pPr>
        <w:pStyle w:val="5"/>
        <w:adjustRightInd w:val="0"/>
        <w:snapToGrid w:val="0"/>
        <w:spacing w:before="0" w:after="0" w:line="560" w:lineRule="exact"/>
        <w:jc w:val="center"/>
        <w:rPr>
          <w:rFonts w:hint="eastAsia"/>
          <w:color w:val="auto"/>
          <w:highlight w:val="none"/>
        </w:rPr>
      </w:pPr>
      <w:bookmarkStart w:id="84" w:name="_Toc95223428"/>
      <w:bookmarkStart w:id="85" w:name="_Toc267320058"/>
      <w:bookmarkStart w:id="86" w:name="_Toc363135205"/>
      <w:r>
        <w:rPr>
          <w:rFonts w:hint="eastAsia"/>
          <w:color w:val="auto"/>
          <w:highlight w:val="none"/>
        </w:rPr>
        <w:t>第四章 评标办法</w:t>
      </w:r>
      <w:bookmarkEnd w:id="84"/>
    </w:p>
    <w:p w14:paraId="2CCDE303">
      <w:pPr>
        <w:numPr>
          <w:ilvl w:val="0"/>
          <w:numId w:val="8"/>
        </w:numPr>
        <w:spacing w:line="560" w:lineRule="exact"/>
        <w:ind w:left="0"/>
        <w:jc w:val="center"/>
        <w:outlineLvl w:val="1"/>
        <w:rPr>
          <w:rFonts w:hint="eastAsia"/>
          <w:b/>
          <w:color w:val="auto"/>
          <w:sz w:val="28"/>
          <w:szCs w:val="21"/>
          <w:highlight w:val="none"/>
        </w:rPr>
      </w:pPr>
      <w:r>
        <w:rPr>
          <w:rFonts w:hint="eastAsia"/>
          <w:b/>
          <w:color w:val="auto"/>
          <w:sz w:val="28"/>
          <w:szCs w:val="21"/>
          <w:highlight w:val="none"/>
        </w:rPr>
        <w:t>中标候选人的确定</w:t>
      </w:r>
    </w:p>
    <w:p w14:paraId="5EE5B8D6">
      <w:pPr>
        <w:keepNext w:val="0"/>
        <w:keepLines w:val="0"/>
        <w:pageBreakBefore w:val="0"/>
        <w:widowControl w:val="0"/>
        <w:kinsoku/>
        <w:overflowPunct/>
        <w:topLinePunct w:val="0"/>
        <w:autoSpaceDE/>
        <w:autoSpaceDN/>
        <w:bidi w:val="0"/>
        <w:adjustRightInd/>
        <w:snapToGrid/>
        <w:spacing w:line="520" w:lineRule="exact"/>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　　</w:t>
      </w:r>
      <w:r>
        <w:rPr>
          <w:rFonts w:hint="eastAsia" w:ascii="宋体" w:hAnsi="宋体" w:eastAsia="宋体" w:cs="宋体"/>
          <w:color w:val="auto"/>
          <w:szCs w:val="21"/>
          <w:highlight w:val="none"/>
        </w:rPr>
        <w:t>评标委员会对投标人依次进行资信、技术、商务文件审查，对均满足要求的投标人进行各项评审因素打分，合计的总得分按照从高到低进行排序，总得分第一的投标人为第一中标候选人。如总得分相等，以投标报价低的优先，投标报价仍相等，由评标委员会主任委员或招标人随机抽取确定排名。</w:t>
      </w:r>
    </w:p>
    <w:p w14:paraId="6DF2A266">
      <w:pPr>
        <w:numPr>
          <w:ilvl w:val="0"/>
          <w:numId w:val="8"/>
        </w:numPr>
        <w:spacing w:line="560" w:lineRule="exact"/>
        <w:ind w:left="0"/>
        <w:jc w:val="center"/>
        <w:rPr>
          <w:rFonts w:hint="eastAsia" w:ascii="Times New Roman" w:hAnsi="Times New Roman" w:eastAsia="宋体" w:cs="Times New Roman"/>
          <w:b/>
          <w:color w:val="auto"/>
          <w:sz w:val="28"/>
          <w:szCs w:val="21"/>
          <w:highlight w:val="none"/>
        </w:rPr>
      </w:pPr>
      <w:r>
        <w:rPr>
          <w:rFonts w:hint="eastAsia" w:ascii="Times New Roman" w:hAnsi="Times New Roman" w:eastAsia="宋体" w:cs="Times New Roman"/>
          <w:b/>
          <w:color w:val="auto"/>
          <w:sz w:val="28"/>
          <w:szCs w:val="21"/>
          <w:highlight w:val="none"/>
        </w:rPr>
        <w:t>资信标评审</w:t>
      </w:r>
      <w:r>
        <w:rPr>
          <w:rFonts w:hint="eastAsia" w:cs="Times New Roman"/>
          <w:b/>
          <w:color w:val="auto"/>
          <w:sz w:val="28"/>
          <w:szCs w:val="21"/>
          <w:highlight w:val="none"/>
          <w:lang w:eastAsia="zh-CN"/>
        </w:rPr>
        <w:t>（</w:t>
      </w:r>
      <w:r>
        <w:rPr>
          <w:rFonts w:hint="eastAsia" w:cs="Times New Roman"/>
          <w:b/>
          <w:color w:val="auto"/>
          <w:sz w:val="28"/>
          <w:szCs w:val="21"/>
          <w:highlight w:val="none"/>
          <w:lang w:val="en-US" w:eastAsia="zh-CN"/>
        </w:rPr>
        <w:t>39分）</w:t>
      </w:r>
    </w:p>
    <w:tbl>
      <w:tblPr>
        <w:tblStyle w:val="35"/>
        <w:tblW w:w="9651" w:type="dxa"/>
        <w:tblInd w:w="-2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078"/>
        <w:gridCol w:w="840"/>
        <w:gridCol w:w="6981"/>
      </w:tblGrid>
      <w:tr w14:paraId="7CDE4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52" w:type="dxa"/>
            <w:shd w:val="clear" w:color="auto" w:fill="auto"/>
            <w:noWrap/>
            <w:vAlign w:val="center"/>
          </w:tcPr>
          <w:p w14:paraId="1A6A0837">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序号</w:t>
            </w:r>
          </w:p>
        </w:tc>
        <w:tc>
          <w:tcPr>
            <w:tcW w:w="1078" w:type="dxa"/>
            <w:shd w:val="clear" w:color="auto" w:fill="auto"/>
            <w:noWrap/>
            <w:vAlign w:val="center"/>
          </w:tcPr>
          <w:p w14:paraId="1ADAC392">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评分因素</w:t>
            </w:r>
          </w:p>
        </w:tc>
        <w:tc>
          <w:tcPr>
            <w:tcW w:w="840" w:type="dxa"/>
            <w:shd w:val="clear" w:color="auto" w:fill="auto"/>
            <w:noWrap/>
            <w:vAlign w:val="center"/>
          </w:tcPr>
          <w:p w14:paraId="3DF3CA69">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分值</w:t>
            </w:r>
          </w:p>
        </w:tc>
        <w:tc>
          <w:tcPr>
            <w:tcW w:w="6981" w:type="dxa"/>
            <w:shd w:val="clear" w:color="auto" w:fill="auto"/>
            <w:noWrap/>
            <w:vAlign w:val="center"/>
          </w:tcPr>
          <w:p w14:paraId="7D7BD7FF">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评审细则</w:t>
            </w:r>
          </w:p>
        </w:tc>
      </w:tr>
      <w:tr w14:paraId="24567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52" w:type="dxa"/>
            <w:shd w:val="clear" w:color="auto" w:fill="auto"/>
            <w:noWrap/>
            <w:vAlign w:val="center"/>
          </w:tcPr>
          <w:p w14:paraId="18F6227B">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w:t>
            </w:r>
          </w:p>
        </w:tc>
        <w:tc>
          <w:tcPr>
            <w:tcW w:w="1078" w:type="dxa"/>
            <w:shd w:val="clear" w:color="auto" w:fill="auto"/>
            <w:noWrap/>
            <w:vAlign w:val="center"/>
          </w:tcPr>
          <w:p w14:paraId="167E9679">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业绩</w:t>
            </w:r>
          </w:p>
        </w:tc>
        <w:tc>
          <w:tcPr>
            <w:tcW w:w="840" w:type="dxa"/>
            <w:shd w:val="clear" w:color="auto" w:fill="auto"/>
            <w:noWrap/>
            <w:vAlign w:val="center"/>
          </w:tcPr>
          <w:p w14:paraId="4C2A3E09">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10分</w:t>
            </w:r>
          </w:p>
        </w:tc>
        <w:tc>
          <w:tcPr>
            <w:tcW w:w="6981" w:type="dxa"/>
            <w:shd w:val="clear" w:color="auto" w:fill="auto"/>
            <w:noWrap/>
            <w:vAlign w:val="center"/>
          </w:tcPr>
          <w:p w14:paraId="115901A6">
            <w:pPr>
              <w:keepNext w:val="0"/>
              <w:keepLines w:val="0"/>
              <w:pageBreakBefore w:val="0"/>
              <w:widowControl/>
              <w:numPr>
                <w:ilvl w:val="0"/>
                <w:numId w:val="0"/>
              </w:numPr>
              <w:kinsoku/>
              <w:wordWrap/>
              <w:overflowPunct/>
              <w:topLinePunct w:val="0"/>
              <w:autoSpaceDE/>
              <w:autoSpaceDN/>
              <w:bidi w:val="0"/>
              <w:adjustRightInd/>
              <w:snapToGrid/>
              <w:spacing w:line="440" w:lineRule="exact"/>
              <w:jc w:val="left"/>
              <w:textAlignment w:val="baseline"/>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投标人自20</w:t>
            </w:r>
            <w:r>
              <w:rPr>
                <w:rFonts w:hint="eastAsia" w:ascii="宋体" w:hAnsi="宋体" w:cs="宋体"/>
                <w:bCs/>
                <w:color w:val="auto"/>
                <w:sz w:val="21"/>
                <w:szCs w:val="21"/>
                <w:highlight w:val="none"/>
                <w:lang w:val="en-US" w:eastAsia="zh-CN"/>
              </w:rPr>
              <w:t>21</w:t>
            </w:r>
            <w:r>
              <w:rPr>
                <w:rFonts w:hint="eastAsia" w:ascii="宋体" w:hAnsi="宋体" w:eastAsia="宋体" w:cs="宋体"/>
                <w:bCs/>
                <w:color w:val="auto"/>
                <w:sz w:val="21"/>
                <w:szCs w:val="21"/>
                <w:highlight w:val="none"/>
                <w:lang w:val="en-US" w:eastAsia="zh-CN"/>
              </w:rPr>
              <w:t>年</w:t>
            </w:r>
            <w:r>
              <w:rPr>
                <w:rFonts w:hint="eastAsia" w:ascii="宋体" w:hAnsi="宋体" w:cs="宋体"/>
                <w:bCs/>
                <w:color w:val="auto"/>
                <w:sz w:val="21"/>
                <w:szCs w:val="21"/>
                <w:highlight w:val="none"/>
                <w:lang w:val="en-US" w:eastAsia="zh-CN"/>
              </w:rPr>
              <w:t>1月1日（以合同签订时间为准）</w:t>
            </w:r>
            <w:r>
              <w:rPr>
                <w:rFonts w:hint="eastAsia" w:ascii="宋体" w:hAnsi="宋体" w:eastAsia="宋体" w:cs="宋体"/>
                <w:bCs/>
                <w:color w:val="auto"/>
                <w:sz w:val="21"/>
                <w:szCs w:val="21"/>
                <w:highlight w:val="none"/>
                <w:lang w:val="en-US" w:eastAsia="zh-CN"/>
              </w:rPr>
              <w:t>以来</w:t>
            </w:r>
            <w:r>
              <w:rPr>
                <w:rFonts w:hint="eastAsia" w:ascii="宋体" w:hAnsi="宋体" w:cs="宋体"/>
                <w:bCs/>
                <w:color w:val="auto"/>
                <w:sz w:val="21"/>
                <w:szCs w:val="21"/>
                <w:highlight w:val="none"/>
                <w:lang w:val="en-US" w:eastAsia="zh-CN"/>
              </w:rPr>
              <w:t>，</w:t>
            </w:r>
            <w:r>
              <w:rPr>
                <w:rFonts w:hint="eastAsia" w:ascii="宋体" w:hAnsi="宋体" w:eastAsia="宋体" w:cs="宋体"/>
                <w:bCs/>
                <w:color w:val="auto"/>
                <w:sz w:val="21"/>
                <w:szCs w:val="21"/>
                <w:highlight w:val="none"/>
                <w:lang w:val="en-US" w:eastAsia="zh-CN"/>
              </w:rPr>
              <w:t>管理过</w:t>
            </w:r>
            <w:r>
              <w:rPr>
                <w:rFonts w:hint="eastAsia" w:ascii="宋体" w:hAnsi="宋体" w:cs="宋体"/>
                <w:bCs/>
                <w:color w:val="auto"/>
                <w:sz w:val="21"/>
                <w:szCs w:val="21"/>
                <w:highlight w:val="none"/>
                <w:lang w:val="en-US" w:eastAsia="zh-CN"/>
              </w:rPr>
              <w:t>（</w:t>
            </w:r>
            <w:r>
              <w:rPr>
                <w:rFonts w:hint="eastAsia" w:ascii="宋体" w:hAnsi="宋体" w:eastAsia="宋体" w:cs="宋体"/>
                <w:bCs/>
                <w:color w:val="auto"/>
                <w:sz w:val="21"/>
                <w:szCs w:val="21"/>
                <w:highlight w:val="none"/>
                <w:lang w:val="en-US" w:eastAsia="zh-CN"/>
              </w:rPr>
              <w:t>含正在管理</w:t>
            </w:r>
            <w:r>
              <w:rPr>
                <w:rFonts w:hint="eastAsia" w:ascii="宋体" w:hAnsi="宋体" w:cs="宋体"/>
                <w:bCs/>
                <w:color w:val="auto"/>
                <w:sz w:val="21"/>
                <w:szCs w:val="21"/>
                <w:highlight w:val="none"/>
                <w:lang w:val="en-US" w:eastAsia="zh-CN"/>
              </w:rPr>
              <w:t>）</w:t>
            </w:r>
            <w:r>
              <w:rPr>
                <w:rFonts w:hint="eastAsia" w:ascii="宋体" w:hAnsi="宋体" w:cs="宋体"/>
                <w:b/>
                <w:bCs w:val="0"/>
                <w:color w:val="auto"/>
                <w:sz w:val="21"/>
                <w:szCs w:val="21"/>
                <w:highlight w:val="none"/>
                <w:lang w:val="en-US" w:eastAsia="zh-CN"/>
              </w:rPr>
              <w:t>非住宅办公楼</w:t>
            </w:r>
            <w:r>
              <w:rPr>
                <w:rFonts w:hint="eastAsia" w:ascii="宋体" w:hAnsi="宋体" w:eastAsia="宋体" w:cs="宋体"/>
                <w:b/>
                <w:bCs w:val="0"/>
                <w:color w:val="auto"/>
                <w:sz w:val="21"/>
                <w:szCs w:val="21"/>
                <w:highlight w:val="none"/>
                <w:lang w:val="en-US" w:eastAsia="zh-CN"/>
              </w:rPr>
              <w:t>物业管理项目</w:t>
            </w:r>
            <w:r>
              <w:rPr>
                <w:rFonts w:hint="eastAsia" w:ascii="宋体" w:hAnsi="宋体" w:eastAsia="宋体" w:cs="宋体"/>
                <w:bCs/>
                <w:color w:val="auto"/>
                <w:sz w:val="21"/>
                <w:szCs w:val="21"/>
                <w:highlight w:val="none"/>
                <w:lang w:val="en-US" w:eastAsia="zh-CN"/>
              </w:rPr>
              <w:t>（服务内容至少需包含安全保卫及保洁服务），每提供一个得</w:t>
            </w:r>
            <w:r>
              <w:rPr>
                <w:rFonts w:hint="eastAsia" w:ascii="宋体" w:hAnsi="宋体" w:cs="宋体"/>
                <w:bCs/>
                <w:color w:val="auto"/>
                <w:sz w:val="21"/>
                <w:szCs w:val="21"/>
                <w:highlight w:val="none"/>
                <w:lang w:val="en-US" w:eastAsia="zh-CN"/>
              </w:rPr>
              <w:t>5</w:t>
            </w:r>
            <w:r>
              <w:rPr>
                <w:rFonts w:hint="eastAsia" w:ascii="宋体" w:hAnsi="宋体" w:eastAsia="宋体" w:cs="宋体"/>
                <w:bCs/>
                <w:color w:val="auto"/>
                <w:sz w:val="21"/>
                <w:szCs w:val="21"/>
                <w:highlight w:val="none"/>
                <w:lang w:val="en-US" w:eastAsia="zh-CN"/>
              </w:rPr>
              <w:t>分，本项最高得</w:t>
            </w:r>
            <w:r>
              <w:rPr>
                <w:rFonts w:hint="eastAsia" w:ascii="宋体" w:hAnsi="宋体" w:cs="宋体"/>
                <w:bCs/>
                <w:color w:val="auto"/>
                <w:sz w:val="21"/>
                <w:szCs w:val="21"/>
                <w:highlight w:val="none"/>
                <w:lang w:val="en-US" w:eastAsia="zh-CN"/>
              </w:rPr>
              <w:t>5</w:t>
            </w:r>
            <w:r>
              <w:rPr>
                <w:rFonts w:hint="eastAsia" w:ascii="宋体" w:hAnsi="宋体" w:eastAsia="宋体" w:cs="宋体"/>
                <w:bCs/>
                <w:color w:val="auto"/>
                <w:sz w:val="21"/>
                <w:szCs w:val="21"/>
                <w:highlight w:val="none"/>
                <w:lang w:val="en-US" w:eastAsia="zh-CN"/>
              </w:rPr>
              <w:t>分。</w:t>
            </w:r>
          </w:p>
          <w:p w14:paraId="080E4F33">
            <w:pPr>
              <w:keepNext w:val="0"/>
              <w:keepLines w:val="0"/>
              <w:pageBreakBefore w:val="0"/>
              <w:widowControl/>
              <w:suppressLineNumbers w:val="0"/>
              <w:kinsoku/>
              <w:wordWrap/>
              <w:overflowPunct/>
              <w:topLinePunct w:val="0"/>
              <w:autoSpaceDE/>
              <w:autoSpaceDN/>
              <w:bidi w:val="0"/>
              <w:adjustRightInd/>
              <w:snapToGrid/>
              <w:spacing w:line="440" w:lineRule="exact"/>
              <w:jc w:val="left"/>
              <w:rPr>
                <w:rFonts w:hint="default" w:ascii="宋体" w:hAnsi="宋体" w:eastAsia="宋体" w:cs="宋体"/>
                <w:color w:val="auto"/>
                <w:kern w:val="0"/>
                <w:sz w:val="21"/>
                <w:szCs w:val="21"/>
                <w:highlight w:val="none"/>
                <w:lang w:val="en-US" w:eastAsia="zh-CN" w:bidi="ar-SA"/>
              </w:rPr>
            </w:pPr>
            <w:r>
              <w:rPr>
                <w:rFonts w:hint="eastAsia" w:ascii="宋体" w:hAnsi="宋体" w:cs="宋体"/>
                <w:b/>
                <w:bCs/>
                <w:color w:val="auto"/>
                <w:kern w:val="0"/>
                <w:sz w:val="21"/>
                <w:szCs w:val="21"/>
                <w:highlight w:val="none"/>
                <w:lang w:val="en-US" w:eastAsia="zh-CN" w:bidi="ar"/>
              </w:rPr>
              <w:t>【</w:t>
            </w:r>
            <w:r>
              <w:rPr>
                <w:rFonts w:hint="eastAsia" w:ascii="宋体" w:hAnsi="宋体" w:eastAsia="宋体" w:cs="宋体"/>
                <w:b/>
                <w:bCs/>
                <w:color w:val="auto"/>
                <w:kern w:val="0"/>
                <w:sz w:val="21"/>
                <w:szCs w:val="21"/>
                <w:highlight w:val="none"/>
                <w:lang w:val="en-US" w:eastAsia="zh-CN" w:bidi="ar"/>
              </w:rPr>
              <w:t>投标文件中须提供物业合同扫描件；如上述材料</w:t>
            </w:r>
            <w:r>
              <w:rPr>
                <w:rFonts w:hint="eastAsia" w:ascii="宋体" w:hAnsi="宋体" w:cs="宋体"/>
                <w:b/>
                <w:bCs/>
                <w:color w:val="auto"/>
                <w:kern w:val="0"/>
                <w:sz w:val="21"/>
                <w:szCs w:val="21"/>
                <w:highlight w:val="none"/>
                <w:lang w:val="en-US" w:eastAsia="zh-CN" w:bidi="ar"/>
              </w:rPr>
              <w:t>中体现不出评审因素的</w:t>
            </w:r>
            <w:r>
              <w:rPr>
                <w:rFonts w:hint="eastAsia" w:ascii="宋体" w:hAnsi="宋体" w:eastAsia="宋体" w:cs="宋体"/>
                <w:b/>
                <w:bCs/>
                <w:color w:val="auto"/>
                <w:kern w:val="0"/>
                <w:sz w:val="21"/>
                <w:szCs w:val="21"/>
                <w:highlight w:val="none"/>
                <w:lang w:val="en-US" w:eastAsia="zh-CN" w:bidi="ar"/>
              </w:rPr>
              <w:t>，</w:t>
            </w:r>
            <w:r>
              <w:rPr>
                <w:rFonts w:hint="eastAsia" w:ascii="宋体" w:hAnsi="宋体" w:cs="宋体"/>
                <w:b/>
                <w:bCs/>
                <w:color w:val="auto"/>
                <w:kern w:val="0"/>
                <w:sz w:val="21"/>
                <w:szCs w:val="21"/>
                <w:highlight w:val="none"/>
                <w:lang w:val="en-US" w:eastAsia="zh-CN" w:bidi="ar"/>
              </w:rPr>
              <w:t>须</w:t>
            </w:r>
            <w:r>
              <w:rPr>
                <w:rFonts w:hint="eastAsia" w:ascii="宋体" w:hAnsi="宋体" w:eastAsia="宋体" w:cs="宋体"/>
                <w:b/>
                <w:bCs/>
                <w:color w:val="auto"/>
                <w:kern w:val="0"/>
                <w:sz w:val="21"/>
                <w:szCs w:val="21"/>
                <w:highlight w:val="none"/>
                <w:lang w:val="en-US" w:eastAsia="zh-CN" w:bidi="ar"/>
              </w:rPr>
              <w:t>另</w:t>
            </w:r>
            <w:r>
              <w:rPr>
                <w:rFonts w:hint="eastAsia" w:ascii="宋体" w:hAnsi="宋体" w:cs="宋体"/>
                <w:b/>
                <w:bCs/>
                <w:color w:val="auto"/>
                <w:kern w:val="0"/>
                <w:sz w:val="21"/>
                <w:szCs w:val="21"/>
                <w:highlight w:val="none"/>
                <w:lang w:val="en-US" w:eastAsia="zh-CN" w:bidi="ar"/>
              </w:rPr>
              <w:t>附业主盖章</w:t>
            </w:r>
            <w:r>
              <w:rPr>
                <w:rFonts w:hint="eastAsia" w:ascii="宋体" w:hAnsi="宋体" w:eastAsia="宋体" w:cs="宋体"/>
                <w:b/>
                <w:bCs/>
                <w:color w:val="auto"/>
                <w:kern w:val="0"/>
                <w:sz w:val="21"/>
                <w:szCs w:val="21"/>
                <w:highlight w:val="none"/>
                <w:lang w:val="en-US" w:eastAsia="zh-CN" w:bidi="ar"/>
              </w:rPr>
              <w:t>证明材料扫描件，</w:t>
            </w:r>
            <w:r>
              <w:rPr>
                <w:rFonts w:hint="eastAsia"/>
                <w:b/>
                <w:bCs w:val="0"/>
                <w:color w:val="auto"/>
                <w:highlight w:val="none"/>
                <w:lang w:val="en-US" w:eastAsia="zh-CN"/>
              </w:rPr>
              <w:t>证明材料</w:t>
            </w:r>
            <w:r>
              <w:rPr>
                <w:rFonts w:hint="eastAsia"/>
                <w:b/>
                <w:bCs w:val="0"/>
                <w:color w:val="auto"/>
                <w:highlight w:val="none"/>
              </w:rPr>
              <w:t>必须提供业主单位联系方式以便核实，否则不得分。</w:t>
            </w:r>
            <w:r>
              <w:rPr>
                <w:rFonts w:hint="eastAsia"/>
                <w:b/>
                <w:bCs w:val="0"/>
                <w:color w:val="auto"/>
                <w:highlight w:val="none"/>
                <w:lang w:eastAsia="zh-CN"/>
              </w:rPr>
              <w:t>】</w:t>
            </w:r>
          </w:p>
        </w:tc>
      </w:tr>
      <w:tr w14:paraId="62D0E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52" w:type="dxa"/>
            <w:shd w:val="clear" w:color="auto" w:fill="auto"/>
            <w:noWrap/>
            <w:vAlign w:val="center"/>
          </w:tcPr>
          <w:p w14:paraId="1B01D7D4">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w:t>
            </w:r>
          </w:p>
        </w:tc>
        <w:tc>
          <w:tcPr>
            <w:tcW w:w="1078" w:type="dxa"/>
            <w:shd w:val="clear" w:color="auto" w:fill="auto"/>
            <w:noWrap/>
            <w:vAlign w:val="center"/>
          </w:tcPr>
          <w:p w14:paraId="6CDE882F">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荣誉</w:t>
            </w:r>
          </w:p>
        </w:tc>
        <w:tc>
          <w:tcPr>
            <w:tcW w:w="840" w:type="dxa"/>
            <w:shd w:val="clear" w:color="auto" w:fill="auto"/>
            <w:noWrap/>
            <w:vAlign w:val="center"/>
          </w:tcPr>
          <w:p w14:paraId="5F8D55C5">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8分</w:t>
            </w:r>
          </w:p>
        </w:tc>
        <w:tc>
          <w:tcPr>
            <w:tcW w:w="6981" w:type="dxa"/>
            <w:shd w:val="clear" w:color="auto" w:fill="auto"/>
            <w:noWrap/>
            <w:vAlign w:val="center"/>
          </w:tcPr>
          <w:p w14:paraId="259B6F05">
            <w:pPr>
              <w:keepNext w:val="0"/>
              <w:keepLines w:val="0"/>
              <w:pageBreakBefore w:val="0"/>
              <w:widowControl/>
              <w:suppressLineNumbers w:val="0"/>
              <w:kinsoku/>
              <w:wordWrap/>
              <w:overflowPunct/>
              <w:topLinePunct w:val="0"/>
              <w:autoSpaceDE/>
              <w:autoSpaceDN/>
              <w:bidi w:val="0"/>
              <w:adjustRightInd/>
              <w:snapToGrid/>
              <w:spacing w:line="440" w:lineRule="exact"/>
              <w:jc w:val="left"/>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.自</w:t>
            </w:r>
            <w:r>
              <w:rPr>
                <w:rFonts w:hint="default" w:ascii="Times New Roman" w:hAnsi="Times New Roman" w:eastAsia="宋体" w:cs="Times New Roman"/>
                <w:color w:val="auto"/>
                <w:kern w:val="0"/>
                <w:sz w:val="21"/>
                <w:szCs w:val="21"/>
                <w:highlight w:val="none"/>
                <w:lang w:val="en-US" w:eastAsia="zh-CN" w:bidi="ar"/>
              </w:rPr>
              <w:t>20</w:t>
            </w:r>
            <w:r>
              <w:rPr>
                <w:rFonts w:hint="eastAsia" w:cs="Times New Roman"/>
                <w:color w:val="auto"/>
                <w:kern w:val="0"/>
                <w:sz w:val="21"/>
                <w:szCs w:val="21"/>
                <w:highlight w:val="none"/>
                <w:lang w:val="en-US" w:eastAsia="zh-CN" w:bidi="ar"/>
              </w:rPr>
              <w:t>21</w:t>
            </w:r>
            <w:r>
              <w:rPr>
                <w:rFonts w:hint="eastAsia" w:ascii="宋体" w:hAnsi="宋体" w:eastAsia="宋体" w:cs="宋体"/>
                <w:color w:val="auto"/>
                <w:kern w:val="0"/>
                <w:sz w:val="21"/>
                <w:szCs w:val="21"/>
                <w:highlight w:val="none"/>
                <w:lang w:val="en-US" w:eastAsia="zh-CN" w:bidi="ar"/>
              </w:rPr>
              <w:t>年</w:t>
            </w:r>
            <w:r>
              <w:rPr>
                <w:rFonts w:hint="default" w:ascii="Times New Roman" w:hAnsi="Times New Roman" w:eastAsia="宋体" w:cs="Times New Roman"/>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月</w:t>
            </w:r>
            <w:r>
              <w:rPr>
                <w:rFonts w:hint="default" w:ascii="Times New Roman" w:hAnsi="Times New Roman" w:eastAsia="宋体" w:cs="Times New Roman"/>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日以来（以证书或者证明文件的颁发时间为准），投标人</w:t>
            </w:r>
            <w:r>
              <w:rPr>
                <w:rFonts w:hint="eastAsia" w:ascii="宋体" w:hAnsi="宋体" w:cs="宋体"/>
                <w:color w:val="auto"/>
                <w:kern w:val="0"/>
                <w:sz w:val="21"/>
                <w:szCs w:val="21"/>
                <w:highlight w:val="none"/>
                <w:lang w:val="en-US" w:eastAsia="zh-CN" w:bidi="ar"/>
              </w:rPr>
              <w:t>（或投标人承揽</w:t>
            </w:r>
            <w:r>
              <w:rPr>
                <w:rFonts w:hint="eastAsia" w:ascii="宋体" w:hAnsi="宋体" w:eastAsia="宋体" w:cs="宋体"/>
                <w:color w:val="auto"/>
                <w:kern w:val="0"/>
                <w:sz w:val="21"/>
                <w:szCs w:val="21"/>
                <w:highlight w:val="none"/>
                <w:lang w:val="en-US" w:eastAsia="zh-CN" w:bidi="ar"/>
              </w:rPr>
              <w:t>物业服务项目</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在物业服务期间获得地市级</w:t>
            </w:r>
            <w:r>
              <w:rPr>
                <w:rFonts w:hint="eastAsia" w:ascii="宋体" w:hAnsi="宋体" w:cs="宋体"/>
                <w:color w:val="auto"/>
                <w:kern w:val="0"/>
                <w:sz w:val="21"/>
                <w:szCs w:val="21"/>
                <w:highlight w:val="none"/>
                <w:lang w:val="en-US" w:eastAsia="zh-CN" w:bidi="ar"/>
              </w:rPr>
              <w:t>及</w:t>
            </w:r>
            <w:r>
              <w:rPr>
                <w:rFonts w:hint="eastAsia" w:ascii="宋体" w:hAnsi="宋体" w:eastAsia="宋体" w:cs="宋体"/>
                <w:color w:val="auto"/>
                <w:kern w:val="0"/>
                <w:sz w:val="21"/>
                <w:szCs w:val="21"/>
                <w:highlight w:val="none"/>
                <w:lang w:val="en-US" w:eastAsia="zh-CN" w:bidi="ar"/>
              </w:rPr>
              <w:t>以上政府或者物业行政主管部门（不含协会）表彰的（含先进、</w:t>
            </w:r>
            <w:r>
              <w:rPr>
                <w:rFonts w:hint="eastAsia" w:ascii="宋体" w:hAnsi="宋体" w:cs="宋体"/>
                <w:color w:val="auto"/>
                <w:kern w:val="0"/>
                <w:sz w:val="21"/>
                <w:szCs w:val="21"/>
                <w:highlight w:val="none"/>
                <w:lang w:val="en-US" w:eastAsia="zh-CN" w:bidi="ar"/>
              </w:rPr>
              <w:t>示</w:t>
            </w:r>
            <w:r>
              <w:rPr>
                <w:rFonts w:hint="eastAsia" w:ascii="宋体" w:hAnsi="宋体" w:eastAsia="宋体" w:cs="宋体"/>
                <w:color w:val="auto"/>
                <w:kern w:val="0"/>
                <w:sz w:val="21"/>
                <w:szCs w:val="21"/>
                <w:highlight w:val="none"/>
                <w:lang w:val="en-US" w:eastAsia="zh-CN" w:bidi="ar"/>
              </w:rPr>
              <w:t>范、优秀），每提供一个得</w:t>
            </w:r>
            <w:r>
              <w:rPr>
                <w:rFonts w:hint="eastAsia" w:cs="Times New Roman"/>
                <w:color w:val="auto"/>
                <w:kern w:val="0"/>
                <w:sz w:val="21"/>
                <w:szCs w:val="21"/>
                <w:highlight w:val="none"/>
                <w:lang w:val="en-US" w:eastAsia="zh-CN" w:bidi="ar"/>
              </w:rPr>
              <w:t>2分</w:t>
            </w:r>
            <w:r>
              <w:rPr>
                <w:rFonts w:hint="eastAsia" w:ascii="宋体" w:hAnsi="宋体" w:eastAsia="宋体" w:cs="宋体"/>
                <w:color w:val="auto"/>
                <w:kern w:val="0"/>
                <w:sz w:val="21"/>
                <w:szCs w:val="21"/>
                <w:highlight w:val="none"/>
                <w:lang w:val="en-US" w:eastAsia="zh-CN" w:bidi="ar"/>
              </w:rPr>
              <w:t>，最高得</w:t>
            </w:r>
            <w:r>
              <w:rPr>
                <w:rFonts w:hint="eastAsia" w:cs="Times New Roman"/>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val="en-US" w:eastAsia="zh-CN" w:bidi="ar"/>
              </w:rPr>
              <w:t xml:space="preserve">分。 </w:t>
            </w:r>
          </w:p>
          <w:p w14:paraId="1C782C77">
            <w:pPr>
              <w:keepNext w:val="0"/>
              <w:keepLines w:val="0"/>
              <w:pageBreakBefore w:val="0"/>
              <w:widowControl/>
              <w:suppressLineNumbers w:val="0"/>
              <w:kinsoku/>
              <w:wordWrap/>
              <w:overflowPunct/>
              <w:topLinePunct w:val="0"/>
              <w:autoSpaceDE/>
              <w:autoSpaceDN/>
              <w:bidi w:val="0"/>
              <w:adjustRightInd/>
              <w:snapToGrid/>
              <w:spacing w:line="440" w:lineRule="exact"/>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投标文件中提供证书、批复、颁发单位荣誉文件、网上公示截图（具有其中之一即可）等证明材料。以上材料提供扫描件，须能体现投标人在物业管理工作中获得的荣誉，如无法体现，须另附颁发单位的相关证明材料，未提供或提供不全的不得分。如为所管项目荣誉，投标文件中同时提供业绩合同扫描件。</w:t>
            </w:r>
            <w:r>
              <w:rPr>
                <w:rFonts w:hint="eastAsia" w:ascii="宋体" w:hAnsi="宋体" w:eastAsia="宋体" w:cs="宋体"/>
                <w:b/>
                <w:bCs/>
                <w:color w:val="auto"/>
                <w:kern w:val="0"/>
                <w:szCs w:val="21"/>
                <w:highlight w:val="none"/>
                <w:lang w:val="en-US" w:bidi="zh-CN"/>
              </w:rPr>
              <w:t>】</w:t>
            </w:r>
          </w:p>
          <w:p w14:paraId="41E0D61D">
            <w:pPr>
              <w:keepNext w:val="0"/>
              <w:keepLines w:val="0"/>
              <w:pageBreakBefore w:val="0"/>
              <w:widowControl/>
              <w:suppressLineNumbers w:val="0"/>
              <w:kinsoku/>
              <w:wordWrap/>
              <w:overflowPunct/>
              <w:topLinePunct w:val="0"/>
              <w:autoSpaceDE/>
              <w:autoSpaceDN/>
              <w:bidi w:val="0"/>
              <w:adjustRightInd/>
              <w:snapToGrid/>
              <w:spacing w:line="440" w:lineRule="exact"/>
              <w:jc w:val="left"/>
              <w:rPr>
                <w:rFonts w:hint="eastAsia" w:ascii="宋体" w:hAnsi="宋体" w:eastAsia="宋体" w:cs="宋体"/>
                <w:b/>
                <w:bCs/>
                <w:color w:val="auto"/>
                <w:kern w:val="0"/>
                <w:sz w:val="21"/>
                <w:szCs w:val="21"/>
                <w:highlight w:val="none"/>
                <w:lang w:val="en-US" w:eastAsia="zh-CN" w:bidi="ar"/>
              </w:rPr>
            </w:pPr>
            <w:r>
              <w:rPr>
                <w:rFonts w:hint="eastAsia" w:cs="Times New Roman"/>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.自</w:t>
            </w:r>
            <w:r>
              <w:rPr>
                <w:rFonts w:hint="default" w:ascii="Times New Roman" w:hAnsi="Times New Roman" w:eastAsia="宋体" w:cs="Times New Roman"/>
                <w:color w:val="auto"/>
                <w:kern w:val="0"/>
                <w:sz w:val="21"/>
                <w:szCs w:val="21"/>
                <w:highlight w:val="none"/>
                <w:lang w:val="en-US" w:eastAsia="zh-CN" w:bidi="ar"/>
              </w:rPr>
              <w:t>202</w:t>
            </w:r>
            <w:r>
              <w:rPr>
                <w:rFonts w:hint="eastAsia" w:cs="Times New Roman"/>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年</w:t>
            </w:r>
            <w:r>
              <w:rPr>
                <w:rFonts w:hint="default" w:ascii="Times New Roman" w:hAnsi="Times New Roman" w:eastAsia="宋体" w:cs="Times New Roman"/>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月</w:t>
            </w:r>
            <w:r>
              <w:rPr>
                <w:rFonts w:hint="default" w:ascii="Times New Roman" w:hAnsi="Times New Roman" w:eastAsia="宋体" w:cs="Times New Roman"/>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日以来（以证书或者证明文件的颁发时间为准），投标人物业信用等级被市级及以上行政主管部门评为甲级（类）的得2分，被评为乙级(类)的得1分</w:t>
            </w:r>
            <w:r>
              <w:rPr>
                <w:rFonts w:hint="eastAsia" w:ascii="宋体" w:hAnsi="宋体" w:cs="宋体"/>
                <w:color w:val="auto"/>
                <w:kern w:val="0"/>
                <w:sz w:val="21"/>
                <w:szCs w:val="21"/>
                <w:highlight w:val="none"/>
                <w:lang w:val="en-US" w:eastAsia="zh-CN" w:bidi="ar"/>
              </w:rPr>
              <w:t>；</w:t>
            </w:r>
            <w:r>
              <w:rPr>
                <w:rFonts w:hint="eastAsia" w:ascii="宋体" w:hAnsi="宋体" w:eastAsia="宋体" w:cs="宋体"/>
                <w:b/>
                <w:bCs/>
                <w:color w:val="auto"/>
                <w:kern w:val="0"/>
                <w:sz w:val="21"/>
                <w:szCs w:val="21"/>
                <w:highlight w:val="none"/>
                <w:lang w:val="en-US" w:eastAsia="zh-CN" w:bidi="ar"/>
              </w:rPr>
              <w:t>最高得</w:t>
            </w:r>
            <w:r>
              <w:rPr>
                <w:rFonts w:hint="eastAsia" w:cs="Times New Roman"/>
                <w:b/>
                <w:bCs/>
                <w:color w:val="auto"/>
                <w:kern w:val="0"/>
                <w:sz w:val="21"/>
                <w:szCs w:val="21"/>
                <w:highlight w:val="none"/>
                <w:lang w:val="en-US" w:eastAsia="zh-CN" w:bidi="ar"/>
              </w:rPr>
              <w:t>4</w:t>
            </w:r>
            <w:r>
              <w:rPr>
                <w:rFonts w:hint="eastAsia" w:ascii="宋体" w:hAnsi="宋体" w:eastAsia="宋体" w:cs="宋体"/>
                <w:b/>
                <w:bCs/>
                <w:color w:val="auto"/>
                <w:kern w:val="0"/>
                <w:sz w:val="21"/>
                <w:szCs w:val="21"/>
                <w:highlight w:val="none"/>
                <w:lang w:val="en-US" w:eastAsia="zh-CN" w:bidi="ar"/>
              </w:rPr>
              <w:t>分。</w:t>
            </w:r>
          </w:p>
          <w:p w14:paraId="3DD47142">
            <w:pPr>
              <w:keepNext w:val="0"/>
              <w:keepLines w:val="0"/>
              <w:pageBreakBefore w:val="0"/>
              <w:widowControl/>
              <w:suppressLineNumbers w:val="0"/>
              <w:kinsoku/>
              <w:wordWrap/>
              <w:overflowPunct/>
              <w:topLinePunct w:val="0"/>
              <w:autoSpaceDE/>
              <w:autoSpaceDN/>
              <w:bidi w:val="0"/>
              <w:adjustRightInd/>
              <w:snapToGrid/>
              <w:spacing w:line="440" w:lineRule="exact"/>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注：自高到低全国各地规定、说法可能不一致，如</w:t>
            </w:r>
            <w:r>
              <w:rPr>
                <w:rFonts w:hint="default" w:ascii="Times New Roman" w:hAnsi="Times New Roman" w:eastAsia="宋体" w:cs="Times New Roman"/>
                <w:color w:val="auto"/>
                <w:kern w:val="0"/>
                <w:sz w:val="21"/>
                <w:szCs w:val="21"/>
                <w:highlight w:val="none"/>
                <w:lang w:val="en-US" w:eastAsia="zh-CN" w:bidi="ar"/>
              </w:rPr>
              <w:t>:</w:t>
            </w:r>
            <w:r>
              <w:rPr>
                <w:rFonts w:hint="eastAsia" w:ascii="Times New Roman" w:hAnsi="Times New Roman" w:eastAsia="宋体" w:cs="Times New Roman"/>
                <w:color w:val="auto"/>
                <w:kern w:val="0"/>
                <w:sz w:val="21"/>
                <w:szCs w:val="21"/>
                <w:highlight w:val="none"/>
                <w:lang w:val="en-US" w:eastAsia="zh-CN" w:bidi="ar"/>
              </w:rPr>
              <w:t>ABCDE级</w:t>
            </w:r>
            <w:r>
              <w:rPr>
                <w:rFonts w:hint="default" w:ascii="Times New Roman" w:hAnsi="Times New Roman" w:eastAsia="宋体" w:cs="Times New Roman"/>
                <w:color w:val="auto"/>
                <w:kern w:val="0"/>
                <w:sz w:val="21"/>
                <w:szCs w:val="21"/>
                <w:highlight w:val="none"/>
                <w:lang w:val="en-US" w:eastAsia="zh-CN" w:bidi="ar"/>
              </w:rPr>
              <w:t xml:space="preserve"> </w:t>
            </w:r>
            <w:r>
              <w:rPr>
                <w:rFonts w:hint="eastAsia" w:ascii="Times New Roman" w:hAnsi="Times New Roman" w:eastAsia="宋体" w:cs="Times New Roman"/>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甲乙丙级</w:t>
            </w:r>
            <w:r>
              <w:rPr>
                <w:rFonts w:hint="default" w:ascii="Times New Roman" w:hAnsi="Times New Roman" w:eastAsia="宋体" w:cs="Times New Roman"/>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类</w:t>
            </w:r>
            <w:r>
              <w:rPr>
                <w:rFonts w:hint="default" w:ascii="Times New Roman" w:hAnsi="Times New Roman" w:eastAsia="宋体" w:cs="Times New Roman"/>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 xml:space="preserve">， </w:t>
            </w:r>
            <w:r>
              <w:rPr>
                <w:rFonts w:hint="default" w:ascii="Times New Roman" w:hAnsi="Times New Roman" w:eastAsia="宋体" w:cs="Times New Roman"/>
                <w:color w:val="auto"/>
                <w:kern w:val="0"/>
                <w:sz w:val="21"/>
                <w:szCs w:val="21"/>
                <w:highlight w:val="none"/>
                <w:lang w:val="en-US" w:eastAsia="zh-CN" w:bidi="ar"/>
              </w:rPr>
              <w:t>AAA</w:t>
            </w: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 xml:space="preserve">AA </w:t>
            </w: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 xml:space="preserve">A </w:t>
            </w:r>
            <w:r>
              <w:rPr>
                <w:rFonts w:hint="eastAsia" w:ascii="宋体" w:hAnsi="宋体" w:eastAsia="宋体" w:cs="宋体"/>
                <w:color w:val="auto"/>
                <w:kern w:val="0"/>
                <w:sz w:val="21"/>
                <w:szCs w:val="21"/>
                <w:highlight w:val="none"/>
                <w:lang w:val="en-US" w:eastAsia="zh-CN" w:bidi="ar"/>
              </w:rPr>
              <w:t>级</w:t>
            </w:r>
            <w:r>
              <w:rPr>
                <w:rFonts w:hint="default" w:ascii="Times New Roman" w:hAnsi="Times New Roman" w:eastAsia="宋体" w:cs="Times New Roman"/>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类</w:t>
            </w:r>
            <w:r>
              <w:rPr>
                <w:rFonts w:hint="default" w:ascii="Times New Roman" w:hAnsi="Times New Roman" w:eastAsia="宋体" w:cs="Times New Roman"/>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 一二三级</w:t>
            </w:r>
            <w:r>
              <w:rPr>
                <w:rFonts w:hint="default" w:ascii="Times New Roman" w:hAnsi="Times New Roman" w:eastAsia="宋体" w:cs="Times New Roman"/>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类</w:t>
            </w:r>
            <w:r>
              <w:rPr>
                <w:rFonts w:hint="default" w:ascii="Times New Roman" w:hAnsi="Times New Roman" w:eastAsia="宋体" w:cs="Times New Roman"/>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等，物业信用等级命名如有不同，性质相同均予以认可。最高等级的以甲级(类)计算，次高等级的按乙级(类)计算。不累计计分，以最高分计算</w:t>
            </w:r>
            <w:r>
              <w:rPr>
                <w:rFonts w:hint="eastAsia" w:ascii="宋体" w:hAnsi="宋体" w:cs="宋体"/>
                <w:color w:val="auto"/>
                <w:kern w:val="0"/>
                <w:sz w:val="21"/>
                <w:szCs w:val="21"/>
                <w:highlight w:val="none"/>
                <w:lang w:val="en-US" w:eastAsia="zh-CN" w:bidi="ar"/>
              </w:rPr>
              <w:t>。</w:t>
            </w:r>
          </w:p>
          <w:p w14:paraId="35E29694">
            <w:pPr>
              <w:keepNext w:val="0"/>
              <w:keepLines w:val="0"/>
              <w:pageBreakBefore w:val="0"/>
              <w:widowControl/>
              <w:suppressLineNumbers w:val="0"/>
              <w:kinsoku/>
              <w:wordWrap/>
              <w:overflowPunct/>
              <w:topLinePunct w:val="0"/>
              <w:autoSpaceDE/>
              <w:autoSpaceDN/>
              <w:bidi w:val="0"/>
              <w:adjustRightInd/>
              <w:snapToGrid/>
              <w:spacing w:line="440" w:lineRule="exact"/>
              <w:jc w:val="left"/>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最多提供两个信用评定， 按照排列顺序从首个评分项开始评审至对应数量，超出部分不进行评审。</w:t>
            </w:r>
          </w:p>
          <w:p w14:paraId="62837A6B">
            <w:pPr>
              <w:keepNext w:val="0"/>
              <w:keepLines w:val="0"/>
              <w:pageBreakBefore w:val="0"/>
              <w:widowControl/>
              <w:suppressLineNumbers w:val="0"/>
              <w:kinsoku/>
              <w:wordWrap/>
              <w:overflowPunct/>
              <w:topLinePunct w:val="0"/>
              <w:autoSpaceDE/>
              <w:autoSpaceDN/>
              <w:bidi w:val="0"/>
              <w:adjustRightInd/>
              <w:snapToGrid/>
              <w:spacing w:line="440" w:lineRule="exact"/>
              <w:jc w:val="left"/>
              <w:rPr>
                <w:rFonts w:hint="eastAsia" w:ascii="宋体" w:hAnsi="宋体" w:eastAsia="宋体" w:cs="宋体"/>
                <w:b/>
                <w:bCs/>
                <w:color w:val="auto"/>
                <w:sz w:val="21"/>
                <w:szCs w:val="21"/>
                <w:highlight w:val="none"/>
              </w:rPr>
            </w:pPr>
            <w:r>
              <w:rPr>
                <w:rFonts w:hint="eastAsia" w:ascii="宋体" w:hAnsi="宋体" w:eastAsia="宋体" w:cs="宋体"/>
                <w:color w:val="auto"/>
                <w:kern w:val="0"/>
                <w:sz w:val="21"/>
                <w:szCs w:val="21"/>
                <w:highlight w:val="none"/>
                <w:lang w:val="en-US" w:eastAsia="zh-CN" w:bidi="ar"/>
              </w:rPr>
              <w:t>【投标文件中提供市级及以上物业行政主管部门颁发的证明文件或网上公示 截图等材料扫描件；信用等级命名不同的，还须提供市级及以上行政主管部门划分信用等级的证明材料扫描件。</w:t>
            </w:r>
            <w:r>
              <w:rPr>
                <w:rFonts w:hint="eastAsia" w:ascii="宋体" w:hAnsi="宋体" w:eastAsia="宋体" w:cs="宋体"/>
                <w:b/>
                <w:bCs/>
                <w:color w:val="auto"/>
                <w:kern w:val="0"/>
                <w:szCs w:val="21"/>
                <w:highlight w:val="none"/>
                <w:lang w:val="en-US" w:bidi="zh-CN"/>
              </w:rPr>
              <w:t>】</w:t>
            </w:r>
          </w:p>
        </w:tc>
      </w:tr>
      <w:tr w14:paraId="60097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52" w:type="dxa"/>
            <w:shd w:val="clear" w:color="auto" w:fill="auto"/>
            <w:noWrap/>
            <w:vAlign w:val="center"/>
          </w:tcPr>
          <w:p w14:paraId="641F6F24">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w:t>
            </w:r>
          </w:p>
        </w:tc>
        <w:tc>
          <w:tcPr>
            <w:tcW w:w="1078" w:type="dxa"/>
            <w:shd w:val="clear" w:color="auto" w:fill="auto"/>
            <w:noWrap/>
            <w:vAlign w:val="center"/>
          </w:tcPr>
          <w:p w14:paraId="123486E1">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人员配置</w:t>
            </w:r>
          </w:p>
        </w:tc>
        <w:tc>
          <w:tcPr>
            <w:tcW w:w="840" w:type="dxa"/>
            <w:shd w:val="clear" w:color="auto" w:fill="auto"/>
            <w:noWrap/>
            <w:vAlign w:val="center"/>
          </w:tcPr>
          <w:p w14:paraId="6E8E1C38">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12分</w:t>
            </w:r>
          </w:p>
        </w:tc>
        <w:tc>
          <w:tcPr>
            <w:tcW w:w="6981" w:type="dxa"/>
            <w:shd w:val="clear" w:color="auto" w:fill="auto"/>
            <w:noWrap/>
            <w:vAlign w:val="center"/>
          </w:tcPr>
          <w:p w14:paraId="16A1279C">
            <w:pPr>
              <w:keepNext w:val="0"/>
              <w:keepLines w:val="0"/>
              <w:pageBreakBefore w:val="0"/>
              <w:kinsoku/>
              <w:wordWrap/>
              <w:overflowPunct/>
              <w:topLinePunct w:val="0"/>
              <w:autoSpaceDE/>
              <w:autoSpaceDN/>
              <w:bidi w:val="0"/>
              <w:adjustRightInd/>
              <w:snapToGrid/>
              <w:spacing w:line="440" w:lineRule="exact"/>
              <w:jc w:val="left"/>
              <w:rPr>
                <w:rFonts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val="en-US" w:eastAsia="zh-CN"/>
              </w:rPr>
              <w:t>一、</w:t>
            </w:r>
            <w:r>
              <w:rPr>
                <w:rFonts w:hint="eastAsia" w:ascii="宋体" w:hAnsi="宋体" w:eastAsia="宋体" w:cs="宋体"/>
                <w:b/>
                <w:bCs/>
                <w:color w:val="auto"/>
                <w:sz w:val="21"/>
                <w:szCs w:val="21"/>
                <w:highlight w:val="none"/>
              </w:rPr>
              <w:t>项目经理（</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分）</w:t>
            </w:r>
          </w:p>
          <w:p w14:paraId="6BB04C43">
            <w:pPr>
              <w:keepNext w:val="0"/>
              <w:keepLines w:val="0"/>
              <w:pageBreakBefore w:val="0"/>
              <w:kinsoku/>
              <w:wordWrap/>
              <w:overflowPunct/>
              <w:topLinePunct w:val="0"/>
              <w:autoSpaceDE/>
              <w:autoSpaceDN/>
              <w:bidi w:val="0"/>
              <w:adjustRightInd/>
              <w:snapToGrid/>
              <w:spacing w:line="440" w:lineRule="exact"/>
              <w:jc w:val="lef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具有物业管理员（师）二级及以上技能证书的得2分（提供证书扫描件</w:t>
            </w:r>
            <w:r>
              <w:rPr>
                <w:rFonts w:hint="eastAsia" w:ascii="宋体" w:hAnsi="宋体" w:cs="宋体"/>
                <w:color w:val="auto"/>
                <w:sz w:val="21"/>
                <w:szCs w:val="21"/>
                <w:highlight w:val="none"/>
                <w:lang w:val="en-US" w:eastAsia="zh-CN"/>
              </w:rPr>
              <w:t>和</w:t>
            </w:r>
            <w:r>
              <w:rPr>
                <w:rFonts w:hint="eastAsia" w:ascii="宋体" w:hAnsi="宋体" w:eastAsia="宋体" w:cs="宋体"/>
                <w:color w:val="auto"/>
                <w:sz w:val="21"/>
                <w:szCs w:val="21"/>
                <w:highlight w:val="none"/>
              </w:rPr>
              <w:t>技能人才评价证书全国联网查询系统截图）。</w:t>
            </w:r>
          </w:p>
          <w:p w14:paraId="2F27E7D3">
            <w:pPr>
              <w:keepNext w:val="0"/>
              <w:keepLines w:val="0"/>
              <w:pageBreakBefore w:val="0"/>
              <w:kinsoku/>
              <w:wordWrap/>
              <w:overflowPunct/>
              <w:topLinePunct w:val="0"/>
              <w:autoSpaceDE/>
              <w:autoSpaceDN/>
              <w:bidi w:val="0"/>
              <w:adjustRightInd/>
              <w:snapToGrid/>
              <w:spacing w:line="440" w:lineRule="exact"/>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二、拟为本项目配备的其他人员（不含项目经理）</w:t>
            </w:r>
            <w:r>
              <w:rPr>
                <w:rFonts w:hint="eastAsia" w:ascii="宋体" w:hAnsi="宋体" w:cs="宋体"/>
                <w:b/>
                <w:bCs/>
                <w:color w:val="auto"/>
                <w:sz w:val="21"/>
                <w:szCs w:val="21"/>
                <w:highlight w:val="none"/>
                <w:lang w:val="en-US" w:eastAsia="zh-CN"/>
              </w:rPr>
              <w:t>（10分）</w:t>
            </w:r>
          </w:p>
          <w:p w14:paraId="1AF1787A">
            <w:pPr>
              <w:keepNext w:val="0"/>
              <w:keepLines w:val="0"/>
              <w:pageBreakBefore w:val="0"/>
              <w:kinsoku/>
              <w:wordWrap/>
              <w:overflowPunct/>
              <w:topLinePunct w:val="0"/>
              <w:autoSpaceDE/>
              <w:autoSpaceDN/>
              <w:bidi w:val="0"/>
              <w:adjustRightInd/>
              <w:snapToGrid/>
              <w:spacing w:line="440" w:lineRule="exact"/>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具有中级（四级）及以上消防设施操作员或建（构）筑消防员技能证书的得2分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最高得2分</w:t>
            </w:r>
            <w:r>
              <w:rPr>
                <w:rFonts w:hint="eastAsia" w:ascii="宋体" w:hAnsi="宋体" w:eastAsia="宋体" w:cs="宋体"/>
                <w:color w:val="auto"/>
                <w:sz w:val="21"/>
                <w:szCs w:val="21"/>
                <w:highlight w:val="none"/>
              </w:rPr>
              <w:t>（提供证书扫描件以及技能人才评价证书全国联网查询系统截图）</w:t>
            </w:r>
            <w:r>
              <w:rPr>
                <w:rFonts w:hint="eastAsia" w:ascii="宋体" w:hAnsi="宋体" w:cs="宋体"/>
                <w:color w:val="auto"/>
                <w:sz w:val="21"/>
                <w:szCs w:val="21"/>
                <w:highlight w:val="none"/>
                <w:lang w:eastAsia="zh-CN"/>
              </w:rPr>
              <w:t>；</w:t>
            </w:r>
          </w:p>
          <w:p w14:paraId="3FA854FF">
            <w:pPr>
              <w:keepNext w:val="0"/>
              <w:keepLines w:val="0"/>
              <w:pageBreakBefore w:val="0"/>
              <w:kinsoku/>
              <w:wordWrap/>
              <w:overflowPunct/>
              <w:topLinePunct w:val="0"/>
              <w:autoSpaceDE/>
              <w:autoSpaceDN/>
              <w:bidi w:val="0"/>
              <w:adjustRightInd/>
              <w:snapToGrid/>
              <w:spacing w:line="440" w:lineRule="exact"/>
              <w:jc w:val="left"/>
              <w:rPr>
                <w:rFonts w:hint="eastAsia" w:asciiTheme="minorEastAsia" w:hAnsiTheme="minorEastAsia" w:eastAsiaTheme="minorEastAsia"/>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具有</w:t>
            </w:r>
            <w:r>
              <w:rPr>
                <w:rFonts w:hint="eastAsia" w:ascii="宋体" w:hAnsi="宋体" w:cs="宋体"/>
                <w:color w:val="auto"/>
                <w:sz w:val="21"/>
                <w:szCs w:val="21"/>
                <w:highlight w:val="none"/>
                <w:lang w:val="en-US" w:eastAsia="zh-CN"/>
              </w:rPr>
              <w:t>三</w:t>
            </w:r>
            <w:r>
              <w:rPr>
                <w:rFonts w:hint="eastAsia" w:ascii="宋体" w:hAnsi="宋体" w:eastAsia="宋体" w:cs="宋体"/>
                <w:color w:val="auto"/>
                <w:sz w:val="21"/>
                <w:szCs w:val="21"/>
                <w:highlight w:val="none"/>
              </w:rPr>
              <w:t>级</w:t>
            </w:r>
            <w:r>
              <w:rPr>
                <w:rFonts w:hint="eastAsia" w:ascii="宋体" w:hAnsi="宋体" w:eastAsia="宋体" w:cs="宋体"/>
                <w:color w:val="auto"/>
                <w:sz w:val="21"/>
                <w:szCs w:val="21"/>
                <w:highlight w:val="none"/>
                <w:lang w:val="en-US" w:eastAsia="zh-CN"/>
              </w:rPr>
              <w:t>及以上电工职业技能证书</w:t>
            </w:r>
            <w:r>
              <w:rPr>
                <w:rFonts w:hint="eastAsia" w:ascii="宋体" w:hAnsi="宋体" w:eastAsia="宋体" w:cs="宋体"/>
                <w:color w:val="auto"/>
                <w:sz w:val="21"/>
                <w:szCs w:val="21"/>
                <w:highlight w:val="none"/>
              </w:rPr>
              <w:t>的得2分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最高得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rPr>
              <w:t>（提供证书扫描件以及技能人才评价证书全国联网查询系统截图）</w:t>
            </w:r>
            <w:r>
              <w:rPr>
                <w:rFonts w:hint="eastAsia" w:ascii="宋体" w:hAnsi="宋体" w:cs="宋体"/>
                <w:color w:val="auto"/>
                <w:sz w:val="21"/>
                <w:szCs w:val="21"/>
                <w:highlight w:val="none"/>
                <w:lang w:eastAsia="zh-CN"/>
              </w:rPr>
              <w:t>；</w:t>
            </w:r>
          </w:p>
          <w:p w14:paraId="4D09426A">
            <w:pPr>
              <w:spacing w:line="440" w:lineRule="exact"/>
              <w:jc w:val="left"/>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val="en-US" w:eastAsia="zh-CN"/>
              </w:rPr>
              <w:t>（3）</w:t>
            </w:r>
            <w:r>
              <w:rPr>
                <w:rFonts w:hint="eastAsia" w:ascii="宋体" w:hAnsi="宋体" w:eastAsia="宋体" w:cs="宋体"/>
                <w:color w:val="auto"/>
                <w:sz w:val="21"/>
                <w:szCs w:val="21"/>
                <w:highlight w:val="none"/>
              </w:rPr>
              <w:t>具有物业管理员（师）</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级及以上技能证书的得2分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最高得4分</w:t>
            </w:r>
            <w:r>
              <w:rPr>
                <w:rFonts w:hint="eastAsia" w:ascii="宋体" w:hAnsi="宋体" w:eastAsia="宋体" w:cs="宋体"/>
                <w:color w:val="auto"/>
                <w:sz w:val="21"/>
                <w:szCs w:val="21"/>
                <w:highlight w:val="none"/>
              </w:rPr>
              <w:t>（提供证书扫描件</w:t>
            </w:r>
            <w:r>
              <w:rPr>
                <w:rFonts w:hint="eastAsia" w:ascii="宋体" w:hAnsi="宋体" w:cs="宋体"/>
                <w:color w:val="auto"/>
                <w:sz w:val="21"/>
                <w:szCs w:val="21"/>
                <w:highlight w:val="none"/>
                <w:lang w:val="en-US" w:eastAsia="zh-CN"/>
              </w:rPr>
              <w:t>和</w:t>
            </w:r>
            <w:r>
              <w:rPr>
                <w:rFonts w:hint="eastAsia" w:ascii="宋体" w:hAnsi="宋体" w:eastAsia="宋体" w:cs="宋体"/>
                <w:color w:val="auto"/>
                <w:sz w:val="21"/>
                <w:szCs w:val="21"/>
                <w:highlight w:val="none"/>
              </w:rPr>
              <w:t>技能人才评价证书全国联网查询系统截图）</w:t>
            </w:r>
          </w:p>
          <w:p w14:paraId="317AF6BA">
            <w:pPr>
              <w:keepNext w:val="0"/>
              <w:keepLines w:val="0"/>
              <w:pageBreakBefore w:val="0"/>
              <w:kinsoku/>
              <w:wordWrap/>
              <w:overflowPunct/>
              <w:topLinePunct w:val="0"/>
              <w:autoSpaceDE/>
              <w:autoSpaceDN/>
              <w:bidi w:val="0"/>
              <w:adjustRightInd/>
              <w:snapToGrid/>
              <w:spacing w:line="440" w:lineRule="exact"/>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注：投标文件中同时提供以下证明材料：</w:t>
            </w:r>
          </w:p>
          <w:p w14:paraId="33060B5E">
            <w:pPr>
              <w:keepNext w:val="0"/>
              <w:keepLines w:val="0"/>
              <w:pageBreakBefore w:val="0"/>
              <w:kinsoku/>
              <w:wordWrap/>
              <w:overflowPunct/>
              <w:topLinePunct w:val="0"/>
              <w:autoSpaceDE/>
              <w:autoSpaceDN/>
              <w:bidi w:val="0"/>
              <w:adjustRightInd/>
              <w:snapToGrid/>
              <w:spacing w:line="440" w:lineRule="exact"/>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1、上述</w:t>
            </w:r>
            <w:r>
              <w:rPr>
                <w:rFonts w:hint="eastAsia" w:ascii="宋体" w:hAnsi="宋体" w:eastAsia="宋体" w:cs="宋体"/>
                <w:color w:val="auto"/>
                <w:sz w:val="21"/>
                <w:szCs w:val="21"/>
                <w:highlight w:val="none"/>
                <w:lang w:val="en-US" w:eastAsia="zh-CN"/>
              </w:rPr>
              <w:t>人员名单（格式自拟）及</w:t>
            </w:r>
            <w:r>
              <w:rPr>
                <w:rFonts w:hint="eastAsia" w:ascii="宋体" w:hAnsi="宋体" w:eastAsia="宋体" w:cs="宋体"/>
                <w:color w:val="auto"/>
                <w:sz w:val="21"/>
                <w:szCs w:val="21"/>
                <w:highlight w:val="none"/>
              </w:rPr>
              <w:t>人员有效身份证（含正反页）；</w:t>
            </w:r>
          </w:p>
          <w:p w14:paraId="7C3C2E51">
            <w:pPr>
              <w:keepNext w:val="0"/>
              <w:keepLines w:val="0"/>
              <w:pageBreakBefore w:val="0"/>
              <w:kinsoku/>
              <w:wordWrap/>
              <w:overflowPunct/>
              <w:topLinePunct w:val="0"/>
              <w:autoSpaceDE/>
              <w:autoSpaceDN/>
              <w:bidi w:val="0"/>
              <w:adjustRightInd/>
              <w:snapToGrid/>
              <w:spacing w:line="440" w:lineRule="exact"/>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2、上述人员相关证书或证明材料扫描件；</w:t>
            </w:r>
          </w:p>
          <w:p w14:paraId="57097308">
            <w:pPr>
              <w:keepNext w:val="0"/>
              <w:keepLines w:val="0"/>
              <w:pageBreakBefore w:val="0"/>
              <w:kinsoku/>
              <w:wordWrap/>
              <w:overflowPunct/>
              <w:topLinePunct w:val="0"/>
              <w:autoSpaceDE/>
              <w:autoSpaceDN/>
              <w:bidi w:val="0"/>
              <w:adjustRightInd/>
              <w:snapToGrid/>
              <w:spacing w:line="44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3、上述人员须持有社保部门出具的本单位为其缴纳的投标前近三个月内任意一月的养老保险证明（含官网在线打印件，证明文件两个月内有效）。</w:t>
            </w:r>
          </w:p>
        </w:tc>
      </w:tr>
      <w:tr w14:paraId="54D5E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52" w:type="dxa"/>
            <w:shd w:val="clear" w:color="auto" w:fill="auto"/>
            <w:noWrap/>
            <w:vAlign w:val="center"/>
          </w:tcPr>
          <w:p w14:paraId="7D2A198C">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w:t>
            </w:r>
          </w:p>
        </w:tc>
        <w:tc>
          <w:tcPr>
            <w:tcW w:w="1078" w:type="dxa"/>
            <w:shd w:val="clear" w:color="auto" w:fill="auto"/>
            <w:noWrap/>
            <w:vAlign w:val="center"/>
          </w:tcPr>
          <w:p w14:paraId="7274A27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管理体系</w:t>
            </w:r>
          </w:p>
          <w:p w14:paraId="683E476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认证</w:t>
            </w:r>
          </w:p>
        </w:tc>
        <w:tc>
          <w:tcPr>
            <w:tcW w:w="840" w:type="dxa"/>
            <w:shd w:val="clear" w:color="auto" w:fill="auto"/>
            <w:noWrap/>
            <w:vAlign w:val="center"/>
          </w:tcPr>
          <w:p w14:paraId="5B81EEB3">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9分</w:t>
            </w:r>
          </w:p>
        </w:tc>
        <w:tc>
          <w:tcPr>
            <w:tcW w:w="6981" w:type="dxa"/>
            <w:shd w:val="clear" w:color="auto" w:fill="auto"/>
            <w:noWrap/>
            <w:vAlign w:val="center"/>
          </w:tcPr>
          <w:p w14:paraId="38955DCE">
            <w:pPr>
              <w:keepNext w:val="0"/>
              <w:keepLines w:val="0"/>
              <w:pageBreakBefore w:val="0"/>
              <w:widowControl/>
              <w:suppressLineNumbers w:val="0"/>
              <w:kinsoku/>
              <w:wordWrap/>
              <w:overflowPunct/>
              <w:topLinePunct w:val="0"/>
              <w:autoSpaceDE/>
              <w:autoSpaceDN/>
              <w:bidi w:val="0"/>
              <w:adjustRightInd/>
              <w:snapToGrid/>
              <w:spacing w:line="440" w:lineRule="exact"/>
              <w:jc w:val="left"/>
              <w:rPr>
                <w:color w:val="auto"/>
                <w:highlight w:val="none"/>
              </w:rPr>
            </w:pPr>
            <w:r>
              <w:rPr>
                <w:rFonts w:hint="eastAsia" w:ascii="宋体" w:hAnsi="宋体" w:eastAsia="宋体" w:cs="宋体"/>
                <w:color w:val="auto"/>
                <w:kern w:val="0"/>
                <w:sz w:val="21"/>
                <w:szCs w:val="21"/>
                <w:highlight w:val="none"/>
                <w:lang w:val="en-US" w:eastAsia="zh-CN" w:bidi="ar"/>
              </w:rPr>
              <w:t xml:space="preserve">投标人具有经中国国家认证认可监督管理委员会认证机构颁发的有效的下列证书： </w:t>
            </w:r>
          </w:p>
          <w:p w14:paraId="11881059">
            <w:pPr>
              <w:keepNext w:val="0"/>
              <w:keepLines w:val="0"/>
              <w:pageBreakBefore w:val="0"/>
              <w:widowControl w:val="0"/>
              <w:kinsoku/>
              <w:wordWrap/>
              <w:overflowPunct/>
              <w:topLinePunct w:val="0"/>
              <w:autoSpaceDE/>
              <w:autoSpaceDN/>
              <w:bidi w:val="0"/>
              <w:adjustRightInd/>
              <w:snapToGrid/>
              <w:spacing w:line="440" w:lineRule="exact"/>
              <w:jc w:val="both"/>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1.投标人具有ISO9001质量体系认证证书，得</w:t>
            </w:r>
            <w:r>
              <w:rPr>
                <w:rFonts w:hint="eastAsia" w:ascii="宋体" w:hAnsi="宋体" w:cs="宋体"/>
                <w:color w:val="auto"/>
                <w:kern w:val="2"/>
                <w:sz w:val="21"/>
                <w:szCs w:val="24"/>
                <w:highlight w:val="none"/>
                <w:lang w:val="en-US" w:eastAsia="zh-CN" w:bidi="ar-SA"/>
              </w:rPr>
              <w:t>3</w:t>
            </w:r>
            <w:r>
              <w:rPr>
                <w:rFonts w:hint="eastAsia" w:ascii="宋体" w:hAnsi="宋体" w:eastAsia="宋体" w:cs="宋体"/>
                <w:color w:val="auto"/>
                <w:kern w:val="2"/>
                <w:sz w:val="21"/>
                <w:szCs w:val="24"/>
                <w:highlight w:val="none"/>
                <w:lang w:val="en-US" w:eastAsia="zh-CN" w:bidi="ar-SA"/>
              </w:rPr>
              <w:t>分。</w:t>
            </w:r>
          </w:p>
          <w:p w14:paraId="1F202396">
            <w:pPr>
              <w:keepNext w:val="0"/>
              <w:keepLines w:val="0"/>
              <w:pageBreakBefore w:val="0"/>
              <w:widowControl w:val="0"/>
              <w:kinsoku/>
              <w:wordWrap/>
              <w:overflowPunct/>
              <w:topLinePunct w:val="0"/>
              <w:autoSpaceDE/>
              <w:autoSpaceDN/>
              <w:bidi w:val="0"/>
              <w:adjustRightInd/>
              <w:snapToGrid/>
              <w:spacing w:line="440" w:lineRule="exact"/>
              <w:ind w:right="164" w:rightChars="78"/>
              <w:jc w:val="both"/>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2.投标人具有ISO14001环境管理体系认证证书，得</w:t>
            </w:r>
            <w:r>
              <w:rPr>
                <w:rFonts w:hint="eastAsia" w:ascii="宋体" w:hAnsi="宋体" w:cs="宋体"/>
                <w:color w:val="auto"/>
                <w:kern w:val="2"/>
                <w:sz w:val="21"/>
                <w:szCs w:val="24"/>
                <w:highlight w:val="none"/>
                <w:lang w:val="en-US" w:eastAsia="zh-CN" w:bidi="ar-SA"/>
              </w:rPr>
              <w:t>3</w:t>
            </w:r>
            <w:r>
              <w:rPr>
                <w:rFonts w:hint="eastAsia" w:ascii="宋体" w:hAnsi="宋体" w:eastAsia="宋体" w:cs="宋体"/>
                <w:color w:val="auto"/>
                <w:kern w:val="2"/>
                <w:sz w:val="21"/>
                <w:szCs w:val="24"/>
                <w:highlight w:val="none"/>
                <w:lang w:val="en-US" w:eastAsia="zh-CN" w:bidi="ar-SA"/>
              </w:rPr>
              <w:t>分。</w:t>
            </w:r>
          </w:p>
          <w:p w14:paraId="658701F4">
            <w:pPr>
              <w:keepNext w:val="0"/>
              <w:keepLines w:val="0"/>
              <w:pageBreakBefore w:val="0"/>
              <w:widowControl/>
              <w:suppressLineNumbers w:val="0"/>
              <w:kinsoku/>
              <w:wordWrap/>
              <w:overflowPunct/>
              <w:topLinePunct w:val="0"/>
              <w:autoSpaceDE/>
              <w:autoSpaceDN/>
              <w:bidi w:val="0"/>
              <w:adjustRightInd/>
              <w:snapToGrid/>
              <w:spacing w:line="440" w:lineRule="exact"/>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2"/>
                <w:sz w:val="21"/>
                <w:szCs w:val="24"/>
                <w:highlight w:val="none"/>
                <w:lang w:val="en-US" w:eastAsia="zh-CN" w:bidi="ar-SA"/>
              </w:rPr>
              <w:t>3.投标人具有ISO45001职业安全健康体系认证证书，得</w:t>
            </w:r>
            <w:r>
              <w:rPr>
                <w:rFonts w:hint="eastAsia" w:ascii="宋体" w:hAnsi="宋体" w:cs="宋体"/>
                <w:color w:val="auto"/>
                <w:kern w:val="2"/>
                <w:sz w:val="21"/>
                <w:szCs w:val="24"/>
                <w:highlight w:val="none"/>
                <w:lang w:val="en-US" w:eastAsia="zh-CN" w:bidi="ar-SA"/>
              </w:rPr>
              <w:t>3</w:t>
            </w:r>
            <w:r>
              <w:rPr>
                <w:rFonts w:hint="eastAsia" w:ascii="宋体" w:hAnsi="宋体" w:eastAsia="宋体" w:cs="宋体"/>
                <w:color w:val="auto"/>
                <w:kern w:val="2"/>
                <w:sz w:val="21"/>
                <w:szCs w:val="24"/>
                <w:highlight w:val="none"/>
                <w:lang w:val="en-US" w:eastAsia="zh-CN" w:bidi="ar-SA"/>
              </w:rPr>
              <w:t>分</w:t>
            </w:r>
            <w:r>
              <w:rPr>
                <w:rFonts w:hint="eastAsia" w:ascii="宋体" w:hAnsi="宋体" w:eastAsia="宋体" w:cs="宋体"/>
                <w:color w:val="auto"/>
                <w:kern w:val="0"/>
                <w:sz w:val="21"/>
                <w:szCs w:val="21"/>
                <w:highlight w:val="none"/>
                <w:lang w:val="en-US" w:eastAsia="zh-CN" w:bidi="ar"/>
              </w:rPr>
              <w:t>；</w:t>
            </w:r>
          </w:p>
          <w:p w14:paraId="205F8E09">
            <w:pPr>
              <w:keepNext w:val="0"/>
              <w:keepLines w:val="0"/>
              <w:pageBreakBefore w:val="0"/>
              <w:widowControl/>
              <w:suppressLineNumbers w:val="0"/>
              <w:kinsoku/>
              <w:wordWrap/>
              <w:overflowPunct/>
              <w:topLinePunct w:val="0"/>
              <w:autoSpaceDE/>
              <w:autoSpaceDN/>
              <w:bidi w:val="0"/>
              <w:adjustRightInd/>
              <w:snapToGrid/>
              <w:spacing w:line="440" w:lineRule="exact"/>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每提供1个得2分，最高得</w:t>
            </w:r>
            <w:r>
              <w:rPr>
                <w:rFonts w:hint="eastAsia" w:ascii="宋体" w:hAnsi="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val="en-US" w:eastAsia="zh-CN" w:bidi="ar"/>
              </w:rPr>
              <w:t>分</w:t>
            </w:r>
            <w:r>
              <w:rPr>
                <w:rFonts w:hint="eastAsia" w:ascii="宋体" w:hAnsi="宋体" w:cs="宋体"/>
                <w:color w:val="auto"/>
                <w:kern w:val="0"/>
                <w:sz w:val="21"/>
                <w:szCs w:val="21"/>
                <w:highlight w:val="none"/>
                <w:lang w:val="en-US" w:eastAsia="zh-CN" w:bidi="ar"/>
              </w:rPr>
              <w:t>。</w:t>
            </w:r>
          </w:p>
          <w:p w14:paraId="1769A478">
            <w:pPr>
              <w:keepNext w:val="0"/>
              <w:keepLines w:val="0"/>
              <w:pageBreakBefore w:val="0"/>
              <w:widowControl/>
              <w:suppressLineNumbers w:val="0"/>
              <w:kinsoku/>
              <w:wordWrap/>
              <w:overflowPunct/>
              <w:topLinePunct w:val="0"/>
              <w:autoSpaceDE/>
              <w:autoSpaceDN/>
              <w:bidi w:val="0"/>
              <w:adjustRightInd/>
              <w:snapToGrid/>
              <w:spacing w:line="440" w:lineRule="exact"/>
              <w:jc w:val="left"/>
              <w:rPr>
                <w:rFonts w:hint="eastAsia" w:ascii="宋体" w:hAnsi="宋体" w:eastAsia="宋体" w:cs="宋体"/>
                <w:b/>
                <w:bCs/>
                <w:color w:val="auto"/>
                <w:sz w:val="21"/>
                <w:szCs w:val="21"/>
                <w:highlight w:val="none"/>
              </w:rPr>
            </w:pPr>
            <w:r>
              <w:rPr>
                <w:rFonts w:hint="eastAsia" w:ascii="宋体" w:hAnsi="宋体" w:eastAsia="宋体" w:cs="宋体"/>
                <w:color w:val="auto"/>
                <w:kern w:val="0"/>
                <w:sz w:val="21"/>
                <w:szCs w:val="21"/>
                <w:highlight w:val="none"/>
                <w:lang w:val="en-US" w:eastAsia="zh-CN" w:bidi="ar"/>
              </w:rPr>
              <w:t>【上述证书均在有效期内，并提供全国认证认可信息公共服务平台官网查询截图，且与投标人所提供的认证证书一致，检验电子标书，证书单位名称与投标人名称一致，否则不得分。】</w:t>
            </w:r>
          </w:p>
        </w:tc>
      </w:tr>
    </w:tbl>
    <w:p w14:paraId="2EAAE6E0">
      <w:pPr>
        <w:pStyle w:val="2"/>
        <w:adjustRightInd w:val="0"/>
        <w:snapToGrid w:val="0"/>
        <w:spacing w:after="0" w:line="560" w:lineRule="exact"/>
        <w:ind w:left="0" w:leftChars="0" w:firstLine="0" w:firstLineChars="0"/>
        <w:jc w:val="center"/>
        <w:rPr>
          <w:rFonts w:hint="eastAsia"/>
          <w:b/>
          <w:color w:val="auto"/>
          <w:sz w:val="28"/>
          <w:szCs w:val="21"/>
          <w:highlight w:val="none"/>
        </w:rPr>
      </w:pPr>
    </w:p>
    <w:p w14:paraId="1589319A">
      <w:pPr>
        <w:pStyle w:val="2"/>
        <w:adjustRightInd w:val="0"/>
        <w:snapToGrid w:val="0"/>
        <w:spacing w:after="0" w:line="560" w:lineRule="exact"/>
        <w:ind w:left="0" w:leftChars="0" w:firstLine="0" w:firstLineChars="0"/>
        <w:jc w:val="center"/>
        <w:rPr>
          <w:rFonts w:hint="default" w:eastAsia="宋体"/>
          <w:b/>
          <w:color w:val="auto"/>
          <w:sz w:val="28"/>
          <w:szCs w:val="21"/>
          <w:highlight w:val="none"/>
          <w:lang w:val="en-US" w:eastAsia="zh-CN"/>
        </w:rPr>
      </w:pPr>
      <w:r>
        <w:rPr>
          <w:rFonts w:hint="eastAsia"/>
          <w:b/>
          <w:color w:val="auto"/>
          <w:sz w:val="28"/>
          <w:szCs w:val="21"/>
          <w:highlight w:val="none"/>
        </w:rPr>
        <w:t>（三）技术标评审</w:t>
      </w:r>
      <w:r>
        <w:rPr>
          <w:rFonts w:hint="eastAsia"/>
          <w:b/>
          <w:color w:val="auto"/>
          <w:sz w:val="28"/>
          <w:szCs w:val="21"/>
          <w:highlight w:val="none"/>
          <w:lang w:eastAsia="zh-CN"/>
        </w:rPr>
        <w:t>（</w:t>
      </w:r>
      <w:r>
        <w:rPr>
          <w:rFonts w:hint="eastAsia"/>
          <w:b/>
          <w:color w:val="auto"/>
          <w:sz w:val="28"/>
          <w:szCs w:val="21"/>
          <w:highlight w:val="none"/>
          <w:lang w:val="en-US" w:eastAsia="zh-CN"/>
        </w:rPr>
        <w:t>43分）</w:t>
      </w:r>
    </w:p>
    <w:bookmarkEnd w:id="85"/>
    <w:tbl>
      <w:tblPr>
        <w:tblStyle w:val="35"/>
        <w:tblW w:w="9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3038"/>
        <w:gridCol w:w="791"/>
        <w:gridCol w:w="5399"/>
      </w:tblGrid>
      <w:tr w14:paraId="03170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642" w:type="dxa"/>
            <w:noWrap w:val="0"/>
            <w:vAlign w:val="center"/>
          </w:tcPr>
          <w:p w14:paraId="087A8039">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highlight w:val="none"/>
              </w:rPr>
            </w:pPr>
            <w:bookmarkStart w:id="87" w:name="_Toc362983805"/>
            <w:r>
              <w:rPr>
                <w:rFonts w:hint="eastAsia" w:ascii="宋体" w:hAnsi="宋体" w:eastAsia="宋体" w:cs="宋体"/>
                <w:color w:val="auto"/>
                <w:sz w:val="21"/>
                <w:szCs w:val="21"/>
                <w:highlight w:val="none"/>
              </w:rPr>
              <w:t>序号</w:t>
            </w:r>
          </w:p>
        </w:tc>
        <w:tc>
          <w:tcPr>
            <w:tcW w:w="3038" w:type="dxa"/>
            <w:noWrap w:val="0"/>
            <w:vAlign w:val="center"/>
          </w:tcPr>
          <w:p w14:paraId="43E2BCB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评审因素</w:t>
            </w:r>
          </w:p>
        </w:tc>
        <w:tc>
          <w:tcPr>
            <w:tcW w:w="791" w:type="dxa"/>
            <w:noWrap w:val="0"/>
            <w:vAlign w:val="center"/>
          </w:tcPr>
          <w:p w14:paraId="4FBACCD3">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w:t>
            </w:r>
          </w:p>
        </w:tc>
        <w:tc>
          <w:tcPr>
            <w:tcW w:w="5399" w:type="dxa"/>
            <w:noWrap w:val="0"/>
            <w:vAlign w:val="center"/>
          </w:tcPr>
          <w:p w14:paraId="65CAD6BA">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u w:val="none"/>
                <w:lang w:val="en-US" w:eastAsia="zh-CN"/>
              </w:rPr>
              <w:t>技术标评审细则</w:t>
            </w:r>
          </w:p>
        </w:tc>
      </w:tr>
      <w:tr w14:paraId="001AF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642" w:type="dxa"/>
            <w:noWrap w:val="0"/>
            <w:vAlign w:val="center"/>
          </w:tcPr>
          <w:p w14:paraId="50B57CBA">
            <w:pPr>
              <w:keepNext w:val="0"/>
              <w:keepLines w:val="0"/>
              <w:pageBreakBefore w:val="0"/>
              <w:widowControl w:val="0"/>
              <w:kinsoku/>
              <w:wordWrap/>
              <w:overflowPunct/>
              <w:topLinePunct w:val="0"/>
              <w:autoSpaceDE/>
              <w:autoSpaceDN/>
              <w:bidi w:val="0"/>
              <w:adjustRightInd/>
              <w:snapToGrid/>
              <w:spacing w:line="440" w:lineRule="exact"/>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w:t>
            </w:r>
          </w:p>
        </w:tc>
        <w:tc>
          <w:tcPr>
            <w:tcW w:w="3038" w:type="dxa"/>
            <w:noWrap w:val="0"/>
            <w:vAlign w:val="center"/>
          </w:tcPr>
          <w:p w14:paraId="36541930">
            <w:pPr>
              <w:keepNext w:val="0"/>
              <w:keepLines w:val="0"/>
              <w:pageBreakBefore w:val="0"/>
              <w:widowControl w:val="0"/>
              <w:kinsoku/>
              <w:wordWrap/>
              <w:overflowPunct/>
              <w:topLinePunct w:val="0"/>
              <w:autoSpaceDE/>
              <w:autoSpaceDN/>
              <w:bidi w:val="0"/>
              <w:adjustRightInd/>
              <w:snapToGrid/>
              <w:spacing w:line="440" w:lineRule="exact"/>
              <w:jc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重大活动保障方案</w:t>
            </w:r>
          </w:p>
        </w:tc>
        <w:tc>
          <w:tcPr>
            <w:tcW w:w="791" w:type="dxa"/>
            <w:noWrap w:val="0"/>
            <w:vAlign w:val="center"/>
          </w:tcPr>
          <w:p w14:paraId="68F710B5">
            <w:pPr>
              <w:keepNext w:val="0"/>
              <w:keepLines w:val="0"/>
              <w:pageBreakBefore w:val="0"/>
              <w:widowControl w:val="0"/>
              <w:kinsoku/>
              <w:wordWrap/>
              <w:overflowPunct/>
              <w:topLinePunct w:val="0"/>
              <w:autoSpaceDE/>
              <w:autoSpaceDN/>
              <w:bidi w:val="0"/>
              <w:adjustRightInd/>
              <w:snapToGrid/>
              <w:spacing w:line="440" w:lineRule="exact"/>
              <w:jc w:val="center"/>
              <w:rPr>
                <w:rFonts w:hint="default" w:ascii="宋体" w:hAnsi="宋体" w:eastAsia="宋体" w:cs="宋体"/>
                <w:color w:val="auto"/>
                <w:kern w:val="2"/>
                <w:sz w:val="21"/>
                <w:szCs w:val="24"/>
                <w:highlight w:val="none"/>
                <w:lang w:val="en-US" w:eastAsia="zh-CN" w:bidi="ar-SA"/>
              </w:rPr>
            </w:pPr>
            <w:r>
              <w:rPr>
                <w:rFonts w:hint="eastAsia" w:ascii="宋体" w:hAnsi="宋体" w:cs="宋体"/>
                <w:color w:val="auto"/>
                <w:kern w:val="2"/>
                <w:sz w:val="21"/>
                <w:szCs w:val="24"/>
                <w:highlight w:val="none"/>
                <w:lang w:val="en-US" w:eastAsia="zh-CN" w:bidi="ar-SA"/>
              </w:rPr>
              <w:t>6</w:t>
            </w:r>
          </w:p>
        </w:tc>
        <w:tc>
          <w:tcPr>
            <w:tcW w:w="5399" w:type="dxa"/>
            <w:noWrap w:val="0"/>
            <w:vAlign w:val="top"/>
          </w:tcPr>
          <w:p w14:paraId="5ABCDCFC">
            <w:pPr>
              <w:keepNext w:val="0"/>
              <w:keepLines w:val="0"/>
              <w:pageBreakBefore w:val="0"/>
              <w:widowControl w:val="0"/>
              <w:kinsoku/>
              <w:wordWrap/>
              <w:overflowPunct/>
              <w:topLinePunct w:val="0"/>
              <w:autoSpaceDE/>
              <w:autoSpaceDN/>
              <w:bidi w:val="0"/>
              <w:adjustRightInd/>
              <w:snapToGrid/>
              <w:spacing w:line="440" w:lineRule="exact"/>
              <w:jc w:val="both"/>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根据大剧院物业服务的特点，编制重大活动保障方案，包括但不限于人员配置、设备设施检查、现场环境准备、活动流程配合、技术辅助支持等多方面综合考虑。</w:t>
            </w:r>
          </w:p>
          <w:p w14:paraId="366DF423">
            <w:pPr>
              <w:keepNext w:val="0"/>
              <w:keepLines w:val="0"/>
              <w:pageBreakBefore w:val="0"/>
              <w:widowControl w:val="0"/>
              <w:kinsoku/>
              <w:wordWrap/>
              <w:overflowPunct/>
              <w:topLinePunct w:val="0"/>
              <w:autoSpaceDE/>
              <w:autoSpaceDN/>
              <w:bidi w:val="0"/>
              <w:adjustRightInd/>
              <w:snapToGrid/>
              <w:spacing w:line="440" w:lineRule="exact"/>
              <w:jc w:val="both"/>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方案周密、详尽、保障措施完善，充分满足项目实施要求的得</w:t>
            </w:r>
            <w:r>
              <w:rPr>
                <w:rFonts w:hint="eastAsia" w:ascii="宋体" w:hAnsi="宋体" w:cs="宋体"/>
                <w:color w:val="auto"/>
                <w:kern w:val="2"/>
                <w:sz w:val="21"/>
                <w:szCs w:val="24"/>
                <w:highlight w:val="none"/>
                <w:lang w:val="en-US" w:eastAsia="zh-CN" w:bidi="ar-SA"/>
              </w:rPr>
              <w:t>6</w:t>
            </w:r>
            <w:r>
              <w:rPr>
                <w:rFonts w:hint="eastAsia" w:ascii="宋体" w:hAnsi="宋体" w:eastAsia="宋体" w:cs="宋体"/>
                <w:color w:val="auto"/>
                <w:kern w:val="2"/>
                <w:sz w:val="21"/>
                <w:szCs w:val="24"/>
                <w:highlight w:val="none"/>
                <w:lang w:val="en-US" w:eastAsia="zh-CN" w:bidi="ar-SA"/>
              </w:rPr>
              <w:t>分；</w:t>
            </w:r>
          </w:p>
          <w:p w14:paraId="6B03301F">
            <w:pPr>
              <w:keepNext w:val="0"/>
              <w:keepLines w:val="0"/>
              <w:pageBreakBefore w:val="0"/>
              <w:widowControl w:val="0"/>
              <w:kinsoku/>
              <w:wordWrap/>
              <w:overflowPunct/>
              <w:topLinePunct w:val="0"/>
              <w:autoSpaceDE/>
              <w:autoSpaceDN/>
              <w:bidi w:val="0"/>
              <w:adjustRightInd/>
              <w:snapToGrid/>
              <w:spacing w:line="440" w:lineRule="exact"/>
              <w:jc w:val="both"/>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方案完整、有具体的保障措施，满足项目实施要求的得</w:t>
            </w:r>
            <w:r>
              <w:rPr>
                <w:rFonts w:hint="eastAsia" w:ascii="宋体" w:hAnsi="宋体" w:cs="宋体"/>
                <w:color w:val="auto"/>
                <w:kern w:val="2"/>
                <w:sz w:val="21"/>
                <w:szCs w:val="24"/>
                <w:highlight w:val="none"/>
                <w:lang w:val="en-US" w:eastAsia="zh-CN" w:bidi="ar-SA"/>
              </w:rPr>
              <w:t>5</w:t>
            </w:r>
            <w:r>
              <w:rPr>
                <w:rFonts w:hint="eastAsia" w:ascii="宋体" w:hAnsi="宋体" w:eastAsia="宋体" w:cs="宋体"/>
                <w:color w:val="auto"/>
                <w:kern w:val="2"/>
                <w:sz w:val="21"/>
                <w:szCs w:val="24"/>
                <w:highlight w:val="none"/>
                <w:lang w:val="en-US" w:eastAsia="zh-CN" w:bidi="ar-SA"/>
              </w:rPr>
              <w:t xml:space="preserve"> 分</w:t>
            </w:r>
          </w:p>
          <w:p w14:paraId="71E51CAE">
            <w:pPr>
              <w:keepNext w:val="0"/>
              <w:keepLines w:val="0"/>
              <w:pageBreakBefore w:val="0"/>
              <w:widowControl w:val="0"/>
              <w:kinsoku/>
              <w:wordWrap/>
              <w:overflowPunct/>
              <w:topLinePunct w:val="0"/>
              <w:autoSpaceDE/>
              <w:autoSpaceDN/>
              <w:bidi w:val="0"/>
              <w:adjustRightInd/>
              <w:snapToGrid/>
              <w:spacing w:line="440" w:lineRule="exact"/>
              <w:jc w:val="both"/>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方案基本可行，部分存在不足的得</w:t>
            </w:r>
            <w:r>
              <w:rPr>
                <w:rFonts w:hint="eastAsia" w:ascii="宋体" w:hAnsi="宋体" w:cs="宋体"/>
                <w:color w:val="auto"/>
                <w:kern w:val="2"/>
                <w:sz w:val="21"/>
                <w:szCs w:val="24"/>
                <w:highlight w:val="none"/>
                <w:lang w:val="en-US" w:eastAsia="zh-CN" w:bidi="ar-SA"/>
              </w:rPr>
              <w:t>4</w:t>
            </w:r>
            <w:r>
              <w:rPr>
                <w:rFonts w:hint="eastAsia" w:ascii="宋体" w:hAnsi="宋体" w:eastAsia="宋体" w:cs="宋体"/>
                <w:color w:val="auto"/>
                <w:kern w:val="2"/>
                <w:sz w:val="21"/>
                <w:szCs w:val="24"/>
                <w:highlight w:val="none"/>
                <w:lang w:val="en-US" w:eastAsia="zh-CN" w:bidi="ar-SA"/>
              </w:rPr>
              <w:t>分；</w:t>
            </w:r>
          </w:p>
          <w:p w14:paraId="148B4830">
            <w:pPr>
              <w:keepNext w:val="0"/>
              <w:keepLines w:val="0"/>
              <w:pageBreakBefore w:val="0"/>
              <w:widowControl w:val="0"/>
              <w:kinsoku/>
              <w:wordWrap/>
              <w:overflowPunct/>
              <w:topLinePunct w:val="0"/>
              <w:autoSpaceDE/>
              <w:autoSpaceDN/>
              <w:bidi w:val="0"/>
              <w:adjustRightInd/>
              <w:snapToGrid/>
              <w:spacing w:line="440" w:lineRule="exact"/>
              <w:jc w:val="both"/>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不合格或未提供的不得分。</w:t>
            </w:r>
          </w:p>
        </w:tc>
      </w:tr>
      <w:tr w14:paraId="6236B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642" w:type="dxa"/>
            <w:noWrap w:val="0"/>
            <w:vAlign w:val="center"/>
          </w:tcPr>
          <w:p w14:paraId="0FC9C80C">
            <w:pPr>
              <w:keepNext w:val="0"/>
              <w:keepLines w:val="0"/>
              <w:pageBreakBefore w:val="0"/>
              <w:widowControl w:val="0"/>
              <w:kinsoku/>
              <w:wordWrap/>
              <w:overflowPunct/>
              <w:topLinePunct w:val="0"/>
              <w:autoSpaceDE/>
              <w:autoSpaceDN/>
              <w:bidi w:val="0"/>
              <w:adjustRightInd/>
              <w:snapToGrid/>
              <w:spacing w:line="440" w:lineRule="exact"/>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w:t>
            </w:r>
          </w:p>
        </w:tc>
        <w:tc>
          <w:tcPr>
            <w:tcW w:w="3038" w:type="dxa"/>
            <w:noWrap w:val="0"/>
            <w:vAlign w:val="center"/>
          </w:tcPr>
          <w:p w14:paraId="11BDF2D0">
            <w:pPr>
              <w:keepNext w:val="0"/>
              <w:keepLines w:val="0"/>
              <w:pageBreakBefore w:val="0"/>
              <w:widowControl w:val="0"/>
              <w:kinsoku/>
              <w:wordWrap/>
              <w:overflowPunct/>
              <w:topLinePunct w:val="0"/>
              <w:autoSpaceDE/>
              <w:autoSpaceDN/>
              <w:bidi w:val="0"/>
              <w:adjustRightInd/>
              <w:snapToGrid/>
              <w:spacing w:line="440" w:lineRule="exact"/>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进退场交接方案</w:t>
            </w:r>
          </w:p>
        </w:tc>
        <w:tc>
          <w:tcPr>
            <w:tcW w:w="791" w:type="dxa"/>
            <w:noWrap w:val="0"/>
            <w:vAlign w:val="center"/>
          </w:tcPr>
          <w:p w14:paraId="779A879D">
            <w:pPr>
              <w:keepNext w:val="0"/>
              <w:keepLines w:val="0"/>
              <w:pageBreakBefore w:val="0"/>
              <w:widowControl w:val="0"/>
              <w:kinsoku/>
              <w:wordWrap/>
              <w:overflowPunct/>
              <w:topLinePunct w:val="0"/>
              <w:autoSpaceDE/>
              <w:autoSpaceDN/>
              <w:bidi w:val="0"/>
              <w:adjustRightInd/>
              <w:snapToGrid/>
              <w:spacing w:line="440" w:lineRule="exact"/>
              <w:jc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5</w:t>
            </w:r>
          </w:p>
        </w:tc>
        <w:tc>
          <w:tcPr>
            <w:tcW w:w="5399" w:type="dxa"/>
            <w:noWrap w:val="0"/>
            <w:vAlign w:val="top"/>
          </w:tcPr>
          <w:p w14:paraId="6107ED12">
            <w:pPr>
              <w:keepNext w:val="0"/>
              <w:keepLines w:val="0"/>
              <w:pageBreakBefore w:val="0"/>
              <w:widowControl w:val="0"/>
              <w:kinsoku/>
              <w:wordWrap/>
              <w:overflowPunct/>
              <w:topLinePunct w:val="0"/>
              <w:autoSpaceDE/>
              <w:autoSpaceDN/>
              <w:bidi w:val="0"/>
              <w:adjustRightInd/>
              <w:snapToGrid/>
              <w:spacing w:line="440" w:lineRule="exact"/>
              <w:jc w:val="both"/>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根据投标人针对本项目制订的进退场交接方案， 由评标委员会综合评分。</w:t>
            </w:r>
          </w:p>
          <w:p w14:paraId="2919D2D0">
            <w:pPr>
              <w:keepNext w:val="0"/>
              <w:keepLines w:val="0"/>
              <w:pageBreakBefore w:val="0"/>
              <w:widowControl w:val="0"/>
              <w:kinsoku/>
              <w:wordWrap/>
              <w:overflowPunct/>
              <w:topLinePunct w:val="0"/>
              <w:autoSpaceDE/>
              <w:autoSpaceDN/>
              <w:bidi w:val="0"/>
              <w:adjustRightInd/>
              <w:snapToGrid/>
              <w:spacing w:line="440" w:lineRule="exact"/>
              <w:jc w:val="both"/>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对本项目特点和难点理解准确，进退场交接方案详细具体，具有有效的保障措施，得5分；</w:t>
            </w:r>
          </w:p>
          <w:p w14:paraId="63EF6E7F">
            <w:pPr>
              <w:keepNext w:val="0"/>
              <w:keepLines w:val="0"/>
              <w:pageBreakBefore w:val="0"/>
              <w:widowControl w:val="0"/>
              <w:kinsoku/>
              <w:wordWrap/>
              <w:overflowPunct/>
              <w:topLinePunct w:val="0"/>
              <w:autoSpaceDE/>
              <w:autoSpaceDN/>
              <w:bidi w:val="0"/>
              <w:adjustRightInd/>
              <w:snapToGrid/>
              <w:spacing w:line="440" w:lineRule="exact"/>
              <w:jc w:val="both"/>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对本项目进退场交接方案安排得当，具有保障措施，得4分；</w:t>
            </w:r>
          </w:p>
          <w:p w14:paraId="0F0DFCD3">
            <w:pPr>
              <w:keepNext w:val="0"/>
              <w:keepLines w:val="0"/>
              <w:pageBreakBefore w:val="0"/>
              <w:widowControl w:val="0"/>
              <w:kinsoku/>
              <w:wordWrap/>
              <w:overflowPunct/>
              <w:topLinePunct w:val="0"/>
              <w:autoSpaceDE/>
              <w:autoSpaceDN/>
              <w:bidi w:val="0"/>
              <w:adjustRightInd/>
              <w:snapToGrid/>
              <w:spacing w:line="440" w:lineRule="exact"/>
              <w:jc w:val="both"/>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对本项目进退场交接方案简单，存在不足，得3分；</w:t>
            </w:r>
          </w:p>
          <w:p w14:paraId="24BEFD3F">
            <w:pPr>
              <w:keepNext w:val="0"/>
              <w:keepLines w:val="0"/>
              <w:pageBreakBefore w:val="0"/>
              <w:widowControl w:val="0"/>
              <w:kinsoku/>
              <w:wordWrap/>
              <w:overflowPunct/>
              <w:topLinePunct w:val="0"/>
              <w:autoSpaceDE/>
              <w:autoSpaceDN/>
              <w:bidi w:val="0"/>
              <w:adjustRightInd/>
              <w:snapToGrid/>
              <w:spacing w:line="440" w:lineRule="exact"/>
              <w:jc w:val="both"/>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不合格或未提供的不得分。</w:t>
            </w:r>
          </w:p>
        </w:tc>
      </w:tr>
      <w:tr w14:paraId="1D424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642" w:type="dxa"/>
            <w:noWrap w:val="0"/>
            <w:vAlign w:val="center"/>
          </w:tcPr>
          <w:p w14:paraId="75999C86">
            <w:pPr>
              <w:keepNext w:val="0"/>
              <w:keepLines w:val="0"/>
              <w:pageBreakBefore w:val="0"/>
              <w:widowControl w:val="0"/>
              <w:kinsoku/>
              <w:wordWrap/>
              <w:overflowPunct/>
              <w:topLinePunct w:val="0"/>
              <w:autoSpaceDE/>
              <w:autoSpaceDN/>
              <w:bidi w:val="0"/>
              <w:adjustRightInd/>
              <w:snapToGrid/>
              <w:spacing w:line="440" w:lineRule="exact"/>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3</w:t>
            </w:r>
          </w:p>
        </w:tc>
        <w:tc>
          <w:tcPr>
            <w:tcW w:w="3038" w:type="dxa"/>
            <w:noWrap w:val="0"/>
            <w:vAlign w:val="center"/>
          </w:tcPr>
          <w:p w14:paraId="3D41B65E">
            <w:pPr>
              <w:keepNext w:val="0"/>
              <w:keepLines w:val="0"/>
              <w:pageBreakBefore w:val="0"/>
              <w:widowControl w:val="0"/>
              <w:kinsoku/>
              <w:wordWrap/>
              <w:overflowPunct/>
              <w:topLinePunct w:val="0"/>
              <w:autoSpaceDE/>
              <w:autoSpaceDN/>
              <w:bidi w:val="0"/>
              <w:adjustRightInd/>
              <w:snapToGrid/>
              <w:spacing w:line="440" w:lineRule="exact"/>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日常秩序维护方案</w:t>
            </w:r>
          </w:p>
        </w:tc>
        <w:tc>
          <w:tcPr>
            <w:tcW w:w="791" w:type="dxa"/>
            <w:noWrap w:val="0"/>
            <w:vAlign w:val="center"/>
          </w:tcPr>
          <w:p w14:paraId="4A985C2B">
            <w:pPr>
              <w:keepNext w:val="0"/>
              <w:keepLines w:val="0"/>
              <w:pageBreakBefore w:val="0"/>
              <w:widowControl w:val="0"/>
              <w:kinsoku/>
              <w:wordWrap/>
              <w:overflowPunct/>
              <w:topLinePunct w:val="0"/>
              <w:autoSpaceDE/>
              <w:autoSpaceDN/>
              <w:bidi w:val="0"/>
              <w:adjustRightInd/>
              <w:snapToGrid/>
              <w:spacing w:line="440" w:lineRule="exact"/>
              <w:jc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5</w:t>
            </w:r>
          </w:p>
        </w:tc>
        <w:tc>
          <w:tcPr>
            <w:tcW w:w="5399" w:type="dxa"/>
            <w:noWrap w:val="0"/>
            <w:vAlign w:val="top"/>
          </w:tcPr>
          <w:p w14:paraId="115BDEE5">
            <w:pPr>
              <w:keepNext w:val="0"/>
              <w:keepLines w:val="0"/>
              <w:pageBreakBefore w:val="0"/>
              <w:widowControl w:val="0"/>
              <w:kinsoku/>
              <w:wordWrap/>
              <w:overflowPunct/>
              <w:topLinePunct w:val="0"/>
              <w:autoSpaceDE/>
              <w:autoSpaceDN/>
              <w:bidi w:val="0"/>
              <w:adjustRightInd/>
              <w:snapToGrid/>
              <w:spacing w:line="440" w:lineRule="exact"/>
              <w:jc w:val="both"/>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针对本项目的工作特点提供日常秩序维护方案内容。由评标委员会根据投标人提供的以上内容进行评审：</w:t>
            </w:r>
          </w:p>
          <w:p w14:paraId="0D08A29C">
            <w:pPr>
              <w:keepNext w:val="0"/>
              <w:keepLines w:val="0"/>
              <w:pageBreakBefore w:val="0"/>
              <w:widowControl w:val="0"/>
              <w:kinsoku/>
              <w:wordWrap/>
              <w:overflowPunct/>
              <w:topLinePunct w:val="0"/>
              <w:autoSpaceDE/>
              <w:autoSpaceDN/>
              <w:bidi w:val="0"/>
              <w:adjustRightInd/>
              <w:snapToGrid/>
              <w:spacing w:line="440" w:lineRule="exact"/>
              <w:jc w:val="both"/>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服务方案全面、完整、详尽、切实从项目各方面安全出发、考虑，各项服务措施完善，充分考虑各岗位日常人员配合、工作安排实施方案等因素，可实施性突出，充分满足项目实施要求，得5分；</w:t>
            </w:r>
          </w:p>
          <w:p w14:paraId="58D1EBEB">
            <w:pPr>
              <w:keepNext w:val="0"/>
              <w:keepLines w:val="0"/>
              <w:pageBreakBefore w:val="0"/>
              <w:widowControl w:val="0"/>
              <w:kinsoku/>
              <w:wordWrap/>
              <w:overflowPunct/>
              <w:topLinePunct w:val="0"/>
              <w:autoSpaceDE/>
              <w:autoSpaceDN/>
              <w:bidi w:val="0"/>
              <w:adjustRightInd/>
              <w:snapToGrid/>
              <w:spacing w:line="440" w:lineRule="exact"/>
              <w:jc w:val="both"/>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从项目各方面安全考虑，服务方案有各项服务措施，各岗位日常人员配合、工作安排具有实施性，满足项目实施要求，得4分；</w:t>
            </w:r>
          </w:p>
          <w:p w14:paraId="4A29F11F">
            <w:pPr>
              <w:keepNext w:val="0"/>
              <w:keepLines w:val="0"/>
              <w:pageBreakBefore w:val="0"/>
              <w:widowControl w:val="0"/>
              <w:kinsoku/>
              <w:wordWrap/>
              <w:overflowPunct/>
              <w:topLinePunct w:val="0"/>
              <w:autoSpaceDE/>
              <w:autoSpaceDN/>
              <w:bidi w:val="0"/>
              <w:adjustRightInd/>
              <w:snapToGrid/>
              <w:spacing w:line="440" w:lineRule="exact"/>
              <w:jc w:val="both"/>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服务方案简单，服务措施片面，服务措施及服务安排存在不足，得3分；</w:t>
            </w:r>
          </w:p>
          <w:p w14:paraId="6B2F14B1">
            <w:pPr>
              <w:keepNext w:val="0"/>
              <w:keepLines w:val="0"/>
              <w:pageBreakBefore w:val="0"/>
              <w:widowControl w:val="0"/>
              <w:kinsoku/>
              <w:wordWrap/>
              <w:overflowPunct/>
              <w:topLinePunct w:val="0"/>
              <w:autoSpaceDE/>
              <w:autoSpaceDN/>
              <w:bidi w:val="0"/>
              <w:adjustRightInd/>
              <w:snapToGrid/>
              <w:spacing w:line="440" w:lineRule="exact"/>
              <w:jc w:val="both"/>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不合格或未提供的不得分。</w:t>
            </w:r>
          </w:p>
        </w:tc>
      </w:tr>
      <w:tr w14:paraId="0BC59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642" w:type="dxa"/>
            <w:noWrap w:val="0"/>
            <w:vAlign w:val="center"/>
          </w:tcPr>
          <w:p w14:paraId="4756ABB4">
            <w:pPr>
              <w:keepNext w:val="0"/>
              <w:keepLines w:val="0"/>
              <w:pageBreakBefore w:val="0"/>
              <w:widowControl w:val="0"/>
              <w:kinsoku/>
              <w:wordWrap/>
              <w:overflowPunct/>
              <w:topLinePunct w:val="0"/>
              <w:autoSpaceDE/>
              <w:autoSpaceDN/>
              <w:bidi w:val="0"/>
              <w:adjustRightInd/>
              <w:snapToGrid/>
              <w:spacing w:line="440" w:lineRule="exact"/>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4</w:t>
            </w:r>
          </w:p>
        </w:tc>
        <w:tc>
          <w:tcPr>
            <w:tcW w:w="3038" w:type="dxa"/>
            <w:noWrap w:val="0"/>
            <w:vAlign w:val="center"/>
          </w:tcPr>
          <w:p w14:paraId="25F476D1">
            <w:pPr>
              <w:keepNext w:val="0"/>
              <w:keepLines w:val="0"/>
              <w:pageBreakBefore w:val="0"/>
              <w:widowControl w:val="0"/>
              <w:kinsoku/>
              <w:wordWrap/>
              <w:overflowPunct/>
              <w:topLinePunct w:val="0"/>
              <w:autoSpaceDE/>
              <w:autoSpaceDN/>
              <w:bidi w:val="0"/>
              <w:adjustRightInd/>
              <w:snapToGrid/>
              <w:spacing w:line="440" w:lineRule="exact"/>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日常保洁服务方案</w:t>
            </w:r>
          </w:p>
        </w:tc>
        <w:tc>
          <w:tcPr>
            <w:tcW w:w="791" w:type="dxa"/>
            <w:noWrap w:val="0"/>
            <w:vAlign w:val="center"/>
          </w:tcPr>
          <w:p w14:paraId="3CBC7856">
            <w:pPr>
              <w:keepNext w:val="0"/>
              <w:keepLines w:val="0"/>
              <w:pageBreakBefore w:val="0"/>
              <w:widowControl w:val="0"/>
              <w:kinsoku/>
              <w:wordWrap/>
              <w:overflowPunct/>
              <w:topLinePunct w:val="0"/>
              <w:autoSpaceDE/>
              <w:autoSpaceDN/>
              <w:bidi w:val="0"/>
              <w:adjustRightInd/>
              <w:snapToGrid/>
              <w:spacing w:line="440" w:lineRule="exact"/>
              <w:jc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5</w:t>
            </w:r>
          </w:p>
        </w:tc>
        <w:tc>
          <w:tcPr>
            <w:tcW w:w="5399" w:type="dxa"/>
            <w:noWrap w:val="0"/>
            <w:vAlign w:val="top"/>
          </w:tcPr>
          <w:p w14:paraId="4B696C6C">
            <w:pPr>
              <w:keepNext w:val="0"/>
              <w:keepLines w:val="0"/>
              <w:pageBreakBefore w:val="0"/>
              <w:widowControl w:val="0"/>
              <w:kinsoku/>
              <w:wordWrap/>
              <w:overflowPunct/>
              <w:topLinePunct w:val="0"/>
              <w:autoSpaceDE/>
              <w:autoSpaceDN/>
              <w:bidi w:val="0"/>
              <w:adjustRightInd/>
              <w:snapToGrid/>
              <w:spacing w:line="440" w:lineRule="exact"/>
              <w:jc w:val="both"/>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针对本项目的工作特点提供日常保洁服务方案内容。由评标委员会根据投标人提供的以上内容进行评审：</w:t>
            </w:r>
          </w:p>
          <w:p w14:paraId="1B98AE4B">
            <w:pPr>
              <w:keepNext w:val="0"/>
              <w:keepLines w:val="0"/>
              <w:pageBreakBefore w:val="0"/>
              <w:widowControl w:val="0"/>
              <w:kinsoku/>
              <w:wordWrap/>
              <w:overflowPunct/>
              <w:topLinePunct w:val="0"/>
              <w:autoSpaceDE/>
              <w:autoSpaceDN/>
              <w:bidi w:val="0"/>
              <w:adjustRightInd/>
              <w:snapToGrid/>
              <w:spacing w:line="440" w:lineRule="exact"/>
              <w:jc w:val="both"/>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保洁服务方案全面、完整、人员配备充足、具有完善的服务措施，工作安排实施可实施性突出，可保障项目有效实施，得5分；</w:t>
            </w:r>
          </w:p>
          <w:p w14:paraId="1E8D7719">
            <w:pPr>
              <w:keepNext w:val="0"/>
              <w:keepLines w:val="0"/>
              <w:pageBreakBefore w:val="0"/>
              <w:widowControl w:val="0"/>
              <w:kinsoku/>
              <w:wordWrap/>
              <w:overflowPunct/>
              <w:topLinePunct w:val="0"/>
              <w:autoSpaceDE/>
              <w:autoSpaceDN/>
              <w:bidi w:val="0"/>
              <w:adjustRightInd/>
              <w:snapToGrid/>
              <w:spacing w:line="440" w:lineRule="exact"/>
              <w:jc w:val="both"/>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服务方案有各项服务措施，各岗位日常人员配合、工作安排满足项目实施要求，得4分；</w:t>
            </w:r>
          </w:p>
          <w:p w14:paraId="5A68CABD">
            <w:pPr>
              <w:keepNext w:val="0"/>
              <w:keepLines w:val="0"/>
              <w:pageBreakBefore w:val="0"/>
              <w:widowControl w:val="0"/>
              <w:kinsoku/>
              <w:wordWrap/>
              <w:overflowPunct/>
              <w:topLinePunct w:val="0"/>
              <w:autoSpaceDE/>
              <w:autoSpaceDN/>
              <w:bidi w:val="0"/>
              <w:adjustRightInd/>
              <w:snapToGrid/>
              <w:spacing w:line="440" w:lineRule="exact"/>
              <w:jc w:val="both"/>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服务方案简单，服务措施及服务安排存在不足，得3分；</w:t>
            </w:r>
          </w:p>
          <w:p w14:paraId="79DBC852">
            <w:pPr>
              <w:keepNext w:val="0"/>
              <w:keepLines w:val="0"/>
              <w:pageBreakBefore w:val="0"/>
              <w:widowControl w:val="0"/>
              <w:kinsoku/>
              <w:wordWrap/>
              <w:overflowPunct/>
              <w:topLinePunct w:val="0"/>
              <w:autoSpaceDE/>
              <w:autoSpaceDN/>
              <w:bidi w:val="0"/>
              <w:adjustRightInd/>
              <w:snapToGrid/>
              <w:spacing w:line="440" w:lineRule="exact"/>
              <w:jc w:val="both"/>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不合格或未提供的不得分。</w:t>
            </w:r>
          </w:p>
        </w:tc>
      </w:tr>
      <w:tr w14:paraId="40A70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642" w:type="dxa"/>
            <w:noWrap w:val="0"/>
            <w:vAlign w:val="center"/>
          </w:tcPr>
          <w:p w14:paraId="594B63AA">
            <w:pPr>
              <w:keepNext w:val="0"/>
              <w:keepLines w:val="0"/>
              <w:pageBreakBefore w:val="0"/>
              <w:widowControl w:val="0"/>
              <w:kinsoku/>
              <w:wordWrap/>
              <w:overflowPunct/>
              <w:topLinePunct w:val="0"/>
              <w:autoSpaceDE/>
              <w:autoSpaceDN/>
              <w:bidi w:val="0"/>
              <w:adjustRightInd/>
              <w:snapToGrid/>
              <w:spacing w:line="440" w:lineRule="exact"/>
              <w:jc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5</w:t>
            </w:r>
          </w:p>
        </w:tc>
        <w:tc>
          <w:tcPr>
            <w:tcW w:w="3038" w:type="dxa"/>
            <w:noWrap w:val="0"/>
            <w:vAlign w:val="center"/>
          </w:tcPr>
          <w:p w14:paraId="3F0F7290">
            <w:pPr>
              <w:keepNext w:val="0"/>
              <w:keepLines w:val="0"/>
              <w:pageBreakBefore w:val="0"/>
              <w:widowControl w:val="0"/>
              <w:kinsoku/>
              <w:wordWrap/>
              <w:overflowPunct/>
              <w:topLinePunct w:val="0"/>
              <w:autoSpaceDE/>
              <w:autoSpaceDN/>
              <w:bidi w:val="0"/>
              <w:adjustRightInd/>
              <w:snapToGrid/>
              <w:spacing w:line="440" w:lineRule="exact"/>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内部管理制度</w:t>
            </w:r>
          </w:p>
        </w:tc>
        <w:tc>
          <w:tcPr>
            <w:tcW w:w="791" w:type="dxa"/>
            <w:noWrap w:val="0"/>
            <w:vAlign w:val="center"/>
          </w:tcPr>
          <w:p w14:paraId="4CF6F811">
            <w:pPr>
              <w:keepNext w:val="0"/>
              <w:keepLines w:val="0"/>
              <w:pageBreakBefore w:val="0"/>
              <w:widowControl w:val="0"/>
              <w:kinsoku/>
              <w:wordWrap/>
              <w:overflowPunct/>
              <w:topLinePunct w:val="0"/>
              <w:autoSpaceDE/>
              <w:autoSpaceDN/>
              <w:bidi w:val="0"/>
              <w:adjustRightInd/>
              <w:snapToGrid/>
              <w:spacing w:line="440" w:lineRule="exact"/>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5</w:t>
            </w:r>
          </w:p>
        </w:tc>
        <w:tc>
          <w:tcPr>
            <w:tcW w:w="5399" w:type="dxa"/>
            <w:noWrap w:val="0"/>
            <w:vAlign w:val="top"/>
          </w:tcPr>
          <w:p w14:paraId="1EB60801">
            <w:pPr>
              <w:keepNext w:val="0"/>
              <w:keepLines w:val="0"/>
              <w:pageBreakBefore w:val="0"/>
              <w:widowControl w:val="0"/>
              <w:kinsoku/>
              <w:wordWrap/>
              <w:overflowPunct/>
              <w:topLinePunct w:val="0"/>
              <w:autoSpaceDE/>
              <w:autoSpaceDN/>
              <w:bidi w:val="0"/>
              <w:adjustRightInd/>
              <w:snapToGrid/>
              <w:spacing w:line="440" w:lineRule="exact"/>
              <w:jc w:val="both"/>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根据供应商针对本项目制订的管理方式及方案， 由评标委员会综合评分。</w:t>
            </w:r>
          </w:p>
          <w:p w14:paraId="02BD9A07">
            <w:pPr>
              <w:keepNext w:val="0"/>
              <w:keepLines w:val="0"/>
              <w:pageBreakBefore w:val="0"/>
              <w:widowControl w:val="0"/>
              <w:kinsoku/>
              <w:wordWrap/>
              <w:overflowPunct/>
              <w:topLinePunct w:val="0"/>
              <w:autoSpaceDE/>
              <w:autoSpaceDN/>
              <w:bidi w:val="0"/>
              <w:adjustRightInd/>
              <w:snapToGrid/>
              <w:spacing w:line="440" w:lineRule="exact"/>
              <w:jc w:val="both"/>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内部管理架构、激励机制、监督机制、自我约束机制、信息反馈及处理机制齐全且可实施性强，合理且人性化，对稳定岗位有正向发展的，有对应的制定项目的长远计划和短期安排的得5分；</w:t>
            </w:r>
          </w:p>
          <w:p w14:paraId="73B8FDA2">
            <w:pPr>
              <w:keepNext w:val="0"/>
              <w:keepLines w:val="0"/>
              <w:pageBreakBefore w:val="0"/>
              <w:widowControl w:val="0"/>
              <w:kinsoku/>
              <w:wordWrap/>
              <w:overflowPunct/>
              <w:topLinePunct w:val="0"/>
              <w:autoSpaceDE/>
              <w:autoSpaceDN/>
              <w:bidi w:val="0"/>
              <w:adjustRightInd/>
              <w:snapToGrid/>
              <w:spacing w:line="440" w:lineRule="exact"/>
              <w:jc w:val="both"/>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内部管理架构、激励机制、监督机制、自我约束机制、信息反馈及处理机制较为齐全但出现与本项目不相适应的内容，考虑了稳定岗 位的措施，有对应的制定项目的基本安排计划的得4分；</w:t>
            </w:r>
          </w:p>
          <w:p w14:paraId="59E21AA7">
            <w:pPr>
              <w:keepNext w:val="0"/>
              <w:keepLines w:val="0"/>
              <w:pageBreakBefore w:val="0"/>
              <w:widowControl w:val="0"/>
              <w:kinsoku/>
              <w:wordWrap/>
              <w:overflowPunct/>
              <w:topLinePunct w:val="0"/>
              <w:autoSpaceDE/>
              <w:autoSpaceDN/>
              <w:bidi w:val="0"/>
              <w:adjustRightInd/>
              <w:snapToGrid/>
              <w:spacing w:line="440" w:lineRule="exact"/>
              <w:jc w:val="both"/>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内部管理架构、激励机制、监督机制、自我约束机制、信息反馈及 处理机制较为齐全但有一定的矛盾点，对稳定岗位及岗位分布分析 为有具体描述，安排计划空洞，可实施性弱的得3分；</w:t>
            </w:r>
          </w:p>
          <w:p w14:paraId="1B3F7D5D">
            <w:pPr>
              <w:keepNext w:val="0"/>
              <w:keepLines w:val="0"/>
              <w:pageBreakBefore w:val="0"/>
              <w:widowControl w:val="0"/>
              <w:kinsoku/>
              <w:wordWrap/>
              <w:overflowPunct/>
              <w:topLinePunct w:val="0"/>
              <w:autoSpaceDE/>
              <w:autoSpaceDN/>
              <w:bidi w:val="0"/>
              <w:adjustRightInd/>
              <w:snapToGrid/>
              <w:spacing w:line="440" w:lineRule="exact"/>
              <w:jc w:val="both"/>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不合格或未提供的不得分。</w:t>
            </w:r>
          </w:p>
        </w:tc>
      </w:tr>
      <w:tr w14:paraId="15639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642" w:type="dxa"/>
            <w:noWrap w:val="0"/>
            <w:vAlign w:val="center"/>
          </w:tcPr>
          <w:p w14:paraId="025ABA7A">
            <w:pPr>
              <w:keepNext w:val="0"/>
              <w:keepLines w:val="0"/>
              <w:pageBreakBefore w:val="0"/>
              <w:widowControl w:val="0"/>
              <w:kinsoku/>
              <w:wordWrap/>
              <w:overflowPunct/>
              <w:topLinePunct w:val="0"/>
              <w:autoSpaceDE/>
              <w:autoSpaceDN/>
              <w:bidi w:val="0"/>
              <w:adjustRightInd/>
              <w:snapToGrid/>
              <w:spacing w:line="440" w:lineRule="exact"/>
              <w:jc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6</w:t>
            </w:r>
          </w:p>
        </w:tc>
        <w:tc>
          <w:tcPr>
            <w:tcW w:w="3038" w:type="dxa"/>
            <w:noWrap w:val="0"/>
            <w:vAlign w:val="center"/>
          </w:tcPr>
          <w:p w14:paraId="206B847C">
            <w:pPr>
              <w:keepNext w:val="0"/>
              <w:keepLines w:val="0"/>
              <w:pageBreakBefore w:val="0"/>
              <w:widowControl w:val="0"/>
              <w:kinsoku/>
              <w:wordWrap/>
              <w:overflowPunct/>
              <w:topLinePunct w:val="0"/>
              <w:autoSpaceDE/>
              <w:autoSpaceDN/>
              <w:bidi w:val="0"/>
              <w:adjustRightInd/>
              <w:snapToGrid/>
              <w:spacing w:line="440" w:lineRule="exact"/>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人员培训与管理</w:t>
            </w:r>
          </w:p>
        </w:tc>
        <w:tc>
          <w:tcPr>
            <w:tcW w:w="791" w:type="dxa"/>
            <w:noWrap w:val="0"/>
            <w:vAlign w:val="center"/>
          </w:tcPr>
          <w:p w14:paraId="2F8BE811">
            <w:pPr>
              <w:keepNext w:val="0"/>
              <w:keepLines w:val="0"/>
              <w:pageBreakBefore w:val="0"/>
              <w:widowControl w:val="0"/>
              <w:kinsoku/>
              <w:wordWrap/>
              <w:overflowPunct/>
              <w:topLinePunct w:val="0"/>
              <w:autoSpaceDE/>
              <w:autoSpaceDN/>
              <w:bidi w:val="0"/>
              <w:adjustRightInd/>
              <w:snapToGrid/>
              <w:spacing w:line="440" w:lineRule="exact"/>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5</w:t>
            </w:r>
          </w:p>
        </w:tc>
        <w:tc>
          <w:tcPr>
            <w:tcW w:w="5399" w:type="dxa"/>
            <w:noWrap w:val="0"/>
            <w:vAlign w:val="top"/>
          </w:tcPr>
          <w:p w14:paraId="3D7F18DF">
            <w:pPr>
              <w:keepNext w:val="0"/>
              <w:keepLines w:val="0"/>
              <w:pageBreakBefore w:val="0"/>
              <w:widowControl w:val="0"/>
              <w:kinsoku/>
              <w:wordWrap/>
              <w:overflowPunct/>
              <w:topLinePunct w:val="0"/>
              <w:autoSpaceDE/>
              <w:autoSpaceDN/>
              <w:bidi w:val="0"/>
              <w:adjustRightInd/>
              <w:snapToGrid/>
              <w:spacing w:line="440" w:lineRule="exact"/>
              <w:jc w:val="both"/>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（1）对各类人员的培训计划、方式、目标及行为规范的培训等；</w:t>
            </w:r>
          </w:p>
          <w:p w14:paraId="45DF7ABD">
            <w:pPr>
              <w:keepNext w:val="0"/>
              <w:keepLines w:val="0"/>
              <w:pageBreakBefore w:val="0"/>
              <w:widowControl w:val="0"/>
              <w:kinsoku/>
              <w:wordWrap/>
              <w:overflowPunct/>
              <w:topLinePunct w:val="0"/>
              <w:autoSpaceDE/>
              <w:autoSpaceDN/>
              <w:bidi w:val="0"/>
              <w:adjustRightInd/>
              <w:snapToGrid/>
              <w:spacing w:line="440" w:lineRule="exact"/>
              <w:jc w:val="both"/>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（2）录用与考核、淘汰机制、奖罚、协调关系、服务意识、量化管 理及标准运作等。</w:t>
            </w:r>
          </w:p>
          <w:p w14:paraId="6CA6F5D0">
            <w:pPr>
              <w:keepNext w:val="0"/>
              <w:keepLines w:val="0"/>
              <w:pageBreakBefore w:val="0"/>
              <w:widowControl w:val="0"/>
              <w:kinsoku/>
              <w:wordWrap/>
              <w:overflowPunct/>
              <w:topLinePunct w:val="0"/>
              <w:autoSpaceDE/>
              <w:autoSpaceDN/>
              <w:bidi w:val="0"/>
              <w:adjustRightInd/>
              <w:snapToGrid/>
              <w:spacing w:line="440" w:lineRule="exact"/>
              <w:jc w:val="both"/>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评标委员会根据投标人提供的以上内容综合评分：</w:t>
            </w:r>
          </w:p>
          <w:p w14:paraId="57060060">
            <w:pPr>
              <w:keepNext w:val="0"/>
              <w:keepLines w:val="0"/>
              <w:pageBreakBefore w:val="0"/>
              <w:widowControl w:val="0"/>
              <w:kinsoku/>
              <w:wordWrap/>
              <w:overflowPunct/>
              <w:topLinePunct w:val="0"/>
              <w:autoSpaceDE/>
              <w:autoSpaceDN/>
              <w:bidi w:val="0"/>
              <w:adjustRightInd/>
              <w:snapToGrid/>
              <w:spacing w:line="440" w:lineRule="exact"/>
              <w:jc w:val="both"/>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培训计划全面，人事规范要求合理，对本项目的针对性强、措施全 面、详细，得5分；</w:t>
            </w:r>
          </w:p>
          <w:p w14:paraId="29603314">
            <w:pPr>
              <w:keepNext w:val="0"/>
              <w:keepLines w:val="0"/>
              <w:pageBreakBefore w:val="0"/>
              <w:widowControl w:val="0"/>
              <w:kinsoku/>
              <w:wordWrap/>
              <w:overflowPunct/>
              <w:topLinePunct w:val="0"/>
              <w:autoSpaceDE/>
              <w:autoSpaceDN/>
              <w:bidi w:val="0"/>
              <w:adjustRightInd/>
              <w:snapToGrid/>
              <w:spacing w:line="440" w:lineRule="exact"/>
              <w:jc w:val="both"/>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培训计划、人事规范要求较为合理但出现未针对本项目的内容，对本项目有针对性，措施较为全面的得4分；</w:t>
            </w:r>
          </w:p>
          <w:p w14:paraId="28C689F8">
            <w:pPr>
              <w:keepNext w:val="0"/>
              <w:keepLines w:val="0"/>
              <w:pageBreakBefore w:val="0"/>
              <w:widowControl w:val="0"/>
              <w:kinsoku/>
              <w:wordWrap/>
              <w:overflowPunct/>
              <w:topLinePunct w:val="0"/>
              <w:autoSpaceDE/>
              <w:autoSpaceDN/>
              <w:bidi w:val="0"/>
              <w:adjustRightInd/>
              <w:snapToGrid/>
              <w:spacing w:line="440" w:lineRule="exact"/>
              <w:jc w:val="both"/>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培训计划、人事规范要求基本合理且出现未针对本项目的内容，有针对本项目的分析但有一定的矛盾点，措施基本全面的得3分。</w:t>
            </w:r>
          </w:p>
          <w:p w14:paraId="61661328">
            <w:pPr>
              <w:keepNext w:val="0"/>
              <w:keepLines w:val="0"/>
              <w:pageBreakBefore w:val="0"/>
              <w:widowControl w:val="0"/>
              <w:kinsoku/>
              <w:wordWrap/>
              <w:overflowPunct/>
              <w:topLinePunct w:val="0"/>
              <w:autoSpaceDE/>
              <w:autoSpaceDN/>
              <w:bidi w:val="0"/>
              <w:adjustRightInd/>
              <w:snapToGrid/>
              <w:spacing w:line="440" w:lineRule="exact"/>
              <w:jc w:val="both"/>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不合格或未提供的不得分。</w:t>
            </w:r>
          </w:p>
        </w:tc>
      </w:tr>
      <w:tr w14:paraId="64743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642" w:type="dxa"/>
            <w:noWrap w:val="0"/>
            <w:vAlign w:val="center"/>
          </w:tcPr>
          <w:p w14:paraId="614B2891">
            <w:pPr>
              <w:keepNext w:val="0"/>
              <w:keepLines w:val="0"/>
              <w:pageBreakBefore w:val="0"/>
              <w:widowControl w:val="0"/>
              <w:kinsoku/>
              <w:wordWrap/>
              <w:overflowPunct/>
              <w:topLinePunct w:val="0"/>
              <w:autoSpaceDE/>
              <w:autoSpaceDN/>
              <w:bidi w:val="0"/>
              <w:adjustRightInd/>
              <w:snapToGrid/>
              <w:spacing w:line="440" w:lineRule="exact"/>
              <w:jc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7</w:t>
            </w:r>
          </w:p>
        </w:tc>
        <w:tc>
          <w:tcPr>
            <w:tcW w:w="3038" w:type="dxa"/>
            <w:noWrap w:val="0"/>
            <w:vAlign w:val="center"/>
          </w:tcPr>
          <w:p w14:paraId="055B3B04">
            <w:pPr>
              <w:keepNext w:val="0"/>
              <w:keepLines w:val="0"/>
              <w:pageBreakBefore w:val="0"/>
              <w:widowControl w:val="0"/>
              <w:kinsoku/>
              <w:wordWrap/>
              <w:overflowPunct/>
              <w:topLinePunct w:val="0"/>
              <w:autoSpaceDE/>
              <w:autoSpaceDN/>
              <w:bidi w:val="0"/>
              <w:adjustRightInd/>
              <w:snapToGrid/>
              <w:spacing w:line="440" w:lineRule="exact"/>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应急突发事件的处理</w:t>
            </w:r>
          </w:p>
        </w:tc>
        <w:tc>
          <w:tcPr>
            <w:tcW w:w="791" w:type="dxa"/>
            <w:noWrap w:val="0"/>
            <w:vAlign w:val="center"/>
          </w:tcPr>
          <w:p w14:paraId="76623CB7">
            <w:pPr>
              <w:keepNext w:val="0"/>
              <w:keepLines w:val="0"/>
              <w:pageBreakBefore w:val="0"/>
              <w:widowControl w:val="0"/>
              <w:kinsoku/>
              <w:wordWrap/>
              <w:overflowPunct/>
              <w:topLinePunct w:val="0"/>
              <w:autoSpaceDE/>
              <w:autoSpaceDN/>
              <w:bidi w:val="0"/>
              <w:adjustRightInd/>
              <w:snapToGrid/>
              <w:spacing w:line="440" w:lineRule="exact"/>
              <w:jc w:val="center"/>
              <w:rPr>
                <w:rFonts w:hint="eastAsia" w:ascii="宋体" w:hAnsi="宋体" w:eastAsia="宋体" w:cs="宋体"/>
                <w:color w:val="auto"/>
                <w:kern w:val="2"/>
                <w:sz w:val="21"/>
                <w:szCs w:val="24"/>
                <w:highlight w:val="none"/>
                <w:lang w:val="en-US" w:eastAsia="zh-CN" w:bidi="ar-SA"/>
              </w:rPr>
            </w:pPr>
            <w:r>
              <w:rPr>
                <w:rFonts w:hint="eastAsia" w:ascii="宋体" w:hAnsi="宋体" w:cs="宋体"/>
                <w:color w:val="auto"/>
                <w:kern w:val="2"/>
                <w:sz w:val="21"/>
                <w:szCs w:val="24"/>
                <w:highlight w:val="none"/>
                <w:lang w:val="en-US" w:eastAsia="zh-CN" w:bidi="ar-SA"/>
              </w:rPr>
              <w:t>6</w:t>
            </w:r>
          </w:p>
        </w:tc>
        <w:tc>
          <w:tcPr>
            <w:tcW w:w="5399" w:type="dxa"/>
            <w:noWrap w:val="0"/>
            <w:vAlign w:val="top"/>
          </w:tcPr>
          <w:p w14:paraId="7F6DFED9">
            <w:pPr>
              <w:keepNext w:val="0"/>
              <w:keepLines w:val="0"/>
              <w:pageBreakBefore w:val="0"/>
              <w:widowControl w:val="0"/>
              <w:kinsoku/>
              <w:wordWrap/>
              <w:overflowPunct/>
              <w:topLinePunct w:val="0"/>
              <w:autoSpaceDE/>
              <w:autoSpaceDN/>
              <w:bidi w:val="0"/>
              <w:adjustRightInd/>
              <w:snapToGrid/>
              <w:spacing w:line="440" w:lineRule="exact"/>
              <w:jc w:val="both"/>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针对项目特点制定公共事件、水、电等设施设备及环境维护</w:t>
            </w:r>
            <w:r>
              <w:rPr>
                <w:rFonts w:hint="eastAsia" w:ascii="宋体" w:hAnsi="宋体" w:cs="宋体"/>
                <w:color w:val="auto"/>
                <w:kern w:val="2"/>
                <w:sz w:val="21"/>
                <w:szCs w:val="24"/>
                <w:highlight w:val="none"/>
                <w:lang w:val="en-US" w:eastAsia="zh-CN" w:bidi="ar-SA"/>
              </w:rPr>
              <w:t>、恶劣天气</w:t>
            </w:r>
            <w:r>
              <w:rPr>
                <w:rFonts w:hint="eastAsia" w:ascii="宋体" w:hAnsi="宋体" w:eastAsia="宋体" w:cs="宋体"/>
                <w:color w:val="auto"/>
                <w:kern w:val="2"/>
                <w:sz w:val="21"/>
                <w:szCs w:val="24"/>
                <w:highlight w:val="none"/>
                <w:lang w:val="en-US" w:eastAsia="zh-CN" w:bidi="ar-SA"/>
              </w:rPr>
              <w:t>等各种突发事件应急处理预案、应急措施。评标委员会根据投标人提供的以上内容综合评分：</w:t>
            </w:r>
          </w:p>
          <w:p w14:paraId="6B629F2D">
            <w:pPr>
              <w:keepNext w:val="0"/>
              <w:keepLines w:val="0"/>
              <w:pageBreakBefore w:val="0"/>
              <w:widowControl w:val="0"/>
              <w:kinsoku/>
              <w:wordWrap/>
              <w:overflowPunct/>
              <w:topLinePunct w:val="0"/>
              <w:autoSpaceDE/>
              <w:autoSpaceDN/>
              <w:bidi w:val="0"/>
              <w:adjustRightInd/>
              <w:snapToGrid/>
              <w:spacing w:line="440" w:lineRule="exact"/>
              <w:jc w:val="both"/>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预案健全，思路可行，可操作性、合理性强的得</w:t>
            </w:r>
            <w:r>
              <w:rPr>
                <w:rFonts w:hint="eastAsia" w:ascii="宋体" w:hAnsi="宋体" w:cs="宋体"/>
                <w:color w:val="auto"/>
                <w:kern w:val="2"/>
                <w:sz w:val="21"/>
                <w:szCs w:val="24"/>
                <w:highlight w:val="none"/>
                <w:lang w:val="en-US" w:eastAsia="zh-CN" w:bidi="ar-SA"/>
              </w:rPr>
              <w:t>6</w:t>
            </w:r>
            <w:r>
              <w:rPr>
                <w:rFonts w:hint="eastAsia" w:ascii="宋体" w:hAnsi="宋体" w:eastAsia="宋体" w:cs="宋体"/>
                <w:color w:val="auto"/>
                <w:kern w:val="2"/>
                <w:sz w:val="21"/>
                <w:szCs w:val="24"/>
                <w:highlight w:val="none"/>
                <w:lang w:val="en-US" w:eastAsia="zh-CN" w:bidi="ar-SA"/>
              </w:rPr>
              <w:t>分；</w:t>
            </w:r>
          </w:p>
          <w:p w14:paraId="52653032">
            <w:pPr>
              <w:keepNext w:val="0"/>
              <w:keepLines w:val="0"/>
              <w:pageBreakBefore w:val="0"/>
              <w:widowControl w:val="0"/>
              <w:kinsoku/>
              <w:wordWrap/>
              <w:overflowPunct/>
              <w:topLinePunct w:val="0"/>
              <w:autoSpaceDE/>
              <w:autoSpaceDN/>
              <w:bidi w:val="0"/>
              <w:adjustRightInd/>
              <w:snapToGrid/>
              <w:spacing w:line="440" w:lineRule="exact"/>
              <w:jc w:val="both"/>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预案较为健全但内容出现不针对本项目的内容，具有一定的操作性、合理性的得</w:t>
            </w:r>
            <w:r>
              <w:rPr>
                <w:rFonts w:hint="eastAsia" w:ascii="宋体" w:hAnsi="宋体" w:cs="宋体"/>
                <w:color w:val="auto"/>
                <w:kern w:val="2"/>
                <w:sz w:val="21"/>
                <w:szCs w:val="24"/>
                <w:highlight w:val="none"/>
                <w:lang w:val="en-US" w:eastAsia="zh-CN" w:bidi="ar-SA"/>
              </w:rPr>
              <w:t>5</w:t>
            </w:r>
            <w:r>
              <w:rPr>
                <w:rFonts w:hint="eastAsia" w:ascii="宋体" w:hAnsi="宋体" w:eastAsia="宋体" w:cs="宋体"/>
                <w:color w:val="auto"/>
                <w:kern w:val="2"/>
                <w:sz w:val="21"/>
                <w:szCs w:val="24"/>
                <w:highlight w:val="none"/>
                <w:lang w:val="en-US" w:eastAsia="zh-CN" w:bidi="ar-SA"/>
              </w:rPr>
              <w:t>分；</w:t>
            </w:r>
          </w:p>
          <w:p w14:paraId="4C7B1832">
            <w:pPr>
              <w:keepNext w:val="0"/>
              <w:keepLines w:val="0"/>
              <w:pageBreakBefore w:val="0"/>
              <w:widowControl w:val="0"/>
              <w:kinsoku/>
              <w:wordWrap/>
              <w:overflowPunct/>
              <w:topLinePunct w:val="0"/>
              <w:autoSpaceDE/>
              <w:autoSpaceDN/>
              <w:bidi w:val="0"/>
              <w:adjustRightInd/>
              <w:snapToGrid/>
              <w:spacing w:line="440" w:lineRule="exact"/>
              <w:jc w:val="both"/>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预案较为健全但有一定的矛盾，操作性、合理性一般，未做详细描述，相关方案比较浅显的得</w:t>
            </w:r>
            <w:r>
              <w:rPr>
                <w:rFonts w:hint="eastAsia" w:ascii="宋体" w:hAnsi="宋体" w:cs="宋体"/>
                <w:color w:val="auto"/>
                <w:kern w:val="2"/>
                <w:sz w:val="21"/>
                <w:szCs w:val="24"/>
                <w:highlight w:val="none"/>
                <w:lang w:val="en-US" w:eastAsia="zh-CN" w:bidi="ar-SA"/>
              </w:rPr>
              <w:t>4</w:t>
            </w:r>
            <w:r>
              <w:rPr>
                <w:rFonts w:hint="eastAsia" w:ascii="宋体" w:hAnsi="宋体" w:eastAsia="宋体" w:cs="宋体"/>
                <w:color w:val="auto"/>
                <w:kern w:val="2"/>
                <w:sz w:val="21"/>
                <w:szCs w:val="24"/>
                <w:highlight w:val="none"/>
                <w:lang w:val="en-US" w:eastAsia="zh-CN" w:bidi="ar-SA"/>
              </w:rPr>
              <w:t>分。</w:t>
            </w:r>
          </w:p>
          <w:p w14:paraId="2269F933">
            <w:pPr>
              <w:keepNext w:val="0"/>
              <w:keepLines w:val="0"/>
              <w:pageBreakBefore w:val="0"/>
              <w:widowControl w:val="0"/>
              <w:kinsoku/>
              <w:wordWrap/>
              <w:overflowPunct/>
              <w:topLinePunct w:val="0"/>
              <w:autoSpaceDE/>
              <w:autoSpaceDN/>
              <w:bidi w:val="0"/>
              <w:adjustRightInd/>
              <w:snapToGrid/>
              <w:spacing w:line="440" w:lineRule="exact"/>
              <w:jc w:val="both"/>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不合格或未提供的不得分。</w:t>
            </w:r>
          </w:p>
        </w:tc>
      </w:tr>
      <w:tr w14:paraId="7707A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642" w:type="dxa"/>
            <w:noWrap w:val="0"/>
            <w:vAlign w:val="center"/>
          </w:tcPr>
          <w:p w14:paraId="417012E9">
            <w:pPr>
              <w:keepNext w:val="0"/>
              <w:keepLines w:val="0"/>
              <w:pageBreakBefore w:val="0"/>
              <w:widowControl w:val="0"/>
              <w:kinsoku/>
              <w:wordWrap/>
              <w:overflowPunct/>
              <w:topLinePunct w:val="0"/>
              <w:autoSpaceDE/>
              <w:autoSpaceDN/>
              <w:bidi w:val="0"/>
              <w:adjustRightInd/>
              <w:snapToGrid/>
              <w:spacing w:line="440" w:lineRule="exact"/>
              <w:jc w:val="center"/>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8</w:t>
            </w:r>
          </w:p>
        </w:tc>
        <w:tc>
          <w:tcPr>
            <w:tcW w:w="3038" w:type="dxa"/>
            <w:noWrap w:val="0"/>
            <w:vAlign w:val="center"/>
          </w:tcPr>
          <w:p w14:paraId="662847E4">
            <w:pPr>
              <w:keepNext w:val="0"/>
              <w:keepLines w:val="0"/>
              <w:pageBreakBefore w:val="0"/>
              <w:widowControl w:val="0"/>
              <w:kinsoku/>
              <w:wordWrap/>
              <w:overflowPunct/>
              <w:topLinePunct w:val="0"/>
              <w:autoSpaceDE/>
              <w:autoSpaceDN/>
              <w:bidi w:val="0"/>
              <w:adjustRightInd/>
              <w:snapToGrid/>
              <w:spacing w:line="440" w:lineRule="exact"/>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消防设施维护</w:t>
            </w:r>
          </w:p>
        </w:tc>
        <w:tc>
          <w:tcPr>
            <w:tcW w:w="791" w:type="dxa"/>
            <w:noWrap w:val="0"/>
            <w:vAlign w:val="center"/>
          </w:tcPr>
          <w:p w14:paraId="3445A0D8">
            <w:pPr>
              <w:keepNext w:val="0"/>
              <w:keepLines w:val="0"/>
              <w:pageBreakBefore w:val="0"/>
              <w:widowControl w:val="0"/>
              <w:kinsoku/>
              <w:wordWrap/>
              <w:overflowPunct/>
              <w:topLinePunct w:val="0"/>
              <w:autoSpaceDE/>
              <w:autoSpaceDN/>
              <w:bidi w:val="0"/>
              <w:adjustRightInd/>
              <w:snapToGrid/>
              <w:spacing w:line="440" w:lineRule="exact"/>
              <w:jc w:val="center"/>
              <w:rPr>
                <w:rFonts w:hint="default" w:ascii="宋体" w:hAnsi="宋体" w:eastAsia="宋体" w:cs="宋体"/>
                <w:color w:val="auto"/>
                <w:kern w:val="2"/>
                <w:sz w:val="21"/>
                <w:szCs w:val="24"/>
                <w:highlight w:val="none"/>
                <w:lang w:val="en-US" w:eastAsia="zh-CN" w:bidi="ar-SA"/>
              </w:rPr>
            </w:pPr>
            <w:r>
              <w:rPr>
                <w:rFonts w:hint="eastAsia" w:ascii="宋体" w:hAnsi="宋体" w:cs="宋体"/>
                <w:color w:val="auto"/>
                <w:kern w:val="2"/>
                <w:sz w:val="21"/>
                <w:szCs w:val="24"/>
                <w:highlight w:val="none"/>
                <w:lang w:val="en-US" w:eastAsia="zh-CN" w:bidi="ar-SA"/>
              </w:rPr>
              <w:t>6</w:t>
            </w:r>
          </w:p>
        </w:tc>
        <w:tc>
          <w:tcPr>
            <w:tcW w:w="5399" w:type="dxa"/>
            <w:noWrap w:val="0"/>
            <w:vAlign w:val="top"/>
          </w:tcPr>
          <w:p w14:paraId="5C9B615B">
            <w:pPr>
              <w:keepNext w:val="0"/>
              <w:keepLines w:val="0"/>
              <w:pageBreakBefore w:val="0"/>
              <w:widowControl w:val="0"/>
              <w:kinsoku/>
              <w:wordWrap/>
              <w:overflowPunct/>
              <w:topLinePunct w:val="0"/>
              <w:autoSpaceDE/>
              <w:autoSpaceDN/>
              <w:bidi w:val="0"/>
              <w:adjustRightInd/>
              <w:snapToGrid/>
              <w:spacing w:line="440" w:lineRule="exact"/>
              <w:jc w:val="both"/>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消防安全检查方案，结合本项目特点，考虑全面，提供有针对性、详细合理的检查流程，内部岗位责任制、管理维护运作制度及标准、档案的建立与管理等制度；</w:t>
            </w:r>
          </w:p>
          <w:p w14:paraId="430654E9">
            <w:pPr>
              <w:keepNext w:val="0"/>
              <w:keepLines w:val="0"/>
              <w:pageBreakBefore w:val="0"/>
              <w:widowControl w:val="0"/>
              <w:kinsoku/>
              <w:wordWrap/>
              <w:overflowPunct/>
              <w:topLinePunct w:val="0"/>
              <w:autoSpaceDE/>
              <w:autoSpaceDN/>
              <w:bidi w:val="0"/>
              <w:adjustRightInd/>
              <w:snapToGrid/>
              <w:spacing w:line="440" w:lineRule="exact"/>
              <w:jc w:val="both"/>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制度设置详细完整，完全贴合项目需求的，对设施维护的有效性强的得</w:t>
            </w:r>
            <w:r>
              <w:rPr>
                <w:rFonts w:hint="eastAsia" w:ascii="宋体" w:hAnsi="宋体" w:cs="宋体"/>
                <w:color w:val="auto"/>
                <w:kern w:val="2"/>
                <w:sz w:val="21"/>
                <w:szCs w:val="24"/>
                <w:highlight w:val="none"/>
                <w:lang w:val="en-US" w:eastAsia="zh-CN" w:bidi="ar-SA"/>
              </w:rPr>
              <w:t>6</w:t>
            </w:r>
            <w:r>
              <w:rPr>
                <w:rFonts w:hint="eastAsia" w:ascii="宋体" w:hAnsi="宋体" w:eastAsia="宋体" w:cs="宋体"/>
                <w:color w:val="auto"/>
                <w:kern w:val="2"/>
                <w:sz w:val="21"/>
                <w:szCs w:val="24"/>
                <w:highlight w:val="none"/>
                <w:lang w:val="en-US" w:eastAsia="zh-CN" w:bidi="ar-SA"/>
              </w:rPr>
              <w:t>分；</w:t>
            </w:r>
          </w:p>
          <w:p w14:paraId="39B2933C">
            <w:pPr>
              <w:keepNext w:val="0"/>
              <w:keepLines w:val="0"/>
              <w:pageBreakBefore w:val="0"/>
              <w:widowControl w:val="0"/>
              <w:kinsoku/>
              <w:wordWrap/>
              <w:overflowPunct/>
              <w:topLinePunct w:val="0"/>
              <w:autoSpaceDE/>
              <w:autoSpaceDN/>
              <w:bidi w:val="0"/>
              <w:adjustRightInd/>
              <w:snapToGrid/>
              <w:spacing w:line="440" w:lineRule="exact"/>
              <w:jc w:val="both"/>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制度设置基本完整，考虑项目的特殊性，有针对本项目的具体措施，对设施维护的有效性有相对应的方案设置的得</w:t>
            </w:r>
            <w:r>
              <w:rPr>
                <w:rFonts w:hint="eastAsia" w:ascii="宋体" w:hAnsi="宋体" w:cs="宋体"/>
                <w:color w:val="auto"/>
                <w:kern w:val="2"/>
                <w:sz w:val="21"/>
                <w:szCs w:val="24"/>
                <w:highlight w:val="none"/>
                <w:lang w:val="en-US" w:eastAsia="zh-CN" w:bidi="ar-SA"/>
              </w:rPr>
              <w:t>5</w:t>
            </w:r>
            <w:r>
              <w:rPr>
                <w:rFonts w:hint="eastAsia" w:ascii="宋体" w:hAnsi="宋体" w:eastAsia="宋体" w:cs="宋体"/>
                <w:color w:val="auto"/>
                <w:kern w:val="2"/>
                <w:sz w:val="21"/>
                <w:szCs w:val="24"/>
                <w:highlight w:val="none"/>
                <w:lang w:val="en-US" w:eastAsia="zh-CN" w:bidi="ar-SA"/>
              </w:rPr>
              <w:t>分；</w:t>
            </w:r>
          </w:p>
          <w:p w14:paraId="545E05B9">
            <w:pPr>
              <w:keepNext w:val="0"/>
              <w:keepLines w:val="0"/>
              <w:pageBreakBefore w:val="0"/>
              <w:widowControl w:val="0"/>
              <w:kinsoku/>
              <w:wordWrap/>
              <w:overflowPunct/>
              <w:topLinePunct w:val="0"/>
              <w:autoSpaceDE/>
              <w:autoSpaceDN/>
              <w:bidi w:val="0"/>
              <w:adjustRightInd/>
              <w:snapToGrid/>
              <w:spacing w:line="440" w:lineRule="exact"/>
              <w:jc w:val="both"/>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方案基本贴合项目需求但描述较为空洞，具体措施缺少的得</w:t>
            </w:r>
            <w:r>
              <w:rPr>
                <w:rFonts w:hint="eastAsia" w:ascii="宋体" w:hAnsi="宋体" w:cs="宋体"/>
                <w:color w:val="auto"/>
                <w:kern w:val="2"/>
                <w:sz w:val="21"/>
                <w:szCs w:val="24"/>
                <w:highlight w:val="none"/>
                <w:lang w:val="en-US" w:eastAsia="zh-CN" w:bidi="ar-SA"/>
              </w:rPr>
              <w:t>4</w:t>
            </w:r>
            <w:r>
              <w:rPr>
                <w:rFonts w:hint="eastAsia" w:ascii="宋体" w:hAnsi="宋体" w:eastAsia="宋体" w:cs="宋体"/>
                <w:color w:val="auto"/>
                <w:kern w:val="2"/>
                <w:sz w:val="21"/>
                <w:szCs w:val="24"/>
                <w:highlight w:val="none"/>
                <w:lang w:val="en-US" w:eastAsia="zh-CN" w:bidi="ar-SA"/>
              </w:rPr>
              <w:t xml:space="preserve">分。 </w:t>
            </w:r>
          </w:p>
          <w:p w14:paraId="63A76915">
            <w:pPr>
              <w:keepNext w:val="0"/>
              <w:keepLines w:val="0"/>
              <w:pageBreakBefore w:val="0"/>
              <w:widowControl w:val="0"/>
              <w:kinsoku/>
              <w:wordWrap/>
              <w:overflowPunct/>
              <w:topLinePunct w:val="0"/>
              <w:autoSpaceDE/>
              <w:autoSpaceDN/>
              <w:bidi w:val="0"/>
              <w:adjustRightInd/>
              <w:snapToGrid/>
              <w:spacing w:line="440" w:lineRule="exact"/>
              <w:jc w:val="both"/>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不合格或未提供的不得分。</w:t>
            </w:r>
          </w:p>
        </w:tc>
      </w:tr>
      <w:tr w14:paraId="5818C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870" w:type="dxa"/>
            <w:gridSpan w:val="4"/>
            <w:noWrap w:val="0"/>
            <w:vAlign w:val="center"/>
          </w:tcPr>
          <w:p w14:paraId="06CAF7F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注：1.该项由专家评委评审打分，取所有评委评分中分别去掉一个最高和最低评分后的平均值为最终得分，保留两位小数点，第三位四舍五入。</w:t>
            </w:r>
          </w:p>
          <w:p w14:paraId="37428F6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该项目技术标为暗标横向评审，暗标横向评审技术标不设目录，评审前系统自动对所有投标人的技术标及各评分点分别进行编号；投标企业制作的技术标部分不得出现可能泄露投标人单位及个人信息的文字、图片、图表（技术标部分不得签章）等有关表述，否则该评分点作零分处理。</w:t>
            </w:r>
          </w:p>
          <w:p w14:paraId="54E4865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2.1 技术标暗标不设空白页。技术标投标文件封面不出现投标人、法定代表人签章内容，格式以系统设置为准。正文必须按招标文件要求的顺序进行排版；</w:t>
            </w:r>
          </w:p>
          <w:p w14:paraId="602E1F6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2.2技术标暗标正文文字排版统一使用中文宋体字体，文字为白底黑色，图表采用黑白灰色（不得采用彩色）；文字部分不得插入任何图表（可以用“见附图x”或“见附表x”说明）。所有附图、附表必须依次附在各章对应评分点内容的文末，计算在页数要求内</w:t>
            </w:r>
            <w:r>
              <w:rPr>
                <w:rFonts w:hint="eastAsia" w:ascii="宋体" w:hAnsi="宋体" w:cs="宋体"/>
                <w:color w:val="auto"/>
                <w:kern w:val="0"/>
                <w:sz w:val="21"/>
                <w:szCs w:val="21"/>
                <w:highlight w:val="none"/>
                <w:lang w:val="en-US" w:eastAsia="zh-CN" w:bidi="ar"/>
              </w:rPr>
              <w:t>。</w:t>
            </w:r>
          </w:p>
          <w:p w14:paraId="6094CF4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2.3 正文采用宋体四号常规字，字符间距设为标准值，行距为单倍行距，不勾选“如果定义了文档网格，则对齐到网格”；正文统一设为左对齐，章、节标题、及段落首行缩进2个汉字，段落前后不设空行；正文版面不加页眉、页脚、边框、下划线等标志，正文页码用小五号阿拉伯数字，居中。单位符号中有上下角标要求的，必须在相应位置做角标；</w:t>
            </w:r>
          </w:p>
          <w:p w14:paraId="49CCB92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3.技术标暗标文件的格式、制作不符合上述要求的，每一分项扣0.2分。技术标实行暗标的，对技术标（暗标）部分不予澄清、说明或者补正。</w:t>
            </w:r>
          </w:p>
          <w:p w14:paraId="5CB85F0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4.技术标的各评分因素，页数不多于20页。</w:t>
            </w:r>
            <w:r>
              <w:rPr>
                <w:rFonts w:hint="eastAsia" w:ascii="宋体" w:hAnsi="宋体"/>
                <w:color w:val="auto"/>
                <w:szCs w:val="21"/>
                <w:highlight w:val="none"/>
              </w:rPr>
              <w:t>具体篇幅(字数)要求及扣分标准（扣分值为0.2分）</w:t>
            </w:r>
            <w:r>
              <w:rPr>
                <w:rFonts w:hint="eastAsia" w:ascii="宋体" w:hAnsi="宋体"/>
                <w:color w:val="auto"/>
                <w:szCs w:val="21"/>
                <w:highlight w:val="none"/>
                <w:lang w:eastAsia="zh-CN"/>
              </w:rPr>
              <w:t>。</w:t>
            </w:r>
            <w:r>
              <w:rPr>
                <w:rFonts w:hint="eastAsia" w:ascii="宋体" w:hAnsi="宋体"/>
                <w:color w:val="auto"/>
                <w:szCs w:val="21"/>
                <w:highlight w:val="none"/>
              </w:rPr>
              <w:t>偏离规定标准的，评标委员会应酌情扣分。</w:t>
            </w:r>
          </w:p>
          <w:p w14:paraId="337ED59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sz w:val="21"/>
                <w:szCs w:val="21"/>
                <w:highlight w:val="none"/>
              </w:rPr>
              <w:t>暗标评审仅限评标环节。评标结束后，如出现质疑、投诉、举报等，经认定评标错误的，由评标委员会纠正错误或重新评分，此时不再受暗标评审约束，但在纠正错误或重新评分中发现投标企业技术标出现可能泄露投标人单位及个人信息的文字、图片、图表（技术标不得签章）等有关表述的，对应技术标评分点仍按零分处理。</w:t>
            </w:r>
          </w:p>
          <w:p w14:paraId="6116C1B9">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sz w:val="21"/>
                <w:szCs w:val="21"/>
                <w:highlight w:val="none"/>
              </w:rPr>
              <w:t>如所有投标企业技术标都出现能反映企业信息等相关内容的，该项目流标。</w:t>
            </w:r>
          </w:p>
        </w:tc>
      </w:tr>
    </w:tbl>
    <w:p w14:paraId="495E9558">
      <w:pPr>
        <w:pStyle w:val="2"/>
        <w:adjustRightInd w:val="0"/>
        <w:snapToGrid w:val="0"/>
        <w:spacing w:after="0" w:line="560" w:lineRule="exact"/>
        <w:ind w:left="0" w:leftChars="0" w:firstLine="0" w:firstLineChars="0"/>
        <w:jc w:val="center"/>
        <w:rPr>
          <w:rFonts w:hint="eastAsia"/>
          <w:b/>
          <w:color w:val="auto"/>
          <w:sz w:val="28"/>
          <w:szCs w:val="21"/>
          <w:highlight w:val="none"/>
        </w:rPr>
      </w:pPr>
      <w:bookmarkStart w:id="88" w:name="_Toc58430321"/>
      <w:bookmarkStart w:id="89" w:name="_Toc449028881"/>
      <w:bookmarkStart w:id="90" w:name="_Toc23311"/>
      <w:r>
        <w:rPr>
          <w:rFonts w:hint="eastAsia"/>
          <w:b/>
          <w:color w:val="auto"/>
          <w:sz w:val="28"/>
          <w:szCs w:val="21"/>
          <w:highlight w:val="none"/>
        </w:rPr>
        <w:t>（四）商务标评审</w:t>
      </w:r>
      <w:r>
        <w:rPr>
          <w:rFonts w:hint="eastAsia"/>
          <w:b/>
          <w:color w:val="auto"/>
          <w:sz w:val="28"/>
          <w:szCs w:val="21"/>
          <w:highlight w:val="none"/>
          <w:lang w:eastAsia="zh-CN"/>
        </w:rPr>
        <w:t>（</w:t>
      </w:r>
      <w:r>
        <w:rPr>
          <w:rFonts w:hint="eastAsia"/>
          <w:b/>
          <w:color w:val="auto"/>
          <w:sz w:val="28"/>
          <w:szCs w:val="21"/>
          <w:highlight w:val="none"/>
          <w:lang w:val="en-US" w:eastAsia="zh-CN"/>
        </w:rPr>
        <w:t>18分）</w:t>
      </w:r>
    </w:p>
    <w:tbl>
      <w:tblPr>
        <w:tblStyle w:val="35"/>
        <w:tblW w:w="100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785"/>
        <w:gridCol w:w="1853"/>
        <w:gridCol w:w="6682"/>
      </w:tblGrid>
      <w:tr w14:paraId="61D70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31" w:type="dxa"/>
            <w:noWrap w:val="0"/>
            <w:vAlign w:val="center"/>
          </w:tcPr>
          <w:p w14:paraId="3977139C">
            <w:pPr>
              <w:spacing w:line="320" w:lineRule="atLeast"/>
              <w:jc w:val="center"/>
              <w:rPr>
                <w:rFonts w:hint="eastAsia" w:ascii="黑体" w:eastAsia="黑体" w:cs="黑体"/>
                <w:b/>
                <w:bCs/>
                <w:color w:val="auto"/>
                <w:szCs w:val="21"/>
                <w:highlight w:val="none"/>
              </w:rPr>
            </w:pPr>
            <w:r>
              <w:rPr>
                <w:rFonts w:hint="eastAsia" w:ascii="黑体" w:eastAsia="黑体" w:cs="黑体"/>
                <w:b/>
                <w:bCs/>
                <w:color w:val="auto"/>
                <w:szCs w:val="21"/>
                <w:highlight w:val="none"/>
              </w:rPr>
              <w:t>序号</w:t>
            </w:r>
          </w:p>
        </w:tc>
        <w:tc>
          <w:tcPr>
            <w:tcW w:w="2638" w:type="dxa"/>
            <w:gridSpan w:val="2"/>
            <w:noWrap w:val="0"/>
            <w:vAlign w:val="center"/>
          </w:tcPr>
          <w:p w14:paraId="63F313A0">
            <w:pPr>
              <w:spacing w:line="320" w:lineRule="atLeast"/>
              <w:jc w:val="center"/>
              <w:rPr>
                <w:rFonts w:hint="eastAsia" w:ascii="黑体" w:eastAsia="黑体" w:cs="黑体"/>
                <w:b/>
                <w:bCs/>
                <w:color w:val="auto"/>
                <w:szCs w:val="21"/>
                <w:highlight w:val="none"/>
              </w:rPr>
            </w:pPr>
            <w:r>
              <w:rPr>
                <w:rFonts w:hint="eastAsia" w:ascii="黑体" w:eastAsia="黑体" w:cs="黑体"/>
                <w:b/>
                <w:bCs/>
                <w:color w:val="auto"/>
                <w:szCs w:val="21"/>
                <w:highlight w:val="none"/>
              </w:rPr>
              <w:t>审查因素</w:t>
            </w:r>
          </w:p>
        </w:tc>
        <w:tc>
          <w:tcPr>
            <w:tcW w:w="6682" w:type="dxa"/>
            <w:noWrap w:val="0"/>
            <w:vAlign w:val="center"/>
          </w:tcPr>
          <w:p w14:paraId="29D6B977">
            <w:pPr>
              <w:spacing w:line="320" w:lineRule="atLeast"/>
              <w:jc w:val="center"/>
              <w:rPr>
                <w:rFonts w:hint="eastAsia" w:ascii="黑体" w:eastAsia="黑体" w:cs="黑体"/>
                <w:b/>
                <w:bCs/>
                <w:color w:val="auto"/>
                <w:szCs w:val="21"/>
                <w:highlight w:val="none"/>
              </w:rPr>
            </w:pPr>
            <w:r>
              <w:rPr>
                <w:rFonts w:hint="eastAsia" w:ascii="黑体" w:eastAsia="黑体" w:cs="黑体"/>
                <w:b/>
                <w:bCs/>
                <w:color w:val="auto"/>
                <w:szCs w:val="21"/>
                <w:highlight w:val="none"/>
              </w:rPr>
              <w:t>审查内容</w:t>
            </w:r>
          </w:p>
        </w:tc>
      </w:tr>
      <w:tr w14:paraId="1F106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31" w:type="dxa"/>
            <w:vMerge w:val="restart"/>
            <w:noWrap w:val="0"/>
            <w:vAlign w:val="center"/>
          </w:tcPr>
          <w:p w14:paraId="1ABF8A1B">
            <w:pPr>
              <w:spacing w:line="320" w:lineRule="atLeast"/>
              <w:jc w:val="center"/>
              <w:rPr>
                <w:rFonts w:hint="eastAsia" w:ascii="宋体"/>
                <w:color w:val="auto"/>
                <w:szCs w:val="21"/>
                <w:highlight w:val="none"/>
              </w:rPr>
            </w:pPr>
            <w:r>
              <w:rPr>
                <w:rFonts w:hint="eastAsia" w:ascii="宋体"/>
                <w:color w:val="auto"/>
                <w:szCs w:val="21"/>
                <w:highlight w:val="none"/>
              </w:rPr>
              <w:t>1</w:t>
            </w:r>
          </w:p>
        </w:tc>
        <w:tc>
          <w:tcPr>
            <w:tcW w:w="785" w:type="dxa"/>
            <w:vMerge w:val="restart"/>
            <w:noWrap w:val="0"/>
            <w:vAlign w:val="center"/>
          </w:tcPr>
          <w:p w14:paraId="1952009C">
            <w:pPr>
              <w:spacing w:line="320" w:lineRule="atLeast"/>
              <w:jc w:val="center"/>
              <w:rPr>
                <w:rFonts w:hint="eastAsia" w:ascii="宋体" w:cs="仿宋_GB2312"/>
                <w:color w:val="auto"/>
                <w:szCs w:val="21"/>
                <w:highlight w:val="none"/>
                <w:lang w:val="zh-CN"/>
              </w:rPr>
            </w:pPr>
            <w:r>
              <w:rPr>
                <w:rFonts w:hint="eastAsia" w:ascii="宋体" w:hAnsi="宋体" w:cs="宋体"/>
                <w:color w:val="auto"/>
                <w:szCs w:val="21"/>
                <w:highlight w:val="none"/>
              </w:rPr>
              <w:t>形式评审标准</w:t>
            </w:r>
          </w:p>
        </w:tc>
        <w:tc>
          <w:tcPr>
            <w:tcW w:w="1853" w:type="dxa"/>
            <w:noWrap w:val="0"/>
            <w:vAlign w:val="center"/>
          </w:tcPr>
          <w:p w14:paraId="50126A10">
            <w:pPr>
              <w:adjustRightInd w:val="0"/>
              <w:snapToGrid w:val="0"/>
              <w:spacing w:line="560" w:lineRule="exact"/>
              <w:rPr>
                <w:rFonts w:hint="eastAsia" w:ascii="宋体" w:cs="仿宋_GB2312"/>
                <w:color w:val="auto"/>
                <w:szCs w:val="21"/>
                <w:highlight w:val="none"/>
                <w:lang w:val="zh-CN"/>
              </w:rPr>
            </w:pPr>
            <w:r>
              <w:rPr>
                <w:rFonts w:hint="eastAsia" w:ascii="宋体" w:hAnsi="宋体" w:cs="宋体"/>
                <w:color w:val="auto"/>
                <w:szCs w:val="21"/>
                <w:highlight w:val="none"/>
              </w:rPr>
              <w:t>投标函签字盖章</w:t>
            </w:r>
          </w:p>
        </w:tc>
        <w:tc>
          <w:tcPr>
            <w:tcW w:w="6682" w:type="dxa"/>
            <w:noWrap w:val="0"/>
            <w:vAlign w:val="center"/>
          </w:tcPr>
          <w:p w14:paraId="1CE14F1C">
            <w:pPr>
              <w:adjustRightInd w:val="0"/>
              <w:snapToGrid w:val="0"/>
              <w:spacing w:line="560" w:lineRule="exact"/>
              <w:jc w:val="left"/>
              <w:rPr>
                <w:rFonts w:hint="eastAsia" w:ascii="宋体" w:cs="仿宋_GB2312"/>
                <w:color w:val="auto"/>
                <w:szCs w:val="21"/>
                <w:highlight w:val="none"/>
                <w:lang w:val="zh-CN"/>
              </w:rPr>
            </w:pPr>
            <w:r>
              <w:rPr>
                <w:rFonts w:hint="eastAsia" w:ascii="宋体" w:hAnsi="宋体" w:cs="宋体"/>
                <w:color w:val="auto"/>
                <w:szCs w:val="21"/>
                <w:highlight w:val="none"/>
              </w:rPr>
              <w:t>有投标人及其法定代表人签章。</w:t>
            </w:r>
          </w:p>
        </w:tc>
      </w:tr>
      <w:tr w14:paraId="541DA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731" w:type="dxa"/>
            <w:vMerge w:val="continue"/>
            <w:noWrap w:val="0"/>
            <w:vAlign w:val="center"/>
          </w:tcPr>
          <w:p w14:paraId="64A73E8A">
            <w:pPr>
              <w:spacing w:line="320" w:lineRule="atLeast"/>
              <w:rPr>
                <w:color w:val="auto"/>
                <w:highlight w:val="none"/>
              </w:rPr>
            </w:pPr>
          </w:p>
        </w:tc>
        <w:tc>
          <w:tcPr>
            <w:tcW w:w="785" w:type="dxa"/>
            <w:vMerge w:val="continue"/>
            <w:noWrap w:val="0"/>
            <w:vAlign w:val="center"/>
          </w:tcPr>
          <w:p w14:paraId="75F3A208">
            <w:pPr>
              <w:spacing w:line="320" w:lineRule="atLeast"/>
              <w:rPr>
                <w:color w:val="auto"/>
                <w:highlight w:val="none"/>
              </w:rPr>
            </w:pPr>
          </w:p>
        </w:tc>
        <w:tc>
          <w:tcPr>
            <w:tcW w:w="1853" w:type="dxa"/>
            <w:noWrap w:val="0"/>
            <w:vAlign w:val="center"/>
          </w:tcPr>
          <w:p w14:paraId="1A5AC64E">
            <w:pPr>
              <w:adjustRightInd w:val="0"/>
              <w:snapToGrid w:val="0"/>
              <w:spacing w:line="560" w:lineRule="exact"/>
              <w:rPr>
                <w:rFonts w:hint="eastAsia" w:ascii="宋体" w:cs="仿宋_GB2312"/>
                <w:color w:val="auto"/>
                <w:szCs w:val="21"/>
                <w:highlight w:val="none"/>
                <w:lang w:val="zh-CN"/>
              </w:rPr>
            </w:pPr>
            <w:r>
              <w:rPr>
                <w:rFonts w:hint="eastAsia" w:ascii="宋体" w:hAnsi="宋体" w:cs="宋体"/>
                <w:color w:val="auto"/>
                <w:szCs w:val="21"/>
                <w:highlight w:val="none"/>
              </w:rPr>
              <w:t>投标文件格式</w:t>
            </w:r>
          </w:p>
        </w:tc>
        <w:tc>
          <w:tcPr>
            <w:tcW w:w="6682" w:type="dxa"/>
            <w:noWrap w:val="0"/>
            <w:vAlign w:val="center"/>
          </w:tcPr>
          <w:p w14:paraId="396356FA">
            <w:pPr>
              <w:adjustRightInd w:val="0"/>
              <w:snapToGrid w:val="0"/>
              <w:spacing w:line="560" w:lineRule="exact"/>
              <w:jc w:val="left"/>
              <w:rPr>
                <w:rFonts w:hint="eastAsia" w:ascii="宋体" w:cs="宋体"/>
                <w:color w:val="auto"/>
                <w:szCs w:val="21"/>
                <w:highlight w:val="none"/>
              </w:rPr>
            </w:pPr>
            <w:r>
              <w:rPr>
                <w:rFonts w:hint="eastAsia" w:ascii="宋体" w:hAnsi="宋体" w:cs="宋体"/>
                <w:color w:val="auto"/>
                <w:szCs w:val="21"/>
                <w:highlight w:val="none"/>
              </w:rPr>
              <w:t>符合第七章“投标文件格式”的要求。</w:t>
            </w:r>
          </w:p>
        </w:tc>
      </w:tr>
      <w:tr w14:paraId="32D16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jc w:val="center"/>
        </w:trPr>
        <w:tc>
          <w:tcPr>
            <w:tcW w:w="731" w:type="dxa"/>
            <w:vMerge w:val="continue"/>
            <w:noWrap w:val="0"/>
            <w:vAlign w:val="center"/>
          </w:tcPr>
          <w:p w14:paraId="3F2A88DF">
            <w:pPr>
              <w:spacing w:line="320" w:lineRule="atLeast"/>
              <w:rPr>
                <w:color w:val="auto"/>
                <w:highlight w:val="none"/>
              </w:rPr>
            </w:pPr>
          </w:p>
        </w:tc>
        <w:tc>
          <w:tcPr>
            <w:tcW w:w="785" w:type="dxa"/>
            <w:vMerge w:val="continue"/>
            <w:noWrap w:val="0"/>
            <w:vAlign w:val="center"/>
          </w:tcPr>
          <w:p w14:paraId="79A5AF2E">
            <w:pPr>
              <w:spacing w:line="320" w:lineRule="atLeast"/>
              <w:rPr>
                <w:color w:val="auto"/>
                <w:highlight w:val="none"/>
              </w:rPr>
            </w:pPr>
          </w:p>
        </w:tc>
        <w:tc>
          <w:tcPr>
            <w:tcW w:w="1853" w:type="dxa"/>
            <w:noWrap w:val="0"/>
            <w:vAlign w:val="center"/>
          </w:tcPr>
          <w:p w14:paraId="632241E3">
            <w:pPr>
              <w:adjustRightInd w:val="0"/>
              <w:snapToGrid w:val="0"/>
              <w:spacing w:line="560" w:lineRule="exact"/>
              <w:rPr>
                <w:rFonts w:hint="eastAsia" w:ascii="宋体" w:cs="仿宋_GB2312"/>
                <w:color w:val="auto"/>
                <w:szCs w:val="21"/>
                <w:highlight w:val="none"/>
                <w:lang w:val="zh-CN"/>
              </w:rPr>
            </w:pPr>
            <w:r>
              <w:rPr>
                <w:rFonts w:hint="eastAsia" w:ascii="宋体" w:hAnsi="宋体" w:cs="宋体"/>
                <w:color w:val="auto"/>
                <w:szCs w:val="21"/>
                <w:highlight w:val="none"/>
              </w:rPr>
              <w:t>商务标签字盖章</w:t>
            </w:r>
          </w:p>
        </w:tc>
        <w:tc>
          <w:tcPr>
            <w:tcW w:w="6682" w:type="dxa"/>
            <w:noWrap w:val="0"/>
            <w:vAlign w:val="center"/>
          </w:tcPr>
          <w:p w14:paraId="6E60DFBC">
            <w:pPr>
              <w:adjustRightInd w:val="0"/>
              <w:snapToGrid w:val="0"/>
              <w:spacing w:line="560" w:lineRule="exact"/>
              <w:jc w:val="left"/>
              <w:rPr>
                <w:rFonts w:hint="eastAsia" w:ascii="宋体" w:cs="宋体"/>
                <w:color w:val="auto"/>
                <w:szCs w:val="21"/>
                <w:highlight w:val="none"/>
              </w:rPr>
            </w:pPr>
            <w:r>
              <w:rPr>
                <w:rFonts w:hint="eastAsia" w:ascii="宋体" w:hAnsi="宋体" w:cs="宋体"/>
                <w:color w:val="auto"/>
                <w:szCs w:val="21"/>
                <w:highlight w:val="none"/>
              </w:rPr>
              <w:t>按投标文件格式要求签章。</w:t>
            </w:r>
          </w:p>
        </w:tc>
      </w:tr>
      <w:tr w14:paraId="02540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31" w:type="dxa"/>
            <w:vMerge w:val="continue"/>
            <w:noWrap w:val="0"/>
            <w:vAlign w:val="center"/>
          </w:tcPr>
          <w:p w14:paraId="3A970CF4">
            <w:pPr>
              <w:spacing w:line="320" w:lineRule="atLeast"/>
              <w:rPr>
                <w:color w:val="auto"/>
                <w:highlight w:val="none"/>
              </w:rPr>
            </w:pPr>
          </w:p>
        </w:tc>
        <w:tc>
          <w:tcPr>
            <w:tcW w:w="785" w:type="dxa"/>
            <w:vMerge w:val="continue"/>
            <w:noWrap w:val="0"/>
            <w:vAlign w:val="center"/>
          </w:tcPr>
          <w:p w14:paraId="4BD40365">
            <w:pPr>
              <w:spacing w:line="320" w:lineRule="atLeast"/>
              <w:rPr>
                <w:color w:val="auto"/>
                <w:highlight w:val="none"/>
              </w:rPr>
            </w:pPr>
          </w:p>
        </w:tc>
        <w:tc>
          <w:tcPr>
            <w:tcW w:w="1853" w:type="dxa"/>
            <w:noWrap w:val="0"/>
            <w:vAlign w:val="center"/>
          </w:tcPr>
          <w:p w14:paraId="7D57DEB1">
            <w:pPr>
              <w:adjustRightInd w:val="0"/>
              <w:snapToGrid w:val="0"/>
              <w:spacing w:line="560" w:lineRule="exact"/>
              <w:rPr>
                <w:rFonts w:hint="eastAsia" w:ascii="宋体"/>
                <w:color w:val="auto"/>
                <w:szCs w:val="21"/>
                <w:highlight w:val="none"/>
              </w:rPr>
            </w:pPr>
            <w:r>
              <w:rPr>
                <w:rFonts w:hint="eastAsia" w:ascii="宋体" w:hAnsi="宋体" w:cs="宋体"/>
                <w:color w:val="auto"/>
                <w:szCs w:val="21"/>
                <w:highlight w:val="none"/>
              </w:rPr>
              <w:t>报价唯一</w:t>
            </w:r>
          </w:p>
        </w:tc>
        <w:tc>
          <w:tcPr>
            <w:tcW w:w="6682" w:type="dxa"/>
            <w:noWrap w:val="0"/>
            <w:vAlign w:val="center"/>
          </w:tcPr>
          <w:p w14:paraId="01FEC4FC">
            <w:pPr>
              <w:adjustRightInd w:val="0"/>
              <w:snapToGrid w:val="0"/>
              <w:spacing w:line="560" w:lineRule="exact"/>
              <w:jc w:val="left"/>
              <w:rPr>
                <w:rFonts w:hint="eastAsia" w:ascii="宋体" w:cs="仿宋_GB2312"/>
                <w:color w:val="auto"/>
                <w:szCs w:val="21"/>
                <w:highlight w:val="none"/>
                <w:lang w:val="zh-CN"/>
              </w:rPr>
            </w:pPr>
            <w:r>
              <w:rPr>
                <w:rFonts w:hint="eastAsia" w:ascii="宋体" w:hAnsi="宋体" w:cs="宋体"/>
                <w:color w:val="auto"/>
                <w:szCs w:val="21"/>
                <w:highlight w:val="none"/>
              </w:rPr>
              <w:t>只能有一个报价。</w:t>
            </w:r>
          </w:p>
        </w:tc>
      </w:tr>
      <w:tr w14:paraId="0D82B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731" w:type="dxa"/>
            <w:vMerge w:val="restart"/>
            <w:noWrap w:val="0"/>
            <w:vAlign w:val="center"/>
          </w:tcPr>
          <w:p w14:paraId="4C765CBA">
            <w:pPr>
              <w:spacing w:line="320" w:lineRule="atLeast"/>
              <w:jc w:val="center"/>
              <w:rPr>
                <w:rFonts w:hint="eastAsia" w:ascii="宋体"/>
                <w:color w:val="auto"/>
                <w:szCs w:val="21"/>
                <w:highlight w:val="none"/>
              </w:rPr>
            </w:pPr>
            <w:r>
              <w:rPr>
                <w:rFonts w:hint="eastAsia" w:ascii="宋体"/>
                <w:color w:val="auto"/>
                <w:szCs w:val="21"/>
                <w:highlight w:val="none"/>
              </w:rPr>
              <w:t>2</w:t>
            </w:r>
          </w:p>
        </w:tc>
        <w:tc>
          <w:tcPr>
            <w:tcW w:w="785" w:type="dxa"/>
            <w:vMerge w:val="restart"/>
            <w:noWrap w:val="0"/>
            <w:vAlign w:val="center"/>
          </w:tcPr>
          <w:p w14:paraId="64C52B71">
            <w:pPr>
              <w:adjustRightInd w:val="0"/>
              <w:snapToGrid w:val="0"/>
              <w:spacing w:line="560" w:lineRule="exact"/>
              <w:jc w:val="center"/>
              <w:rPr>
                <w:rFonts w:hint="eastAsia" w:ascii="宋体" w:cs="仿宋_GB2312"/>
                <w:color w:val="auto"/>
                <w:szCs w:val="21"/>
                <w:highlight w:val="none"/>
                <w:lang w:val="zh-CN"/>
              </w:rPr>
            </w:pPr>
            <w:r>
              <w:rPr>
                <w:rFonts w:hint="eastAsia" w:ascii="宋体" w:hAnsi="宋体" w:cs="宋体"/>
                <w:color w:val="auto"/>
                <w:szCs w:val="21"/>
                <w:highlight w:val="none"/>
              </w:rPr>
              <w:t>响应性评审标准</w:t>
            </w:r>
          </w:p>
        </w:tc>
        <w:tc>
          <w:tcPr>
            <w:tcW w:w="1853" w:type="dxa"/>
            <w:noWrap w:val="0"/>
            <w:vAlign w:val="center"/>
          </w:tcPr>
          <w:p w14:paraId="781F2622">
            <w:pPr>
              <w:adjustRightInd w:val="0"/>
              <w:snapToGrid w:val="0"/>
              <w:spacing w:line="560" w:lineRule="exact"/>
              <w:jc w:val="left"/>
              <w:rPr>
                <w:rFonts w:hint="eastAsia" w:ascii="宋体" w:cs="宋体"/>
                <w:color w:val="auto"/>
                <w:szCs w:val="21"/>
                <w:highlight w:val="none"/>
              </w:rPr>
            </w:pP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期限</w:t>
            </w:r>
          </w:p>
        </w:tc>
        <w:tc>
          <w:tcPr>
            <w:tcW w:w="6682" w:type="dxa"/>
            <w:noWrap w:val="0"/>
            <w:vAlign w:val="center"/>
          </w:tcPr>
          <w:p w14:paraId="6F1AA096">
            <w:pPr>
              <w:adjustRightInd w:val="0"/>
              <w:snapToGrid w:val="0"/>
              <w:spacing w:line="560" w:lineRule="exact"/>
              <w:rPr>
                <w:rFonts w:hint="eastAsia" w:ascii="宋体" w:cs="宋体"/>
                <w:color w:val="auto"/>
                <w:szCs w:val="21"/>
                <w:highlight w:val="none"/>
              </w:rPr>
            </w:pPr>
            <w:r>
              <w:rPr>
                <w:rFonts w:hint="eastAsia" w:ascii="宋体" w:hAnsi="宋体" w:cs="宋体"/>
                <w:color w:val="auto"/>
                <w:szCs w:val="21"/>
                <w:highlight w:val="none"/>
              </w:rPr>
              <w:t>符合投标须知前附表规定。</w:t>
            </w:r>
          </w:p>
        </w:tc>
      </w:tr>
      <w:tr w14:paraId="7A45D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731" w:type="dxa"/>
            <w:vMerge w:val="continue"/>
            <w:noWrap w:val="0"/>
            <w:vAlign w:val="center"/>
          </w:tcPr>
          <w:p w14:paraId="184892BD">
            <w:pPr>
              <w:spacing w:line="320" w:lineRule="atLeast"/>
              <w:rPr>
                <w:color w:val="auto"/>
                <w:highlight w:val="none"/>
              </w:rPr>
            </w:pPr>
          </w:p>
        </w:tc>
        <w:tc>
          <w:tcPr>
            <w:tcW w:w="785" w:type="dxa"/>
            <w:vMerge w:val="continue"/>
            <w:noWrap w:val="0"/>
            <w:vAlign w:val="center"/>
          </w:tcPr>
          <w:p w14:paraId="36637CCB">
            <w:pPr>
              <w:spacing w:line="320" w:lineRule="atLeast"/>
              <w:rPr>
                <w:color w:val="auto"/>
                <w:highlight w:val="none"/>
              </w:rPr>
            </w:pPr>
          </w:p>
        </w:tc>
        <w:tc>
          <w:tcPr>
            <w:tcW w:w="1853" w:type="dxa"/>
            <w:noWrap w:val="0"/>
            <w:vAlign w:val="center"/>
          </w:tcPr>
          <w:p w14:paraId="36B63CA6">
            <w:pPr>
              <w:adjustRightInd w:val="0"/>
              <w:snapToGrid w:val="0"/>
              <w:spacing w:line="560" w:lineRule="exact"/>
              <w:rPr>
                <w:rFonts w:hint="eastAsia" w:ascii="宋体" w:cs="仿宋_GB2312"/>
                <w:color w:val="auto"/>
                <w:szCs w:val="21"/>
                <w:highlight w:val="none"/>
                <w:lang w:val="zh-CN"/>
              </w:rPr>
            </w:pPr>
            <w:r>
              <w:rPr>
                <w:rFonts w:hint="eastAsia" w:ascii="宋体" w:hAnsi="宋体" w:cs="宋体"/>
                <w:color w:val="auto"/>
                <w:szCs w:val="21"/>
                <w:highlight w:val="none"/>
              </w:rPr>
              <w:t>投标有效期</w:t>
            </w:r>
          </w:p>
        </w:tc>
        <w:tc>
          <w:tcPr>
            <w:tcW w:w="6682" w:type="dxa"/>
            <w:noWrap w:val="0"/>
            <w:vAlign w:val="center"/>
          </w:tcPr>
          <w:p w14:paraId="72C68692">
            <w:pPr>
              <w:adjustRightInd w:val="0"/>
              <w:snapToGrid w:val="0"/>
              <w:spacing w:line="560" w:lineRule="exact"/>
              <w:rPr>
                <w:rFonts w:hint="eastAsia" w:ascii="宋体" w:cs="仿宋_GB2312"/>
                <w:color w:val="auto"/>
                <w:szCs w:val="21"/>
                <w:highlight w:val="none"/>
                <w:lang w:val="zh-CN"/>
              </w:rPr>
            </w:pPr>
            <w:r>
              <w:rPr>
                <w:rFonts w:hint="eastAsia" w:ascii="宋体" w:hAnsi="宋体" w:cs="宋体"/>
                <w:color w:val="auto"/>
                <w:szCs w:val="21"/>
                <w:highlight w:val="none"/>
              </w:rPr>
              <w:t>符合投标须知前附表规定。</w:t>
            </w:r>
          </w:p>
        </w:tc>
      </w:tr>
      <w:tr w14:paraId="03CE3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731" w:type="dxa"/>
            <w:vMerge w:val="continue"/>
            <w:noWrap w:val="0"/>
            <w:vAlign w:val="center"/>
          </w:tcPr>
          <w:p w14:paraId="5EDDA9FB">
            <w:pPr>
              <w:spacing w:line="320" w:lineRule="atLeast"/>
              <w:rPr>
                <w:color w:val="auto"/>
                <w:highlight w:val="none"/>
              </w:rPr>
            </w:pPr>
          </w:p>
        </w:tc>
        <w:tc>
          <w:tcPr>
            <w:tcW w:w="785" w:type="dxa"/>
            <w:vMerge w:val="continue"/>
            <w:noWrap w:val="0"/>
            <w:vAlign w:val="center"/>
          </w:tcPr>
          <w:p w14:paraId="0249D354">
            <w:pPr>
              <w:spacing w:line="320" w:lineRule="atLeast"/>
              <w:rPr>
                <w:color w:val="auto"/>
                <w:highlight w:val="none"/>
              </w:rPr>
            </w:pPr>
          </w:p>
        </w:tc>
        <w:tc>
          <w:tcPr>
            <w:tcW w:w="1853" w:type="dxa"/>
            <w:noWrap w:val="0"/>
            <w:vAlign w:val="center"/>
          </w:tcPr>
          <w:p w14:paraId="01C4C5BA">
            <w:pPr>
              <w:adjustRightInd w:val="0"/>
              <w:snapToGrid w:val="0"/>
              <w:spacing w:line="560" w:lineRule="exact"/>
              <w:rPr>
                <w:rFonts w:hint="eastAsia" w:ascii="宋体" w:hAnsi="宋体" w:cs="宋体"/>
                <w:color w:val="auto"/>
                <w:szCs w:val="21"/>
                <w:highlight w:val="none"/>
              </w:rPr>
            </w:pPr>
            <w:r>
              <w:rPr>
                <w:rFonts w:hint="eastAsia" w:ascii="宋体" w:hAnsi="宋体" w:cs="宋体"/>
                <w:color w:val="auto"/>
                <w:szCs w:val="21"/>
                <w:highlight w:val="none"/>
              </w:rPr>
              <w:t>投标报价评审</w:t>
            </w:r>
          </w:p>
        </w:tc>
        <w:tc>
          <w:tcPr>
            <w:tcW w:w="6682" w:type="dxa"/>
            <w:noWrap w:val="0"/>
            <w:vAlign w:val="center"/>
          </w:tcPr>
          <w:p w14:paraId="0CFC9EA4">
            <w:pPr>
              <w:adjustRightInd w:val="0"/>
              <w:snapToGrid w:val="0"/>
              <w:spacing w:line="560" w:lineRule="exact"/>
              <w:rPr>
                <w:rFonts w:hint="eastAsia" w:ascii="宋体" w:hAnsi="宋体" w:cs="宋体"/>
                <w:color w:val="auto"/>
                <w:szCs w:val="21"/>
                <w:highlight w:val="none"/>
              </w:rPr>
            </w:pPr>
            <w:r>
              <w:rPr>
                <w:rFonts w:hint="eastAsia" w:ascii="宋体" w:hAnsi="宋体" w:cs="宋体"/>
                <w:color w:val="auto"/>
                <w:spacing w:val="-6"/>
                <w:szCs w:val="21"/>
                <w:highlight w:val="none"/>
              </w:rPr>
              <w:t>不得高于最高投标限价。</w:t>
            </w:r>
          </w:p>
        </w:tc>
      </w:tr>
      <w:tr w14:paraId="7770A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731" w:type="dxa"/>
            <w:noWrap w:val="0"/>
            <w:vAlign w:val="center"/>
          </w:tcPr>
          <w:p w14:paraId="770B1645">
            <w:pPr>
              <w:adjustRightInd w:val="0"/>
              <w:snapToGrid w:val="0"/>
              <w:spacing w:line="560" w:lineRule="exact"/>
              <w:jc w:val="center"/>
              <w:rPr>
                <w:rFonts w:hint="eastAsia" w:ascii="宋体" w:hAnsi="宋体" w:cs="宋体"/>
                <w:color w:val="auto"/>
                <w:spacing w:val="-6"/>
                <w:szCs w:val="21"/>
                <w:highlight w:val="none"/>
              </w:rPr>
            </w:pPr>
            <w:r>
              <w:rPr>
                <w:rFonts w:hint="eastAsia" w:ascii="宋体" w:hAnsi="宋体" w:cs="宋体"/>
                <w:color w:val="auto"/>
                <w:spacing w:val="-6"/>
                <w:szCs w:val="21"/>
                <w:highlight w:val="none"/>
              </w:rPr>
              <w:t>3</w:t>
            </w:r>
          </w:p>
        </w:tc>
        <w:tc>
          <w:tcPr>
            <w:tcW w:w="2638" w:type="dxa"/>
            <w:gridSpan w:val="2"/>
            <w:noWrap w:val="0"/>
            <w:vAlign w:val="center"/>
          </w:tcPr>
          <w:p w14:paraId="11E1FFD1">
            <w:pPr>
              <w:adjustRightInd w:val="0"/>
              <w:snapToGrid w:val="0"/>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w:t>
            </w:r>
            <w:r>
              <w:rPr>
                <w:rFonts w:hint="eastAsia" w:ascii="宋体" w:hAnsi="宋体" w:cs="宋体"/>
                <w:color w:val="auto"/>
                <w:szCs w:val="21"/>
                <w:highlight w:val="none"/>
                <w:lang w:val="en-US" w:eastAsia="zh-CN"/>
              </w:rPr>
              <w:t>18</w:t>
            </w:r>
            <w:r>
              <w:rPr>
                <w:rFonts w:hint="eastAsia" w:ascii="宋体" w:hAnsi="宋体" w:eastAsia="宋体" w:cs="宋体"/>
                <w:color w:val="auto"/>
                <w:szCs w:val="21"/>
                <w:highlight w:val="none"/>
              </w:rPr>
              <w:t>分）</w:t>
            </w:r>
          </w:p>
        </w:tc>
        <w:tc>
          <w:tcPr>
            <w:tcW w:w="6682" w:type="dxa"/>
            <w:noWrap w:val="0"/>
            <w:vAlign w:val="center"/>
          </w:tcPr>
          <w:p w14:paraId="11530456">
            <w:pPr>
              <w:keepNext w:val="0"/>
              <w:keepLines w:val="0"/>
              <w:pageBreakBefore w:val="0"/>
              <w:widowControl w:val="0"/>
              <w:tabs>
                <w:tab w:val="left" w:pos="1080"/>
              </w:tabs>
              <w:kinsoku/>
              <w:wordWrap/>
              <w:overflowPunct/>
              <w:topLinePunct w:val="0"/>
              <w:autoSpaceDE/>
              <w:autoSpaceDN/>
              <w:bidi w:val="0"/>
              <w:spacing w:line="400" w:lineRule="exact"/>
              <w:ind w:right="105"/>
              <w:textAlignment w:val="auto"/>
              <w:rPr>
                <w:color w:val="auto"/>
                <w:highlight w:val="none"/>
              </w:rPr>
            </w:pPr>
            <w:r>
              <w:rPr>
                <w:rFonts w:hint="eastAsia" w:ascii="宋体" w:hAnsi="宋体" w:eastAsia="宋体" w:cs="宋体"/>
                <w:color w:val="auto"/>
                <w:kern w:val="2"/>
                <w:sz w:val="21"/>
                <w:szCs w:val="21"/>
                <w:highlight w:val="none"/>
                <w:u w:val="none" w:color="000000"/>
                <w:lang w:val="en-US" w:eastAsia="zh-CN" w:bidi="ar-SA"/>
              </w:rPr>
              <w:t>本项目投标最高限价：</w:t>
            </w:r>
            <w:r>
              <w:rPr>
                <w:rFonts w:hint="eastAsia" w:ascii="宋体" w:hAnsi="宋体" w:cs="宋体"/>
                <w:color w:val="auto"/>
                <w:kern w:val="2"/>
                <w:sz w:val="21"/>
                <w:szCs w:val="21"/>
                <w:highlight w:val="none"/>
                <w:u w:val="none" w:color="000000"/>
                <w:lang w:val="en-US" w:eastAsia="zh-CN" w:bidi="ar-SA"/>
              </w:rPr>
              <w:t>52万</w:t>
            </w:r>
            <w:r>
              <w:rPr>
                <w:rFonts w:hint="eastAsia" w:ascii="宋体" w:hAnsi="宋体" w:eastAsia="宋体" w:cs="宋体"/>
                <w:color w:val="auto"/>
                <w:kern w:val="2"/>
                <w:sz w:val="21"/>
                <w:szCs w:val="21"/>
                <w:highlight w:val="none"/>
                <w:u w:val="none" w:color="000000"/>
                <w:lang w:val="en-US" w:eastAsia="zh-CN" w:bidi="ar-SA"/>
              </w:rPr>
              <w:t>元/年，</w:t>
            </w:r>
            <w:r>
              <w:rPr>
                <w:rFonts w:hint="eastAsia" w:ascii="宋体" w:hAnsi="宋体" w:cs="宋体"/>
                <w:color w:val="auto"/>
                <w:kern w:val="2"/>
                <w:sz w:val="21"/>
                <w:szCs w:val="21"/>
                <w:highlight w:val="none"/>
                <w:u w:val="none" w:color="000000"/>
                <w:lang w:val="en-US" w:eastAsia="zh-CN" w:bidi="ar-SA"/>
              </w:rPr>
              <w:t>156万</w:t>
            </w:r>
            <w:r>
              <w:rPr>
                <w:rFonts w:hint="eastAsia" w:ascii="宋体" w:hAnsi="宋体" w:eastAsia="宋体" w:cs="宋体"/>
                <w:color w:val="auto"/>
                <w:kern w:val="2"/>
                <w:sz w:val="21"/>
                <w:szCs w:val="21"/>
                <w:highlight w:val="none"/>
                <w:u w:val="none" w:color="000000"/>
                <w:lang w:val="en-US" w:eastAsia="zh-CN" w:bidi="ar-SA"/>
              </w:rPr>
              <w:t>元/三年；投标报价高于（不含等于）最高限价的，按无效投标处理。</w:t>
            </w:r>
          </w:p>
          <w:p w14:paraId="03275266">
            <w:pPr>
              <w:keepNext w:val="0"/>
              <w:keepLines w:val="0"/>
              <w:pageBreakBefore w:val="0"/>
              <w:widowControl w:val="0"/>
              <w:kinsoku/>
              <w:wordWrap/>
              <w:overflowPunct/>
              <w:topLinePunct w:val="0"/>
              <w:autoSpaceDE/>
              <w:autoSpaceDN/>
              <w:bidi w:val="0"/>
              <w:spacing w:line="400" w:lineRule="exact"/>
              <w:textAlignment w:val="auto"/>
              <w:rPr>
                <w:rFonts w:hint="eastAsia" w:ascii="Times New Roman" w:hAnsi="Times New Roman" w:eastAsia="宋体" w:cs="Times New Roman"/>
                <w:color w:val="auto"/>
                <w:highlight w:val="none"/>
              </w:rPr>
            </w:pPr>
            <w:r>
              <w:rPr>
                <w:rFonts w:hint="eastAsia"/>
                <w:color w:val="auto"/>
                <w:highlight w:val="none"/>
                <w:lang w:val="en-US" w:eastAsia="zh-CN"/>
              </w:rPr>
              <w:t>1.</w:t>
            </w:r>
            <w:r>
              <w:rPr>
                <w:rFonts w:hint="eastAsia" w:ascii="Times New Roman" w:hAnsi="Times New Roman" w:eastAsia="宋体" w:cs="Times New Roman"/>
                <w:color w:val="auto"/>
                <w:highlight w:val="none"/>
              </w:rPr>
              <w:t>评标基准价=所有有效投标人的最低报价；其得分为满分</w:t>
            </w:r>
            <w:r>
              <w:rPr>
                <w:rFonts w:hint="eastAsia" w:ascii="Times New Roman" w:hAnsi="Times New Roman" w:eastAsia="宋体" w:cs="Times New Roman"/>
                <w:color w:val="auto"/>
                <w:highlight w:val="none"/>
                <w:lang w:val="en-US" w:eastAsia="zh-CN"/>
              </w:rPr>
              <w:t>18</w:t>
            </w:r>
            <w:r>
              <w:rPr>
                <w:rFonts w:hint="eastAsia" w:ascii="Times New Roman" w:hAnsi="Times New Roman" w:eastAsia="宋体" w:cs="Times New Roman"/>
                <w:color w:val="auto"/>
                <w:highlight w:val="none"/>
              </w:rPr>
              <w:t>分；</w:t>
            </w:r>
          </w:p>
          <w:p w14:paraId="1E9873AC">
            <w:pPr>
              <w:keepNext w:val="0"/>
              <w:keepLines w:val="0"/>
              <w:pageBreakBefore w:val="0"/>
              <w:widowControl w:val="0"/>
              <w:kinsoku/>
              <w:wordWrap/>
              <w:overflowPunct/>
              <w:topLinePunct w:val="0"/>
              <w:autoSpaceDE/>
              <w:autoSpaceDN/>
              <w:bidi w:val="0"/>
              <w:spacing w:line="400" w:lineRule="exact"/>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2</w:t>
            </w:r>
            <w:r>
              <w:rPr>
                <w:rFonts w:hint="eastAsia" w:ascii="Times New Roman" w:hAnsi="Times New Roman" w:eastAsia="宋体" w:cs="Times New Roman"/>
                <w:color w:val="auto"/>
                <w:highlight w:val="none"/>
              </w:rPr>
              <w:t>.</w:t>
            </w:r>
            <w:r>
              <w:rPr>
                <w:rFonts w:hint="eastAsia" w:ascii="Times New Roman" w:hAnsi="Times New Roman" w:eastAsia="宋体" w:cs="Times New Roman"/>
                <w:color w:val="auto"/>
                <w:highlight w:val="none"/>
                <w:lang w:eastAsia="zh-CN"/>
              </w:rPr>
              <w:t>其他</w:t>
            </w:r>
            <w:r>
              <w:rPr>
                <w:rFonts w:hint="eastAsia" w:ascii="Times New Roman" w:hAnsi="Times New Roman" w:eastAsia="宋体" w:cs="Times New Roman"/>
                <w:color w:val="auto"/>
                <w:highlight w:val="none"/>
              </w:rPr>
              <w:t>报价得分=评标基准价/投标报价×</w:t>
            </w:r>
            <w:r>
              <w:rPr>
                <w:rFonts w:hint="eastAsia" w:ascii="Times New Roman" w:hAnsi="Times New Roman" w:eastAsia="宋体" w:cs="Times New Roman"/>
                <w:color w:val="auto"/>
                <w:highlight w:val="none"/>
                <w:lang w:val="en-US" w:eastAsia="zh-CN"/>
              </w:rPr>
              <w:t>18</w:t>
            </w:r>
            <w:r>
              <w:rPr>
                <w:rFonts w:hint="eastAsia" w:ascii="Times New Roman" w:hAnsi="Times New Roman" w:eastAsia="宋体" w:cs="Times New Roman"/>
                <w:color w:val="auto"/>
                <w:highlight w:val="none"/>
              </w:rPr>
              <w:t>分，小数点后保留两位小数，第三位四舍五入</w:t>
            </w:r>
            <w:r>
              <w:rPr>
                <w:rFonts w:hint="eastAsia" w:ascii="Times New Roman" w:hAnsi="Times New Roman" w:eastAsia="宋体" w:cs="Times New Roman"/>
                <w:color w:val="auto"/>
                <w:highlight w:val="none"/>
                <w:lang w:val="en-US" w:eastAsia="zh-CN"/>
              </w:rPr>
              <w:t>；</w:t>
            </w:r>
          </w:p>
          <w:p w14:paraId="7C270361">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auto"/>
                <w:szCs w:val="21"/>
                <w:highlight w:val="none"/>
              </w:rPr>
            </w:pPr>
            <w:r>
              <w:rPr>
                <w:rFonts w:hint="eastAsia" w:ascii="Times New Roman" w:hAnsi="Times New Roman" w:eastAsia="宋体" w:cs="Times New Roman"/>
                <w:color w:val="auto"/>
                <w:highlight w:val="none"/>
                <w:lang w:val="en-US" w:eastAsia="zh-CN"/>
              </w:rPr>
              <w:t>3.本项分值由评标委员会负责组织计算。</w:t>
            </w:r>
          </w:p>
        </w:tc>
      </w:tr>
    </w:tbl>
    <w:p w14:paraId="618B850F">
      <w:pPr>
        <w:pStyle w:val="2"/>
        <w:keepNext w:val="0"/>
        <w:keepLines w:val="0"/>
        <w:pageBreakBefore w:val="0"/>
        <w:widowControl w:val="0"/>
        <w:kinsoku/>
        <w:wordWrap/>
        <w:overflowPunct/>
        <w:topLinePunct w:val="0"/>
        <w:autoSpaceDE/>
        <w:autoSpaceDN/>
        <w:bidi w:val="0"/>
        <w:adjustRightInd w:val="0"/>
        <w:snapToGrid w:val="0"/>
        <w:spacing w:after="0" w:afterLines="0" w:line="440" w:lineRule="exact"/>
        <w:ind w:left="0" w:leftChars="0"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特别说明：</w:t>
      </w:r>
    </w:p>
    <w:p w14:paraId="01E22094">
      <w:pPr>
        <w:pStyle w:val="2"/>
        <w:keepNext w:val="0"/>
        <w:keepLines w:val="0"/>
        <w:pageBreakBefore w:val="0"/>
        <w:widowControl w:val="0"/>
        <w:kinsoku/>
        <w:wordWrap/>
        <w:overflowPunct/>
        <w:topLinePunct w:val="0"/>
        <w:autoSpaceDE/>
        <w:autoSpaceDN/>
        <w:bidi w:val="0"/>
        <w:adjustRightInd w:val="0"/>
        <w:snapToGrid w:val="0"/>
        <w:spacing w:after="0" w:afterLines="0" w:line="440" w:lineRule="exact"/>
        <w:ind w:left="0" w:leftChars="0"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（1）</w:t>
      </w:r>
      <w:r>
        <w:rPr>
          <w:rFonts w:hint="eastAsia" w:ascii="宋体" w:hAnsi="宋体" w:eastAsia="宋体" w:cs="宋体"/>
          <w:color w:val="auto"/>
          <w:kern w:val="0"/>
          <w:sz w:val="21"/>
          <w:szCs w:val="21"/>
          <w:highlight w:val="none"/>
          <w:lang w:val="en-US" w:eastAsia="zh-CN" w:bidi="ar-SA"/>
        </w:rPr>
        <w:t>评标专家检验电子投标文件的上述材料，如果由于投标人自身原因导致评标专家无法查看并检验电子投标文件中以上相关资料的，后果由投标人自行承担。</w:t>
      </w:r>
    </w:p>
    <w:p w14:paraId="41C64985">
      <w:pPr>
        <w:pStyle w:val="2"/>
        <w:keepNext w:val="0"/>
        <w:keepLines w:val="0"/>
        <w:pageBreakBefore w:val="0"/>
        <w:widowControl w:val="0"/>
        <w:kinsoku/>
        <w:wordWrap/>
        <w:overflowPunct/>
        <w:topLinePunct w:val="0"/>
        <w:autoSpaceDE/>
        <w:autoSpaceDN/>
        <w:bidi w:val="0"/>
        <w:adjustRightInd w:val="0"/>
        <w:snapToGrid w:val="0"/>
        <w:spacing w:after="0" w:afterLines="0" w:line="440" w:lineRule="exact"/>
        <w:ind w:left="0" w:leftChars="0" w:firstLine="420" w:firstLineChars="200"/>
        <w:jc w:val="left"/>
        <w:textAlignment w:val="auto"/>
        <w:outlineLvl w:val="2"/>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（2）</w:t>
      </w:r>
      <w:r>
        <w:rPr>
          <w:rFonts w:hint="eastAsia" w:ascii="宋体" w:hAnsi="宋体" w:eastAsia="宋体" w:cs="宋体"/>
          <w:color w:val="auto"/>
          <w:kern w:val="0"/>
          <w:sz w:val="21"/>
          <w:szCs w:val="21"/>
          <w:highlight w:val="none"/>
          <w:lang w:val="en-US" w:eastAsia="zh-CN" w:bidi="ar-SA"/>
        </w:rPr>
        <w:t>以上分值均保留二位小数，小数点后第三位四舍五入。</w:t>
      </w:r>
    </w:p>
    <w:p w14:paraId="17C27EA3">
      <w:pPr>
        <w:keepNext w:val="0"/>
        <w:keepLines w:val="0"/>
        <w:pageBreakBefore w:val="0"/>
        <w:widowControl w:val="0"/>
        <w:kinsoku/>
        <w:wordWrap/>
        <w:overflowPunct/>
        <w:topLinePunct w:val="0"/>
        <w:autoSpaceDE/>
        <w:autoSpaceDN/>
        <w:bidi w:val="0"/>
        <w:spacing w:line="440" w:lineRule="exact"/>
        <w:ind w:firstLine="420" w:firstLineChars="200"/>
        <w:textAlignment w:val="auto"/>
        <w:rPr>
          <w:rFonts w:hint="default"/>
          <w:color w:val="auto"/>
          <w:highlight w:val="none"/>
          <w:lang w:val="en-US" w:eastAsia="zh-CN"/>
        </w:rPr>
      </w:pPr>
      <w:r>
        <w:rPr>
          <w:rFonts w:hint="eastAsia" w:ascii="宋体" w:hAnsi="宋体" w:cs="宋体"/>
          <w:color w:val="auto"/>
          <w:kern w:val="0"/>
          <w:sz w:val="21"/>
          <w:szCs w:val="21"/>
          <w:highlight w:val="none"/>
          <w:lang w:val="en-US" w:eastAsia="zh-CN" w:bidi="ar-SA"/>
        </w:rPr>
        <w:t>（3）</w:t>
      </w:r>
      <w:r>
        <w:rPr>
          <w:rFonts w:hint="eastAsia" w:ascii="宋体" w:hAnsi="宋体" w:eastAsia="宋体" w:cs="宋体"/>
          <w:color w:val="auto"/>
          <w:kern w:val="0"/>
          <w:sz w:val="21"/>
          <w:szCs w:val="21"/>
          <w:highlight w:val="none"/>
          <w:lang w:val="zh-CN" w:eastAsia="zh-CN" w:bidi="ar-SA"/>
        </w:rPr>
        <w:t>投标人必须和拟派的所有岗位人员按照相关规定签订劳动合同并为其缴纳社保，否则产生的相关纠纷由投标人自行承担。投标人投标时充分考虑企业利润，如因企业漏报或主动让利，产生的相关纠纷由投标人自行承担。滁州市人社局对滁州市人员最低工资及五险进行调整时，中标人适当作相应调整</w:t>
      </w:r>
      <w:r>
        <w:rPr>
          <w:rFonts w:hint="eastAsia" w:ascii="宋体" w:hAnsi="宋体" w:cs="宋体"/>
          <w:color w:val="auto"/>
          <w:kern w:val="0"/>
          <w:sz w:val="21"/>
          <w:szCs w:val="21"/>
          <w:highlight w:val="none"/>
          <w:lang w:val="zh-CN" w:eastAsia="zh-CN" w:bidi="ar-SA"/>
        </w:rPr>
        <w:t>，</w:t>
      </w:r>
      <w:r>
        <w:rPr>
          <w:rFonts w:hint="eastAsia" w:ascii="宋体" w:hAnsi="宋体" w:cs="宋体"/>
          <w:color w:val="auto"/>
          <w:kern w:val="0"/>
          <w:sz w:val="21"/>
          <w:szCs w:val="21"/>
          <w:highlight w:val="none"/>
          <w:lang w:val="en-US" w:eastAsia="zh-CN" w:bidi="ar-SA"/>
        </w:rPr>
        <w:t>招标人不予调整服务费用</w:t>
      </w:r>
      <w:r>
        <w:rPr>
          <w:rFonts w:hint="eastAsia" w:ascii="宋体" w:hAnsi="宋体" w:eastAsia="宋体" w:cs="宋体"/>
          <w:color w:val="auto"/>
          <w:kern w:val="0"/>
          <w:sz w:val="21"/>
          <w:szCs w:val="21"/>
          <w:highlight w:val="none"/>
          <w:lang w:val="zh-CN" w:eastAsia="zh-CN" w:bidi="ar-SA"/>
        </w:rPr>
        <w:t>。</w:t>
      </w:r>
    </w:p>
    <w:bookmarkEnd w:id="86"/>
    <w:bookmarkEnd w:id="87"/>
    <w:bookmarkEnd w:id="88"/>
    <w:bookmarkEnd w:id="89"/>
    <w:bookmarkEnd w:id="90"/>
    <w:p w14:paraId="747F3BA0">
      <w:pPr>
        <w:keepNext w:val="0"/>
        <w:keepLines w:val="0"/>
        <w:pageBreakBefore w:val="0"/>
        <w:widowControl w:val="0"/>
        <w:kinsoku/>
        <w:wordWrap/>
        <w:overflowPunct/>
        <w:topLinePunct w:val="0"/>
        <w:autoSpaceDE/>
        <w:autoSpaceDN/>
        <w:bidi w:val="0"/>
        <w:spacing w:line="440" w:lineRule="exact"/>
        <w:textAlignment w:val="auto"/>
        <w:outlineLvl w:val="3"/>
        <w:rPr>
          <w:rFonts w:hint="eastAsia" w:ascii="宋体" w:hAnsi="宋体" w:cs="宋体"/>
          <w:b/>
          <w:bCs/>
          <w:color w:val="auto"/>
          <w:szCs w:val="21"/>
          <w:highlight w:val="none"/>
        </w:rPr>
      </w:pPr>
      <w:bookmarkStart w:id="91" w:name="_Toc30417"/>
      <w:bookmarkStart w:id="92" w:name="_Toc449028945"/>
      <w:bookmarkStart w:id="93" w:name="_Toc22340"/>
      <w:r>
        <w:rPr>
          <w:rFonts w:hint="eastAsia" w:ascii="宋体" w:hAnsi="宋体" w:cs="宋体"/>
          <w:b/>
          <w:bCs/>
          <w:color w:val="auto"/>
          <w:szCs w:val="21"/>
          <w:highlight w:val="none"/>
          <w:lang w:val="en-US" w:eastAsia="zh-CN"/>
        </w:rPr>
        <w:t>　　1</w:t>
      </w:r>
      <w:r>
        <w:rPr>
          <w:rFonts w:hint="eastAsia" w:ascii="宋体" w:hAnsi="宋体" w:cs="宋体"/>
          <w:b/>
          <w:bCs/>
          <w:color w:val="auto"/>
          <w:szCs w:val="21"/>
          <w:highlight w:val="none"/>
        </w:rPr>
        <w:t>．评标方法</w:t>
      </w:r>
    </w:p>
    <w:p w14:paraId="308C838F">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　　1</w:t>
      </w:r>
      <w:r>
        <w:rPr>
          <w:rFonts w:hint="eastAsia" w:ascii="宋体" w:hAnsi="宋体" w:cs="宋体"/>
          <w:color w:val="auto"/>
          <w:szCs w:val="21"/>
          <w:highlight w:val="none"/>
        </w:rPr>
        <w:t>.1本次评标采用</w:t>
      </w:r>
      <w:r>
        <w:rPr>
          <w:rFonts w:hint="eastAsia" w:ascii="宋体" w:hAnsi="宋体" w:cs="宋体"/>
          <w:b/>
          <w:bCs/>
          <w:color w:val="auto"/>
          <w:szCs w:val="21"/>
          <w:highlight w:val="none"/>
        </w:rPr>
        <w:t>综合评</w:t>
      </w:r>
      <w:r>
        <w:rPr>
          <w:rFonts w:hint="eastAsia" w:ascii="宋体" w:hAnsi="宋体" w:cs="宋体"/>
          <w:b/>
          <w:bCs/>
          <w:color w:val="auto"/>
          <w:szCs w:val="21"/>
          <w:highlight w:val="none"/>
          <w:lang w:val="en-US" w:eastAsia="zh-CN"/>
        </w:rPr>
        <w:t>分</w:t>
      </w:r>
      <w:r>
        <w:rPr>
          <w:rFonts w:hint="eastAsia" w:ascii="宋体" w:hAnsi="宋体" w:cs="宋体"/>
          <w:b/>
          <w:bCs/>
          <w:color w:val="auto"/>
          <w:szCs w:val="21"/>
          <w:highlight w:val="none"/>
        </w:rPr>
        <w:t>法</w:t>
      </w:r>
      <w:r>
        <w:rPr>
          <w:rFonts w:hint="eastAsia" w:ascii="宋体" w:hAnsi="宋体" w:cs="宋体"/>
          <w:color w:val="auto"/>
          <w:szCs w:val="21"/>
          <w:highlight w:val="none"/>
        </w:rPr>
        <w:t>。评标委员会对满足招标文件实质性要求的投标文件，按照本章规定的评分标准进行打分，并按总得分由高到低顺序推荐中标候选人应当不超过3名，并标明排序，但投标报价低于其成本的除外。如总得分相等，以投标报价低的优先，投标报价仍相等，由评标委员会主任委员或招标人随机抽取确定排名。</w:t>
      </w:r>
    </w:p>
    <w:p w14:paraId="340F2E5A">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.2</w:t>
      </w:r>
      <w:r>
        <w:rPr>
          <w:rFonts w:hint="eastAsia" w:ascii="宋体" w:hAnsi="宋体" w:eastAsia="宋体" w:cs="宋体"/>
          <w:color w:val="auto"/>
          <w:szCs w:val="21"/>
          <w:highlight w:val="none"/>
          <w:lang w:val="en-US" w:eastAsia="zh-CN"/>
        </w:rPr>
        <w:t>在专家评审结束后，根据评标委员会评审初步结论，招标人（代理机构）将对推荐的中标候选人、法定代表人及其项目负责人是否存在联合惩戒失信行为进行网上核查（网上查询要求及渠道按附件1执行）。若核查结果与投标人承诺不一致，则提交评标委员会取消其预中标候选人资格，依次替补，并再次对替补单位进行核查。核查结果不改变原评标基准值。</w:t>
      </w:r>
    </w:p>
    <w:p w14:paraId="4E3321CD">
      <w:pPr>
        <w:keepNext w:val="0"/>
        <w:keepLines w:val="0"/>
        <w:pageBreakBefore w:val="0"/>
        <w:widowControl w:val="0"/>
        <w:kinsoku/>
        <w:wordWrap/>
        <w:overflowPunct/>
        <w:topLinePunct w:val="0"/>
        <w:autoSpaceDE/>
        <w:autoSpaceDN/>
        <w:bidi w:val="0"/>
        <w:spacing w:line="440" w:lineRule="exact"/>
        <w:textAlignment w:val="auto"/>
        <w:outlineLvl w:val="3"/>
        <w:rPr>
          <w:rFonts w:hint="eastAsia" w:ascii="宋体" w:hAnsi="宋体" w:eastAsia="宋体" w:cs="宋体"/>
          <w:b/>
          <w:bCs/>
          <w:color w:val="auto"/>
          <w:szCs w:val="21"/>
          <w:highlight w:val="none"/>
          <w:lang w:val="en-US" w:eastAsia="zh-CN"/>
        </w:rPr>
      </w:pPr>
      <w:bookmarkStart w:id="94" w:name="_Toc95223405"/>
      <w:r>
        <w:rPr>
          <w:rFonts w:hint="eastAsia" w:ascii="宋体" w:hAnsi="宋体" w:cs="宋体"/>
          <w:b/>
          <w:bCs/>
          <w:color w:val="auto"/>
          <w:szCs w:val="21"/>
          <w:highlight w:val="none"/>
          <w:lang w:val="en-US" w:eastAsia="zh-CN"/>
        </w:rPr>
        <w:t>　　</w:t>
      </w:r>
      <w:r>
        <w:rPr>
          <w:rFonts w:hint="eastAsia" w:ascii="宋体" w:hAnsi="宋体" w:eastAsia="宋体" w:cs="宋体"/>
          <w:b/>
          <w:bCs/>
          <w:color w:val="auto"/>
          <w:szCs w:val="21"/>
          <w:highlight w:val="none"/>
          <w:lang w:val="en-US" w:eastAsia="zh-CN"/>
        </w:rPr>
        <w:t>2.评标委员会的职责</w:t>
      </w:r>
    </w:p>
    <w:p w14:paraId="741B169F">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2.1</w:t>
      </w:r>
      <w:r>
        <w:rPr>
          <w:rFonts w:hint="eastAsia" w:ascii="宋体" w:hAnsi="宋体" w:eastAsia="宋体" w:cs="宋体"/>
          <w:color w:val="auto"/>
          <w:szCs w:val="21"/>
          <w:highlight w:val="none"/>
        </w:rPr>
        <w:t>评标委员会应当根据本评标办法，应进行系统地评审和比较，向招标人推荐中标候选人或根据招标人的授权直接确定中标人。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104242D8">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2.2</w:t>
      </w:r>
      <w:r>
        <w:rPr>
          <w:rFonts w:hint="eastAsia" w:ascii="宋体" w:hAnsi="宋体" w:eastAsia="宋体" w:cs="宋体"/>
          <w:color w:val="auto"/>
          <w:szCs w:val="21"/>
          <w:highlight w:val="none"/>
        </w:rPr>
        <w:t>评标委员会应加强对报价合理性审查。评标评审委员会认为拟推荐的中标候选人的报价明显低于其他通过符合性审查投标人的报价，存在异常低价，有可能影响项目质量或者不能诚信履约的，应当要求投标人在评标现场合理的时间内提供书面说明，必要时提交相关证明材料；投标人不能证明其报价合理性的，或评标委员会认定其存在履约及质量安全风险的，评标评审委员会应当将其作为无效投标处理。</w:t>
      </w:r>
    </w:p>
    <w:p w14:paraId="22170FBF">
      <w:pPr>
        <w:keepNext w:val="0"/>
        <w:keepLines w:val="0"/>
        <w:pageBreakBefore w:val="0"/>
        <w:widowControl w:val="0"/>
        <w:kinsoku/>
        <w:wordWrap/>
        <w:overflowPunct/>
        <w:topLinePunct w:val="0"/>
        <w:autoSpaceDE/>
        <w:autoSpaceDN/>
        <w:bidi w:val="0"/>
        <w:spacing w:line="440" w:lineRule="exact"/>
        <w:jc w:val="left"/>
        <w:textAlignment w:val="auto"/>
        <w:outlineLvl w:val="3"/>
        <w:rPr>
          <w:rFonts w:hint="eastAsia" w:ascii="宋体"/>
          <w:b/>
          <w:color w:val="auto"/>
          <w:szCs w:val="21"/>
          <w:highlight w:val="none"/>
        </w:rPr>
      </w:pPr>
      <w:r>
        <w:rPr>
          <w:rFonts w:hint="eastAsia" w:ascii="宋体"/>
          <w:b/>
          <w:color w:val="auto"/>
          <w:szCs w:val="21"/>
          <w:highlight w:val="none"/>
          <w:lang w:val="en-US" w:eastAsia="zh-CN"/>
        </w:rPr>
        <w:t>　　3</w:t>
      </w:r>
      <w:r>
        <w:rPr>
          <w:rFonts w:hint="eastAsia" w:ascii="宋体"/>
          <w:b/>
          <w:color w:val="auto"/>
          <w:szCs w:val="21"/>
          <w:highlight w:val="none"/>
        </w:rPr>
        <w:t>.评标程序</w:t>
      </w:r>
    </w:p>
    <w:p w14:paraId="3638290E">
      <w:pPr>
        <w:keepNext w:val="0"/>
        <w:keepLines w:val="0"/>
        <w:pageBreakBefore w:val="0"/>
        <w:widowControl w:val="0"/>
        <w:kinsoku/>
        <w:wordWrap/>
        <w:overflowPunct/>
        <w:topLinePunct w:val="0"/>
        <w:autoSpaceDE/>
        <w:autoSpaceDN/>
        <w:bidi w:val="0"/>
        <w:spacing w:line="440" w:lineRule="exact"/>
        <w:ind w:firstLine="315" w:firstLineChars="150"/>
        <w:jc w:val="left"/>
        <w:textAlignment w:val="auto"/>
        <w:rPr>
          <w:rFonts w:hint="eastAsia" w:ascii="宋体" w:hAnsi="宋体"/>
          <w:color w:val="auto"/>
          <w:szCs w:val="21"/>
          <w:highlight w:val="none"/>
        </w:rPr>
      </w:pPr>
      <w:bookmarkStart w:id="95" w:name="_Toc95223402"/>
      <w:r>
        <w:rPr>
          <w:rFonts w:hint="eastAsia" w:ascii="宋体" w:hAnsi="宋体"/>
          <w:color w:val="auto"/>
          <w:szCs w:val="21"/>
          <w:highlight w:val="none"/>
        </w:rPr>
        <w:t>评标先做准备工作，再进行资格、技术标评审，然后进行商务标评审。</w:t>
      </w:r>
    </w:p>
    <w:p w14:paraId="1EBF9E9C">
      <w:pPr>
        <w:keepNext w:val="0"/>
        <w:keepLines w:val="0"/>
        <w:pageBreakBefore w:val="0"/>
        <w:widowControl w:val="0"/>
        <w:kinsoku/>
        <w:wordWrap/>
        <w:overflowPunct/>
        <w:topLinePunct w:val="0"/>
        <w:autoSpaceDE/>
        <w:autoSpaceDN/>
        <w:bidi w:val="0"/>
        <w:spacing w:line="440" w:lineRule="exact"/>
        <w:ind w:firstLine="315" w:firstLineChars="150"/>
        <w:jc w:val="left"/>
        <w:textAlignment w:val="auto"/>
        <w:outlineLvl w:val="4"/>
        <w:rPr>
          <w:rFonts w:hint="eastAsia" w:ascii="宋体" w:hAnsi="宋体" w:cs="宋体"/>
          <w:color w:val="auto"/>
          <w:highlight w:val="none"/>
        </w:rPr>
      </w:pPr>
      <w:r>
        <w:rPr>
          <w:rFonts w:hint="eastAsia" w:ascii="宋体" w:hAnsi="宋体" w:cs="宋体"/>
          <w:color w:val="auto"/>
          <w:highlight w:val="none"/>
          <w:lang w:val="en-US" w:eastAsia="zh-CN"/>
        </w:rPr>
        <w:t>3</w:t>
      </w:r>
      <w:r>
        <w:rPr>
          <w:rFonts w:hint="eastAsia" w:ascii="宋体" w:hAnsi="宋体" w:cs="宋体"/>
          <w:color w:val="auto"/>
          <w:highlight w:val="none"/>
        </w:rPr>
        <w:t>.1评标准备工作</w:t>
      </w:r>
      <w:bookmarkEnd w:id="95"/>
    </w:p>
    <w:p w14:paraId="2A695CB7">
      <w:pPr>
        <w:keepNext w:val="0"/>
        <w:keepLines w:val="0"/>
        <w:pageBreakBefore w:val="0"/>
        <w:widowControl w:val="0"/>
        <w:kinsoku/>
        <w:wordWrap/>
        <w:overflowPunct/>
        <w:topLinePunct w:val="0"/>
        <w:autoSpaceDE/>
        <w:autoSpaceDN/>
        <w:bidi w:val="0"/>
        <w:spacing w:line="440" w:lineRule="exact"/>
        <w:ind w:firstLine="315" w:firstLineChars="150"/>
        <w:jc w:val="left"/>
        <w:textAlignment w:val="auto"/>
        <w:rPr>
          <w:rFonts w:hint="eastAsia" w:ascii="宋体" w:hAnsi="宋体" w:cs="宋体"/>
          <w:color w:val="auto"/>
          <w:highlight w:val="none"/>
        </w:rPr>
      </w:pPr>
      <w:r>
        <w:rPr>
          <w:rFonts w:hint="eastAsia" w:ascii="宋体" w:hAnsi="宋体" w:cs="宋体"/>
          <w:color w:val="auto"/>
          <w:highlight w:val="none"/>
        </w:rPr>
        <w:t>评标委员会熟悉评标工作情况：</w:t>
      </w:r>
    </w:p>
    <w:p w14:paraId="08DC096A">
      <w:pPr>
        <w:keepNext w:val="0"/>
        <w:keepLines w:val="0"/>
        <w:pageBreakBefore w:val="0"/>
        <w:widowControl w:val="0"/>
        <w:kinsoku/>
        <w:wordWrap/>
        <w:overflowPunct/>
        <w:topLinePunct w:val="0"/>
        <w:autoSpaceDE/>
        <w:autoSpaceDN/>
        <w:bidi w:val="0"/>
        <w:spacing w:line="440" w:lineRule="exact"/>
        <w:ind w:firstLine="315" w:firstLineChars="150"/>
        <w:jc w:val="left"/>
        <w:textAlignment w:val="auto"/>
        <w:rPr>
          <w:rFonts w:hint="eastAsia" w:ascii="宋体" w:hAnsi="宋体" w:cs="宋体"/>
          <w:color w:val="auto"/>
          <w:highlight w:val="none"/>
        </w:rPr>
      </w:pPr>
      <w:r>
        <w:rPr>
          <w:rFonts w:hint="eastAsia" w:ascii="宋体" w:hAnsi="宋体" w:cs="宋体"/>
          <w:color w:val="auto"/>
          <w:highlight w:val="none"/>
        </w:rPr>
        <w:t>（1）阅读由招标人或者其委</w:t>
      </w:r>
      <w:bookmarkStart w:id="96" w:name="_Toc15058916"/>
      <w:bookmarkStart w:id="97" w:name="_Toc60061499"/>
      <w:r>
        <w:rPr>
          <w:rFonts w:hint="eastAsia" w:ascii="宋体" w:hAnsi="宋体" w:cs="宋体"/>
          <w:color w:val="auto"/>
          <w:highlight w:val="none"/>
        </w:rPr>
        <w:t>托的代理机构编</w:t>
      </w:r>
      <w:bookmarkEnd w:id="96"/>
      <w:bookmarkEnd w:id="97"/>
      <w:r>
        <w:rPr>
          <w:rFonts w:hint="eastAsia" w:ascii="宋体" w:hAnsi="宋体" w:cs="宋体"/>
          <w:color w:val="auto"/>
          <w:highlight w:val="none"/>
        </w:rPr>
        <w:t>制的招标项目情况材料。</w:t>
      </w:r>
    </w:p>
    <w:p w14:paraId="7EB1681A">
      <w:pPr>
        <w:keepNext w:val="0"/>
        <w:keepLines w:val="0"/>
        <w:pageBreakBefore w:val="0"/>
        <w:widowControl w:val="0"/>
        <w:kinsoku/>
        <w:wordWrap/>
        <w:overflowPunct/>
        <w:topLinePunct w:val="0"/>
        <w:autoSpaceDE/>
        <w:autoSpaceDN/>
        <w:bidi w:val="0"/>
        <w:spacing w:line="440" w:lineRule="exact"/>
        <w:ind w:firstLine="315" w:firstLineChars="150"/>
        <w:jc w:val="left"/>
        <w:textAlignment w:val="auto"/>
        <w:rPr>
          <w:rFonts w:hint="eastAsia" w:ascii="宋体" w:hAnsi="宋体" w:cs="宋体"/>
          <w:color w:val="auto"/>
          <w:highlight w:val="none"/>
        </w:rPr>
      </w:pPr>
      <w:r>
        <w:rPr>
          <w:rFonts w:hint="eastAsia" w:ascii="宋体" w:hAnsi="宋体" w:cs="宋体"/>
          <w:color w:val="auto"/>
          <w:highlight w:val="none"/>
        </w:rPr>
        <w:t>（2）阅读、研究招标文件和相关评标资料，获取评标所需要的重要信息和数据，至少应了解和熟悉以下内容：招标项目的范围和性质，招标文件规定的主要技术要求、标准和商务条款。</w:t>
      </w:r>
    </w:p>
    <w:p w14:paraId="3BCD4DD5">
      <w:pPr>
        <w:keepNext w:val="0"/>
        <w:keepLines w:val="0"/>
        <w:pageBreakBefore w:val="0"/>
        <w:widowControl w:val="0"/>
        <w:kinsoku/>
        <w:wordWrap/>
        <w:overflowPunct/>
        <w:topLinePunct w:val="0"/>
        <w:autoSpaceDE/>
        <w:autoSpaceDN/>
        <w:bidi w:val="0"/>
        <w:spacing w:line="440" w:lineRule="exact"/>
        <w:ind w:firstLine="315" w:firstLineChars="150"/>
        <w:jc w:val="left"/>
        <w:textAlignment w:val="auto"/>
        <w:rPr>
          <w:rFonts w:hint="eastAsia" w:ascii="宋体" w:hAnsi="宋体" w:cs="宋体"/>
          <w:color w:val="auto"/>
          <w:highlight w:val="none"/>
        </w:rPr>
      </w:pPr>
      <w:r>
        <w:rPr>
          <w:rFonts w:hint="eastAsia" w:ascii="宋体" w:hAnsi="宋体" w:cs="宋体"/>
          <w:color w:val="auto"/>
          <w:highlight w:val="none"/>
        </w:rPr>
        <w:t>（3）熟悉招标文件规定的评标标准和评标方法及在评标过程中需要考虑的相关因素。</w:t>
      </w:r>
    </w:p>
    <w:p w14:paraId="7AA9FA4C">
      <w:pPr>
        <w:keepNext w:val="0"/>
        <w:keepLines w:val="0"/>
        <w:pageBreakBefore w:val="0"/>
        <w:widowControl w:val="0"/>
        <w:kinsoku/>
        <w:wordWrap/>
        <w:overflowPunct/>
        <w:topLinePunct w:val="0"/>
        <w:autoSpaceDE/>
        <w:autoSpaceDN/>
        <w:bidi w:val="0"/>
        <w:spacing w:line="440" w:lineRule="exact"/>
        <w:ind w:firstLine="315" w:firstLineChars="150"/>
        <w:jc w:val="left"/>
        <w:textAlignment w:val="auto"/>
        <w:outlineLvl w:val="2"/>
        <w:rPr>
          <w:rFonts w:hint="eastAsia" w:ascii="宋体" w:hAnsi="宋体" w:cs="宋体"/>
          <w:color w:val="auto"/>
          <w:highlight w:val="none"/>
        </w:rPr>
      </w:pPr>
      <w:r>
        <w:rPr>
          <w:rFonts w:hint="eastAsia" w:ascii="宋体" w:hAnsi="宋体" w:cs="宋体"/>
          <w:color w:val="auto"/>
          <w:highlight w:val="none"/>
        </w:rPr>
        <w:t>（4）核对评标工作用表。</w:t>
      </w:r>
    </w:p>
    <w:p w14:paraId="416694F8">
      <w:pPr>
        <w:keepNext w:val="0"/>
        <w:keepLines w:val="0"/>
        <w:pageBreakBefore w:val="0"/>
        <w:widowControl w:val="0"/>
        <w:kinsoku/>
        <w:wordWrap/>
        <w:overflowPunct/>
        <w:topLinePunct w:val="0"/>
        <w:autoSpaceDE/>
        <w:autoSpaceDN/>
        <w:bidi w:val="0"/>
        <w:spacing w:line="440" w:lineRule="exact"/>
        <w:ind w:firstLine="315" w:firstLineChars="150"/>
        <w:jc w:val="left"/>
        <w:textAlignment w:val="auto"/>
        <w:outlineLvl w:val="3"/>
        <w:rPr>
          <w:rFonts w:hint="eastAsia" w:ascii="宋体" w:hAnsi="宋体" w:cs="宋体"/>
          <w:color w:val="auto"/>
          <w:highlight w:val="none"/>
        </w:rPr>
      </w:pPr>
      <w:bookmarkStart w:id="98" w:name="_Toc15058917"/>
      <w:bookmarkStart w:id="99" w:name="_Toc60061500"/>
      <w:r>
        <w:rPr>
          <w:rFonts w:hint="eastAsia" w:ascii="宋体" w:hAnsi="宋体" w:cs="宋体"/>
          <w:color w:val="auto"/>
          <w:highlight w:val="none"/>
          <w:lang w:val="en-US" w:eastAsia="zh-CN"/>
        </w:rPr>
        <w:t>3</w:t>
      </w:r>
      <w:r>
        <w:rPr>
          <w:rFonts w:hint="eastAsia" w:ascii="宋体" w:hAnsi="宋体" w:cs="宋体"/>
          <w:color w:val="auto"/>
          <w:highlight w:val="none"/>
        </w:rPr>
        <w:t>.2推荐中标候</w:t>
      </w:r>
      <w:bookmarkEnd w:id="98"/>
      <w:bookmarkEnd w:id="99"/>
      <w:r>
        <w:rPr>
          <w:rFonts w:hint="eastAsia" w:ascii="宋体" w:hAnsi="宋体" w:cs="宋体"/>
          <w:color w:val="auto"/>
          <w:highlight w:val="none"/>
        </w:rPr>
        <w:t>选人</w:t>
      </w:r>
    </w:p>
    <w:p w14:paraId="401999B8">
      <w:pPr>
        <w:keepNext w:val="0"/>
        <w:keepLines w:val="0"/>
        <w:pageBreakBefore w:val="0"/>
        <w:widowControl w:val="0"/>
        <w:kinsoku/>
        <w:wordWrap/>
        <w:overflowPunct/>
        <w:topLinePunct w:val="0"/>
        <w:autoSpaceDE/>
        <w:autoSpaceDN/>
        <w:bidi w:val="0"/>
        <w:spacing w:line="440" w:lineRule="exact"/>
        <w:ind w:firstLine="315" w:firstLineChars="150"/>
        <w:jc w:val="left"/>
        <w:textAlignment w:val="auto"/>
        <w:rPr>
          <w:rFonts w:hint="eastAsia" w:ascii="宋体" w:hAnsi="宋体" w:cs="宋体"/>
          <w:color w:val="auto"/>
          <w:highlight w:val="none"/>
        </w:rPr>
      </w:pPr>
      <w:r>
        <w:rPr>
          <w:rFonts w:hint="eastAsia" w:ascii="宋体" w:hAnsi="宋体" w:cs="宋体"/>
          <w:color w:val="auto"/>
          <w:highlight w:val="none"/>
        </w:rPr>
        <w:t>资信评审、技术标评审、商务标评审后，推荐中标候选人，并标明排序。</w:t>
      </w:r>
    </w:p>
    <w:bookmarkEnd w:id="94"/>
    <w:p w14:paraId="4A7EA969">
      <w:pPr>
        <w:keepNext w:val="0"/>
        <w:keepLines w:val="0"/>
        <w:pageBreakBefore w:val="0"/>
        <w:widowControl w:val="0"/>
        <w:kinsoku/>
        <w:wordWrap/>
        <w:overflowPunct/>
        <w:topLinePunct w:val="0"/>
        <w:autoSpaceDE/>
        <w:autoSpaceDN/>
        <w:bidi w:val="0"/>
        <w:spacing w:line="440" w:lineRule="exact"/>
        <w:ind w:firstLine="316" w:firstLineChars="150"/>
        <w:jc w:val="left"/>
        <w:textAlignment w:val="auto"/>
        <w:outlineLvl w:val="4"/>
        <w:rPr>
          <w:rFonts w:hint="eastAsia" w:ascii="宋体"/>
          <w:b/>
          <w:color w:val="auto"/>
          <w:szCs w:val="21"/>
          <w:highlight w:val="none"/>
        </w:rPr>
      </w:pPr>
      <w:bookmarkStart w:id="100" w:name="_Hlk61815781"/>
      <w:r>
        <w:rPr>
          <w:rFonts w:hint="eastAsia" w:ascii="宋体"/>
          <w:b/>
          <w:color w:val="auto"/>
          <w:szCs w:val="21"/>
          <w:highlight w:val="none"/>
          <w:lang w:val="en-US" w:eastAsia="zh-CN"/>
        </w:rPr>
        <w:t>4</w:t>
      </w:r>
      <w:r>
        <w:rPr>
          <w:rFonts w:hint="eastAsia" w:ascii="宋体"/>
          <w:b/>
          <w:color w:val="auto"/>
          <w:szCs w:val="21"/>
          <w:highlight w:val="none"/>
        </w:rPr>
        <w:t>.评审内容</w:t>
      </w:r>
    </w:p>
    <w:bookmarkEnd w:id="100"/>
    <w:p w14:paraId="1FA0BAC4">
      <w:pPr>
        <w:keepNext w:val="0"/>
        <w:keepLines w:val="0"/>
        <w:pageBreakBefore w:val="0"/>
        <w:widowControl w:val="0"/>
        <w:kinsoku/>
        <w:wordWrap/>
        <w:overflowPunct/>
        <w:topLinePunct w:val="0"/>
        <w:autoSpaceDE/>
        <w:autoSpaceDN/>
        <w:bidi w:val="0"/>
        <w:spacing w:line="440" w:lineRule="exact"/>
        <w:ind w:firstLine="315" w:firstLineChars="150"/>
        <w:jc w:val="left"/>
        <w:textAlignment w:val="auto"/>
        <w:outlineLvl w:val="3"/>
        <w:rPr>
          <w:rFonts w:hint="eastAsia" w:ascii="宋体" w:hAnsi="宋体" w:eastAsia="宋体" w:cs="宋体"/>
          <w:color w:val="auto"/>
          <w:highlight w:val="none"/>
        </w:rPr>
      </w:pPr>
      <w:bookmarkStart w:id="101" w:name="_Toc95223437"/>
      <w:bookmarkStart w:id="102" w:name="_Toc95223439"/>
      <w:r>
        <w:rPr>
          <w:rFonts w:hint="eastAsia" w:ascii="宋体" w:hAnsi="宋体" w:eastAsia="宋体" w:cs="宋体"/>
          <w:color w:val="auto"/>
          <w:highlight w:val="none"/>
        </w:rPr>
        <w:t>4.</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商务标评审</w:t>
      </w:r>
      <w:bookmarkEnd w:id="101"/>
    </w:p>
    <w:p w14:paraId="172606DF">
      <w:pPr>
        <w:keepNext w:val="0"/>
        <w:keepLines w:val="0"/>
        <w:pageBreakBefore w:val="0"/>
        <w:widowControl w:val="0"/>
        <w:kinsoku/>
        <w:wordWrap/>
        <w:overflowPunct/>
        <w:topLinePunct w:val="0"/>
        <w:autoSpaceDE/>
        <w:autoSpaceDN/>
        <w:bidi w:val="0"/>
        <w:spacing w:line="440" w:lineRule="exact"/>
        <w:ind w:firstLine="315" w:firstLineChars="15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只有通过技术标评</w:t>
      </w:r>
      <w:r>
        <w:rPr>
          <w:rFonts w:hint="eastAsia" w:ascii="宋体" w:hAnsi="宋体" w:eastAsia="宋体" w:cs="宋体"/>
          <w:color w:val="auto"/>
          <w:highlight w:val="none"/>
          <w:lang w:val="en-US" w:eastAsia="zh-CN"/>
        </w:rPr>
        <w:t>分</w:t>
      </w:r>
      <w:r>
        <w:rPr>
          <w:rFonts w:hint="eastAsia" w:ascii="宋体" w:hAnsi="宋体" w:eastAsia="宋体" w:cs="宋体"/>
          <w:color w:val="auto"/>
          <w:highlight w:val="none"/>
        </w:rPr>
        <w:t>的投标才能够进入本阶段评审。</w:t>
      </w:r>
    </w:p>
    <w:p w14:paraId="4671A8A5">
      <w:pPr>
        <w:keepNext w:val="0"/>
        <w:keepLines w:val="0"/>
        <w:pageBreakBefore w:val="0"/>
        <w:widowControl w:val="0"/>
        <w:kinsoku/>
        <w:wordWrap/>
        <w:overflowPunct/>
        <w:topLinePunct w:val="0"/>
        <w:autoSpaceDE/>
        <w:autoSpaceDN/>
        <w:bidi w:val="0"/>
        <w:spacing w:line="440" w:lineRule="exact"/>
        <w:ind w:firstLine="315" w:firstLineChars="15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.1形式性评审标准：见商务标评审表。</w:t>
      </w:r>
    </w:p>
    <w:p w14:paraId="303A6848">
      <w:pPr>
        <w:keepNext w:val="0"/>
        <w:keepLines w:val="0"/>
        <w:pageBreakBefore w:val="0"/>
        <w:widowControl w:val="0"/>
        <w:kinsoku/>
        <w:wordWrap/>
        <w:overflowPunct/>
        <w:topLinePunct w:val="0"/>
        <w:autoSpaceDE/>
        <w:autoSpaceDN/>
        <w:bidi w:val="0"/>
        <w:spacing w:line="440" w:lineRule="exact"/>
        <w:ind w:firstLine="315" w:firstLineChars="15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.2响应性评审标准：见商务标评审表。</w:t>
      </w:r>
    </w:p>
    <w:p w14:paraId="37DF9C9D">
      <w:pPr>
        <w:keepNext w:val="0"/>
        <w:keepLines w:val="0"/>
        <w:pageBreakBefore w:val="0"/>
        <w:widowControl w:val="0"/>
        <w:kinsoku/>
        <w:wordWrap/>
        <w:overflowPunct/>
        <w:topLinePunct w:val="0"/>
        <w:autoSpaceDE/>
        <w:autoSpaceDN/>
        <w:bidi w:val="0"/>
        <w:spacing w:line="440" w:lineRule="exact"/>
        <w:ind w:firstLine="315" w:firstLineChars="15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评标委员会依据上述标准对投标文件进行初步评审。有一项不符合评审标准的，作无效投标处理。</w:t>
      </w:r>
    </w:p>
    <w:p w14:paraId="0EC11591">
      <w:pPr>
        <w:keepNext w:val="0"/>
        <w:keepLines w:val="0"/>
        <w:pageBreakBefore w:val="0"/>
        <w:widowControl w:val="0"/>
        <w:kinsoku/>
        <w:wordWrap/>
        <w:overflowPunct/>
        <w:topLinePunct w:val="0"/>
        <w:autoSpaceDE/>
        <w:autoSpaceDN/>
        <w:bidi w:val="0"/>
        <w:spacing w:line="440" w:lineRule="exact"/>
        <w:ind w:firstLine="315" w:firstLineChars="150"/>
        <w:jc w:val="left"/>
        <w:textAlignment w:val="auto"/>
        <w:outlineLvl w:val="4"/>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.3详细评审标准：见商务标评审表。</w:t>
      </w:r>
    </w:p>
    <w:p w14:paraId="03E6484B">
      <w:pPr>
        <w:keepNext w:val="0"/>
        <w:keepLines w:val="0"/>
        <w:pageBreakBefore w:val="0"/>
        <w:widowControl w:val="0"/>
        <w:kinsoku/>
        <w:wordWrap/>
        <w:overflowPunct/>
        <w:topLinePunct w:val="0"/>
        <w:autoSpaceDE/>
        <w:autoSpaceDN/>
        <w:bidi w:val="0"/>
        <w:spacing w:line="440" w:lineRule="exact"/>
        <w:ind w:firstLine="315" w:firstLineChars="15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评标委员会审查投标文件，看其是否有计算或表达上的错误，投标报价有错误的，评标委员会按以下原则对投标报价进行修正。</w:t>
      </w:r>
    </w:p>
    <w:p w14:paraId="7EA4137F">
      <w:pPr>
        <w:keepNext w:val="0"/>
        <w:keepLines w:val="0"/>
        <w:pageBreakBefore w:val="0"/>
        <w:widowControl w:val="0"/>
        <w:kinsoku/>
        <w:wordWrap/>
        <w:overflowPunct/>
        <w:topLinePunct w:val="0"/>
        <w:autoSpaceDE/>
        <w:autoSpaceDN/>
        <w:bidi w:val="0"/>
        <w:spacing w:line="440" w:lineRule="exact"/>
        <w:ind w:firstLine="315" w:firstLineChars="15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（1）投标文件中的大写金额与小写金额不一致的，以大写金额为准。</w:t>
      </w:r>
    </w:p>
    <w:p w14:paraId="796CA238">
      <w:pPr>
        <w:keepNext w:val="0"/>
        <w:keepLines w:val="0"/>
        <w:pageBreakBefore w:val="0"/>
        <w:widowControl w:val="0"/>
        <w:kinsoku/>
        <w:wordWrap/>
        <w:overflowPunct/>
        <w:topLinePunct w:val="0"/>
        <w:autoSpaceDE/>
        <w:autoSpaceDN/>
        <w:bidi w:val="0"/>
        <w:spacing w:line="440" w:lineRule="exact"/>
        <w:ind w:firstLine="315" w:firstLineChars="15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（2）总价金额与依据单价计算出的结果不一致的，以单价金额为准修正总价，但单价金额小数点有明显错误的除外。</w:t>
      </w:r>
    </w:p>
    <w:p w14:paraId="6E232136">
      <w:pPr>
        <w:keepNext w:val="0"/>
        <w:keepLines w:val="0"/>
        <w:pageBreakBefore w:val="0"/>
        <w:widowControl w:val="0"/>
        <w:kinsoku/>
        <w:wordWrap/>
        <w:overflowPunct/>
        <w:topLinePunct w:val="0"/>
        <w:autoSpaceDE/>
        <w:autoSpaceDN/>
        <w:bidi w:val="0"/>
        <w:spacing w:line="440" w:lineRule="exact"/>
        <w:ind w:firstLine="315" w:firstLineChars="150"/>
        <w:jc w:val="left"/>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rPr>
        <w:t>按上述修正错误的原则及方法调整或修正投标文件的投标报价，调整或修正的价格经投标人书面确认后具有约束力。中标价原则上以调整或修正后的价格为准，调整或修正后的价格与投标报价相比，价格低的为中标价。投标人不接受的，其投标将被拒绝。</w:t>
      </w:r>
    </w:p>
    <w:p w14:paraId="5991B3B6">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b/>
          <w:color w:val="auto"/>
          <w:szCs w:val="21"/>
          <w:highlight w:val="none"/>
        </w:rPr>
      </w:pPr>
      <w:r>
        <w:rPr>
          <w:rFonts w:hint="eastAsia" w:ascii="宋体"/>
          <w:b/>
          <w:color w:val="auto"/>
          <w:szCs w:val="21"/>
          <w:highlight w:val="none"/>
          <w:lang w:val="en-US" w:eastAsia="zh-CN"/>
        </w:rPr>
        <w:t>　　5</w:t>
      </w:r>
      <w:r>
        <w:rPr>
          <w:rFonts w:hint="eastAsia" w:ascii="宋体"/>
          <w:b/>
          <w:color w:val="auto"/>
          <w:szCs w:val="21"/>
          <w:highlight w:val="none"/>
        </w:rPr>
        <w:t>.无效投标条款</w:t>
      </w:r>
    </w:p>
    <w:p w14:paraId="0995BB6B">
      <w:pPr>
        <w:keepNext w:val="0"/>
        <w:keepLines w:val="0"/>
        <w:pageBreakBefore w:val="0"/>
        <w:widowControl w:val="0"/>
        <w:kinsoku/>
        <w:wordWrap/>
        <w:overflowPunct/>
        <w:topLinePunct w:val="0"/>
        <w:autoSpaceDE/>
        <w:autoSpaceDN/>
        <w:bidi w:val="0"/>
        <w:spacing w:line="440" w:lineRule="exact"/>
        <w:jc w:val="left"/>
        <w:textAlignment w:val="auto"/>
        <w:outlineLvl w:val="3"/>
        <w:rPr>
          <w:rFonts w:hint="eastAsia" w:ascii="宋体" w:hAnsi="宋体" w:eastAsia="宋体" w:cs="宋体"/>
          <w:color w:val="auto"/>
          <w:highlight w:val="none"/>
        </w:rPr>
      </w:pPr>
      <w:r>
        <w:rPr>
          <w:rFonts w:hint="eastAsia" w:ascii="宋体" w:hAnsi="宋体" w:cs="宋体"/>
          <w:color w:val="auto"/>
          <w:highlight w:val="none"/>
          <w:lang w:val="en-US" w:eastAsia="zh-CN"/>
        </w:rPr>
        <w:t>　　</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.1投标人存在下列情形的招标人将拒收投标文件:</w:t>
      </w:r>
    </w:p>
    <w:p w14:paraId="0E4E1353">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cs="宋体"/>
          <w:color w:val="auto"/>
          <w:highlight w:val="none"/>
        </w:rPr>
      </w:pPr>
      <w:r>
        <w:rPr>
          <w:rFonts w:hint="eastAsia" w:ascii="宋体" w:hAnsi="宋体" w:cs="宋体"/>
          <w:color w:val="auto"/>
          <w:highlight w:val="none"/>
          <w:lang w:eastAsia="zh-CN"/>
        </w:rPr>
        <w:t>　　</w:t>
      </w:r>
      <w:r>
        <w:rPr>
          <w:rFonts w:hint="eastAsia" w:ascii="宋体" w:hAnsi="宋体" w:cs="宋体"/>
          <w:color w:val="auto"/>
          <w:highlight w:val="none"/>
        </w:rPr>
        <w:t>(1)未在开标截止时间前通过网上招标投标系统递交有效电子投标文件的，开标系统不予接收，投标将被拒绝。</w:t>
      </w:r>
    </w:p>
    <w:p w14:paraId="434FC0A7">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2</w:t>
      </w:r>
      <w:r>
        <w:rPr>
          <w:rFonts w:hint="eastAsia" w:ascii="宋体" w:hAnsi="宋体" w:cs="宋体"/>
          <w:color w:val="auto"/>
          <w:highlight w:val="none"/>
        </w:rPr>
        <w:t>)</w:t>
      </w:r>
      <w:r>
        <w:rPr>
          <w:rFonts w:hint="eastAsia" w:ascii="宋体" w:hAnsi="宋体" w:eastAsia="宋体" w:cs="宋体"/>
          <w:color w:val="auto"/>
          <w:highlight w:val="none"/>
        </w:rPr>
        <w:t>所有投标人应在规定时间里完成投标文件的解密工作【投标企业接到远程解密指令后，须在规定时间内解密（以网上招投标系统解密倒计时为准）。因投标人自身原因导致投标文件在规定时间内未能解密、解密失败或解密超时，投标文件无效；因招标人或代理公司原因或网上平台发生故障，导致无法按时完成投标文件解密的，经代理公司申请后可延迟解密时间】。</w:t>
      </w:r>
    </w:p>
    <w:p w14:paraId="3DA522F8">
      <w:pPr>
        <w:keepNext w:val="0"/>
        <w:keepLines w:val="0"/>
        <w:pageBreakBefore w:val="0"/>
        <w:widowControl w:val="0"/>
        <w:kinsoku/>
        <w:wordWrap/>
        <w:overflowPunct/>
        <w:topLinePunct w:val="0"/>
        <w:autoSpaceDE/>
        <w:autoSpaceDN/>
        <w:bidi w:val="0"/>
        <w:spacing w:line="440" w:lineRule="exact"/>
        <w:ind w:firstLine="315" w:firstLineChars="150"/>
        <w:jc w:val="left"/>
        <w:textAlignment w:val="auto"/>
        <w:outlineLvl w:val="3"/>
        <w:rPr>
          <w:rFonts w:hint="eastAsia" w:ascii="宋体" w:hAnsi="宋体" w:cs="宋体"/>
          <w:color w:val="auto"/>
          <w:highlight w:val="none"/>
        </w:rPr>
      </w:pPr>
      <w:r>
        <w:rPr>
          <w:rFonts w:hint="eastAsia" w:ascii="宋体" w:hAnsi="宋体" w:cs="宋体"/>
          <w:color w:val="auto"/>
          <w:highlight w:val="none"/>
          <w:lang w:val="en-US" w:eastAsia="zh-CN"/>
        </w:rPr>
        <w:t>5</w:t>
      </w:r>
      <w:r>
        <w:rPr>
          <w:rFonts w:hint="eastAsia" w:ascii="宋体" w:hAnsi="宋体" w:cs="宋体"/>
          <w:color w:val="auto"/>
          <w:highlight w:val="none"/>
        </w:rPr>
        <w:t>.2投标人有下列情形的，经评审后其投标作无效投标处理：</w:t>
      </w:r>
    </w:p>
    <w:p w14:paraId="2DD99C67">
      <w:pPr>
        <w:keepNext w:val="0"/>
        <w:keepLines w:val="0"/>
        <w:pageBreakBefore w:val="0"/>
        <w:widowControl w:val="0"/>
        <w:kinsoku/>
        <w:wordWrap/>
        <w:overflowPunct/>
        <w:topLinePunct w:val="0"/>
        <w:autoSpaceDE/>
        <w:autoSpaceDN/>
        <w:bidi w:val="0"/>
        <w:spacing w:line="440" w:lineRule="exact"/>
        <w:ind w:firstLine="315" w:firstLineChars="150"/>
        <w:jc w:val="left"/>
        <w:textAlignment w:val="auto"/>
        <w:outlineLvl w:val="4"/>
        <w:rPr>
          <w:rFonts w:hint="eastAsia" w:ascii="宋体" w:hAnsi="宋体" w:cs="宋体"/>
          <w:color w:val="auto"/>
          <w:highlight w:val="none"/>
        </w:rPr>
      </w:pPr>
      <w:r>
        <w:rPr>
          <w:rFonts w:hint="eastAsia" w:ascii="宋体" w:hAnsi="宋体" w:cs="宋体"/>
          <w:color w:val="auto"/>
          <w:highlight w:val="none"/>
          <w:lang w:val="en-US" w:eastAsia="zh-CN"/>
        </w:rPr>
        <w:t>5</w:t>
      </w:r>
      <w:r>
        <w:rPr>
          <w:rFonts w:hint="eastAsia" w:ascii="宋体" w:hAnsi="宋体" w:cs="宋体"/>
          <w:color w:val="auto"/>
          <w:highlight w:val="none"/>
        </w:rPr>
        <w:t>.2.1商务标评审</w:t>
      </w:r>
    </w:p>
    <w:p w14:paraId="6D2AF520">
      <w:pPr>
        <w:keepNext w:val="0"/>
        <w:keepLines w:val="0"/>
        <w:pageBreakBefore w:val="0"/>
        <w:widowControl w:val="0"/>
        <w:kinsoku/>
        <w:wordWrap/>
        <w:overflowPunct/>
        <w:topLinePunct w:val="0"/>
        <w:autoSpaceDE/>
        <w:autoSpaceDN/>
        <w:bidi w:val="0"/>
        <w:spacing w:line="440" w:lineRule="exact"/>
        <w:ind w:firstLine="315" w:firstLineChars="150"/>
        <w:jc w:val="left"/>
        <w:textAlignment w:val="auto"/>
        <w:rPr>
          <w:rFonts w:hint="eastAsia" w:ascii="宋体" w:hAnsi="宋体" w:cs="宋体"/>
          <w:color w:val="auto"/>
          <w:highlight w:val="none"/>
        </w:rPr>
      </w:pPr>
      <w:r>
        <w:rPr>
          <w:rFonts w:hint="eastAsia" w:ascii="宋体" w:hAnsi="宋体" w:cs="宋体"/>
          <w:color w:val="auto"/>
          <w:highlight w:val="none"/>
        </w:rPr>
        <w:t>(1)评标委员会依据《商务标评审表》进行形式性评审和响应性评审。有一项不符合评审标准的，做无效投标处理；</w:t>
      </w:r>
    </w:p>
    <w:p w14:paraId="4098A452">
      <w:pPr>
        <w:keepNext w:val="0"/>
        <w:keepLines w:val="0"/>
        <w:pageBreakBefore w:val="0"/>
        <w:widowControl w:val="0"/>
        <w:kinsoku/>
        <w:wordWrap/>
        <w:overflowPunct/>
        <w:topLinePunct w:val="0"/>
        <w:autoSpaceDE/>
        <w:autoSpaceDN/>
        <w:bidi w:val="0"/>
        <w:spacing w:line="440" w:lineRule="exact"/>
        <w:ind w:firstLine="315" w:firstLineChars="150"/>
        <w:jc w:val="left"/>
        <w:textAlignment w:val="auto"/>
        <w:rPr>
          <w:rFonts w:hint="eastAsia" w:ascii="宋体" w:hAnsi="宋体" w:cs="宋体"/>
          <w:color w:val="auto"/>
          <w:highlight w:val="none"/>
        </w:rPr>
      </w:pPr>
      <w:r>
        <w:rPr>
          <w:rFonts w:hint="eastAsia" w:ascii="宋体" w:hAnsi="宋体" w:cs="宋体"/>
          <w:color w:val="auto"/>
          <w:highlight w:val="none"/>
        </w:rPr>
        <w:t>(2)商务标详细评审标准中有任何一项不能通过评审的，作无效投标处理。</w:t>
      </w:r>
    </w:p>
    <w:p w14:paraId="28CF8BEA">
      <w:pPr>
        <w:keepNext w:val="0"/>
        <w:keepLines w:val="0"/>
        <w:pageBreakBefore w:val="0"/>
        <w:widowControl w:val="0"/>
        <w:kinsoku/>
        <w:wordWrap/>
        <w:overflowPunct/>
        <w:topLinePunct w:val="0"/>
        <w:autoSpaceDE/>
        <w:autoSpaceDN/>
        <w:bidi w:val="0"/>
        <w:spacing w:line="440" w:lineRule="exact"/>
        <w:ind w:firstLine="315" w:firstLineChars="150"/>
        <w:jc w:val="left"/>
        <w:textAlignment w:val="auto"/>
        <w:outlineLvl w:val="3"/>
        <w:rPr>
          <w:rFonts w:hint="eastAsia" w:ascii="宋体" w:hAnsi="宋体" w:cs="宋体"/>
          <w:color w:val="auto"/>
          <w:highlight w:val="none"/>
        </w:rPr>
      </w:pPr>
      <w:r>
        <w:rPr>
          <w:rFonts w:hint="eastAsia" w:ascii="宋体" w:hAnsi="宋体" w:cs="宋体"/>
          <w:color w:val="auto"/>
          <w:highlight w:val="none"/>
          <w:lang w:val="en-US" w:eastAsia="zh-CN"/>
        </w:rPr>
        <w:t>5</w:t>
      </w:r>
      <w:r>
        <w:rPr>
          <w:rFonts w:hint="eastAsia" w:ascii="宋体" w:hAnsi="宋体" w:cs="宋体"/>
          <w:color w:val="auto"/>
          <w:highlight w:val="none"/>
        </w:rPr>
        <w:t>.3其他无效投标情况：</w:t>
      </w:r>
    </w:p>
    <w:p w14:paraId="3CDA317B">
      <w:pPr>
        <w:keepNext w:val="0"/>
        <w:keepLines w:val="0"/>
        <w:pageBreakBefore w:val="0"/>
        <w:widowControl w:val="0"/>
        <w:kinsoku/>
        <w:wordWrap/>
        <w:overflowPunct/>
        <w:topLinePunct w:val="0"/>
        <w:autoSpaceDE/>
        <w:autoSpaceDN/>
        <w:bidi w:val="0"/>
        <w:spacing w:line="440" w:lineRule="exact"/>
        <w:ind w:firstLine="315" w:firstLineChars="15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5BD6B030">
      <w:pPr>
        <w:keepNext w:val="0"/>
        <w:keepLines w:val="0"/>
        <w:pageBreakBefore w:val="0"/>
        <w:widowControl w:val="0"/>
        <w:kinsoku/>
        <w:wordWrap/>
        <w:overflowPunct/>
        <w:topLinePunct w:val="0"/>
        <w:autoSpaceDE/>
        <w:autoSpaceDN/>
        <w:bidi w:val="0"/>
        <w:spacing w:line="440" w:lineRule="exact"/>
        <w:ind w:firstLine="315" w:firstLineChars="15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（2）调整或修正投标文件的投标报价，调整或修正的价格经投标人书面确认后具有约束力。投标人不接受修正价格的，其投标将被拒绝。</w:t>
      </w:r>
    </w:p>
    <w:p w14:paraId="5526B1A9">
      <w:pPr>
        <w:keepNext w:val="0"/>
        <w:keepLines w:val="0"/>
        <w:pageBreakBefore w:val="0"/>
        <w:widowControl w:val="0"/>
        <w:kinsoku/>
        <w:wordWrap/>
        <w:overflowPunct/>
        <w:topLinePunct w:val="0"/>
        <w:autoSpaceDE/>
        <w:autoSpaceDN/>
        <w:bidi w:val="0"/>
        <w:spacing w:line="440" w:lineRule="exact"/>
        <w:ind w:firstLine="315" w:firstLineChars="150"/>
        <w:jc w:val="left"/>
        <w:textAlignment w:val="auto"/>
        <w:outlineLvl w:val="2"/>
        <w:rPr>
          <w:rFonts w:hint="eastAsia" w:ascii="宋体" w:hAnsi="宋体" w:eastAsia="宋体" w:cs="宋体"/>
          <w:color w:val="auto"/>
          <w:highlight w:val="none"/>
        </w:rPr>
      </w:pPr>
      <w:r>
        <w:rPr>
          <w:rFonts w:hint="eastAsia" w:ascii="宋体" w:hAnsi="宋体" w:eastAsia="宋体" w:cs="宋体"/>
          <w:color w:val="auto"/>
          <w:highlight w:val="none"/>
        </w:rPr>
        <w:t>（3）第二章“投标人须知”第</w:t>
      </w:r>
      <w:r>
        <w:rPr>
          <w:rFonts w:hint="eastAsia" w:ascii="宋体" w:hAnsi="宋体" w:eastAsia="宋体" w:cs="宋体"/>
          <w:color w:val="auto"/>
          <w:highlight w:val="none"/>
          <w:lang w:val="en-US" w:eastAsia="zh-CN"/>
        </w:rPr>
        <w:t>13.4</w:t>
      </w:r>
      <w:r>
        <w:rPr>
          <w:rFonts w:hint="eastAsia" w:ascii="宋体" w:hAnsi="宋体" w:eastAsia="宋体" w:cs="宋体"/>
          <w:color w:val="auto"/>
          <w:highlight w:val="none"/>
        </w:rPr>
        <w:t>项规定</w:t>
      </w:r>
      <w:r>
        <w:rPr>
          <w:rFonts w:hint="eastAsia" w:ascii="宋体" w:hAnsi="宋体" w:eastAsia="宋体" w:cs="宋体"/>
          <w:color w:val="auto"/>
          <w:highlight w:val="none"/>
          <w:lang w:val="en-US" w:eastAsia="zh-CN"/>
        </w:rPr>
        <w:t>的</w:t>
      </w:r>
      <w:r>
        <w:rPr>
          <w:rFonts w:hint="eastAsia" w:ascii="宋体" w:hAnsi="宋体" w:eastAsia="宋体" w:cs="宋体"/>
          <w:color w:val="auto"/>
          <w:highlight w:val="none"/>
        </w:rPr>
        <w:t>情形。</w:t>
      </w:r>
    </w:p>
    <w:p w14:paraId="69F6B466">
      <w:pPr>
        <w:keepNext w:val="0"/>
        <w:keepLines w:val="0"/>
        <w:pageBreakBefore w:val="0"/>
        <w:widowControl w:val="0"/>
        <w:kinsoku/>
        <w:wordWrap/>
        <w:overflowPunct/>
        <w:topLinePunct w:val="0"/>
        <w:autoSpaceDE/>
        <w:autoSpaceDN/>
        <w:bidi w:val="0"/>
        <w:spacing w:line="440" w:lineRule="exact"/>
        <w:ind w:firstLine="315" w:firstLineChars="15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）投标人有串通投标、视为串通投标、弄虚作假、行贿等违法行为。</w:t>
      </w:r>
    </w:p>
    <w:p w14:paraId="0DF9216B">
      <w:pPr>
        <w:keepNext w:val="0"/>
        <w:keepLines w:val="0"/>
        <w:pageBreakBefore w:val="0"/>
        <w:widowControl w:val="0"/>
        <w:kinsoku/>
        <w:wordWrap/>
        <w:overflowPunct/>
        <w:topLinePunct w:val="0"/>
        <w:autoSpaceDE/>
        <w:autoSpaceDN/>
        <w:bidi w:val="0"/>
        <w:spacing w:line="440" w:lineRule="exact"/>
        <w:ind w:firstLine="315" w:firstLineChars="150"/>
        <w:jc w:val="left"/>
        <w:textAlignment w:val="auto"/>
        <w:outlineLvl w:val="2"/>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）投标文件没有对招标文件的实质性要求和条件作出响应。</w:t>
      </w:r>
    </w:p>
    <w:p w14:paraId="139F1BB4">
      <w:pPr>
        <w:keepNext w:val="0"/>
        <w:keepLines w:val="0"/>
        <w:pageBreakBefore w:val="0"/>
        <w:widowControl w:val="0"/>
        <w:kinsoku/>
        <w:wordWrap/>
        <w:overflowPunct/>
        <w:topLinePunct w:val="0"/>
        <w:autoSpaceDE/>
        <w:autoSpaceDN/>
        <w:bidi w:val="0"/>
        <w:spacing w:line="440" w:lineRule="exact"/>
        <w:ind w:firstLine="315" w:firstLineChars="150"/>
        <w:jc w:val="left"/>
        <w:textAlignment w:val="auto"/>
        <w:rPr>
          <w:rFonts w:hint="eastAsia"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6</w:t>
      </w:r>
      <w:r>
        <w:rPr>
          <w:rFonts w:hint="eastAsia" w:ascii="宋体" w:hAnsi="宋体" w:cs="宋体"/>
          <w:color w:val="auto"/>
          <w:highlight w:val="none"/>
        </w:rPr>
        <w:t>）未按规定的格式填写导致实质性内容不全以及实质上不响应，或者关键字迹模糊、无法辨认；经公共资源交易监督部门核准的。</w:t>
      </w:r>
    </w:p>
    <w:p w14:paraId="5F3A04A2">
      <w:pPr>
        <w:keepNext w:val="0"/>
        <w:keepLines w:val="0"/>
        <w:pageBreakBefore w:val="0"/>
        <w:widowControl w:val="0"/>
        <w:kinsoku/>
        <w:wordWrap/>
        <w:overflowPunct/>
        <w:topLinePunct w:val="0"/>
        <w:autoSpaceDE/>
        <w:autoSpaceDN/>
        <w:bidi w:val="0"/>
        <w:spacing w:line="440" w:lineRule="exact"/>
        <w:ind w:firstLine="315" w:firstLineChars="150"/>
        <w:jc w:val="left"/>
        <w:textAlignment w:val="auto"/>
        <w:rPr>
          <w:rFonts w:hint="eastAsia"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7</w:t>
      </w:r>
      <w:r>
        <w:rPr>
          <w:rFonts w:hint="eastAsia" w:ascii="宋体" w:hAnsi="宋体" w:cs="宋体"/>
          <w:color w:val="auto"/>
          <w:highlight w:val="none"/>
        </w:rPr>
        <w:t>）同一投标人提交两个以上不同的投标文件或者投标报价，但招标文件规定提交备选投标的除外。</w:t>
      </w:r>
    </w:p>
    <w:p w14:paraId="733F277D">
      <w:pPr>
        <w:keepNext w:val="0"/>
        <w:keepLines w:val="0"/>
        <w:pageBreakBefore w:val="0"/>
        <w:widowControl w:val="0"/>
        <w:kinsoku/>
        <w:wordWrap/>
        <w:overflowPunct/>
        <w:topLinePunct w:val="0"/>
        <w:autoSpaceDE/>
        <w:autoSpaceDN/>
        <w:bidi w:val="0"/>
        <w:spacing w:line="440" w:lineRule="exact"/>
        <w:ind w:firstLine="315" w:firstLineChars="150"/>
        <w:jc w:val="left"/>
        <w:textAlignment w:val="auto"/>
        <w:outlineLvl w:val="2"/>
        <w:rPr>
          <w:rFonts w:hint="eastAsia"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8</w:t>
      </w:r>
      <w:r>
        <w:rPr>
          <w:rFonts w:hint="eastAsia" w:ascii="宋体" w:hAnsi="宋体" w:cs="宋体"/>
          <w:color w:val="auto"/>
          <w:highlight w:val="none"/>
        </w:rPr>
        <w:t>）投标文件中存在招标人不能接受的其他实质性条件。</w:t>
      </w:r>
    </w:p>
    <w:p w14:paraId="310C7305">
      <w:pPr>
        <w:keepNext w:val="0"/>
        <w:keepLines w:val="0"/>
        <w:pageBreakBefore w:val="0"/>
        <w:widowControl w:val="0"/>
        <w:kinsoku/>
        <w:wordWrap/>
        <w:overflowPunct/>
        <w:topLinePunct w:val="0"/>
        <w:autoSpaceDE/>
        <w:autoSpaceDN/>
        <w:bidi w:val="0"/>
        <w:spacing w:line="440" w:lineRule="exact"/>
        <w:ind w:firstLine="315" w:firstLineChars="150"/>
        <w:jc w:val="left"/>
        <w:textAlignment w:val="auto"/>
        <w:rPr>
          <w:rFonts w:hint="eastAsia"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9</w:t>
      </w:r>
      <w:r>
        <w:rPr>
          <w:rFonts w:hint="eastAsia" w:ascii="宋体" w:hAnsi="宋体" w:cs="宋体"/>
          <w:color w:val="auto"/>
          <w:highlight w:val="none"/>
        </w:rPr>
        <w:t>）投标文件中填报的拟任项目经理与资格审查通过的项目经理前后不一致的。</w:t>
      </w:r>
    </w:p>
    <w:p w14:paraId="77B3E5BA">
      <w:pPr>
        <w:keepNext w:val="0"/>
        <w:keepLines w:val="0"/>
        <w:pageBreakBefore w:val="0"/>
        <w:widowControl w:val="0"/>
        <w:kinsoku/>
        <w:wordWrap/>
        <w:overflowPunct/>
        <w:topLinePunct w:val="0"/>
        <w:autoSpaceDE/>
        <w:autoSpaceDN/>
        <w:bidi w:val="0"/>
        <w:spacing w:line="440" w:lineRule="exact"/>
        <w:ind w:firstLine="315" w:firstLineChars="150"/>
        <w:jc w:val="left"/>
        <w:textAlignment w:val="auto"/>
        <w:rPr>
          <w:rFonts w:hint="eastAsia"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10</w:t>
      </w:r>
      <w:r>
        <w:rPr>
          <w:rFonts w:hint="eastAsia" w:ascii="宋体" w:hAnsi="宋体" w:cs="宋体"/>
          <w:color w:val="auto"/>
          <w:highlight w:val="none"/>
        </w:rPr>
        <w:t>）投标人拒不按照要求对投标文件进行澄清、说明、补正的，或评标委员会根据招标文件的规定对招标文件的计算错误进行修正后，投标人不接受修正的投标报价的。</w:t>
      </w:r>
    </w:p>
    <w:p w14:paraId="206A4B95">
      <w:pPr>
        <w:keepNext w:val="0"/>
        <w:keepLines w:val="0"/>
        <w:pageBreakBefore w:val="0"/>
        <w:widowControl w:val="0"/>
        <w:kinsoku/>
        <w:wordWrap/>
        <w:overflowPunct/>
        <w:topLinePunct w:val="0"/>
        <w:autoSpaceDE/>
        <w:autoSpaceDN/>
        <w:bidi w:val="0"/>
        <w:spacing w:line="440" w:lineRule="exact"/>
        <w:ind w:firstLine="315" w:firstLineChars="150"/>
        <w:jc w:val="left"/>
        <w:textAlignment w:val="auto"/>
        <w:rPr>
          <w:rFonts w:hint="eastAsia"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1</w:t>
      </w:r>
      <w:r>
        <w:rPr>
          <w:rFonts w:hint="eastAsia" w:ascii="宋体" w:hAnsi="宋体" w:cs="宋体"/>
          <w:color w:val="auto"/>
          <w:highlight w:val="none"/>
        </w:rPr>
        <w:t>）投标人投标MAC地址一致。</w:t>
      </w:r>
    </w:p>
    <w:p w14:paraId="79FBC153">
      <w:pPr>
        <w:keepNext w:val="0"/>
        <w:keepLines w:val="0"/>
        <w:pageBreakBefore w:val="0"/>
        <w:widowControl w:val="0"/>
        <w:kinsoku/>
        <w:wordWrap/>
        <w:overflowPunct/>
        <w:topLinePunct w:val="0"/>
        <w:autoSpaceDE/>
        <w:autoSpaceDN/>
        <w:bidi w:val="0"/>
        <w:spacing w:line="440" w:lineRule="exact"/>
        <w:ind w:firstLine="315" w:firstLineChars="150"/>
        <w:jc w:val="left"/>
        <w:textAlignment w:val="auto"/>
        <w:rPr>
          <w:rFonts w:hint="eastAsia"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2</w:t>
      </w:r>
      <w:r>
        <w:rPr>
          <w:rFonts w:hint="eastAsia" w:ascii="宋体" w:hAnsi="宋体" w:cs="宋体"/>
          <w:color w:val="auto"/>
          <w:highlight w:val="none"/>
        </w:rPr>
        <w:t>）投标人单方面出现其他投标人材料。</w:t>
      </w:r>
    </w:p>
    <w:p w14:paraId="6B2FB6BB">
      <w:pPr>
        <w:keepNext w:val="0"/>
        <w:keepLines w:val="0"/>
        <w:pageBreakBefore w:val="0"/>
        <w:widowControl w:val="0"/>
        <w:kinsoku/>
        <w:wordWrap/>
        <w:overflowPunct/>
        <w:topLinePunct w:val="0"/>
        <w:autoSpaceDE/>
        <w:autoSpaceDN/>
        <w:bidi w:val="0"/>
        <w:spacing w:line="440" w:lineRule="exact"/>
        <w:ind w:firstLine="315" w:firstLineChars="150"/>
        <w:jc w:val="left"/>
        <w:textAlignment w:val="auto"/>
        <w:rPr>
          <w:rFonts w:hint="eastAsia"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3</w:t>
      </w:r>
      <w:r>
        <w:rPr>
          <w:rFonts w:hint="eastAsia" w:ascii="宋体" w:hAnsi="宋体" w:cs="宋体"/>
          <w:color w:val="auto"/>
          <w:highlight w:val="none"/>
        </w:rPr>
        <w:t>）评标时查询投标文件制作机器码、文件创建标识码及造价软件加密锁号。若存在投标文件制作机器码或创建标识码或造价软件加密锁号信息与其他投标人雷同的，投标无效。</w:t>
      </w:r>
    </w:p>
    <w:p w14:paraId="414385EB">
      <w:pPr>
        <w:keepNext w:val="0"/>
        <w:keepLines w:val="0"/>
        <w:pageBreakBefore w:val="0"/>
        <w:widowControl w:val="0"/>
        <w:kinsoku/>
        <w:wordWrap/>
        <w:overflowPunct/>
        <w:topLinePunct w:val="0"/>
        <w:autoSpaceDE/>
        <w:autoSpaceDN/>
        <w:bidi w:val="0"/>
        <w:spacing w:line="440" w:lineRule="exact"/>
        <w:ind w:firstLine="315" w:firstLineChars="150"/>
        <w:jc w:val="left"/>
        <w:textAlignment w:val="auto"/>
        <w:rPr>
          <w:rFonts w:hint="eastAsia"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4</w:t>
      </w:r>
      <w:r>
        <w:rPr>
          <w:rFonts w:hint="eastAsia" w:ascii="宋体" w:hAnsi="宋体" w:cs="宋体"/>
          <w:color w:val="auto"/>
          <w:highlight w:val="none"/>
        </w:rPr>
        <w:t>）投标人申请开具电子保函MAC地址一致。</w:t>
      </w:r>
    </w:p>
    <w:p w14:paraId="27DC1FA3">
      <w:pPr>
        <w:keepNext w:val="0"/>
        <w:keepLines w:val="0"/>
        <w:pageBreakBefore w:val="0"/>
        <w:widowControl w:val="0"/>
        <w:kinsoku/>
        <w:wordWrap/>
        <w:overflowPunct/>
        <w:topLinePunct w:val="0"/>
        <w:autoSpaceDE/>
        <w:autoSpaceDN/>
        <w:bidi w:val="0"/>
        <w:spacing w:line="440" w:lineRule="exact"/>
        <w:ind w:firstLine="315" w:firstLineChars="150"/>
        <w:jc w:val="left"/>
        <w:textAlignment w:val="auto"/>
        <w:rPr>
          <w:rFonts w:hint="eastAsia"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5</w:t>
      </w:r>
      <w:r>
        <w:rPr>
          <w:rFonts w:hint="eastAsia" w:ascii="宋体" w:hAnsi="宋体" w:cs="宋体"/>
          <w:color w:val="auto"/>
          <w:highlight w:val="none"/>
        </w:rPr>
        <w:t>）</w:t>
      </w:r>
      <w:r>
        <w:rPr>
          <w:rFonts w:hint="eastAsia" w:ascii="宋体" w:hAnsi="宋体" w:cs="宋体"/>
          <w:color w:val="auto"/>
          <w:szCs w:val="21"/>
          <w:highlight w:val="none"/>
        </w:rPr>
        <w:t>投标人联系人或联系电话相同的。</w:t>
      </w:r>
    </w:p>
    <w:p w14:paraId="348E32F9">
      <w:pPr>
        <w:keepNext w:val="0"/>
        <w:keepLines w:val="0"/>
        <w:pageBreakBefore w:val="0"/>
        <w:widowControl w:val="0"/>
        <w:kinsoku/>
        <w:wordWrap/>
        <w:overflowPunct/>
        <w:topLinePunct w:val="0"/>
        <w:autoSpaceDE/>
        <w:autoSpaceDN/>
        <w:bidi w:val="0"/>
        <w:spacing w:line="440" w:lineRule="exact"/>
        <w:ind w:firstLine="315" w:firstLineChars="150"/>
        <w:jc w:val="left"/>
        <w:textAlignment w:val="auto"/>
        <w:rPr>
          <w:rFonts w:hint="eastAsia"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6</w:t>
      </w:r>
      <w:r>
        <w:rPr>
          <w:rFonts w:hint="eastAsia" w:ascii="宋体" w:hAnsi="宋体" w:cs="宋体"/>
          <w:color w:val="auto"/>
          <w:highlight w:val="none"/>
        </w:rPr>
        <w:t>）法律、法规规定的其他情形。</w:t>
      </w:r>
    </w:p>
    <w:p w14:paraId="5AC9ACCB">
      <w:pPr>
        <w:keepNext w:val="0"/>
        <w:keepLines w:val="0"/>
        <w:pageBreakBefore w:val="0"/>
        <w:widowControl w:val="0"/>
        <w:kinsoku/>
        <w:wordWrap/>
        <w:overflowPunct/>
        <w:topLinePunct w:val="0"/>
        <w:autoSpaceDE/>
        <w:autoSpaceDN/>
        <w:bidi w:val="0"/>
        <w:spacing w:line="440" w:lineRule="exact"/>
        <w:ind w:firstLine="422" w:firstLineChars="200"/>
        <w:jc w:val="left"/>
        <w:textAlignment w:val="auto"/>
        <w:outlineLvl w:val="3"/>
        <w:rPr>
          <w:rFonts w:hint="eastAsia" w:ascii="宋体"/>
          <w:b/>
          <w:color w:val="auto"/>
          <w:szCs w:val="21"/>
          <w:highlight w:val="none"/>
        </w:rPr>
      </w:pPr>
      <w:r>
        <w:rPr>
          <w:rFonts w:hint="eastAsia" w:ascii="宋体"/>
          <w:b/>
          <w:color w:val="auto"/>
          <w:szCs w:val="21"/>
          <w:highlight w:val="none"/>
          <w:lang w:val="en-US" w:eastAsia="zh-CN"/>
        </w:rPr>
        <w:t>6</w:t>
      </w:r>
      <w:r>
        <w:rPr>
          <w:rFonts w:hint="eastAsia" w:ascii="宋体"/>
          <w:b/>
          <w:color w:val="auto"/>
          <w:szCs w:val="21"/>
          <w:highlight w:val="none"/>
        </w:rPr>
        <w:t>.投标文件的澄清和补正</w:t>
      </w:r>
      <w:bookmarkEnd w:id="102"/>
    </w:p>
    <w:p w14:paraId="6E397F71">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bookmarkStart w:id="103" w:name="_Toc95223410"/>
      <w:bookmarkStart w:id="104" w:name="_Toc95223441"/>
      <w:r>
        <w:rPr>
          <w:rFonts w:hint="eastAsia" w:ascii="宋体" w:hAnsi="宋体" w:cs="宋体"/>
          <w:color w:val="auto"/>
          <w:szCs w:val="21"/>
          <w:highlight w:val="none"/>
        </w:rPr>
        <w:t>6.1在评标过程中，评标委员会可以书面形式要求投标人对所提交的投标文件中含义不明确、对同类问题表述不一致或者有明显文字和计算错误”，其他评标办法请一并修改的内容进行书面澄清或说明，或者对细微偏差进行补正。评标委员会不接受投标人主动提出的澄清、说明或补正。</w:t>
      </w:r>
    </w:p>
    <w:p w14:paraId="3383C5AA">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6.2澄清、说明和补正不得改变投标文件的实质性内容（算术性错误修正的除外）。投标人的书面澄清、说明和补正属于投标文件的组成部分。</w:t>
      </w:r>
    </w:p>
    <w:p w14:paraId="1C7117C1">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6.3评标委员会对投标人提交的澄清、说明和补正有疑问的，可以要求投标人进一步澄清、说明或补正、直至满足评标委员会的要求。</w:t>
      </w:r>
    </w:p>
    <w:p w14:paraId="6F2F99F6">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按照投标文件规定进行澄清、补正后的投标报价经投标人的法定代表人或其委托代理人确认后即为该投标人的最终投标报价。投标人一旦中标，此报价即为中标价。</w:t>
      </w:r>
    </w:p>
    <w:p w14:paraId="0B2A6C69">
      <w:pPr>
        <w:keepNext w:val="0"/>
        <w:keepLines w:val="0"/>
        <w:pageBreakBefore w:val="0"/>
        <w:widowControl w:val="0"/>
        <w:kinsoku/>
        <w:wordWrap/>
        <w:overflowPunct/>
        <w:topLinePunct w:val="0"/>
        <w:autoSpaceDE/>
        <w:autoSpaceDN/>
        <w:bidi w:val="0"/>
        <w:spacing w:line="440" w:lineRule="exact"/>
        <w:ind w:firstLine="422" w:firstLineChars="200"/>
        <w:jc w:val="left"/>
        <w:textAlignment w:val="auto"/>
        <w:outlineLvl w:val="3"/>
        <w:rPr>
          <w:rFonts w:hint="eastAsia" w:ascii="宋体" w:hAnsi="Times New Roman" w:eastAsia="宋体" w:cs="Times New Roman"/>
          <w:b/>
          <w:color w:val="auto"/>
          <w:szCs w:val="21"/>
          <w:highlight w:val="none"/>
        </w:rPr>
      </w:pPr>
      <w:r>
        <w:rPr>
          <w:rFonts w:hint="eastAsia" w:ascii="宋体" w:hAnsi="Times New Roman" w:eastAsia="宋体" w:cs="Times New Roman"/>
          <w:b/>
          <w:color w:val="auto"/>
          <w:szCs w:val="21"/>
          <w:highlight w:val="none"/>
          <w:lang w:val="en-US" w:eastAsia="zh-CN"/>
        </w:rPr>
        <w:t>7.</w:t>
      </w:r>
      <w:r>
        <w:rPr>
          <w:rFonts w:hint="eastAsia" w:ascii="宋体" w:hAnsi="Times New Roman" w:eastAsia="宋体" w:cs="Times New Roman"/>
          <w:b/>
          <w:color w:val="auto"/>
          <w:szCs w:val="21"/>
          <w:highlight w:val="none"/>
        </w:rPr>
        <w:t>评委会修正错误的原则：</w:t>
      </w:r>
    </w:p>
    <w:p w14:paraId="09BADD58">
      <w:pPr>
        <w:keepNext w:val="0"/>
        <w:keepLines w:val="0"/>
        <w:pageBreakBefore w:val="0"/>
        <w:widowControl w:val="0"/>
        <w:kinsoku/>
        <w:wordWrap/>
        <w:overflowPunct/>
        <w:topLinePunct w:val="0"/>
        <w:autoSpaceDE/>
        <w:autoSpaceDN/>
        <w:bidi w:val="0"/>
        <w:snapToGrid w:val="0"/>
        <w:spacing w:line="440" w:lineRule="exact"/>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1如果数字表示的金额和用文字表示的金额不一致时，以文字表示的金额为准；当投标数量与招标数量不一致时，以招标数量为准；当分项报价清单、投标函的投标报价与开标一览表不一致时，以开标一览表为准。</w:t>
      </w:r>
    </w:p>
    <w:p w14:paraId="0864B506">
      <w:pPr>
        <w:keepNext w:val="0"/>
        <w:keepLines w:val="0"/>
        <w:pageBreakBefore w:val="0"/>
        <w:widowControl w:val="0"/>
        <w:kinsoku/>
        <w:wordWrap/>
        <w:overflowPunct/>
        <w:topLinePunct w:val="0"/>
        <w:autoSpaceDE/>
        <w:autoSpaceDN/>
        <w:bidi w:val="0"/>
        <w:snapToGrid w:val="0"/>
        <w:spacing w:line="440" w:lineRule="exact"/>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.2如果单价与数量的乘积和总价不一致，以单价为准，修正总价及开标一览表；当单价小数点有明显的错位时，评委会将以总价为准，并修正其单价。</w:t>
      </w:r>
    </w:p>
    <w:p w14:paraId="534770D4">
      <w:pPr>
        <w:keepNext w:val="0"/>
        <w:keepLines w:val="0"/>
        <w:pageBreakBefore w:val="0"/>
        <w:widowControl w:val="0"/>
        <w:kinsoku/>
        <w:wordWrap/>
        <w:overflowPunct/>
        <w:topLinePunct w:val="0"/>
        <w:autoSpaceDE/>
        <w:autoSpaceDN/>
        <w:bidi w:val="0"/>
        <w:snapToGrid w:val="0"/>
        <w:spacing w:line="440" w:lineRule="exact"/>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评委会将按上述修正错误的方法调整投标文件中的投标报价，调整后的价格应对投标人具有约束力。无论投标人是接受或是拒绝调整后的价格，都应当由投标人在系统中确认。投标人拒绝对投标文件出现的错漏按上述原则进行修正、澄清、说明，评标委员会应当否决其投标。</w:t>
      </w:r>
    </w:p>
    <w:p w14:paraId="1845AA23">
      <w:pPr>
        <w:keepNext w:val="0"/>
        <w:keepLines w:val="0"/>
        <w:pageBreakBefore w:val="0"/>
        <w:widowControl w:val="0"/>
        <w:kinsoku/>
        <w:wordWrap/>
        <w:overflowPunct/>
        <w:topLinePunct w:val="0"/>
        <w:autoSpaceDE/>
        <w:autoSpaceDN/>
        <w:bidi w:val="0"/>
        <w:spacing w:line="440" w:lineRule="exact"/>
        <w:ind w:firstLine="422" w:firstLineChars="200"/>
        <w:jc w:val="left"/>
        <w:textAlignment w:val="auto"/>
        <w:outlineLvl w:val="3"/>
        <w:rPr>
          <w:rFonts w:hint="eastAsia" w:ascii="宋体"/>
          <w:b/>
          <w:color w:val="auto"/>
          <w:szCs w:val="21"/>
          <w:highlight w:val="none"/>
        </w:rPr>
      </w:pPr>
      <w:r>
        <w:rPr>
          <w:rFonts w:hint="eastAsia" w:ascii="宋体"/>
          <w:b/>
          <w:color w:val="auto"/>
          <w:szCs w:val="21"/>
          <w:highlight w:val="none"/>
          <w:lang w:val="en-US" w:eastAsia="zh-CN"/>
        </w:rPr>
        <w:t>8</w:t>
      </w:r>
      <w:r>
        <w:rPr>
          <w:rFonts w:hint="eastAsia" w:ascii="宋体"/>
          <w:b/>
          <w:color w:val="auto"/>
          <w:szCs w:val="21"/>
          <w:highlight w:val="none"/>
        </w:rPr>
        <w:t>.评分标准</w:t>
      </w:r>
      <w:bookmarkEnd w:id="103"/>
    </w:p>
    <w:p w14:paraId="7F262628">
      <w:pPr>
        <w:keepNext w:val="0"/>
        <w:keepLines w:val="0"/>
        <w:pageBreakBefore w:val="0"/>
        <w:widowControl w:val="0"/>
        <w:kinsoku/>
        <w:wordWrap/>
        <w:overflowPunct/>
        <w:topLinePunct w:val="0"/>
        <w:autoSpaceDE/>
        <w:autoSpaceDN/>
        <w:bidi w:val="0"/>
        <w:snapToGrid w:val="0"/>
        <w:spacing w:line="440" w:lineRule="exact"/>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.1资信标评分标准：见资信标评审表。</w:t>
      </w:r>
    </w:p>
    <w:p w14:paraId="232D7E9E">
      <w:pPr>
        <w:keepNext w:val="0"/>
        <w:keepLines w:val="0"/>
        <w:pageBreakBefore w:val="0"/>
        <w:widowControl w:val="0"/>
        <w:kinsoku/>
        <w:wordWrap/>
        <w:overflowPunct/>
        <w:topLinePunct w:val="0"/>
        <w:autoSpaceDE/>
        <w:autoSpaceDN/>
        <w:bidi w:val="0"/>
        <w:snapToGrid w:val="0"/>
        <w:spacing w:line="440" w:lineRule="exact"/>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.2技术标评分标准：见技术标评审表。</w:t>
      </w:r>
    </w:p>
    <w:p w14:paraId="6DE16EBE">
      <w:pPr>
        <w:keepNext w:val="0"/>
        <w:keepLines w:val="0"/>
        <w:pageBreakBefore w:val="0"/>
        <w:widowControl w:val="0"/>
        <w:kinsoku/>
        <w:wordWrap/>
        <w:overflowPunct/>
        <w:topLinePunct w:val="0"/>
        <w:autoSpaceDE/>
        <w:autoSpaceDN/>
        <w:bidi w:val="0"/>
        <w:snapToGrid w:val="0"/>
        <w:spacing w:line="440" w:lineRule="exact"/>
        <w:ind w:firstLine="420"/>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.3商务标评分标准：见商务标评审表。</w:t>
      </w:r>
    </w:p>
    <w:p w14:paraId="5C2BF8F1">
      <w:pPr>
        <w:keepNext w:val="0"/>
        <w:keepLines w:val="0"/>
        <w:pageBreakBefore w:val="0"/>
        <w:widowControl w:val="0"/>
        <w:kinsoku/>
        <w:wordWrap/>
        <w:overflowPunct/>
        <w:topLinePunct w:val="0"/>
        <w:autoSpaceDE/>
        <w:autoSpaceDN/>
        <w:bidi w:val="0"/>
        <w:snapToGrid w:val="0"/>
        <w:spacing w:line="440" w:lineRule="exact"/>
        <w:ind w:firstLine="420"/>
        <w:textAlignment w:val="auto"/>
        <w:outlineLvl w:val="3"/>
        <w:rPr>
          <w:rFonts w:hint="eastAsia" w:ascii="宋体" w:hAnsi="宋体" w:cs="宋体"/>
          <w:color w:val="auto"/>
          <w:szCs w:val="21"/>
          <w:highlight w:val="none"/>
        </w:rPr>
      </w:pPr>
      <w:r>
        <w:rPr>
          <w:rFonts w:hint="eastAsia" w:ascii="宋体"/>
          <w:b/>
          <w:color w:val="auto"/>
          <w:szCs w:val="21"/>
          <w:highlight w:val="none"/>
          <w:lang w:val="en-US" w:eastAsia="zh-CN"/>
        </w:rPr>
        <w:t>9</w:t>
      </w:r>
      <w:r>
        <w:rPr>
          <w:rFonts w:hint="eastAsia" w:ascii="宋体"/>
          <w:b/>
          <w:color w:val="auto"/>
          <w:szCs w:val="21"/>
          <w:highlight w:val="none"/>
        </w:rPr>
        <w:t>.评审结果</w:t>
      </w:r>
      <w:bookmarkEnd w:id="104"/>
    </w:p>
    <w:p w14:paraId="32203140">
      <w:pPr>
        <w:keepNext w:val="0"/>
        <w:keepLines w:val="0"/>
        <w:pageBreakBefore w:val="0"/>
        <w:widowControl w:val="0"/>
        <w:kinsoku/>
        <w:wordWrap/>
        <w:overflowPunct/>
        <w:topLinePunct w:val="0"/>
        <w:autoSpaceDE/>
        <w:autoSpaceDN/>
        <w:bidi w:val="0"/>
        <w:snapToGrid w:val="0"/>
        <w:spacing w:line="440" w:lineRule="exact"/>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.1除第二章“投标人须知”及其前附表授权直接确定中标人外，评标委员会按照总得分由高到低顺序推荐中标候选人。</w:t>
      </w:r>
    </w:p>
    <w:p w14:paraId="39825D56">
      <w:pPr>
        <w:keepNext w:val="0"/>
        <w:keepLines w:val="0"/>
        <w:pageBreakBefore w:val="0"/>
        <w:widowControl w:val="0"/>
        <w:kinsoku/>
        <w:wordWrap/>
        <w:overflowPunct/>
        <w:topLinePunct w:val="0"/>
        <w:autoSpaceDE/>
        <w:autoSpaceDN/>
        <w:bidi w:val="0"/>
        <w:snapToGrid w:val="0"/>
        <w:spacing w:line="440" w:lineRule="exact"/>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.2评标委员会完成评标后，应当向招标人提交书面评标报告。评标报告应当如实记载以下内容：</w:t>
      </w:r>
    </w:p>
    <w:p w14:paraId="21376524">
      <w:pPr>
        <w:keepNext w:val="0"/>
        <w:keepLines w:val="0"/>
        <w:pageBreakBefore w:val="0"/>
        <w:widowControl w:val="0"/>
        <w:kinsoku/>
        <w:wordWrap/>
        <w:overflowPunct/>
        <w:topLinePunct w:val="0"/>
        <w:autoSpaceDE/>
        <w:autoSpaceDN/>
        <w:bidi w:val="0"/>
        <w:snapToGrid w:val="0"/>
        <w:spacing w:line="440" w:lineRule="exact"/>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（1）基本情况和数据表。</w:t>
      </w:r>
    </w:p>
    <w:p w14:paraId="28D43898">
      <w:pPr>
        <w:keepNext w:val="0"/>
        <w:keepLines w:val="0"/>
        <w:pageBreakBefore w:val="0"/>
        <w:widowControl w:val="0"/>
        <w:kinsoku/>
        <w:wordWrap/>
        <w:overflowPunct/>
        <w:topLinePunct w:val="0"/>
        <w:autoSpaceDE/>
        <w:autoSpaceDN/>
        <w:bidi w:val="0"/>
        <w:snapToGrid w:val="0"/>
        <w:spacing w:line="440" w:lineRule="exact"/>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（2）评标委员会成员名单。</w:t>
      </w:r>
    </w:p>
    <w:p w14:paraId="4D9502B7">
      <w:pPr>
        <w:keepNext w:val="0"/>
        <w:keepLines w:val="0"/>
        <w:pageBreakBefore w:val="0"/>
        <w:widowControl w:val="0"/>
        <w:kinsoku/>
        <w:wordWrap/>
        <w:overflowPunct/>
        <w:topLinePunct w:val="0"/>
        <w:autoSpaceDE/>
        <w:autoSpaceDN/>
        <w:bidi w:val="0"/>
        <w:snapToGrid w:val="0"/>
        <w:spacing w:line="440" w:lineRule="exact"/>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（3）开标记录。</w:t>
      </w:r>
    </w:p>
    <w:p w14:paraId="4BC16DE5">
      <w:pPr>
        <w:keepNext w:val="0"/>
        <w:keepLines w:val="0"/>
        <w:pageBreakBefore w:val="0"/>
        <w:widowControl w:val="0"/>
        <w:kinsoku/>
        <w:wordWrap/>
        <w:overflowPunct/>
        <w:topLinePunct w:val="0"/>
        <w:autoSpaceDE/>
        <w:autoSpaceDN/>
        <w:bidi w:val="0"/>
        <w:snapToGrid w:val="0"/>
        <w:spacing w:line="440" w:lineRule="exact"/>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（4）符合要求的投标人一览表。</w:t>
      </w:r>
    </w:p>
    <w:p w14:paraId="5E8135AB">
      <w:pPr>
        <w:keepNext w:val="0"/>
        <w:keepLines w:val="0"/>
        <w:pageBreakBefore w:val="0"/>
        <w:widowControl w:val="0"/>
        <w:kinsoku/>
        <w:wordWrap/>
        <w:overflowPunct/>
        <w:topLinePunct w:val="0"/>
        <w:autoSpaceDE/>
        <w:autoSpaceDN/>
        <w:bidi w:val="0"/>
        <w:snapToGrid w:val="0"/>
        <w:spacing w:line="440" w:lineRule="exact"/>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（5）否决投标情况说明。</w:t>
      </w:r>
    </w:p>
    <w:p w14:paraId="05569525">
      <w:pPr>
        <w:keepNext w:val="0"/>
        <w:keepLines w:val="0"/>
        <w:pageBreakBefore w:val="0"/>
        <w:widowControl w:val="0"/>
        <w:kinsoku/>
        <w:wordWrap/>
        <w:overflowPunct/>
        <w:topLinePunct w:val="0"/>
        <w:autoSpaceDE/>
        <w:autoSpaceDN/>
        <w:bidi w:val="0"/>
        <w:snapToGrid w:val="0"/>
        <w:spacing w:line="440" w:lineRule="exact"/>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（6）评标标准、评标方法或者评标因素。</w:t>
      </w:r>
    </w:p>
    <w:p w14:paraId="31B9AC73">
      <w:pPr>
        <w:keepNext w:val="0"/>
        <w:keepLines w:val="0"/>
        <w:pageBreakBefore w:val="0"/>
        <w:widowControl w:val="0"/>
        <w:kinsoku/>
        <w:wordWrap/>
        <w:overflowPunct/>
        <w:topLinePunct w:val="0"/>
        <w:autoSpaceDE/>
        <w:autoSpaceDN/>
        <w:bidi w:val="0"/>
        <w:snapToGrid w:val="0"/>
        <w:spacing w:line="440" w:lineRule="exact"/>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（7）评标情况一览表。</w:t>
      </w:r>
    </w:p>
    <w:p w14:paraId="50C497C6">
      <w:pPr>
        <w:keepNext w:val="0"/>
        <w:keepLines w:val="0"/>
        <w:pageBreakBefore w:val="0"/>
        <w:widowControl w:val="0"/>
        <w:kinsoku/>
        <w:wordWrap/>
        <w:overflowPunct/>
        <w:topLinePunct w:val="0"/>
        <w:autoSpaceDE/>
        <w:autoSpaceDN/>
        <w:bidi w:val="0"/>
        <w:snapToGrid w:val="0"/>
        <w:spacing w:line="440" w:lineRule="exact"/>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（8）经评审的投标人排序。</w:t>
      </w:r>
    </w:p>
    <w:p w14:paraId="6C6548E0">
      <w:pPr>
        <w:keepNext w:val="0"/>
        <w:keepLines w:val="0"/>
        <w:pageBreakBefore w:val="0"/>
        <w:widowControl w:val="0"/>
        <w:kinsoku/>
        <w:wordWrap/>
        <w:overflowPunct/>
        <w:topLinePunct w:val="0"/>
        <w:autoSpaceDE/>
        <w:autoSpaceDN/>
        <w:bidi w:val="0"/>
        <w:snapToGrid w:val="0"/>
        <w:spacing w:line="440" w:lineRule="exact"/>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（9）推荐的中标候选人名单与签订合同前要处理的事宜。</w:t>
      </w:r>
    </w:p>
    <w:p w14:paraId="2C55B775">
      <w:pPr>
        <w:keepNext w:val="0"/>
        <w:keepLines w:val="0"/>
        <w:pageBreakBefore w:val="0"/>
        <w:widowControl w:val="0"/>
        <w:kinsoku/>
        <w:wordWrap/>
        <w:overflowPunct/>
        <w:topLinePunct w:val="0"/>
        <w:autoSpaceDE/>
        <w:autoSpaceDN/>
        <w:bidi w:val="0"/>
        <w:snapToGrid w:val="0"/>
        <w:spacing w:line="440" w:lineRule="exact"/>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（10）澄清、说明、补正事项纪要。</w:t>
      </w:r>
    </w:p>
    <w:p w14:paraId="61ED2D3F">
      <w:pPr>
        <w:keepNext w:val="0"/>
        <w:keepLines w:val="0"/>
        <w:pageBreakBefore w:val="0"/>
        <w:widowControl w:val="0"/>
        <w:kinsoku/>
        <w:wordWrap/>
        <w:overflowPunct/>
        <w:topLinePunct w:val="0"/>
        <w:autoSpaceDE/>
        <w:autoSpaceDN/>
        <w:bidi w:val="0"/>
        <w:spacing w:line="440" w:lineRule="exact"/>
        <w:ind w:firstLine="422" w:firstLineChars="200"/>
        <w:jc w:val="left"/>
        <w:textAlignment w:val="auto"/>
        <w:outlineLvl w:val="3"/>
        <w:rPr>
          <w:rFonts w:hint="eastAsia" w:ascii="宋体"/>
          <w:b/>
          <w:color w:val="auto"/>
          <w:szCs w:val="21"/>
          <w:highlight w:val="none"/>
        </w:rPr>
      </w:pPr>
      <w:bookmarkStart w:id="105" w:name="_Toc95223442"/>
      <w:r>
        <w:rPr>
          <w:rFonts w:hint="eastAsia" w:ascii="宋体"/>
          <w:b/>
          <w:color w:val="auto"/>
          <w:szCs w:val="21"/>
          <w:highlight w:val="none"/>
          <w:lang w:val="en-US" w:eastAsia="zh-CN"/>
        </w:rPr>
        <w:t>10</w:t>
      </w:r>
      <w:r>
        <w:rPr>
          <w:rFonts w:hint="eastAsia" w:ascii="宋体"/>
          <w:b/>
          <w:color w:val="auto"/>
          <w:szCs w:val="21"/>
          <w:highlight w:val="none"/>
        </w:rPr>
        <w:t>.其他</w:t>
      </w:r>
      <w:bookmarkEnd w:id="105"/>
    </w:p>
    <w:p w14:paraId="65C9092D">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jc w:val="both"/>
        <w:textAlignment w:val="auto"/>
        <w:rPr>
          <w:rFonts w:hint="eastAsia" w:ascii="宋体"/>
          <w:b/>
          <w:color w:val="auto"/>
          <w:sz w:val="32"/>
          <w:szCs w:val="32"/>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.1投标人提供的与投标文件有关的各类证书、证明、文件、资料等的真实性、合法性由投标人负全责。</w:t>
      </w:r>
      <w:r>
        <w:rPr>
          <w:rFonts w:hint="eastAsia" w:ascii="宋体"/>
          <w:b/>
          <w:color w:val="auto"/>
          <w:sz w:val="32"/>
          <w:szCs w:val="32"/>
          <w:highlight w:val="none"/>
        </w:rPr>
        <w:t xml:space="preserve"> </w:t>
      </w:r>
    </w:p>
    <w:p w14:paraId="26F34019">
      <w:pPr>
        <w:keepNext w:val="0"/>
        <w:keepLines w:val="0"/>
        <w:pageBreakBefore w:val="0"/>
        <w:widowControl w:val="0"/>
        <w:kinsoku/>
        <w:wordWrap/>
        <w:overflowPunct/>
        <w:topLinePunct w:val="0"/>
        <w:autoSpaceDE/>
        <w:autoSpaceDN/>
        <w:bidi w:val="0"/>
        <w:spacing w:line="440" w:lineRule="exact"/>
        <w:textAlignment w:val="auto"/>
        <w:rPr>
          <w:rFonts w:hint="eastAsia" w:ascii="宋体"/>
          <w:b/>
          <w:color w:val="auto"/>
          <w:sz w:val="32"/>
          <w:szCs w:val="32"/>
          <w:highlight w:val="none"/>
          <w:lang w:val="en-US" w:eastAsia="zh-CN"/>
        </w:rPr>
      </w:pPr>
      <w:r>
        <w:rPr>
          <w:rFonts w:hint="eastAsia" w:ascii="宋体"/>
          <w:b/>
          <w:color w:val="auto"/>
          <w:sz w:val="32"/>
          <w:szCs w:val="32"/>
          <w:highlight w:val="none"/>
          <w:lang w:val="en-US" w:eastAsia="zh-CN"/>
        </w:rPr>
        <w:br w:type="page"/>
      </w:r>
    </w:p>
    <w:bookmarkEnd w:id="91"/>
    <w:p w14:paraId="1F8C2FA5">
      <w:pPr>
        <w:keepNext w:val="0"/>
        <w:keepLines w:val="0"/>
        <w:pageBreakBefore w:val="0"/>
        <w:widowControl w:val="0"/>
        <w:numPr>
          <w:ilvl w:val="0"/>
          <w:numId w:val="0"/>
        </w:numPr>
        <w:kinsoku/>
        <w:wordWrap/>
        <w:overflowPunct/>
        <w:topLinePunct w:val="0"/>
        <w:autoSpaceDE/>
        <w:autoSpaceDN/>
        <w:bidi w:val="0"/>
        <w:adjustRightInd/>
        <w:snapToGrid/>
        <w:spacing w:before="95" w:beforeLines="30" w:after="95" w:afterLines="30" w:line="360" w:lineRule="exact"/>
        <w:ind w:right="0" w:rightChars="0"/>
        <w:jc w:val="center"/>
        <w:textAlignment w:val="auto"/>
        <w:outlineLvl w:val="0"/>
        <w:rPr>
          <w:rFonts w:hint="eastAsia" w:ascii="宋体"/>
          <w:b/>
          <w:color w:val="auto"/>
          <w:sz w:val="32"/>
          <w:szCs w:val="32"/>
          <w:highlight w:val="none"/>
          <w:lang w:eastAsia="zh-CN"/>
        </w:rPr>
      </w:pPr>
      <w:r>
        <w:rPr>
          <w:rFonts w:hint="eastAsia" w:ascii="宋体" w:hAnsi="Times New Roman" w:eastAsia="宋体" w:cs="Times New Roman"/>
          <w:b/>
          <w:color w:val="auto"/>
          <w:kern w:val="2"/>
          <w:sz w:val="32"/>
          <w:szCs w:val="32"/>
          <w:highlight w:val="none"/>
          <w:lang w:val="en-US" w:eastAsia="zh-CN" w:bidi="ar-SA"/>
        </w:rPr>
        <w:t>第五章</w:t>
      </w:r>
      <w:r>
        <w:rPr>
          <w:rFonts w:hint="eastAsia" w:ascii="宋体" w:cs="Times New Roman"/>
          <w:b/>
          <w:color w:val="auto"/>
          <w:kern w:val="2"/>
          <w:sz w:val="32"/>
          <w:szCs w:val="32"/>
          <w:highlight w:val="none"/>
          <w:lang w:val="en-US" w:eastAsia="zh-CN" w:bidi="ar-SA"/>
        </w:rPr>
        <w:t xml:space="preserve">   </w:t>
      </w:r>
      <w:r>
        <w:rPr>
          <w:rFonts w:hint="eastAsia" w:ascii="宋体"/>
          <w:b/>
          <w:color w:val="auto"/>
          <w:sz w:val="32"/>
          <w:szCs w:val="32"/>
          <w:highlight w:val="none"/>
          <w:lang w:eastAsia="zh-CN"/>
        </w:rPr>
        <w:t>采购需求</w:t>
      </w:r>
    </w:p>
    <w:p w14:paraId="45431646">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textAlignment w:val="auto"/>
        <w:outlineLvl w:val="1"/>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一、物业服务的范围</w:t>
      </w:r>
    </w:p>
    <w:p w14:paraId="6866F2A1">
      <w:pPr>
        <w:pStyle w:val="2"/>
        <w:keepNext w:val="0"/>
        <w:keepLines w:val="0"/>
        <w:pageBreakBefore w:val="0"/>
        <w:widowControl w:val="0"/>
        <w:kinsoku/>
        <w:wordWrap/>
        <w:overflowPunct/>
        <w:topLinePunct w:val="0"/>
        <w:autoSpaceDE/>
        <w:autoSpaceDN/>
        <w:bidi w:val="0"/>
        <w:adjustRightInd/>
        <w:snapToGrid/>
        <w:spacing w:after="0" w:line="360" w:lineRule="exact"/>
        <w:ind w:left="0" w:leftChars="0" w:firstLine="420" w:firstLineChars="200"/>
        <w:textAlignment w:val="auto"/>
        <w:rPr>
          <w:rFonts w:hint="eastAsia" w:ascii="宋体" w:hAnsi="Times New Roman" w:eastAsia="宋体" w:cs="宋体"/>
          <w:color w:val="auto"/>
          <w:kern w:val="0"/>
          <w:sz w:val="21"/>
          <w:szCs w:val="21"/>
          <w:highlight w:val="none"/>
          <w:lang w:val="zh-CN" w:eastAsia="zh-CN" w:bidi="ar-SA"/>
        </w:rPr>
      </w:pPr>
      <w:r>
        <w:rPr>
          <w:rFonts w:hint="eastAsia" w:ascii="宋体" w:hAnsi="Times New Roman" w:eastAsia="宋体" w:cs="宋体"/>
          <w:color w:val="auto"/>
          <w:kern w:val="0"/>
          <w:sz w:val="21"/>
          <w:szCs w:val="21"/>
          <w:highlight w:val="none"/>
          <w:lang w:val="zh-CN" w:eastAsia="zh-CN" w:bidi="ar-SA"/>
        </w:rPr>
        <w:t>1、范围：详细情况请现场勘看，项目概况以现场实际存在为准。</w:t>
      </w:r>
    </w:p>
    <w:p w14:paraId="26E86599">
      <w:pPr>
        <w:pStyle w:val="2"/>
        <w:keepNext w:val="0"/>
        <w:keepLines w:val="0"/>
        <w:pageBreakBefore w:val="0"/>
        <w:widowControl w:val="0"/>
        <w:kinsoku/>
        <w:wordWrap/>
        <w:overflowPunct/>
        <w:topLinePunct w:val="0"/>
        <w:autoSpaceDE/>
        <w:autoSpaceDN/>
        <w:bidi w:val="0"/>
        <w:adjustRightInd/>
        <w:snapToGrid/>
        <w:spacing w:after="0" w:line="360" w:lineRule="exact"/>
        <w:ind w:left="0" w:leftChars="0" w:firstLine="420" w:firstLineChars="200"/>
        <w:textAlignment w:val="auto"/>
        <w:rPr>
          <w:rFonts w:hint="eastAsia" w:ascii="宋体" w:hAnsi="Times New Roman" w:eastAsia="宋体" w:cs="宋体"/>
          <w:color w:val="auto"/>
          <w:kern w:val="0"/>
          <w:sz w:val="21"/>
          <w:szCs w:val="21"/>
          <w:highlight w:val="none"/>
          <w:lang w:val="zh-CN" w:eastAsia="zh-CN" w:bidi="ar-SA"/>
        </w:rPr>
      </w:pPr>
      <w:r>
        <w:rPr>
          <w:rFonts w:hint="eastAsia" w:ascii="宋体" w:hAnsi="Times New Roman" w:eastAsia="宋体" w:cs="宋体"/>
          <w:color w:val="auto"/>
          <w:kern w:val="0"/>
          <w:sz w:val="21"/>
          <w:szCs w:val="21"/>
          <w:highlight w:val="none"/>
          <w:lang w:val="zh-CN" w:eastAsia="zh-CN" w:bidi="ar-SA"/>
        </w:rPr>
        <w:t>2、招标人所要求的区域范围内所有室外、室内的安保、保洁（含垃圾清运）、绿化 养护、消防、秩序维护等所有服务内容。</w:t>
      </w:r>
    </w:p>
    <w:p w14:paraId="56D6D3A9">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textAlignment w:val="auto"/>
        <w:outlineLvl w:val="1"/>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二、服务内容</w:t>
      </w:r>
    </w:p>
    <w:bookmarkEnd w:id="92"/>
    <w:bookmarkEnd w:id="93"/>
    <w:p w14:paraId="4CDDAD48">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物业服务主要由安保、保洁、设备运行管理，日常维护和维修（不包括设备重大维修和更换）、工器具及低值易耗品的维护和更换、垃圾清运等项目组成。具体说明如下：</w:t>
      </w:r>
    </w:p>
    <w:p w14:paraId="1B12FE93">
      <w:pPr>
        <w:autoSpaceDE w:val="0"/>
        <w:autoSpaceDN w:val="0"/>
        <w:adjustRightInd w:val="0"/>
        <w:spacing w:line="440" w:lineRule="exact"/>
        <w:ind w:firstLine="422" w:firstLineChars="200"/>
        <w:rPr>
          <w:rFonts w:hint="eastAsia" w:ascii="宋体" w:cs="宋体"/>
          <w:b/>
          <w:bCs/>
          <w:color w:val="auto"/>
          <w:kern w:val="0"/>
          <w:szCs w:val="21"/>
          <w:highlight w:val="none"/>
          <w:lang w:val="zh-CN"/>
        </w:rPr>
      </w:pPr>
      <w:r>
        <w:rPr>
          <w:rFonts w:hint="eastAsia" w:ascii="宋体" w:cs="宋体"/>
          <w:b/>
          <w:bCs/>
          <w:color w:val="auto"/>
          <w:kern w:val="0"/>
          <w:szCs w:val="21"/>
          <w:highlight w:val="none"/>
          <w:lang w:val="zh-CN"/>
        </w:rPr>
        <w:t>（一）安保</w:t>
      </w:r>
    </w:p>
    <w:p w14:paraId="6F5DEB9B">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1、总体要求</w:t>
      </w:r>
    </w:p>
    <w:p w14:paraId="7F3B6B39">
      <w:pPr>
        <w:autoSpaceDE w:val="0"/>
        <w:autoSpaceDN w:val="0"/>
        <w:adjustRightInd w:val="0"/>
        <w:spacing w:line="440" w:lineRule="exact"/>
        <w:ind w:firstLine="420" w:firstLineChars="200"/>
        <w:rPr>
          <w:rFonts w:hint="eastAsia" w:ascii="宋体" w:hAnsi="Times New Roman" w:eastAsia="宋体" w:cs="宋体"/>
          <w:color w:val="auto"/>
          <w:kern w:val="0"/>
          <w:szCs w:val="21"/>
          <w:highlight w:val="none"/>
          <w:lang w:val="zh-CN"/>
        </w:rPr>
      </w:pPr>
      <w:r>
        <w:rPr>
          <w:rFonts w:hint="eastAsia" w:ascii="宋体" w:cs="宋体"/>
          <w:color w:val="auto"/>
          <w:kern w:val="0"/>
          <w:szCs w:val="21"/>
          <w:highlight w:val="none"/>
          <w:lang w:val="zh-CN"/>
        </w:rPr>
        <w:t>物业服务区域内实行</w:t>
      </w:r>
      <w:r>
        <w:rPr>
          <w:rFonts w:hint="eastAsia" w:ascii="宋体" w:cs="宋体"/>
          <w:color w:val="auto"/>
          <w:kern w:val="0"/>
          <w:szCs w:val="21"/>
          <w:highlight w:val="none"/>
          <w:lang w:val="en-US" w:eastAsia="zh-CN"/>
        </w:rPr>
        <w:t>24</w:t>
      </w:r>
      <w:r>
        <w:rPr>
          <w:rFonts w:hint="eastAsia" w:ascii="宋体" w:cs="宋体"/>
          <w:color w:val="auto"/>
          <w:kern w:val="0"/>
          <w:szCs w:val="21"/>
          <w:highlight w:val="none"/>
          <w:lang w:val="zh-CN"/>
        </w:rPr>
        <w:t>小时监控、巡更执勤工作；确保24小时在岗在位值守。工作时间段内做好秩序维护、安全防范，做好车辆停放管理，确保无火灾、无刑事事故、无安全隐患发生。做好紧急突发事件的应急处理工作。如有事故发生，做到能够及时报警、保护现场，防止事态进一步恶化，事件</w:t>
      </w:r>
      <w:r>
        <w:rPr>
          <w:rFonts w:hint="eastAsia" w:ascii="宋体" w:hAnsi="Times New Roman" w:eastAsia="宋体" w:cs="宋体"/>
          <w:color w:val="auto"/>
          <w:kern w:val="0"/>
          <w:szCs w:val="21"/>
          <w:highlight w:val="none"/>
          <w:lang w:val="zh-CN"/>
        </w:rPr>
        <w:t>处理及时率100%。负责消防设施（灭火器、消火栓等）的检查及记录工作，确保处于完好状态。</w:t>
      </w:r>
    </w:p>
    <w:p w14:paraId="01F746CD">
      <w:pPr>
        <w:autoSpaceDE w:val="0"/>
        <w:autoSpaceDN w:val="0"/>
        <w:adjustRightInd w:val="0"/>
        <w:spacing w:line="440" w:lineRule="exact"/>
        <w:ind w:firstLine="420" w:firstLineChars="200"/>
        <w:rPr>
          <w:rFonts w:hint="eastAsia" w:ascii="宋体" w:hAnsi="Times New Roman" w:eastAsia="宋体" w:cs="宋体"/>
          <w:color w:val="auto"/>
          <w:kern w:val="0"/>
          <w:szCs w:val="21"/>
          <w:highlight w:val="none"/>
          <w:lang w:val="zh-CN"/>
        </w:rPr>
      </w:pPr>
      <w:r>
        <w:rPr>
          <w:rFonts w:hint="eastAsia" w:ascii="宋体" w:hAnsi="Times New Roman" w:eastAsia="宋体" w:cs="宋体"/>
          <w:color w:val="auto"/>
          <w:kern w:val="0"/>
          <w:szCs w:val="21"/>
          <w:highlight w:val="none"/>
          <w:lang w:val="zh-CN"/>
        </w:rPr>
        <w:t>安保人员要求：①品德良好，工作态度端正，责任心强，无不良记录；②接受过专业训练，业务熟练，机智勇敢；③五官端正、身体健康，形体符合工作要求；④男性，身高1.65米以上；⑤形象岗不少于4人，身高1.70 米以上，年龄45周岁以下。</w:t>
      </w:r>
    </w:p>
    <w:p w14:paraId="4773BDD6">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2、具体要求</w:t>
      </w:r>
    </w:p>
    <w:p w14:paraId="28CF619A">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（1）做好</w:t>
      </w:r>
      <w:r>
        <w:rPr>
          <w:rFonts w:hint="eastAsia" w:ascii="宋体" w:cs="宋体"/>
          <w:color w:val="auto"/>
          <w:kern w:val="0"/>
          <w:szCs w:val="21"/>
          <w:highlight w:val="none"/>
          <w:lang w:val="en-US" w:eastAsia="zh-CN"/>
        </w:rPr>
        <w:t>大剧院所辖区域内</w:t>
      </w:r>
      <w:r>
        <w:rPr>
          <w:rFonts w:hint="eastAsia" w:ascii="宋体" w:cs="宋体"/>
          <w:color w:val="auto"/>
          <w:kern w:val="0"/>
          <w:szCs w:val="21"/>
          <w:highlight w:val="none"/>
          <w:lang w:val="zh-CN"/>
        </w:rPr>
        <w:t>的安全保卫和消防工作，保安</w:t>
      </w:r>
      <w:r>
        <w:rPr>
          <w:rFonts w:hint="eastAsia" w:ascii="宋体" w:cs="宋体"/>
          <w:color w:val="auto"/>
          <w:kern w:val="0"/>
          <w:szCs w:val="21"/>
          <w:highlight w:val="none"/>
          <w:lang w:val="en-US" w:eastAsia="zh-CN"/>
        </w:rPr>
        <w:t>24</w:t>
      </w:r>
      <w:r>
        <w:rPr>
          <w:rFonts w:hint="eastAsia" w:ascii="宋体" w:cs="宋体"/>
          <w:color w:val="auto"/>
          <w:kern w:val="0"/>
          <w:szCs w:val="21"/>
          <w:highlight w:val="none"/>
          <w:lang w:val="zh-CN"/>
        </w:rPr>
        <w:t>小时值班，确保安全无事故。</w:t>
      </w:r>
    </w:p>
    <w:p w14:paraId="27C985DF">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（2）维护</w:t>
      </w:r>
      <w:r>
        <w:rPr>
          <w:rFonts w:hint="eastAsia" w:ascii="宋体" w:cs="宋体"/>
          <w:color w:val="auto"/>
          <w:kern w:val="0"/>
          <w:szCs w:val="21"/>
          <w:highlight w:val="none"/>
          <w:lang w:val="en-US" w:eastAsia="zh-CN"/>
        </w:rPr>
        <w:t>大剧院所辖区域内</w:t>
      </w:r>
      <w:r>
        <w:rPr>
          <w:rFonts w:hint="eastAsia" w:ascii="宋体" w:cs="宋体"/>
          <w:color w:val="auto"/>
          <w:kern w:val="0"/>
          <w:szCs w:val="21"/>
          <w:highlight w:val="none"/>
          <w:lang w:val="zh-CN"/>
        </w:rPr>
        <w:t>公共秩序，做好上下班时间院落停车管理。上班期间对进入院落内车辆停放进行管理，确保车辆停放合理规范，无严重堵车，出现堵车及时疏导。</w:t>
      </w:r>
    </w:p>
    <w:p w14:paraId="04A71175">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（3）熟悉</w:t>
      </w:r>
      <w:r>
        <w:rPr>
          <w:rFonts w:hint="eastAsia" w:ascii="宋体" w:cs="宋体"/>
          <w:color w:val="auto"/>
          <w:kern w:val="0"/>
          <w:szCs w:val="21"/>
          <w:highlight w:val="none"/>
          <w:lang w:val="en-US" w:eastAsia="zh-CN"/>
        </w:rPr>
        <w:t>大剧院所辖区域内</w:t>
      </w:r>
      <w:r>
        <w:rPr>
          <w:rFonts w:hint="eastAsia" w:ascii="宋体" w:cs="宋体"/>
          <w:color w:val="auto"/>
          <w:kern w:val="0"/>
          <w:szCs w:val="21"/>
          <w:highlight w:val="none"/>
          <w:lang w:val="zh-CN"/>
        </w:rPr>
        <w:t>的房屋、电、供水管道、电梯，消防设备的使用方法，每日定期简易操作和看管巡视检查，发现安全隐患及时告知上级单位。</w:t>
      </w:r>
    </w:p>
    <w:p w14:paraId="535AADDD">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（4）及时制止外来无关人员滋事、闹事，认真做好防盗防火工作，加强节假日和夜间安全巡查。</w:t>
      </w:r>
    </w:p>
    <w:p w14:paraId="57BEF350">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（5）对于上访人员，积极、耐心进行宣传教育和治安防范，协助公安机关及政府部门开展各项治安防范活动或行动，努力完成各项治安服务工作。保证服务区域内人员的人身、财产安全和良好的办公环境。</w:t>
      </w:r>
    </w:p>
    <w:p w14:paraId="62652D9E">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（6）协助大楼</w:t>
      </w:r>
      <w:r>
        <w:rPr>
          <w:rFonts w:hint="eastAsia" w:ascii="宋体" w:cs="宋体"/>
          <w:color w:val="auto"/>
          <w:kern w:val="0"/>
          <w:szCs w:val="21"/>
          <w:highlight w:val="none"/>
          <w:lang w:val="en-US" w:eastAsia="zh-CN"/>
        </w:rPr>
        <w:t>其他</w:t>
      </w:r>
      <w:r>
        <w:rPr>
          <w:rFonts w:hint="eastAsia" w:ascii="宋体" w:cs="宋体"/>
          <w:color w:val="auto"/>
          <w:kern w:val="0"/>
          <w:szCs w:val="21"/>
          <w:highlight w:val="none"/>
          <w:lang w:val="zh-CN"/>
        </w:rPr>
        <w:t>办公单位处理突发事件(如火灾，接报治安事件、刑事案件，停电，浸、冒、漏水等)，并按要求紧急处置有关工作。</w:t>
      </w:r>
    </w:p>
    <w:p w14:paraId="343BB14E">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（7）代办办公区内各单位书信、报刊、快递物品的收发工作，做到及时、准确、无误。</w:t>
      </w:r>
    </w:p>
    <w:p w14:paraId="7F12077D">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（8）按有关部门的要求做好门前三包工作。</w:t>
      </w:r>
    </w:p>
    <w:p w14:paraId="1256CCA5">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（9）完成委托方交办的其它工作（如搬运零星物品）。</w:t>
      </w:r>
    </w:p>
    <w:p w14:paraId="36D22529">
      <w:pPr>
        <w:autoSpaceDE w:val="0"/>
        <w:autoSpaceDN w:val="0"/>
        <w:adjustRightInd w:val="0"/>
        <w:spacing w:line="440" w:lineRule="exact"/>
        <w:ind w:firstLine="422" w:firstLineChars="200"/>
        <w:rPr>
          <w:rFonts w:hint="eastAsia" w:ascii="宋体" w:cs="宋体"/>
          <w:b/>
          <w:bCs/>
          <w:color w:val="auto"/>
          <w:kern w:val="0"/>
          <w:szCs w:val="21"/>
          <w:highlight w:val="none"/>
          <w:lang w:val="zh-CN"/>
        </w:rPr>
      </w:pPr>
      <w:r>
        <w:rPr>
          <w:rFonts w:hint="eastAsia" w:ascii="宋体" w:cs="宋体"/>
          <w:b/>
          <w:bCs/>
          <w:color w:val="auto"/>
          <w:kern w:val="0"/>
          <w:szCs w:val="21"/>
          <w:highlight w:val="none"/>
          <w:lang w:val="zh-CN"/>
        </w:rPr>
        <w:t>（二） 保洁</w:t>
      </w:r>
    </w:p>
    <w:p w14:paraId="42183746">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1、总体保洁要求</w:t>
      </w:r>
    </w:p>
    <w:p w14:paraId="02695EFF">
      <w:pPr>
        <w:autoSpaceDE w:val="0"/>
        <w:autoSpaceDN w:val="0"/>
        <w:adjustRightInd w:val="0"/>
        <w:spacing w:line="440" w:lineRule="exact"/>
        <w:ind w:firstLine="420" w:firstLineChars="200"/>
        <w:rPr>
          <w:rFonts w:hint="eastAsia" w:ascii="宋体" w:hAnsi="Times New Roman" w:eastAsia="宋体" w:cs="宋体"/>
          <w:color w:val="auto"/>
          <w:kern w:val="0"/>
          <w:szCs w:val="21"/>
          <w:highlight w:val="none"/>
          <w:lang w:val="zh-CN"/>
        </w:rPr>
      </w:pPr>
      <w:r>
        <w:rPr>
          <w:rFonts w:hint="eastAsia" w:ascii="宋体" w:cs="宋体"/>
          <w:color w:val="auto"/>
          <w:kern w:val="0"/>
          <w:szCs w:val="21"/>
          <w:highlight w:val="none"/>
          <w:lang w:val="zh-CN"/>
        </w:rPr>
        <w:t>门厅、中庭、坡道、走廊、卫生间、楼梯间、屋顶、室内墙壁、外墙、办公楼四周、院内、绿化带等所有</w:t>
      </w:r>
      <w:r>
        <w:rPr>
          <w:rFonts w:hint="eastAsia" w:ascii="宋体" w:hAnsi="Times New Roman" w:eastAsia="宋体" w:cs="宋体"/>
          <w:color w:val="auto"/>
          <w:kern w:val="0"/>
          <w:szCs w:val="21"/>
          <w:highlight w:val="none"/>
          <w:lang w:val="zh-CN"/>
        </w:rPr>
        <w:t>公共区域、空调进出风口、扶栏管以及其他公共区域的清扫保洁、垃圾的收集清运和污水管道的清理及疏通、公共卫生防疫等。</w:t>
      </w:r>
    </w:p>
    <w:p w14:paraId="71F7990D">
      <w:pPr>
        <w:autoSpaceDE w:val="0"/>
        <w:autoSpaceDN w:val="0"/>
        <w:adjustRightInd w:val="0"/>
        <w:spacing w:line="440" w:lineRule="exact"/>
        <w:ind w:firstLine="420" w:firstLineChars="200"/>
        <w:rPr>
          <w:rFonts w:hint="eastAsia" w:ascii="宋体" w:hAnsi="Times New Roman" w:eastAsia="宋体" w:cs="宋体"/>
          <w:color w:val="auto"/>
          <w:kern w:val="0"/>
          <w:szCs w:val="21"/>
          <w:highlight w:val="none"/>
          <w:lang w:val="zh-CN"/>
        </w:rPr>
      </w:pPr>
      <w:r>
        <w:rPr>
          <w:rFonts w:hint="eastAsia" w:ascii="宋体" w:hAnsi="Times New Roman" w:eastAsia="宋体" w:cs="宋体"/>
          <w:color w:val="auto"/>
          <w:kern w:val="0"/>
          <w:szCs w:val="21"/>
          <w:highlight w:val="none"/>
          <w:lang w:val="zh-CN"/>
        </w:rPr>
        <w:t>保洁人员要求：①女性。②品德良好，工作态度端正，责任心强，无不良记录；③接受过专业培训，业务熟练；④五官端正、身体健康、仪表大方。</w:t>
      </w:r>
    </w:p>
    <w:p w14:paraId="3CC367FD">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2、具体保洁要求</w:t>
      </w:r>
    </w:p>
    <w:p w14:paraId="36809164">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（1）公共部分：</w:t>
      </w:r>
      <w:r>
        <w:rPr>
          <w:rFonts w:ascii="宋体" w:hAnsi="宋体" w:eastAsia="宋体" w:cs="宋体"/>
          <w:color w:val="auto"/>
          <w:sz w:val="21"/>
          <w:szCs w:val="21"/>
          <w:highlight w:val="none"/>
        </w:rPr>
        <w:t>每天（含周末、节假日）上班前半小时完成打扫、维护</w:t>
      </w:r>
      <w:r>
        <w:rPr>
          <w:rFonts w:ascii="宋体" w:hAnsi="宋体" w:eastAsia="宋体" w:cs="宋体"/>
          <w:color w:val="auto"/>
          <w:spacing w:val="-1"/>
          <w:sz w:val="21"/>
          <w:szCs w:val="21"/>
          <w:highlight w:val="none"/>
        </w:rPr>
        <w:t>工作，并在正常工作时间内不间断保洁，确保各区域及楼道地面干净无灰尘，无污迹，无积水，无尘土，无痰迹，无废物杂物等垃圾，墙面地面明亮整洁。保持墙面、天花板、门窗、踢脚线等部位的清洁，</w:t>
      </w:r>
      <w:r>
        <w:rPr>
          <w:rFonts w:ascii="宋体" w:hAnsi="宋体" w:eastAsia="宋体" w:cs="宋体"/>
          <w:color w:val="auto"/>
          <w:spacing w:val="-2"/>
          <w:sz w:val="21"/>
          <w:szCs w:val="21"/>
          <w:highlight w:val="none"/>
        </w:rPr>
        <w:t>每天开窗通风，保持空气清新，搞好环境卫生</w:t>
      </w:r>
      <w:r>
        <w:rPr>
          <w:rFonts w:hint="eastAsia" w:ascii="宋体" w:cs="宋体"/>
          <w:color w:val="auto"/>
          <w:kern w:val="0"/>
          <w:szCs w:val="21"/>
          <w:highlight w:val="none"/>
          <w:lang w:val="zh-CN"/>
        </w:rPr>
        <w:t>。</w:t>
      </w:r>
    </w:p>
    <w:p w14:paraId="6D2D5C2E">
      <w:pPr>
        <w:autoSpaceDE w:val="0"/>
        <w:autoSpaceDN w:val="0"/>
        <w:adjustRightInd w:val="0"/>
        <w:spacing w:line="440" w:lineRule="exact"/>
        <w:ind w:firstLine="420" w:firstLineChars="200"/>
        <w:rPr>
          <w:rFonts w:hint="eastAsia" w:ascii="宋体" w:eastAsia="宋体" w:cs="宋体"/>
          <w:color w:val="auto"/>
          <w:kern w:val="0"/>
          <w:szCs w:val="21"/>
          <w:highlight w:val="none"/>
          <w:lang w:val="zh-CN" w:eastAsia="zh-CN"/>
        </w:rPr>
      </w:pPr>
      <w:r>
        <w:rPr>
          <w:rFonts w:hint="eastAsia" w:ascii="宋体" w:cs="宋体"/>
          <w:color w:val="auto"/>
          <w:kern w:val="0"/>
          <w:szCs w:val="21"/>
          <w:highlight w:val="none"/>
          <w:lang w:val="zh-CN"/>
        </w:rPr>
        <w:t>（2）</w:t>
      </w:r>
      <w:r>
        <w:rPr>
          <w:rFonts w:ascii="宋体" w:hAnsi="宋体" w:eastAsia="宋体" w:cs="宋体"/>
          <w:color w:val="auto"/>
          <w:spacing w:val="-2"/>
          <w:sz w:val="21"/>
          <w:szCs w:val="21"/>
          <w:highlight w:val="none"/>
        </w:rPr>
        <w:t>垃圾桶：要套垃圾袋，摆放指定位置；垃</w:t>
      </w:r>
      <w:r>
        <w:rPr>
          <w:rFonts w:ascii="宋体" w:hAnsi="宋体" w:eastAsia="宋体" w:cs="宋体"/>
          <w:color w:val="auto"/>
          <w:spacing w:val="-3"/>
          <w:sz w:val="21"/>
          <w:szCs w:val="21"/>
          <w:highlight w:val="none"/>
        </w:rPr>
        <w:t>圾筒及时清倒，每天不少于 2 次，保</w:t>
      </w:r>
      <w:r>
        <w:rPr>
          <w:rFonts w:ascii="宋体" w:hAnsi="宋体" w:eastAsia="宋体" w:cs="宋体"/>
          <w:color w:val="auto"/>
          <w:spacing w:val="-2"/>
          <w:sz w:val="21"/>
          <w:szCs w:val="21"/>
          <w:highlight w:val="none"/>
        </w:rPr>
        <w:t>持无杂物，无污痕、桶外壁干净无垃圾粘附物</w:t>
      </w:r>
      <w:r>
        <w:rPr>
          <w:rFonts w:hint="eastAsia" w:ascii="宋体" w:hAnsi="宋体" w:eastAsia="宋体" w:cs="宋体"/>
          <w:color w:val="auto"/>
          <w:spacing w:val="-2"/>
          <w:sz w:val="21"/>
          <w:szCs w:val="21"/>
          <w:highlight w:val="none"/>
          <w:lang w:eastAsia="zh-CN"/>
        </w:rPr>
        <w:t>。</w:t>
      </w:r>
    </w:p>
    <w:p w14:paraId="70BE5BC4">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w:t>
      </w:r>
      <w:r>
        <w:rPr>
          <w:rFonts w:hint="eastAsia" w:ascii="宋体" w:cs="宋体"/>
          <w:color w:val="auto"/>
          <w:kern w:val="0"/>
          <w:szCs w:val="21"/>
          <w:highlight w:val="none"/>
          <w:lang w:val="en-US" w:eastAsia="zh-CN"/>
        </w:rPr>
        <w:t>3</w:t>
      </w:r>
      <w:r>
        <w:rPr>
          <w:rFonts w:hint="eastAsia" w:ascii="宋体" w:cs="宋体"/>
          <w:color w:val="auto"/>
          <w:kern w:val="0"/>
          <w:szCs w:val="21"/>
          <w:highlight w:val="none"/>
          <w:lang w:val="zh-CN"/>
        </w:rPr>
        <w:t>）卫生间：无异味，保持卫生洁具、墙面、地面、玻璃等处的清洁、无水迹、无污迹等。及时补充手纸、芳香球等易耗物品。</w:t>
      </w:r>
    </w:p>
    <w:p w14:paraId="773EC440">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w:t>
      </w:r>
      <w:r>
        <w:rPr>
          <w:rFonts w:hint="eastAsia" w:ascii="宋体" w:cs="宋体"/>
          <w:color w:val="auto"/>
          <w:kern w:val="0"/>
          <w:szCs w:val="21"/>
          <w:highlight w:val="none"/>
          <w:lang w:val="en-US" w:eastAsia="zh-CN"/>
        </w:rPr>
        <w:t>4</w:t>
      </w:r>
      <w:r>
        <w:rPr>
          <w:rFonts w:hint="eastAsia" w:ascii="宋体" w:cs="宋体"/>
          <w:color w:val="auto"/>
          <w:kern w:val="0"/>
          <w:szCs w:val="21"/>
          <w:highlight w:val="none"/>
          <w:lang w:val="zh-CN"/>
        </w:rPr>
        <w:t>）</w:t>
      </w:r>
      <w:r>
        <w:rPr>
          <w:rFonts w:ascii="宋体" w:hAnsi="宋体" w:eastAsia="宋体" w:cs="宋体"/>
          <w:color w:val="auto"/>
          <w:spacing w:val="-4"/>
          <w:sz w:val="21"/>
          <w:szCs w:val="21"/>
          <w:highlight w:val="none"/>
        </w:rPr>
        <w:t>楼梯：扶手无灰尘，无污迹，楼梯无垃圾，无杂物；电梯：内部干净、无灰尘、</w:t>
      </w:r>
      <w:r>
        <w:rPr>
          <w:rFonts w:ascii="宋体" w:hAnsi="宋体" w:eastAsia="宋体" w:cs="宋体"/>
          <w:color w:val="auto"/>
          <w:spacing w:val="-8"/>
          <w:sz w:val="21"/>
          <w:szCs w:val="21"/>
          <w:highlight w:val="none"/>
        </w:rPr>
        <w:t>无污迹</w:t>
      </w:r>
      <w:r>
        <w:rPr>
          <w:rFonts w:hint="eastAsia" w:ascii="宋体" w:cs="宋体"/>
          <w:color w:val="auto"/>
          <w:kern w:val="0"/>
          <w:szCs w:val="21"/>
          <w:highlight w:val="none"/>
          <w:lang w:val="zh-CN"/>
        </w:rPr>
        <w:t>。</w:t>
      </w:r>
    </w:p>
    <w:p w14:paraId="33E9993D">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（5）各种标识牌，宣传栏画，保持干净明亮无灰尘无污迹。</w:t>
      </w:r>
    </w:p>
    <w:p w14:paraId="0DD2E669">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（6）外环境及院落、公共绿地保持无垃圾，杂物，无严重污迹。</w:t>
      </w:r>
    </w:p>
    <w:p w14:paraId="6202D82A">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（7）垃圾收集转运有垃圾桶每天至少清运一次，做到日产日清，卫生保洁用具、设备等应及时清洁整理，按指定区域堆放，保证垃圾桶无严重异味。</w:t>
      </w:r>
    </w:p>
    <w:p w14:paraId="15E960AD">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（8）每日产生的废弃物及时清除转运。</w:t>
      </w:r>
    </w:p>
    <w:p w14:paraId="3E101B6D">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（9）提供夏季的灭蚊及冬季的防滑设施、设备。（购置“灭四害”设施，费用含在投标报价内，由中标单位承担）</w:t>
      </w:r>
    </w:p>
    <w:p w14:paraId="236093B2">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（10）提供卫生间、过道等公共区域的消毒设施设备、消毒试剂并负责日常的消毒；</w:t>
      </w:r>
    </w:p>
    <w:p w14:paraId="2EAE6220">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（11）按有关部门的要求做好门前三包工作。</w:t>
      </w:r>
    </w:p>
    <w:p w14:paraId="21C9FA5F">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（12）负责垃圾收集及运送、垃圾转运至垃圾中转站。</w:t>
      </w:r>
    </w:p>
    <w:p w14:paraId="3922D83F">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（13）会议室保洁工作应在散会后及时进行清扫、整理，确保不影响下一次会议进行。</w:t>
      </w:r>
    </w:p>
    <w:p w14:paraId="1FD7BA61">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（14）会议室、接待室的会务接待、卫生保洁及窗户、窗帘、纱窗的定期清洗。</w:t>
      </w:r>
    </w:p>
    <w:p w14:paraId="2680039E">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（15）负责卫生间的清洁用品（如洗手液、卫生球、抽纸、擦手纸等）的及时补充。</w:t>
      </w:r>
    </w:p>
    <w:p w14:paraId="7E4CF082">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（16）区域内下水道，化粪池、窨井、排水系统等清淤工作。</w:t>
      </w:r>
    </w:p>
    <w:p w14:paraId="0612713E">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（17）大楼的各出入口门厅、楼道等公共部位及物业区域内道路整洁，无堆放杂物的现象。</w:t>
      </w:r>
    </w:p>
    <w:p w14:paraId="55FFDE9C">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（18）大理石、花岗石材质部分（&lt;3 米以上为高位&gt;，含墙、柱、地面）清洗打腊每年不少于 2 次；不锈钢材质部位（含楼道扶手、电梯内外门等）日常保洁，另视污染程度使 用护理剂。</w:t>
      </w:r>
    </w:p>
    <w:p w14:paraId="576B4FBE">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（19）完成招标人交办的其它工作。</w:t>
      </w:r>
    </w:p>
    <w:p w14:paraId="2EB73947">
      <w:pPr>
        <w:autoSpaceDE w:val="0"/>
        <w:autoSpaceDN w:val="0"/>
        <w:adjustRightInd w:val="0"/>
        <w:spacing w:line="440" w:lineRule="exact"/>
        <w:ind w:firstLine="422" w:firstLineChars="200"/>
        <w:rPr>
          <w:rFonts w:hint="eastAsia" w:ascii="宋体" w:cs="宋体"/>
          <w:b/>
          <w:bCs/>
          <w:color w:val="auto"/>
          <w:kern w:val="0"/>
          <w:szCs w:val="21"/>
          <w:highlight w:val="none"/>
          <w:lang w:val="zh-CN"/>
        </w:rPr>
      </w:pPr>
      <w:r>
        <w:rPr>
          <w:rFonts w:hint="eastAsia" w:ascii="宋体" w:cs="宋体"/>
          <w:b/>
          <w:bCs/>
          <w:color w:val="auto"/>
          <w:kern w:val="0"/>
          <w:szCs w:val="21"/>
          <w:highlight w:val="none"/>
          <w:lang w:val="zh-CN"/>
        </w:rPr>
        <w:t>（三）设备运行管理、维护和维修</w:t>
      </w:r>
    </w:p>
    <w:p w14:paraId="18C8E691">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1、总体要求</w:t>
      </w:r>
    </w:p>
    <w:p w14:paraId="29CEB363">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负责给排水、强弱电、空调、消防、广播、安防等系统的设施设备的正常运行、管理、维护和维修；工器具及低值易耗品的维护和更换；负责办理相关设施设备的保修、年检等工作，按照</w:t>
      </w:r>
      <w:r>
        <w:rPr>
          <w:rFonts w:hint="eastAsia" w:ascii="宋体" w:cs="宋体"/>
          <w:color w:val="auto"/>
          <w:kern w:val="0"/>
          <w:szCs w:val="21"/>
          <w:highlight w:val="none"/>
          <w:lang w:val="en-US" w:eastAsia="zh-CN"/>
        </w:rPr>
        <w:t>招标人</w:t>
      </w:r>
      <w:r>
        <w:rPr>
          <w:rFonts w:hint="eastAsia" w:ascii="宋体" w:cs="宋体"/>
          <w:color w:val="auto"/>
          <w:kern w:val="0"/>
          <w:szCs w:val="21"/>
          <w:highlight w:val="none"/>
          <w:lang w:val="zh-CN"/>
        </w:rPr>
        <w:t>要求拟定照明、空调、开水器等设备开关时间，并做好各项节能工作。确保零修、急修及时率达 98%以上，零修、急修合格率达 100%；</w:t>
      </w:r>
    </w:p>
    <w:p w14:paraId="449B99C6">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空调、消防、配电等设施采取</w:t>
      </w:r>
      <w:r>
        <w:rPr>
          <w:rFonts w:hint="eastAsia" w:ascii="宋体" w:cs="宋体"/>
          <w:color w:val="auto"/>
          <w:kern w:val="0"/>
          <w:szCs w:val="21"/>
          <w:highlight w:val="none"/>
          <w:lang w:val="en-US" w:eastAsia="zh-CN"/>
        </w:rPr>
        <w:t>两</w:t>
      </w:r>
      <w:r>
        <w:rPr>
          <w:rFonts w:hint="eastAsia" w:ascii="宋体" w:cs="宋体"/>
          <w:color w:val="auto"/>
          <w:kern w:val="0"/>
          <w:szCs w:val="21"/>
          <w:highlight w:val="none"/>
          <w:lang w:val="zh-CN"/>
        </w:rPr>
        <w:t>方共管方式（</w:t>
      </w:r>
      <w:r>
        <w:rPr>
          <w:rFonts w:hint="eastAsia" w:ascii="宋体" w:cs="宋体"/>
          <w:color w:val="auto"/>
          <w:kern w:val="0"/>
          <w:szCs w:val="21"/>
          <w:highlight w:val="none"/>
          <w:lang w:val="en-US" w:eastAsia="zh-CN"/>
        </w:rPr>
        <w:t>招标人</w:t>
      </w:r>
      <w:r>
        <w:rPr>
          <w:rFonts w:hint="eastAsia" w:ascii="宋体" w:cs="宋体"/>
          <w:color w:val="auto"/>
          <w:kern w:val="0"/>
          <w:szCs w:val="21"/>
          <w:highlight w:val="none"/>
          <w:lang w:val="zh-CN"/>
        </w:rPr>
        <w:t>、中标人），做好监督管理工作，承担连带责任。以上设备如发现故障应及时与</w:t>
      </w:r>
      <w:r>
        <w:rPr>
          <w:rFonts w:hint="eastAsia" w:ascii="宋体" w:cs="宋体"/>
          <w:color w:val="auto"/>
          <w:kern w:val="0"/>
          <w:szCs w:val="21"/>
          <w:highlight w:val="none"/>
          <w:lang w:val="en-US" w:eastAsia="zh-CN"/>
        </w:rPr>
        <w:t>招标</w:t>
      </w:r>
      <w:r>
        <w:rPr>
          <w:rFonts w:hint="eastAsia" w:ascii="宋体" w:cs="宋体"/>
          <w:color w:val="auto"/>
          <w:kern w:val="0"/>
          <w:szCs w:val="21"/>
          <w:highlight w:val="none"/>
          <w:lang w:val="zh-CN"/>
        </w:rPr>
        <w:t>单位（或维保单位）沟通、协调、联系，尽快排除故障。</w:t>
      </w:r>
    </w:p>
    <w:p w14:paraId="7010C6E3">
      <w:pPr>
        <w:autoSpaceDE w:val="0"/>
        <w:autoSpaceDN w:val="0"/>
        <w:adjustRightInd w:val="0"/>
        <w:spacing w:line="440" w:lineRule="exact"/>
        <w:ind w:firstLine="420" w:firstLineChars="200"/>
        <w:rPr>
          <w:rFonts w:hint="eastAsia" w:ascii="宋体" w:cs="宋体"/>
          <w:color w:val="auto"/>
          <w:kern w:val="0"/>
          <w:szCs w:val="21"/>
          <w:highlight w:val="none"/>
          <w:u w:val="single"/>
          <w:lang w:val="en-US" w:eastAsia="zh-CN"/>
        </w:rPr>
      </w:pPr>
      <w:r>
        <w:rPr>
          <w:rFonts w:hint="eastAsia" w:ascii="宋体" w:cs="宋体"/>
          <w:color w:val="auto"/>
          <w:kern w:val="0"/>
          <w:szCs w:val="21"/>
          <w:highlight w:val="none"/>
          <w:u w:val="single"/>
          <w:lang w:val="zh-CN"/>
        </w:rPr>
        <w:t>对公共设施设备的维修</w:t>
      </w:r>
      <w:r>
        <w:rPr>
          <w:rFonts w:hint="eastAsia" w:ascii="宋体" w:cs="宋体"/>
          <w:color w:val="auto"/>
          <w:kern w:val="0"/>
          <w:szCs w:val="21"/>
          <w:highlight w:val="none"/>
          <w:u w:val="single"/>
          <w:lang w:val="en-US" w:eastAsia="zh-CN"/>
        </w:rPr>
        <w:t>由中标人承担，维修材料费由招标人承担，所有维修材料采购前须经招标人同意</w:t>
      </w:r>
      <w:r>
        <w:rPr>
          <w:rFonts w:hint="eastAsia" w:ascii="宋体" w:cs="宋体"/>
          <w:color w:val="auto"/>
          <w:kern w:val="0"/>
          <w:szCs w:val="21"/>
          <w:highlight w:val="none"/>
          <w:u w:val="single"/>
        </w:rPr>
        <w:t>。</w:t>
      </w:r>
      <w:r>
        <w:rPr>
          <w:rFonts w:hint="eastAsia" w:ascii="宋体" w:cs="宋体"/>
          <w:color w:val="auto"/>
          <w:kern w:val="0"/>
          <w:szCs w:val="21"/>
          <w:highlight w:val="none"/>
          <w:u w:val="single"/>
          <w:lang w:val="en-US" w:eastAsia="zh-CN"/>
        </w:rPr>
        <w:t>重大维修甲方自行负责。</w:t>
      </w:r>
    </w:p>
    <w:p w14:paraId="43A7D6EF">
      <w:pPr>
        <w:autoSpaceDE w:val="0"/>
        <w:autoSpaceDN w:val="0"/>
        <w:adjustRightInd w:val="0"/>
        <w:spacing w:line="440" w:lineRule="exact"/>
        <w:ind w:firstLine="420" w:firstLineChars="200"/>
        <w:rPr>
          <w:rFonts w:hint="default" w:ascii="宋体" w:cs="宋体"/>
          <w:color w:val="auto"/>
          <w:kern w:val="0"/>
          <w:szCs w:val="21"/>
          <w:highlight w:val="none"/>
          <w:u w:val="single"/>
          <w:lang w:val="en-US" w:eastAsia="zh-CN"/>
        </w:rPr>
      </w:pPr>
      <w:r>
        <w:rPr>
          <w:rFonts w:hint="eastAsia" w:ascii="宋体" w:cs="宋体"/>
          <w:color w:val="auto"/>
          <w:kern w:val="0"/>
          <w:szCs w:val="21"/>
          <w:highlight w:val="none"/>
          <w:u w:val="single"/>
          <w:lang w:val="en-US" w:eastAsia="zh-CN"/>
        </w:rPr>
        <w:t>大剧院所辖范围内的疏通下水由中标人负责，化粪池每年至少清理两次。</w:t>
      </w:r>
    </w:p>
    <w:p w14:paraId="5A07AA05">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2、具体要求</w:t>
      </w:r>
    </w:p>
    <w:p w14:paraId="48EE0DD3">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（1）给排水系统</w:t>
      </w:r>
    </w:p>
    <w:p w14:paraId="545FDB7D">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保持泵房清洁卫生，三个月清洗1次泵房，不经常启动的水泵每月要启动1次，每年对水泵机组清洁保养1次（无负压生活供水设施半年清洗一次）；每日填写水泵运行记录，建档备查。每半年对给排水管进行 1 次全面检查维修。专业人员每天巡视，出现问题随时处理。楼顶落水口保持完好畅通。</w:t>
      </w:r>
    </w:p>
    <w:p w14:paraId="45E172F0">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（2）供配电系统</w:t>
      </w:r>
    </w:p>
    <w:p w14:paraId="1B10F039">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建立和完善有关规章制度及应急预案。</w:t>
      </w:r>
    </w:p>
    <w:p w14:paraId="26661C47">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24小时值班。具备变配电运行知识和技能，具备上岗资格，持有上岗证书。</w:t>
      </w:r>
    </w:p>
    <w:p w14:paraId="49D73C76">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保持配电房清洁卫生，每周清扫地面及擦拭配电柜表面。</w:t>
      </w:r>
    </w:p>
    <w:p w14:paraId="5746BD65">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每日监察供配电系统的运行状况，并定时抄表做好记录，出现异常及时处理。</w:t>
      </w:r>
    </w:p>
    <w:p w14:paraId="524BEA56">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每年委托专业单位对供配电相关系统进行测试，对其外部进行清洁、保养；每年需检测主要电器设备、高压操作工具的绝缘程度。</w:t>
      </w:r>
    </w:p>
    <w:p w14:paraId="044FBBA1">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每月检测 1 次有无动物侵入配电房。</w:t>
      </w:r>
    </w:p>
    <w:p w14:paraId="22F58622">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每日填写运行记录，建档备查。</w:t>
      </w:r>
    </w:p>
    <w:p w14:paraId="287F77DB">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（3）弱电系统</w:t>
      </w:r>
    </w:p>
    <w:p w14:paraId="79B786E8">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操作人员应受过专业培训，持证上岗，对异常情况能够识别。</w:t>
      </w:r>
    </w:p>
    <w:p w14:paraId="60C24E10">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有切实可行的维修保养计划，维护保养及时，使系统处于最佳工作状态。</w:t>
      </w:r>
    </w:p>
    <w:p w14:paraId="03E4050F">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有日常维护记录、季检记录及报告、年检记录及报告。</w:t>
      </w:r>
    </w:p>
    <w:p w14:paraId="17F56509">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建立相关的作业指导规定。</w:t>
      </w:r>
    </w:p>
    <w:p w14:paraId="3DE93CEF">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（4）空调系统及其配套设施</w:t>
      </w:r>
    </w:p>
    <w:p w14:paraId="4E69E713">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机房值班人员须持有操作上岗证。</w:t>
      </w:r>
    </w:p>
    <w:p w14:paraId="48F492FF">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中标人承担空调系统及其配套设施的操作，主机房及主机每周清洁1次，同时根据运行情况，要对空调系统及其附属设施进行清洁、保养。</w:t>
      </w:r>
    </w:p>
    <w:p w14:paraId="5A75A160">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每年清洁2次进、出风机，每年检查 2 次主机房消防设备，控制柜内线路每年吸尘2次。</w:t>
      </w:r>
    </w:p>
    <w:p w14:paraId="67169DDB">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空调运行时每日填写运行记录，建档备案。</w:t>
      </w:r>
    </w:p>
    <w:p w14:paraId="043D8061">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w:t>
      </w:r>
      <w:r>
        <w:rPr>
          <w:rFonts w:hint="eastAsia" w:ascii="宋体" w:cs="宋体"/>
          <w:color w:val="auto"/>
          <w:kern w:val="0"/>
          <w:szCs w:val="21"/>
          <w:highlight w:val="none"/>
          <w:lang w:val="en-US" w:eastAsia="zh-CN"/>
        </w:rPr>
        <w:t>5</w:t>
      </w:r>
      <w:r>
        <w:rPr>
          <w:rFonts w:hint="eastAsia" w:ascii="宋体" w:cs="宋体"/>
          <w:color w:val="auto"/>
          <w:kern w:val="0"/>
          <w:szCs w:val="21"/>
          <w:highlight w:val="none"/>
          <w:lang w:val="zh-CN"/>
        </w:rPr>
        <w:t>）消防系统</w:t>
      </w:r>
    </w:p>
    <w:p w14:paraId="42951A7E">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健全消防组织，建立消防责任制，严格贯彻执行消防法规。</w:t>
      </w:r>
    </w:p>
    <w:p w14:paraId="5B02A758">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指定专人维护、管理消防器材、设施设备，每月至少两次巡查消防栓、箱、烟感、喷淋、消防外阀、消防标志等是否完好、齐全，保证设备 24 小时正常运转。</w:t>
      </w:r>
    </w:p>
    <w:p w14:paraId="7B3036F9">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每天检测1次喷淋管网水压，每年模拟火灾演练1次。</w:t>
      </w:r>
    </w:p>
    <w:p w14:paraId="5BBCF4C0">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消防监控室24小时值班。每日填写工作记录，建档备案。</w:t>
      </w:r>
    </w:p>
    <w:p w14:paraId="0AFD63DD">
      <w:pPr>
        <w:numPr>
          <w:ilvl w:val="0"/>
          <w:numId w:val="0"/>
        </w:numPr>
        <w:tabs>
          <w:tab w:val="left" w:pos="716"/>
        </w:tabs>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hAnsi="Times New Roman" w:eastAsia="宋体" w:cs="宋体"/>
          <w:color w:val="auto"/>
          <w:kern w:val="0"/>
          <w:sz w:val="21"/>
          <w:szCs w:val="21"/>
          <w:highlight w:val="none"/>
          <w:lang w:val="zh-CN" w:eastAsia="zh-CN" w:bidi="ar-SA"/>
        </w:rPr>
        <w:t>（6）</w:t>
      </w:r>
      <w:r>
        <w:rPr>
          <w:rFonts w:hint="eastAsia" w:ascii="宋体" w:cs="宋体"/>
          <w:color w:val="auto"/>
          <w:kern w:val="0"/>
          <w:szCs w:val="21"/>
          <w:highlight w:val="none"/>
          <w:lang w:val="zh-CN"/>
        </w:rPr>
        <w:t>夜景照明系统：根据</w:t>
      </w:r>
      <w:r>
        <w:rPr>
          <w:rFonts w:hint="eastAsia" w:ascii="宋体" w:cs="宋体"/>
          <w:color w:val="auto"/>
          <w:kern w:val="0"/>
          <w:szCs w:val="21"/>
          <w:highlight w:val="none"/>
          <w:lang w:val="en-US" w:eastAsia="zh-CN"/>
        </w:rPr>
        <w:t>招标人</w:t>
      </w:r>
      <w:r>
        <w:rPr>
          <w:rFonts w:hint="eastAsia" w:ascii="宋体" w:cs="宋体"/>
          <w:color w:val="auto"/>
          <w:kern w:val="0"/>
          <w:szCs w:val="21"/>
          <w:highlight w:val="none"/>
          <w:lang w:val="zh-CN"/>
        </w:rPr>
        <w:t>要求的时间和模式开闭夜景照明系统。</w:t>
      </w:r>
    </w:p>
    <w:p w14:paraId="7636E2EB">
      <w:pPr>
        <w:autoSpaceDE w:val="0"/>
        <w:autoSpaceDN w:val="0"/>
        <w:adjustRightInd w:val="0"/>
        <w:spacing w:line="440" w:lineRule="exact"/>
        <w:ind w:firstLine="420" w:firstLineChars="200"/>
        <w:rPr>
          <w:rFonts w:hint="eastAsia" w:ascii="宋体" w:hAnsi="Times New Roman" w:eastAsia="宋体" w:cs="宋体"/>
          <w:color w:val="auto"/>
          <w:kern w:val="0"/>
          <w:szCs w:val="21"/>
          <w:highlight w:val="none"/>
          <w:lang w:val="zh-CN"/>
        </w:rPr>
      </w:pPr>
      <w:r>
        <w:rPr>
          <w:rFonts w:hint="eastAsia" w:ascii="宋体" w:hAnsi="Times New Roman" w:eastAsia="宋体" w:cs="宋体"/>
          <w:color w:val="auto"/>
          <w:kern w:val="0"/>
          <w:szCs w:val="21"/>
          <w:highlight w:val="none"/>
          <w:lang w:val="zh-CN" w:eastAsia="zh-CN"/>
        </w:rPr>
        <w:t>（</w:t>
      </w:r>
      <w:r>
        <w:rPr>
          <w:rFonts w:hint="eastAsia" w:ascii="宋体" w:hAnsi="Times New Roman" w:eastAsia="宋体" w:cs="宋体"/>
          <w:color w:val="auto"/>
          <w:kern w:val="0"/>
          <w:szCs w:val="21"/>
          <w:highlight w:val="none"/>
          <w:lang w:val="en-US" w:eastAsia="zh-CN"/>
        </w:rPr>
        <w:t>7</w:t>
      </w:r>
      <w:r>
        <w:rPr>
          <w:rFonts w:hint="eastAsia" w:ascii="宋体" w:hAnsi="Times New Roman" w:eastAsia="宋体" w:cs="宋体"/>
          <w:color w:val="auto"/>
          <w:kern w:val="0"/>
          <w:szCs w:val="21"/>
          <w:highlight w:val="none"/>
          <w:lang w:val="zh-CN" w:eastAsia="zh-CN"/>
        </w:rPr>
        <w:t>）</w:t>
      </w:r>
      <w:r>
        <w:rPr>
          <w:rFonts w:hint="eastAsia" w:ascii="宋体" w:hAnsi="Times New Roman" w:eastAsia="宋体" w:cs="宋体"/>
          <w:color w:val="auto"/>
          <w:kern w:val="0"/>
          <w:szCs w:val="21"/>
          <w:highlight w:val="none"/>
          <w:lang w:val="zh-CN"/>
        </w:rPr>
        <w:t>绿化养护服务管理</w:t>
      </w:r>
    </w:p>
    <w:p w14:paraId="7B8C880A">
      <w:pPr>
        <w:autoSpaceDE w:val="0"/>
        <w:autoSpaceDN w:val="0"/>
        <w:adjustRightInd w:val="0"/>
        <w:spacing w:line="440" w:lineRule="exact"/>
        <w:ind w:firstLine="420" w:firstLineChars="200"/>
        <w:rPr>
          <w:rFonts w:hint="eastAsia" w:ascii="宋体" w:hAnsi="Times New Roman" w:eastAsia="宋体" w:cs="宋体"/>
          <w:color w:val="auto"/>
          <w:kern w:val="0"/>
          <w:szCs w:val="21"/>
          <w:highlight w:val="none"/>
          <w:lang w:val="zh-CN"/>
        </w:rPr>
      </w:pPr>
      <w:r>
        <w:rPr>
          <w:rFonts w:hint="eastAsia" w:ascii="宋体" w:hAnsi="Times New Roman" w:eastAsia="宋体" w:cs="宋体"/>
          <w:color w:val="auto"/>
          <w:kern w:val="0"/>
          <w:szCs w:val="21"/>
          <w:highlight w:val="none"/>
          <w:lang w:val="zh-CN"/>
        </w:rPr>
        <w:t>①绿化养护要做到草坪修剪，灌溉浇水、施肥加土和滚压，清除杂草、防病虫害、草坪维护和复苏、更新等。</w:t>
      </w:r>
    </w:p>
    <w:p w14:paraId="1112B880">
      <w:pPr>
        <w:autoSpaceDE w:val="0"/>
        <w:autoSpaceDN w:val="0"/>
        <w:adjustRightInd w:val="0"/>
        <w:spacing w:line="440" w:lineRule="exact"/>
        <w:ind w:firstLine="420" w:firstLineChars="200"/>
        <w:rPr>
          <w:rFonts w:hint="eastAsia" w:ascii="宋体" w:hAnsi="Times New Roman" w:eastAsia="宋体" w:cs="宋体"/>
          <w:color w:val="auto"/>
          <w:kern w:val="0"/>
          <w:szCs w:val="21"/>
          <w:highlight w:val="none"/>
          <w:lang w:val="zh-CN"/>
        </w:rPr>
      </w:pPr>
      <w:r>
        <w:rPr>
          <w:rFonts w:hint="eastAsia" w:ascii="宋体" w:hAnsi="Times New Roman" w:eastAsia="宋体" w:cs="宋体"/>
          <w:color w:val="auto"/>
          <w:kern w:val="0"/>
          <w:szCs w:val="21"/>
          <w:highlight w:val="none"/>
          <w:lang w:val="zh-CN"/>
        </w:rPr>
        <w:t>②定期进行养护、管理，做到跟踪养护及时管理。</w:t>
      </w:r>
    </w:p>
    <w:p w14:paraId="39C9F2E1">
      <w:pPr>
        <w:autoSpaceDE w:val="0"/>
        <w:autoSpaceDN w:val="0"/>
        <w:adjustRightInd w:val="0"/>
        <w:spacing w:line="440" w:lineRule="exact"/>
        <w:ind w:firstLine="420" w:firstLineChars="200"/>
        <w:rPr>
          <w:rFonts w:hint="eastAsia" w:ascii="宋体" w:hAnsi="Times New Roman" w:eastAsia="宋体" w:cs="宋体"/>
          <w:color w:val="auto"/>
          <w:kern w:val="0"/>
          <w:szCs w:val="21"/>
          <w:highlight w:val="none"/>
          <w:lang w:val="zh-CN"/>
        </w:rPr>
      </w:pPr>
      <w:r>
        <w:rPr>
          <w:rFonts w:hint="eastAsia" w:ascii="宋体" w:hAnsi="Times New Roman" w:eastAsia="宋体" w:cs="宋体"/>
          <w:color w:val="auto"/>
          <w:kern w:val="0"/>
          <w:szCs w:val="21"/>
          <w:highlight w:val="none"/>
          <w:lang w:val="zh-CN"/>
        </w:rPr>
        <w:t>③一年进行至少</w:t>
      </w:r>
      <w:r>
        <w:rPr>
          <w:rFonts w:hint="eastAsia" w:ascii="宋体" w:hAnsi="Times New Roman" w:eastAsia="宋体" w:cs="宋体"/>
          <w:color w:val="auto"/>
          <w:kern w:val="0"/>
          <w:szCs w:val="21"/>
          <w:highlight w:val="none"/>
          <w:lang w:val="en-US" w:eastAsia="zh-CN"/>
        </w:rPr>
        <w:t>4</w:t>
      </w:r>
      <w:r>
        <w:rPr>
          <w:rFonts w:hint="eastAsia" w:ascii="宋体" w:hAnsi="Times New Roman" w:eastAsia="宋体" w:cs="宋体"/>
          <w:color w:val="auto"/>
          <w:kern w:val="0"/>
          <w:szCs w:val="21"/>
          <w:highlight w:val="none"/>
          <w:lang w:val="zh-CN"/>
        </w:rPr>
        <w:t>次</w:t>
      </w:r>
      <w:r>
        <w:rPr>
          <w:rFonts w:hint="eastAsia" w:ascii="宋体" w:hAnsi="Times New Roman" w:eastAsia="宋体" w:cs="宋体"/>
          <w:color w:val="auto"/>
          <w:kern w:val="0"/>
          <w:szCs w:val="21"/>
          <w:highlight w:val="none"/>
          <w:lang w:val="en-US" w:eastAsia="zh-CN"/>
        </w:rPr>
        <w:t>修剪</w:t>
      </w:r>
      <w:r>
        <w:rPr>
          <w:rFonts w:hint="eastAsia" w:ascii="宋体" w:hAnsi="Times New Roman" w:eastAsia="宋体" w:cs="宋体"/>
          <w:color w:val="auto"/>
          <w:kern w:val="0"/>
          <w:szCs w:val="21"/>
          <w:highlight w:val="none"/>
          <w:lang w:val="zh-CN"/>
        </w:rPr>
        <w:t>。</w:t>
      </w:r>
    </w:p>
    <w:p w14:paraId="163AB58C">
      <w:pPr>
        <w:autoSpaceDE w:val="0"/>
        <w:autoSpaceDN w:val="0"/>
        <w:adjustRightInd w:val="0"/>
        <w:spacing w:line="440" w:lineRule="exact"/>
        <w:ind w:firstLine="420" w:firstLineChars="200"/>
        <w:rPr>
          <w:rFonts w:ascii="宋体" w:hAnsi="宋体"/>
          <w:color w:val="auto"/>
          <w:szCs w:val="21"/>
          <w:highlight w:val="none"/>
        </w:rPr>
      </w:pPr>
      <w:r>
        <w:rPr>
          <w:rFonts w:hint="eastAsia" w:ascii="宋体" w:hAnsi="Times New Roman" w:eastAsia="宋体" w:cs="宋体"/>
          <w:color w:val="auto"/>
          <w:kern w:val="0"/>
          <w:szCs w:val="21"/>
          <w:highlight w:val="none"/>
          <w:lang w:val="zh-CN"/>
        </w:rPr>
        <w:t>④突发任务（如</w:t>
      </w:r>
      <w:r>
        <w:rPr>
          <w:rFonts w:hint="eastAsia" w:ascii="宋体" w:hAnsi="宋体"/>
          <w:color w:val="auto"/>
          <w:szCs w:val="21"/>
          <w:highlight w:val="none"/>
        </w:rPr>
        <w:t>上级检查</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大型活动</w:t>
      </w:r>
      <w:r>
        <w:rPr>
          <w:rFonts w:hint="eastAsia" w:ascii="宋体" w:hAnsi="宋体"/>
          <w:color w:val="auto"/>
          <w:szCs w:val="21"/>
          <w:highlight w:val="none"/>
        </w:rPr>
        <w:t>等），</w:t>
      </w:r>
      <w:r>
        <w:rPr>
          <w:rFonts w:hint="eastAsia" w:ascii="宋体" w:hAnsi="宋体"/>
          <w:color w:val="auto"/>
          <w:szCs w:val="21"/>
          <w:highlight w:val="none"/>
          <w:lang w:val="en-US" w:eastAsia="zh-CN"/>
        </w:rPr>
        <w:t>中标单位</w:t>
      </w:r>
      <w:r>
        <w:rPr>
          <w:rFonts w:hint="eastAsia" w:ascii="宋体" w:hAnsi="宋体"/>
          <w:color w:val="auto"/>
          <w:szCs w:val="21"/>
          <w:highlight w:val="none"/>
        </w:rPr>
        <w:t>要做到随叫随到，高标准且迅速的完成任务。</w:t>
      </w:r>
    </w:p>
    <w:p w14:paraId="52C869EA">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textAlignment w:val="auto"/>
        <w:outlineLvl w:val="1"/>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三、人员配备最低标准（12 人）</w:t>
      </w:r>
    </w:p>
    <w:p w14:paraId="7ACC722B">
      <w:pPr>
        <w:spacing w:line="35" w:lineRule="exact"/>
        <w:rPr>
          <w:color w:val="auto"/>
          <w:highlight w:val="none"/>
        </w:rPr>
      </w:pPr>
    </w:p>
    <w:tbl>
      <w:tblPr>
        <w:tblStyle w:val="137"/>
        <w:tblW w:w="911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77"/>
        <w:gridCol w:w="1694"/>
        <w:gridCol w:w="840"/>
        <w:gridCol w:w="5707"/>
      </w:tblGrid>
      <w:tr w14:paraId="112C24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7" w:hRule="atLeast"/>
        </w:trPr>
        <w:tc>
          <w:tcPr>
            <w:tcW w:w="877" w:type="dxa"/>
            <w:vAlign w:val="top"/>
          </w:tcPr>
          <w:p w14:paraId="33895041">
            <w:pPr>
              <w:keepNext w:val="0"/>
              <w:keepLines w:val="0"/>
              <w:pageBreakBefore w:val="0"/>
              <w:widowControl w:val="0"/>
              <w:kinsoku/>
              <w:wordWrap/>
              <w:overflowPunct/>
              <w:topLinePunct w:val="0"/>
              <w:autoSpaceDE/>
              <w:autoSpaceDN/>
              <w:bidi w:val="0"/>
              <w:adjustRightInd/>
              <w:snapToGrid/>
              <w:spacing w:line="400" w:lineRule="exact"/>
              <w:ind w:left="218"/>
              <w:textAlignment w:val="auto"/>
              <w:rPr>
                <w:rFonts w:ascii="黑体" w:hAnsi="黑体" w:eastAsia="黑体" w:cs="黑体"/>
                <w:color w:val="auto"/>
                <w:sz w:val="21"/>
                <w:szCs w:val="21"/>
                <w:highlight w:val="none"/>
              </w:rPr>
            </w:pPr>
            <w:r>
              <w:rPr>
                <w:rFonts w:ascii="黑体" w:hAnsi="黑体" w:eastAsia="黑体" w:cs="黑体"/>
                <w:b/>
                <w:bCs/>
                <w:color w:val="auto"/>
                <w:spacing w:val="1"/>
                <w:sz w:val="21"/>
                <w:szCs w:val="21"/>
                <w:highlight w:val="none"/>
              </w:rPr>
              <w:t>序号</w:t>
            </w:r>
          </w:p>
        </w:tc>
        <w:tc>
          <w:tcPr>
            <w:tcW w:w="1694" w:type="dxa"/>
            <w:vAlign w:val="top"/>
          </w:tcPr>
          <w:p w14:paraId="5B06A74B">
            <w:pPr>
              <w:keepNext w:val="0"/>
              <w:keepLines w:val="0"/>
              <w:pageBreakBefore w:val="0"/>
              <w:widowControl w:val="0"/>
              <w:kinsoku/>
              <w:wordWrap/>
              <w:overflowPunct/>
              <w:topLinePunct w:val="0"/>
              <w:autoSpaceDE/>
              <w:autoSpaceDN/>
              <w:bidi w:val="0"/>
              <w:adjustRightInd/>
              <w:snapToGrid/>
              <w:spacing w:line="400" w:lineRule="exact"/>
              <w:ind w:left="406"/>
              <w:textAlignment w:val="auto"/>
              <w:rPr>
                <w:rFonts w:ascii="黑体" w:hAnsi="黑体" w:eastAsia="黑体" w:cs="黑体"/>
                <w:color w:val="auto"/>
                <w:sz w:val="21"/>
                <w:szCs w:val="21"/>
                <w:highlight w:val="none"/>
              </w:rPr>
            </w:pPr>
            <w:r>
              <w:rPr>
                <w:rFonts w:ascii="黑体" w:hAnsi="黑体" w:eastAsia="黑体" w:cs="黑体"/>
                <w:b/>
                <w:bCs/>
                <w:color w:val="auto"/>
                <w:spacing w:val="4"/>
                <w:sz w:val="21"/>
                <w:szCs w:val="21"/>
                <w:highlight w:val="none"/>
              </w:rPr>
              <w:t>岗位设置</w:t>
            </w:r>
          </w:p>
        </w:tc>
        <w:tc>
          <w:tcPr>
            <w:tcW w:w="840" w:type="dxa"/>
            <w:vAlign w:val="top"/>
          </w:tcPr>
          <w:p w14:paraId="6435A2DF">
            <w:pPr>
              <w:keepNext w:val="0"/>
              <w:keepLines w:val="0"/>
              <w:pageBreakBefore w:val="0"/>
              <w:widowControl w:val="0"/>
              <w:kinsoku/>
              <w:wordWrap/>
              <w:overflowPunct/>
              <w:topLinePunct w:val="0"/>
              <w:autoSpaceDE/>
              <w:autoSpaceDN/>
              <w:bidi w:val="0"/>
              <w:adjustRightInd/>
              <w:snapToGrid/>
              <w:spacing w:line="400" w:lineRule="exact"/>
              <w:ind w:left="203"/>
              <w:textAlignment w:val="auto"/>
              <w:rPr>
                <w:rFonts w:ascii="黑体" w:hAnsi="黑体" w:eastAsia="黑体" w:cs="黑体"/>
                <w:color w:val="auto"/>
                <w:sz w:val="21"/>
                <w:szCs w:val="21"/>
                <w:highlight w:val="none"/>
              </w:rPr>
            </w:pPr>
            <w:r>
              <w:rPr>
                <w:rFonts w:ascii="黑体" w:hAnsi="黑体" w:eastAsia="黑体" w:cs="黑体"/>
                <w:b/>
                <w:bCs/>
                <w:color w:val="auto"/>
                <w:spacing w:val="-1"/>
                <w:sz w:val="21"/>
                <w:szCs w:val="21"/>
                <w:highlight w:val="none"/>
              </w:rPr>
              <w:t>人数</w:t>
            </w:r>
          </w:p>
        </w:tc>
        <w:tc>
          <w:tcPr>
            <w:tcW w:w="5707" w:type="dxa"/>
            <w:vAlign w:val="top"/>
          </w:tcPr>
          <w:p w14:paraId="3CDF77B5">
            <w:pPr>
              <w:keepNext w:val="0"/>
              <w:keepLines w:val="0"/>
              <w:pageBreakBefore w:val="0"/>
              <w:widowControl w:val="0"/>
              <w:kinsoku/>
              <w:wordWrap/>
              <w:overflowPunct/>
              <w:topLinePunct w:val="0"/>
              <w:autoSpaceDE/>
              <w:autoSpaceDN/>
              <w:bidi w:val="0"/>
              <w:adjustRightInd/>
              <w:snapToGrid/>
              <w:spacing w:line="400" w:lineRule="exact"/>
              <w:ind w:left="2317"/>
              <w:textAlignment w:val="auto"/>
              <w:rPr>
                <w:rFonts w:ascii="黑体" w:hAnsi="黑体" w:eastAsia="黑体" w:cs="黑体"/>
                <w:color w:val="auto"/>
                <w:sz w:val="21"/>
                <w:szCs w:val="21"/>
                <w:highlight w:val="none"/>
              </w:rPr>
            </w:pPr>
            <w:r>
              <w:rPr>
                <w:rFonts w:ascii="黑体" w:hAnsi="黑体" w:eastAsia="黑体" w:cs="黑体"/>
                <w:b/>
                <w:bCs/>
                <w:color w:val="auto"/>
                <w:spacing w:val="4"/>
                <w:sz w:val="21"/>
                <w:szCs w:val="21"/>
                <w:highlight w:val="none"/>
              </w:rPr>
              <w:t>岗位安排</w:t>
            </w:r>
          </w:p>
        </w:tc>
      </w:tr>
      <w:tr w14:paraId="1B4BC2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1" w:hRule="atLeast"/>
        </w:trPr>
        <w:tc>
          <w:tcPr>
            <w:tcW w:w="877" w:type="dxa"/>
            <w:vAlign w:val="center"/>
          </w:tcPr>
          <w:p w14:paraId="0F391A84">
            <w:pPr>
              <w:pStyle w:val="157"/>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r>
              <w:rPr>
                <w:color w:val="auto"/>
                <w:highlight w:val="none"/>
              </w:rPr>
              <w:t>1</w:t>
            </w:r>
          </w:p>
        </w:tc>
        <w:tc>
          <w:tcPr>
            <w:tcW w:w="1694" w:type="dxa"/>
            <w:vAlign w:val="center"/>
          </w:tcPr>
          <w:p w14:paraId="45C667E0">
            <w:pPr>
              <w:pStyle w:val="157"/>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r>
              <w:rPr>
                <w:color w:val="auto"/>
                <w:spacing w:val="-2"/>
                <w:highlight w:val="none"/>
              </w:rPr>
              <w:t>项目经理</w:t>
            </w:r>
          </w:p>
        </w:tc>
        <w:tc>
          <w:tcPr>
            <w:tcW w:w="840" w:type="dxa"/>
            <w:vAlign w:val="center"/>
          </w:tcPr>
          <w:p w14:paraId="2FDE7C70">
            <w:pPr>
              <w:pStyle w:val="157"/>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r>
              <w:rPr>
                <w:color w:val="auto"/>
                <w:highlight w:val="none"/>
              </w:rPr>
              <w:t>1</w:t>
            </w:r>
          </w:p>
        </w:tc>
        <w:tc>
          <w:tcPr>
            <w:tcW w:w="5707" w:type="dxa"/>
            <w:vAlign w:val="top"/>
          </w:tcPr>
          <w:p w14:paraId="7B183F26">
            <w:pPr>
              <w:pStyle w:val="157"/>
              <w:keepNext w:val="0"/>
              <w:keepLines w:val="0"/>
              <w:pageBreakBefore w:val="0"/>
              <w:widowControl w:val="0"/>
              <w:kinsoku/>
              <w:wordWrap/>
              <w:overflowPunct/>
              <w:topLinePunct w:val="0"/>
              <w:autoSpaceDE/>
              <w:autoSpaceDN/>
              <w:bidi w:val="0"/>
              <w:adjustRightInd/>
              <w:snapToGrid/>
              <w:spacing w:line="400" w:lineRule="exact"/>
              <w:ind w:right="129"/>
              <w:textAlignment w:val="auto"/>
              <w:rPr>
                <w:rFonts w:hint="default" w:eastAsia="宋体"/>
                <w:color w:val="auto"/>
                <w:highlight w:val="none"/>
                <w:lang w:val="en-US" w:eastAsia="zh-CN"/>
              </w:rPr>
            </w:pPr>
            <w:r>
              <w:rPr>
                <w:color w:val="auto"/>
                <w:highlight w:val="none"/>
              </w:rPr>
              <w:t>行政班，负责全面管理工作，负责与</w:t>
            </w:r>
            <w:r>
              <w:rPr>
                <w:rFonts w:hint="eastAsia"/>
                <w:color w:val="auto"/>
                <w:highlight w:val="none"/>
                <w:lang w:val="en-US" w:eastAsia="zh-CN"/>
              </w:rPr>
              <w:t>招标人</w:t>
            </w:r>
            <w:r>
              <w:rPr>
                <w:color w:val="auto"/>
                <w:highlight w:val="none"/>
              </w:rPr>
              <w:t>主管部门对</w:t>
            </w:r>
            <w:r>
              <w:rPr>
                <w:color w:val="auto"/>
                <w:spacing w:val="-1"/>
                <w:highlight w:val="none"/>
              </w:rPr>
              <w:t>接，会议现场协调指挥等工作。</w:t>
            </w:r>
            <w:r>
              <w:rPr>
                <w:rFonts w:hint="eastAsia"/>
                <w:color w:val="auto"/>
                <w:spacing w:val="-1"/>
                <w:highlight w:val="none"/>
                <w:lang w:val="en-US" w:eastAsia="zh-CN"/>
              </w:rPr>
              <w:t>年龄50周岁以内。</w:t>
            </w:r>
          </w:p>
        </w:tc>
      </w:tr>
      <w:tr w14:paraId="13E2FD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3" w:hRule="atLeast"/>
        </w:trPr>
        <w:tc>
          <w:tcPr>
            <w:tcW w:w="877" w:type="dxa"/>
            <w:vAlign w:val="center"/>
          </w:tcPr>
          <w:p w14:paraId="038F1CEF">
            <w:pPr>
              <w:pStyle w:val="157"/>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r>
              <w:rPr>
                <w:color w:val="auto"/>
                <w:highlight w:val="none"/>
              </w:rPr>
              <w:t>2</w:t>
            </w:r>
          </w:p>
        </w:tc>
        <w:tc>
          <w:tcPr>
            <w:tcW w:w="1694" w:type="dxa"/>
            <w:vAlign w:val="center"/>
          </w:tcPr>
          <w:p w14:paraId="2C3C4DC5">
            <w:pPr>
              <w:pStyle w:val="157"/>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r>
              <w:rPr>
                <w:color w:val="auto"/>
                <w:spacing w:val="-2"/>
                <w:highlight w:val="none"/>
              </w:rPr>
              <w:t>保洁人员</w:t>
            </w:r>
          </w:p>
        </w:tc>
        <w:tc>
          <w:tcPr>
            <w:tcW w:w="840" w:type="dxa"/>
            <w:vAlign w:val="center"/>
          </w:tcPr>
          <w:p w14:paraId="41994605">
            <w:pPr>
              <w:pStyle w:val="157"/>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宋体"/>
                <w:color w:val="auto"/>
                <w:highlight w:val="none"/>
                <w:lang w:eastAsia="zh-CN"/>
              </w:rPr>
            </w:pPr>
            <w:r>
              <w:rPr>
                <w:rFonts w:hint="eastAsia"/>
                <w:color w:val="auto"/>
                <w:highlight w:val="none"/>
                <w:lang w:val="en-US" w:eastAsia="zh-CN"/>
              </w:rPr>
              <w:t>4</w:t>
            </w:r>
          </w:p>
        </w:tc>
        <w:tc>
          <w:tcPr>
            <w:tcW w:w="5707" w:type="dxa"/>
            <w:vAlign w:val="top"/>
          </w:tcPr>
          <w:p w14:paraId="296EFA3E">
            <w:pPr>
              <w:pStyle w:val="157"/>
              <w:keepNext w:val="0"/>
              <w:keepLines w:val="0"/>
              <w:pageBreakBefore w:val="0"/>
              <w:widowControl w:val="0"/>
              <w:kinsoku/>
              <w:wordWrap/>
              <w:overflowPunct/>
              <w:topLinePunct w:val="0"/>
              <w:autoSpaceDE/>
              <w:autoSpaceDN/>
              <w:bidi w:val="0"/>
              <w:adjustRightInd/>
              <w:snapToGrid/>
              <w:spacing w:line="400" w:lineRule="exact"/>
              <w:ind w:right="134"/>
              <w:textAlignment w:val="auto"/>
              <w:rPr>
                <w:rFonts w:hint="eastAsia" w:eastAsia="宋体"/>
                <w:color w:val="auto"/>
                <w:highlight w:val="none"/>
                <w:lang w:eastAsia="zh-CN"/>
              </w:rPr>
            </w:pPr>
            <w:r>
              <w:rPr>
                <w:color w:val="auto"/>
                <w:spacing w:val="-2"/>
                <w:highlight w:val="none"/>
              </w:rPr>
              <w:t>室内公共部位（办公室、会议室、</w:t>
            </w:r>
            <w:r>
              <w:rPr>
                <w:color w:val="auto"/>
                <w:spacing w:val="-57"/>
                <w:highlight w:val="none"/>
              </w:rPr>
              <w:t xml:space="preserve"> </w:t>
            </w:r>
            <w:r>
              <w:rPr>
                <w:color w:val="auto"/>
                <w:spacing w:val="-2"/>
                <w:highlight w:val="none"/>
              </w:rPr>
              <w:t>公共厕所）和</w:t>
            </w:r>
            <w:r>
              <w:rPr>
                <w:color w:val="auto"/>
                <w:spacing w:val="-3"/>
                <w:highlight w:val="none"/>
              </w:rPr>
              <w:t>门前广场</w:t>
            </w:r>
            <w:r>
              <w:rPr>
                <w:color w:val="auto"/>
                <w:spacing w:val="-2"/>
                <w:highlight w:val="none"/>
              </w:rPr>
              <w:t>的卫生保洁，及垃圾分类和清运等，年龄在</w:t>
            </w:r>
            <w:r>
              <w:rPr>
                <w:color w:val="auto"/>
                <w:spacing w:val="-23"/>
                <w:highlight w:val="none"/>
              </w:rPr>
              <w:t xml:space="preserve"> </w:t>
            </w:r>
            <w:r>
              <w:rPr>
                <w:color w:val="auto"/>
                <w:spacing w:val="-2"/>
                <w:highlight w:val="none"/>
              </w:rPr>
              <w:t>55</w:t>
            </w:r>
            <w:r>
              <w:rPr>
                <w:color w:val="auto"/>
                <w:spacing w:val="-35"/>
                <w:highlight w:val="none"/>
              </w:rPr>
              <w:t xml:space="preserve"> </w:t>
            </w:r>
            <w:r>
              <w:rPr>
                <w:color w:val="auto"/>
                <w:spacing w:val="-2"/>
                <w:highlight w:val="none"/>
              </w:rPr>
              <w:t>周岁以内</w:t>
            </w:r>
            <w:r>
              <w:rPr>
                <w:rFonts w:hint="eastAsia"/>
                <w:color w:val="auto"/>
                <w:spacing w:val="-2"/>
                <w:highlight w:val="none"/>
                <w:lang w:eastAsia="zh-CN"/>
              </w:rPr>
              <w:t>。</w:t>
            </w:r>
          </w:p>
        </w:tc>
      </w:tr>
      <w:tr w14:paraId="743F0F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0" w:hRule="atLeast"/>
        </w:trPr>
        <w:tc>
          <w:tcPr>
            <w:tcW w:w="877" w:type="dxa"/>
            <w:vAlign w:val="center"/>
          </w:tcPr>
          <w:p w14:paraId="1733F6D5">
            <w:pPr>
              <w:pStyle w:val="157"/>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r>
              <w:rPr>
                <w:color w:val="auto"/>
                <w:highlight w:val="none"/>
              </w:rPr>
              <w:t>3</w:t>
            </w:r>
          </w:p>
        </w:tc>
        <w:tc>
          <w:tcPr>
            <w:tcW w:w="1694" w:type="dxa"/>
            <w:vAlign w:val="center"/>
          </w:tcPr>
          <w:p w14:paraId="4D6C43E9">
            <w:pPr>
              <w:pStyle w:val="157"/>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r>
              <w:rPr>
                <w:color w:val="auto"/>
                <w:spacing w:val="-3"/>
                <w:highlight w:val="none"/>
              </w:rPr>
              <w:t>保安人员</w:t>
            </w:r>
          </w:p>
        </w:tc>
        <w:tc>
          <w:tcPr>
            <w:tcW w:w="840" w:type="dxa"/>
            <w:vAlign w:val="center"/>
          </w:tcPr>
          <w:p w14:paraId="5DBE48E5">
            <w:pPr>
              <w:pStyle w:val="157"/>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宋体"/>
                <w:color w:val="auto"/>
                <w:highlight w:val="none"/>
                <w:lang w:eastAsia="zh-CN"/>
              </w:rPr>
            </w:pPr>
            <w:r>
              <w:rPr>
                <w:rFonts w:hint="eastAsia"/>
                <w:color w:val="auto"/>
                <w:highlight w:val="none"/>
                <w:lang w:val="en-US" w:eastAsia="zh-CN"/>
              </w:rPr>
              <w:t>6</w:t>
            </w:r>
          </w:p>
        </w:tc>
        <w:tc>
          <w:tcPr>
            <w:tcW w:w="5707" w:type="dxa"/>
            <w:vAlign w:val="top"/>
          </w:tcPr>
          <w:p w14:paraId="7DE3E451">
            <w:pPr>
              <w:pStyle w:val="157"/>
              <w:keepNext w:val="0"/>
              <w:keepLines w:val="0"/>
              <w:pageBreakBefore w:val="0"/>
              <w:widowControl w:val="0"/>
              <w:kinsoku/>
              <w:wordWrap/>
              <w:overflowPunct/>
              <w:topLinePunct w:val="0"/>
              <w:autoSpaceDE/>
              <w:autoSpaceDN/>
              <w:bidi w:val="0"/>
              <w:adjustRightInd/>
              <w:snapToGrid/>
              <w:spacing w:line="400" w:lineRule="exact"/>
              <w:ind w:right="134"/>
              <w:jc w:val="both"/>
              <w:textAlignment w:val="auto"/>
              <w:rPr>
                <w:color w:val="auto"/>
                <w:highlight w:val="none"/>
              </w:rPr>
            </w:pPr>
            <w:r>
              <w:rPr>
                <w:color w:val="auto"/>
                <w:highlight w:val="none"/>
              </w:rPr>
              <w:t>秩序维护，主要包括：停车场车辆秩序管理，室内</w:t>
            </w:r>
            <w:r>
              <w:rPr>
                <w:color w:val="auto"/>
                <w:spacing w:val="-1"/>
                <w:highlight w:val="none"/>
              </w:rPr>
              <w:t>、外秩</w:t>
            </w:r>
            <w:r>
              <w:rPr>
                <w:color w:val="auto"/>
                <w:highlight w:val="none"/>
              </w:rPr>
              <w:t>序维护管理，夜间值班巡逻，消防、监控、安全等，</w:t>
            </w:r>
            <w:r>
              <w:rPr>
                <w:color w:val="auto"/>
                <w:spacing w:val="-1"/>
                <w:highlight w:val="none"/>
              </w:rPr>
              <w:t>年龄</w:t>
            </w:r>
            <w:r>
              <w:rPr>
                <w:color w:val="auto"/>
                <w:spacing w:val="-7"/>
                <w:highlight w:val="none"/>
              </w:rPr>
              <w:t>在</w:t>
            </w:r>
            <w:r>
              <w:rPr>
                <w:rFonts w:hint="eastAsia"/>
                <w:color w:val="auto"/>
                <w:spacing w:val="-28"/>
                <w:highlight w:val="none"/>
                <w:lang w:val="en-US" w:eastAsia="zh-CN"/>
              </w:rPr>
              <w:t>60</w:t>
            </w:r>
            <w:r>
              <w:rPr>
                <w:color w:val="auto"/>
                <w:spacing w:val="-35"/>
                <w:highlight w:val="none"/>
              </w:rPr>
              <w:t xml:space="preserve"> </w:t>
            </w:r>
            <w:r>
              <w:rPr>
                <w:color w:val="auto"/>
                <w:spacing w:val="-7"/>
                <w:highlight w:val="none"/>
              </w:rPr>
              <w:t>周</w:t>
            </w:r>
            <w:r>
              <w:rPr>
                <w:rFonts w:hint="eastAsia"/>
                <w:color w:val="auto"/>
                <w:spacing w:val="-7"/>
                <w:highlight w:val="none"/>
                <w:lang w:val="en-US" w:eastAsia="zh-CN"/>
              </w:rPr>
              <w:t>岁</w:t>
            </w:r>
            <w:r>
              <w:rPr>
                <w:color w:val="auto"/>
                <w:spacing w:val="-7"/>
                <w:highlight w:val="none"/>
              </w:rPr>
              <w:t>以内。</w:t>
            </w:r>
          </w:p>
        </w:tc>
      </w:tr>
      <w:tr w14:paraId="227BB2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3" w:hRule="atLeast"/>
        </w:trPr>
        <w:tc>
          <w:tcPr>
            <w:tcW w:w="877" w:type="dxa"/>
            <w:vAlign w:val="center"/>
          </w:tcPr>
          <w:p w14:paraId="6BF59D9E">
            <w:pPr>
              <w:pStyle w:val="157"/>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r>
              <w:rPr>
                <w:color w:val="auto"/>
                <w:highlight w:val="none"/>
              </w:rPr>
              <w:t>4</w:t>
            </w:r>
          </w:p>
        </w:tc>
        <w:tc>
          <w:tcPr>
            <w:tcW w:w="1694" w:type="dxa"/>
            <w:vAlign w:val="center"/>
          </w:tcPr>
          <w:p w14:paraId="714AC382">
            <w:pPr>
              <w:pStyle w:val="157"/>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r>
              <w:rPr>
                <w:color w:val="auto"/>
                <w:spacing w:val="-2"/>
                <w:highlight w:val="none"/>
              </w:rPr>
              <w:t>设备维护人员</w:t>
            </w:r>
          </w:p>
        </w:tc>
        <w:tc>
          <w:tcPr>
            <w:tcW w:w="840" w:type="dxa"/>
            <w:vAlign w:val="center"/>
          </w:tcPr>
          <w:p w14:paraId="377D6D0D">
            <w:pPr>
              <w:pStyle w:val="157"/>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r>
              <w:rPr>
                <w:color w:val="auto"/>
                <w:highlight w:val="none"/>
              </w:rPr>
              <w:t>1</w:t>
            </w:r>
          </w:p>
        </w:tc>
        <w:tc>
          <w:tcPr>
            <w:tcW w:w="5707" w:type="dxa"/>
            <w:vAlign w:val="center"/>
          </w:tcPr>
          <w:p w14:paraId="1C36BB6B">
            <w:pPr>
              <w:pStyle w:val="157"/>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eastAsia="宋体"/>
                <w:color w:val="auto"/>
                <w:highlight w:val="none"/>
                <w:lang w:eastAsia="zh-CN"/>
              </w:rPr>
            </w:pPr>
            <w:r>
              <w:rPr>
                <w:color w:val="auto"/>
                <w:highlight w:val="none"/>
              </w:rPr>
              <w:t>做好日常水、电、气、消防设施等的安全巡检检查</w:t>
            </w:r>
            <w:r>
              <w:rPr>
                <w:color w:val="auto"/>
                <w:spacing w:val="-1"/>
                <w:highlight w:val="none"/>
              </w:rPr>
              <w:t>工作</w:t>
            </w:r>
            <w:r>
              <w:rPr>
                <w:rFonts w:hint="eastAsia"/>
                <w:color w:val="auto"/>
                <w:spacing w:val="-1"/>
                <w:highlight w:val="none"/>
                <w:lang w:eastAsia="zh-CN"/>
              </w:rPr>
              <w:t>。</w:t>
            </w:r>
          </w:p>
        </w:tc>
      </w:tr>
      <w:tr w14:paraId="6A9AC9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0" w:hRule="atLeast"/>
        </w:trPr>
        <w:tc>
          <w:tcPr>
            <w:tcW w:w="877" w:type="dxa"/>
            <w:vAlign w:val="center"/>
          </w:tcPr>
          <w:p w14:paraId="0BF8CE21">
            <w:pPr>
              <w:pStyle w:val="157"/>
              <w:keepNext w:val="0"/>
              <w:keepLines w:val="0"/>
              <w:pageBreakBefore w:val="0"/>
              <w:widowControl w:val="0"/>
              <w:kinsoku/>
              <w:wordWrap/>
              <w:overflowPunct/>
              <w:topLinePunct w:val="0"/>
              <w:autoSpaceDE/>
              <w:autoSpaceDN/>
              <w:bidi w:val="0"/>
              <w:adjustRightInd/>
              <w:snapToGrid/>
              <w:spacing w:line="400" w:lineRule="exact"/>
              <w:jc w:val="center"/>
              <w:textAlignment w:val="auto"/>
              <w:rPr>
                <w:b/>
                <w:bCs/>
                <w:color w:val="auto"/>
                <w:highlight w:val="none"/>
              </w:rPr>
            </w:pPr>
            <w:r>
              <w:rPr>
                <w:b/>
                <w:bCs/>
                <w:color w:val="auto"/>
                <w:highlight w:val="none"/>
              </w:rPr>
              <w:t>5</w:t>
            </w:r>
          </w:p>
        </w:tc>
        <w:tc>
          <w:tcPr>
            <w:tcW w:w="1694" w:type="dxa"/>
            <w:vAlign w:val="center"/>
          </w:tcPr>
          <w:p w14:paraId="01D7D6F1">
            <w:pPr>
              <w:pStyle w:val="157"/>
              <w:keepNext w:val="0"/>
              <w:keepLines w:val="0"/>
              <w:pageBreakBefore w:val="0"/>
              <w:widowControl w:val="0"/>
              <w:kinsoku/>
              <w:wordWrap/>
              <w:overflowPunct/>
              <w:topLinePunct w:val="0"/>
              <w:autoSpaceDE/>
              <w:autoSpaceDN/>
              <w:bidi w:val="0"/>
              <w:adjustRightInd/>
              <w:snapToGrid/>
              <w:spacing w:line="400" w:lineRule="exact"/>
              <w:jc w:val="center"/>
              <w:textAlignment w:val="auto"/>
              <w:rPr>
                <w:b/>
                <w:bCs/>
                <w:color w:val="auto"/>
                <w:highlight w:val="none"/>
              </w:rPr>
            </w:pPr>
            <w:r>
              <w:rPr>
                <w:b/>
                <w:bCs/>
                <w:color w:val="auto"/>
                <w:spacing w:val="-3"/>
                <w:highlight w:val="none"/>
              </w:rPr>
              <w:t>合计</w:t>
            </w:r>
          </w:p>
        </w:tc>
        <w:tc>
          <w:tcPr>
            <w:tcW w:w="840" w:type="dxa"/>
            <w:vAlign w:val="center"/>
          </w:tcPr>
          <w:p w14:paraId="56D0370D">
            <w:pPr>
              <w:pStyle w:val="157"/>
              <w:keepNext w:val="0"/>
              <w:keepLines w:val="0"/>
              <w:pageBreakBefore w:val="0"/>
              <w:widowControl w:val="0"/>
              <w:kinsoku/>
              <w:wordWrap/>
              <w:overflowPunct/>
              <w:topLinePunct w:val="0"/>
              <w:autoSpaceDE/>
              <w:autoSpaceDN/>
              <w:bidi w:val="0"/>
              <w:adjustRightInd/>
              <w:snapToGrid/>
              <w:spacing w:line="400" w:lineRule="exact"/>
              <w:jc w:val="center"/>
              <w:textAlignment w:val="auto"/>
              <w:rPr>
                <w:b/>
                <w:bCs/>
                <w:color w:val="auto"/>
                <w:highlight w:val="none"/>
              </w:rPr>
            </w:pPr>
            <w:r>
              <w:rPr>
                <w:b/>
                <w:bCs/>
                <w:color w:val="auto"/>
                <w:spacing w:val="-8"/>
                <w:highlight w:val="none"/>
              </w:rPr>
              <w:t>1</w:t>
            </w:r>
            <w:r>
              <w:rPr>
                <w:rFonts w:hint="eastAsia"/>
                <w:b/>
                <w:bCs/>
                <w:color w:val="auto"/>
                <w:spacing w:val="-8"/>
                <w:highlight w:val="none"/>
                <w:lang w:val="en-US" w:eastAsia="zh-CN"/>
              </w:rPr>
              <w:t>2</w:t>
            </w:r>
            <w:r>
              <w:rPr>
                <w:b/>
                <w:bCs/>
                <w:color w:val="auto"/>
                <w:spacing w:val="-36"/>
                <w:highlight w:val="none"/>
              </w:rPr>
              <w:t xml:space="preserve"> </w:t>
            </w:r>
            <w:r>
              <w:rPr>
                <w:b/>
                <w:bCs/>
                <w:color w:val="auto"/>
                <w:spacing w:val="-8"/>
                <w:highlight w:val="none"/>
              </w:rPr>
              <w:t>人</w:t>
            </w:r>
          </w:p>
        </w:tc>
        <w:tc>
          <w:tcPr>
            <w:tcW w:w="5707" w:type="dxa"/>
            <w:vAlign w:val="center"/>
          </w:tcPr>
          <w:p w14:paraId="6A826EE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Arial"/>
                <w:b/>
                <w:bCs/>
                <w:color w:val="auto"/>
                <w:sz w:val="21"/>
                <w:highlight w:val="none"/>
              </w:rPr>
            </w:pPr>
          </w:p>
        </w:tc>
      </w:tr>
    </w:tbl>
    <w:p w14:paraId="29976969">
      <w:pPr>
        <w:keepNext w:val="0"/>
        <w:keepLines w:val="0"/>
        <w:pageBreakBefore w:val="0"/>
        <w:widowControl w:val="0"/>
        <w:kinsoku/>
        <w:wordWrap/>
        <w:overflowPunct/>
        <w:topLinePunct w:val="0"/>
        <w:autoSpaceDE/>
        <w:autoSpaceDN/>
        <w:bidi w:val="0"/>
        <w:adjustRightInd/>
        <w:snapToGrid/>
        <w:spacing w:line="480" w:lineRule="exact"/>
        <w:ind w:left="0" w:right="0"/>
        <w:textAlignment w:val="auto"/>
        <w:rPr>
          <w:rFonts w:ascii="宋体" w:hAnsi="宋体" w:eastAsia="宋体" w:cs="宋体"/>
          <w:color w:val="auto"/>
          <w:sz w:val="21"/>
          <w:szCs w:val="21"/>
          <w:highlight w:val="none"/>
        </w:rPr>
      </w:pPr>
      <w:r>
        <w:rPr>
          <w:rFonts w:ascii="宋体" w:hAnsi="宋体" w:eastAsia="宋体" w:cs="宋体"/>
          <w:b/>
          <w:bCs/>
          <w:color w:val="auto"/>
          <w:spacing w:val="1"/>
          <w:sz w:val="21"/>
          <w:szCs w:val="21"/>
          <w:highlight w:val="none"/>
        </w:rPr>
        <w:t>注：1.以上配备人员仅为投标最低保障人数，</w:t>
      </w:r>
      <w:r>
        <w:rPr>
          <w:rFonts w:hint="eastAsia" w:ascii="宋体" w:hAnsi="宋体" w:eastAsia="宋体" w:cs="宋体"/>
          <w:b/>
          <w:bCs/>
          <w:color w:val="auto"/>
          <w:spacing w:val="1"/>
          <w:sz w:val="21"/>
          <w:szCs w:val="21"/>
          <w:highlight w:val="none"/>
          <w:lang w:val="en-US" w:eastAsia="zh-CN"/>
        </w:rPr>
        <w:t>中标人中标后须</w:t>
      </w:r>
      <w:r>
        <w:rPr>
          <w:rFonts w:ascii="宋体" w:hAnsi="宋体" w:eastAsia="宋体" w:cs="宋体"/>
          <w:b/>
          <w:bCs/>
          <w:color w:val="auto"/>
          <w:spacing w:val="1"/>
          <w:sz w:val="21"/>
          <w:szCs w:val="21"/>
          <w:highlight w:val="none"/>
        </w:rPr>
        <w:t>按实际服务工作需要</w:t>
      </w:r>
      <w:r>
        <w:rPr>
          <w:rFonts w:hint="eastAsia" w:ascii="宋体" w:hAnsi="宋体" w:eastAsia="宋体" w:cs="宋体"/>
          <w:b/>
          <w:bCs/>
          <w:color w:val="auto"/>
          <w:spacing w:val="1"/>
          <w:sz w:val="21"/>
          <w:szCs w:val="21"/>
          <w:highlight w:val="none"/>
          <w:lang w:val="en-US" w:eastAsia="zh-CN"/>
        </w:rPr>
        <w:t>适当增加相应人员，费用包含在投标报价中</w:t>
      </w:r>
      <w:r>
        <w:rPr>
          <w:rFonts w:ascii="宋体" w:hAnsi="宋体" w:eastAsia="宋体" w:cs="宋体"/>
          <w:b/>
          <w:bCs/>
          <w:color w:val="auto"/>
          <w:spacing w:val="1"/>
          <w:sz w:val="21"/>
          <w:szCs w:val="21"/>
          <w:highlight w:val="none"/>
        </w:rPr>
        <w:t>；</w:t>
      </w:r>
    </w:p>
    <w:p w14:paraId="1E5240CC">
      <w:pPr>
        <w:keepNext w:val="0"/>
        <w:keepLines w:val="0"/>
        <w:pageBreakBefore w:val="0"/>
        <w:widowControl w:val="0"/>
        <w:kinsoku/>
        <w:wordWrap/>
        <w:overflowPunct/>
        <w:topLinePunct w:val="0"/>
        <w:autoSpaceDE/>
        <w:autoSpaceDN/>
        <w:bidi w:val="0"/>
        <w:adjustRightInd/>
        <w:snapToGrid/>
        <w:spacing w:line="480" w:lineRule="exact"/>
        <w:ind w:left="0" w:right="0"/>
        <w:textAlignment w:val="auto"/>
        <w:rPr>
          <w:rFonts w:ascii="宋体" w:hAnsi="宋体" w:eastAsia="宋体" w:cs="宋体"/>
          <w:color w:val="auto"/>
          <w:sz w:val="21"/>
          <w:szCs w:val="21"/>
          <w:highlight w:val="none"/>
        </w:rPr>
      </w:pPr>
      <w:r>
        <w:rPr>
          <w:rFonts w:ascii="宋体" w:hAnsi="宋体" w:eastAsia="宋体" w:cs="宋体"/>
          <w:b/>
          <w:bCs/>
          <w:color w:val="auto"/>
          <w:sz w:val="21"/>
          <w:szCs w:val="21"/>
          <w:highlight w:val="none"/>
        </w:rPr>
        <w:t>2.如遇重大活动，需增派保安</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保洁人员</w:t>
      </w:r>
      <w:r>
        <w:rPr>
          <w:rFonts w:ascii="宋体" w:hAnsi="宋体" w:eastAsia="宋体" w:cs="宋体"/>
          <w:b/>
          <w:bCs/>
          <w:color w:val="auto"/>
          <w:sz w:val="21"/>
          <w:szCs w:val="21"/>
          <w:highlight w:val="none"/>
        </w:rPr>
        <w:t>保障重大活动顺利开展。</w:t>
      </w:r>
    </w:p>
    <w:p w14:paraId="64B35EBA">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textAlignment w:val="auto"/>
        <w:outlineLvl w:val="1"/>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四、服务期限</w:t>
      </w:r>
    </w:p>
    <w:p w14:paraId="2E78BC90">
      <w:pPr>
        <w:spacing w:line="440" w:lineRule="exact"/>
        <w:ind w:firstLine="420" w:firstLineChars="200"/>
        <w:rPr>
          <w:rFonts w:hint="eastAsia" w:ascii="宋体" w:cs="宋体"/>
          <w:color w:val="auto"/>
          <w:kern w:val="0"/>
          <w:szCs w:val="21"/>
          <w:highlight w:val="none"/>
        </w:rPr>
      </w:pPr>
      <w:r>
        <w:rPr>
          <w:rFonts w:hint="eastAsia" w:ascii="宋体"/>
          <w:color w:val="auto"/>
          <w:szCs w:val="21"/>
          <w:highlight w:val="none"/>
          <w:lang w:eastAsia="zh-CN"/>
        </w:rPr>
        <w:t>自合同签订之日起三年服务期（</w:t>
      </w:r>
      <w:r>
        <w:rPr>
          <w:rFonts w:hint="eastAsia" w:ascii="宋体"/>
          <w:b/>
          <w:bCs/>
          <w:color w:val="auto"/>
          <w:szCs w:val="21"/>
          <w:highlight w:val="none"/>
          <w:lang w:eastAsia="zh-CN"/>
        </w:rPr>
        <w:t>合同</w:t>
      </w:r>
      <w:r>
        <w:rPr>
          <w:rFonts w:hint="eastAsia" w:ascii="宋体"/>
          <w:b/>
          <w:bCs/>
          <w:color w:val="auto"/>
          <w:szCs w:val="21"/>
          <w:highlight w:val="none"/>
          <w:lang w:val="en-US" w:eastAsia="zh-CN"/>
        </w:rPr>
        <w:t>一签三年</w:t>
      </w:r>
      <w:r>
        <w:rPr>
          <w:rFonts w:hint="eastAsia" w:ascii="宋体"/>
          <w:b/>
          <w:bCs/>
          <w:color w:val="auto"/>
          <w:szCs w:val="21"/>
          <w:highlight w:val="none"/>
          <w:lang w:eastAsia="zh-CN"/>
        </w:rPr>
        <w:t>，</w:t>
      </w:r>
      <w:r>
        <w:rPr>
          <w:rFonts w:hint="eastAsia" w:ascii="宋体"/>
          <w:b/>
          <w:bCs/>
          <w:color w:val="auto"/>
          <w:szCs w:val="21"/>
          <w:highlight w:val="none"/>
          <w:lang w:val="en-US" w:eastAsia="zh-CN"/>
        </w:rPr>
        <w:t>服务期间经招标人</w:t>
      </w:r>
      <w:r>
        <w:rPr>
          <w:rFonts w:hint="eastAsia" w:ascii="宋体"/>
          <w:b/>
          <w:bCs/>
          <w:color w:val="auto"/>
          <w:szCs w:val="21"/>
          <w:highlight w:val="none"/>
          <w:lang w:eastAsia="zh-CN"/>
        </w:rPr>
        <w:t>考核不合格的，终止合同。</w:t>
      </w:r>
      <w:r>
        <w:rPr>
          <w:rFonts w:hint="eastAsia" w:ascii="宋体"/>
          <w:color w:val="auto"/>
          <w:szCs w:val="21"/>
          <w:highlight w:val="none"/>
          <w:lang w:eastAsia="zh-CN"/>
        </w:rPr>
        <w:t>）</w:t>
      </w:r>
      <w:r>
        <w:rPr>
          <w:rFonts w:hint="eastAsia" w:ascii="宋体"/>
          <w:color w:val="auto"/>
          <w:szCs w:val="21"/>
          <w:highlight w:val="none"/>
        </w:rPr>
        <w:t>。</w:t>
      </w:r>
    </w:p>
    <w:p w14:paraId="2ED8175E">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textAlignment w:val="auto"/>
        <w:outlineLvl w:val="1"/>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五、其他相关要求</w:t>
      </w:r>
    </w:p>
    <w:p w14:paraId="0CD615A4">
      <w:pPr>
        <w:pStyle w:val="148"/>
        <w:spacing w:line="440" w:lineRule="exact"/>
        <w:ind w:right="3" w:firstLine="420" w:firstLineChars="200"/>
        <w:jc w:val="both"/>
        <w:rPr>
          <w:rFonts w:hint="eastAsia"/>
          <w:color w:val="auto"/>
          <w:sz w:val="21"/>
          <w:szCs w:val="21"/>
          <w:highlight w:val="none"/>
        </w:rPr>
      </w:pPr>
      <w:r>
        <w:rPr>
          <w:rFonts w:hint="eastAsia"/>
          <w:color w:val="auto"/>
          <w:sz w:val="21"/>
          <w:szCs w:val="21"/>
          <w:highlight w:val="none"/>
        </w:rPr>
        <w:t>1、以上服务内容，由于</w:t>
      </w:r>
      <w:r>
        <w:rPr>
          <w:rFonts w:hint="eastAsia"/>
          <w:color w:val="auto"/>
          <w:sz w:val="21"/>
          <w:szCs w:val="21"/>
          <w:highlight w:val="none"/>
          <w:lang w:eastAsia="zh-CN"/>
        </w:rPr>
        <w:t>中标人</w:t>
      </w:r>
      <w:r>
        <w:rPr>
          <w:rFonts w:hint="eastAsia"/>
          <w:color w:val="auto"/>
          <w:sz w:val="21"/>
          <w:szCs w:val="21"/>
          <w:highlight w:val="none"/>
        </w:rPr>
        <w:t>工作不力、监管不到位等自身原因引起的各种事故及造成的各类损失，由</w:t>
      </w:r>
      <w:r>
        <w:rPr>
          <w:rFonts w:hint="eastAsia"/>
          <w:color w:val="auto"/>
          <w:sz w:val="21"/>
          <w:szCs w:val="21"/>
          <w:highlight w:val="none"/>
          <w:lang w:eastAsia="zh-CN"/>
        </w:rPr>
        <w:t>中标人</w:t>
      </w:r>
      <w:r>
        <w:rPr>
          <w:rFonts w:hint="eastAsia"/>
          <w:color w:val="auto"/>
          <w:sz w:val="21"/>
          <w:szCs w:val="21"/>
          <w:highlight w:val="none"/>
        </w:rPr>
        <w:t>承担全部经济和法律责任。</w:t>
      </w:r>
    </w:p>
    <w:p w14:paraId="0A80EF99">
      <w:pPr>
        <w:pStyle w:val="148"/>
        <w:spacing w:line="440" w:lineRule="exact"/>
        <w:ind w:right="3" w:firstLine="420" w:firstLineChars="200"/>
        <w:jc w:val="both"/>
        <w:rPr>
          <w:rFonts w:hint="eastAsia"/>
          <w:color w:val="auto"/>
          <w:sz w:val="21"/>
          <w:szCs w:val="21"/>
          <w:highlight w:val="none"/>
        </w:rPr>
      </w:pPr>
      <w:r>
        <w:rPr>
          <w:rFonts w:hint="eastAsia"/>
          <w:color w:val="auto"/>
          <w:sz w:val="21"/>
          <w:szCs w:val="21"/>
          <w:highlight w:val="none"/>
        </w:rPr>
        <w:t>2、</w:t>
      </w:r>
      <w:r>
        <w:rPr>
          <w:rFonts w:hint="eastAsia"/>
          <w:color w:val="auto"/>
          <w:sz w:val="21"/>
          <w:szCs w:val="21"/>
          <w:highlight w:val="none"/>
          <w:lang w:eastAsia="zh-CN"/>
        </w:rPr>
        <w:t>中标人</w:t>
      </w:r>
      <w:r>
        <w:rPr>
          <w:rFonts w:hint="eastAsia"/>
          <w:color w:val="auto"/>
          <w:sz w:val="21"/>
          <w:szCs w:val="21"/>
          <w:highlight w:val="none"/>
        </w:rPr>
        <w:t>遵守物业法规，承担招标</w:t>
      </w:r>
      <w:r>
        <w:rPr>
          <w:rFonts w:hint="eastAsia"/>
          <w:color w:val="auto"/>
          <w:sz w:val="21"/>
          <w:szCs w:val="21"/>
          <w:highlight w:val="none"/>
          <w:lang w:val="en-US" w:eastAsia="zh-CN"/>
        </w:rPr>
        <w:t>人</w:t>
      </w:r>
      <w:r>
        <w:rPr>
          <w:rFonts w:hint="eastAsia"/>
          <w:color w:val="auto"/>
          <w:sz w:val="21"/>
          <w:szCs w:val="21"/>
          <w:highlight w:val="none"/>
        </w:rPr>
        <w:t>的物业服务及物业安全责任，达到物业工作质量标准。</w:t>
      </w:r>
    </w:p>
    <w:p w14:paraId="2C858C60">
      <w:pPr>
        <w:pStyle w:val="148"/>
        <w:spacing w:line="440" w:lineRule="exact"/>
        <w:ind w:right="3" w:firstLine="420" w:firstLineChars="200"/>
        <w:jc w:val="both"/>
        <w:rPr>
          <w:rFonts w:hint="eastAsia"/>
          <w:color w:val="auto"/>
          <w:sz w:val="21"/>
          <w:szCs w:val="21"/>
          <w:highlight w:val="none"/>
        </w:rPr>
      </w:pPr>
      <w:r>
        <w:rPr>
          <w:rFonts w:hint="eastAsia"/>
          <w:color w:val="auto"/>
          <w:sz w:val="21"/>
          <w:szCs w:val="21"/>
          <w:highlight w:val="none"/>
        </w:rPr>
        <w:t>3、</w:t>
      </w:r>
      <w:r>
        <w:rPr>
          <w:rFonts w:hint="eastAsia"/>
          <w:color w:val="auto"/>
          <w:sz w:val="21"/>
          <w:szCs w:val="21"/>
          <w:highlight w:val="none"/>
          <w:lang w:eastAsia="zh-CN"/>
        </w:rPr>
        <w:t>中标人</w:t>
      </w:r>
      <w:r>
        <w:rPr>
          <w:rFonts w:hint="eastAsia"/>
          <w:color w:val="auto"/>
          <w:sz w:val="21"/>
          <w:szCs w:val="21"/>
          <w:highlight w:val="none"/>
        </w:rPr>
        <w:t>应严格按照物业协议，按规定人数上岗，执行物业岗位职责、服务质量标准，承担物业管理服务、安全运行责任，达到全职全责。</w:t>
      </w:r>
    </w:p>
    <w:p w14:paraId="379A9BB7">
      <w:pPr>
        <w:pStyle w:val="148"/>
        <w:spacing w:line="440" w:lineRule="exact"/>
        <w:ind w:right="3" w:firstLine="420" w:firstLineChars="200"/>
        <w:jc w:val="both"/>
        <w:rPr>
          <w:rFonts w:hint="eastAsia"/>
          <w:color w:val="auto"/>
          <w:sz w:val="21"/>
          <w:szCs w:val="21"/>
          <w:highlight w:val="none"/>
        </w:rPr>
      </w:pPr>
      <w:r>
        <w:rPr>
          <w:rFonts w:hint="eastAsia"/>
          <w:color w:val="auto"/>
          <w:sz w:val="21"/>
          <w:szCs w:val="21"/>
          <w:highlight w:val="none"/>
        </w:rPr>
        <w:t>4、物业员工必须经培训合格后上岗，胜任本职、本岗工作。凡达不到工作要求的员工，</w:t>
      </w:r>
      <w:r>
        <w:rPr>
          <w:rFonts w:hint="eastAsia"/>
          <w:color w:val="auto"/>
          <w:sz w:val="21"/>
          <w:szCs w:val="21"/>
          <w:highlight w:val="none"/>
          <w:lang w:eastAsia="zh-CN"/>
        </w:rPr>
        <w:t>中标人</w:t>
      </w:r>
      <w:r>
        <w:rPr>
          <w:rFonts w:hint="eastAsia"/>
          <w:color w:val="auto"/>
          <w:sz w:val="21"/>
          <w:szCs w:val="21"/>
          <w:highlight w:val="none"/>
        </w:rPr>
        <w:t>应及时调换。</w:t>
      </w:r>
    </w:p>
    <w:p w14:paraId="4BD569E1">
      <w:pPr>
        <w:pStyle w:val="148"/>
        <w:spacing w:line="440" w:lineRule="exact"/>
        <w:ind w:right="3" w:firstLine="420" w:firstLineChars="200"/>
        <w:jc w:val="both"/>
        <w:rPr>
          <w:rFonts w:hint="eastAsia"/>
          <w:color w:val="auto"/>
          <w:sz w:val="21"/>
          <w:szCs w:val="21"/>
          <w:highlight w:val="none"/>
        </w:rPr>
      </w:pPr>
      <w:r>
        <w:rPr>
          <w:rFonts w:hint="eastAsia"/>
          <w:color w:val="auto"/>
          <w:sz w:val="21"/>
          <w:szCs w:val="21"/>
          <w:highlight w:val="none"/>
        </w:rPr>
        <w:t>5、物业员工文明上岗，统一着装，标志明显，自觉遵守相关规章制度。</w:t>
      </w:r>
    </w:p>
    <w:p w14:paraId="2E22AE3E">
      <w:pPr>
        <w:pStyle w:val="148"/>
        <w:spacing w:line="440" w:lineRule="exact"/>
        <w:ind w:right="3" w:firstLine="420" w:firstLineChars="200"/>
        <w:jc w:val="both"/>
        <w:rPr>
          <w:rFonts w:hint="eastAsia"/>
          <w:color w:val="auto"/>
          <w:sz w:val="21"/>
          <w:szCs w:val="21"/>
          <w:highlight w:val="none"/>
        </w:rPr>
      </w:pPr>
      <w:r>
        <w:rPr>
          <w:rFonts w:hint="eastAsia"/>
          <w:color w:val="auto"/>
          <w:sz w:val="21"/>
          <w:szCs w:val="21"/>
          <w:highlight w:val="none"/>
        </w:rPr>
        <w:t>6、遇雨雪天气，及时组织人员清理道路、各门门前保证畅通无阻。</w:t>
      </w:r>
    </w:p>
    <w:p w14:paraId="18A80306">
      <w:pPr>
        <w:pStyle w:val="148"/>
        <w:spacing w:line="440" w:lineRule="exact"/>
        <w:ind w:right="3" w:firstLine="420" w:firstLineChars="200"/>
        <w:jc w:val="both"/>
        <w:rPr>
          <w:rFonts w:hint="eastAsia"/>
          <w:color w:val="auto"/>
          <w:sz w:val="21"/>
          <w:szCs w:val="21"/>
          <w:highlight w:val="none"/>
        </w:rPr>
      </w:pPr>
      <w:r>
        <w:rPr>
          <w:rFonts w:hint="eastAsia"/>
          <w:color w:val="auto"/>
          <w:sz w:val="21"/>
          <w:szCs w:val="21"/>
          <w:highlight w:val="none"/>
        </w:rPr>
        <w:t>7、招标</w:t>
      </w:r>
      <w:r>
        <w:rPr>
          <w:rFonts w:hint="eastAsia"/>
          <w:color w:val="auto"/>
          <w:sz w:val="21"/>
          <w:szCs w:val="21"/>
          <w:highlight w:val="none"/>
          <w:lang w:val="en-US" w:eastAsia="zh-CN"/>
        </w:rPr>
        <w:t>人</w:t>
      </w:r>
      <w:r>
        <w:rPr>
          <w:rFonts w:hint="eastAsia"/>
          <w:color w:val="auto"/>
          <w:sz w:val="21"/>
          <w:szCs w:val="21"/>
          <w:highlight w:val="none"/>
        </w:rPr>
        <w:t>因紧急或特别事件的需要，而要求中标</w:t>
      </w:r>
      <w:r>
        <w:rPr>
          <w:rFonts w:hint="eastAsia"/>
          <w:color w:val="auto"/>
          <w:sz w:val="21"/>
          <w:szCs w:val="21"/>
          <w:highlight w:val="none"/>
          <w:lang w:val="en-US" w:eastAsia="zh-CN"/>
        </w:rPr>
        <w:t>人</w:t>
      </w:r>
      <w:r>
        <w:rPr>
          <w:rFonts w:hint="eastAsia"/>
          <w:color w:val="auto"/>
          <w:sz w:val="21"/>
          <w:szCs w:val="21"/>
          <w:highlight w:val="none"/>
        </w:rPr>
        <w:t>临时突击卫生清洁工作及安全保卫工作时，中标</w:t>
      </w:r>
      <w:r>
        <w:rPr>
          <w:rFonts w:hint="eastAsia"/>
          <w:color w:val="auto"/>
          <w:sz w:val="21"/>
          <w:szCs w:val="21"/>
          <w:highlight w:val="none"/>
          <w:lang w:val="en-US" w:eastAsia="zh-CN"/>
        </w:rPr>
        <w:t>人</w:t>
      </w:r>
      <w:r>
        <w:rPr>
          <w:rFonts w:hint="eastAsia"/>
          <w:color w:val="auto"/>
          <w:sz w:val="21"/>
          <w:szCs w:val="21"/>
          <w:highlight w:val="none"/>
        </w:rPr>
        <w:t>应无条件执行，有关费用计入投标报价中。紧急或特别事件指（但不限于）：上级领导视察工作，进行重大文体、喜庆活动和暴雨、冰雪天等自然天气的突击清理以及安全保卫工作等。</w:t>
      </w:r>
    </w:p>
    <w:p w14:paraId="2B6E6F25">
      <w:pPr>
        <w:pStyle w:val="148"/>
        <w:spacing w:line="440" w:lineRule="exact"/>
        <w:ind w:right="3" w:firstLine="420" w:firstLineChars="200"/>
        <w:jc w:val="both"/>
        <w:rPr>
          <w:rFonts w:hint="eastAsia"/>
          <w:color w:val="auto"/>
          <w:sz w:val="21"/>
          <w:szCs w:val="21"/>
          <w:highlight w:val="none"/>
        </w:rPr>
      </w:pPr>
      <w:r>
        <w:rPr>
          <w:color w:val="auto"/>
          <w:sz w:val="21"/>
          <w:szCs w:val="21"/>
          <w:highlight w:val="none"/>
        </w:rPr>
        <w:t>8</w:t>
      </w:r>
      <w:r>
        <w:rPr>
          <w:rFonts w:hint="eastAsia"/>
          <w:color w:val="auto"/>
          <w:sz w:val="21"/>
          <w:szCs w:val="21"/>
          <w:highlight w:val="none"/>
        </w:rPr>
        <w:t>、滁州市人社局对滁州市人员最低工资及五险进行调整时，人员工资</w:t>
      </w:r>
      <w:r>
        <w:rPr>
          <w:color w:val="auto"/>
          <w:sz w:val="21"/>
          <w:szCs w:val="21"/>
          <w:highlight w:val="none"/>
        </w:rPr>
        <w:t>和五险</w:t>
      </w:r>
      <w:r>
        <w:rPr>
          <w:rFonts w:hint="eastAsia"/>
          <w:color w:val="auto"/>
          <w:sz w:val="21"/>
          <w:szCs w:val="21"/>
          <w:highlight w:val="none"/>
        </w:rPr>
        <w:t>按最底标准作相应调整。</w:t>
      </w:r>
    </w:p>
    <w:p w14:paraId="7D05DFC0">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textAlignment w:val="auto"/>
        <w:outlineLvl w:val="1"/>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六、投标报价</w:t>
      </w:r>
    </w:p>
    <w:p w14:paraId="74CA8586">
      <w:pPr>
        <w:pStyle w:val="148"/>
        <w:spacing w:line="440" w:lineRule="exact"/>
        <w:ind w:right="3" w:firstLine="420" w:firstLineChars="200"/>
        <w:jc w:val="both"/>
        <w:rPr>
          <w:rFonts w:hint="default"/>
          <w:color w:val="auto"/>
          <w:sz w:val="21"/>
          <w:szCs w:val="21"/>
          <w:highlight w:val="none"/>
          <w:lang w:val="en-US" w:eastAsia="zh-CN"/>
        </w:rPr>
      </w:pPr>
      <w:r>
        <w:rPr>
          <w:rFonts w:hint="eastAsia"/>
          <w:color w:val="auto"/>
          <w:sz w:val="21"/>
          <w:szCs w:val="21"/>
          <w:highlight w:val="none"/>
          <w:lang w:val="en-US" w:eastAsia="zh-CN"/>
        </w:rPr>
        <w:t>投标报价中应包含完成招标项目范围内的全部物业服务内容所需的全部费用，具体包括但不限于：</w:t>
      </w:r>
    </w:p>
    <w:p w14:paraId="542041FB">
      <w:pPr>
        <w:pStyle w:val="148"/>
        <w:spacing w:line="440" w:lineRule="exact"/>
        <w:ind w:right="3" w:firstLine="420" w:firstLineChars="200"/>
        <w:jc w:val="both"/>
        <w:rPr>
          <w:rFonts w:hint="eastAsia"/>
          <w:color w:val="auto"/>
          <w:sz w:val="21"/>
          <w:szCs w:val="21"/>
          <w:highlight w:val="none"/>
          <w:lang w:val="en-US" w:eastAsia="zh-CN"/>
        </w:rPr>
      </w:pPr>
      <w:r>
        <w:rPr>
          <w:rFonts w:hint="eastAsia"/>
          <w:color w:val="auto"/>
          <w:sz w:val="21"/>
          <w:szCs w:val="21"/>
          <w:highlight w:val="none"/>
          <w:lang w:val="en-US" w:eastAsia="zh-CN"/>
        </w:rPr>
        <w:t>（1）人工费用(含所有服务于本项目的各类人员的工资、福利、社保（企业部分的社保费用和个人部分的社保费用）、服装、交通费用、人身安全等)；</w:t>
      </w:r>
    </w:p>
    <w:p w14:paraId="60726E12">
      <w:pPr>
        <w:pStyle w:val="148"/>
        <w:spacing w:line="440" w:lineRule="exact"/>
        <w:ind w:right="3" w:firstLine="420" w:firstLineChars="200"/>
        <w:jc w:val="both"/>
        <w:rPr>
          <w:rFonts w:hint="eastAsia"/>
          <w:color w:val="auto"/>
          <w:sz w:val="21"/>
          <w:szCs w:val="21"/>
          <w:highlight w:val="none"/>
          <w:lang w:val="en-US" w:eastAsia="zh-CN"/>
        </w:rPr>
      </w:pPr>
      <w:r>
        <w:rPr>
          <w:rFonts w:hint="eastAsia"/>
          <w:color w:val="auto"/>
          <w:sz w:val="21"/>
          <w:szCs w:val="21"/>
          <w:highlight w:val="none"/>
          <w:lang w:val="en-US" w:eastAsia="zh-CN"/>
        </w:rPr>
        <w:t>（2）耗材费用（包括服务于本项目的各类耗品，如拖把、抹布、垃圾袋、垃圾桶、消毒液等，卫生间需配抽纸、擦手纸、卫生球、洗手液等）；</w:t>
      </w:r>
    </w:p>
    <w:p w14:paraId="27578404">
      <w:pPr>
        <w:pStyle w:val="148"/>
        <w:spacing w:line="440" w:lineRule="exact"/>
        <w:ind w:right="3" w:firstLine="420" w:firstLineChars="200"/>
        <w:jc w:val="both"/>
        <w:rPr>
          <w:rFonts w:hint="eastAsia"/>
          <w:color w:val="auto"/>
          <w:sz w:val="21"/>
          <w:szCs w:val="21"/>
          <w:highlight w:val="none"/>
          <w:lang w:val="en-US" w:eastAsia="zh-CN"/>
        </w:rPr>
      </w:pPr>
      <w:r>
        <w:rPr>
          <w:rFonts w:hint="eastAsia"/>
          <w:color w:val="auto"/>
          <w:sz w:val="21"/>
          <w:szCs w:val="21"/>
          <w:highlight w:val="none"/>
          <w:lang w:val="en-US" w:eastAsia="zh-CN"/>
        </w:rPr>
        <w:t>（3）行政费用（含办公费用、门卫及值班电话等通讯费用）；</w:t>
      </w:r>
    </w:p>
    <w:p w14:paraId="0A9B893F">
      <w:pPr>
        <w:pStyle w:val="148"/>
        <w:spacing w:line="440" w:lineRule="exact"/>
        <w:ind w:right="3" w:firstLine="420" w:firstLineChars="200"/>
        <w:jc w:val="both"/>
        <w:rPr>
          <w:rFonts w:hint="eastAsia"/>
          <w:color w:val="auto"/>
          <w:sz w:val="21"/>
          <w:szCs w:val="21"/>
          <w:highlight w:val="none"/>
          <w:lang w:val="en-US" w:eastAsia="zh-CN"/>
        </w:rPr>
      </w:pPr>
      <w:r>
        <w:rPr>
          <w:rFonts w:hint="eastAsia"/>
          <w:color w:val="auto"/>
          <w:sz w:val="21"/>
          <w:szCs w:val="21"/>
          <w:highlight w:val="none"/>
          <w:lang w:val="en-US" w:eastAsia="zh-CN"/>
        </w:rPr>
        <w:t>（4）其他（含垃圾清运、下水疏通、防虫灭鼠、垃圾桶、前期介入费，低值易耗品、标牌标线维修等物业相关所有费用）；</w:t>
      </w:r>
    </w:p>
    <w:p w14:paraId="57F09D7E">
      <w:pPr>
        <w:pStyle w:val="148"/>
        <w:spacing w:line="440" w:lineRule="exact"/>
        <w:ind w:right="3" w:firstLine="420" w:firstLineChars="200"/>
        <w:jc w:val="both"/>
        <w:rPr>
          <w:rFonts w:hint="eastAsia"/>
          <w:color w:val="auto"/>
          <w:sz w:val="21"/>
          <w:szCs w:val="21"/>
          <w:highlight w:val="none"/>
          <w:lang w:val="en-US" w:eastAsia="zh-CN"/>
        </w:rPr>
      </w:pPr>
      <w:r>
        <w:rPr>
          <w:rFonts w:hint="eastAsia"/>
          <w:color w:val="auto"/>
          <w:sz w:val="21"/>
          <w:szCs w:val="21"/>
          <w:highlight w:val="none"/>
          <w:lang w:val="en-US" w:eastAsia="zh-CN"/>
        </w:rPr>
        <w:t>（5）招标代理服务费；</w:t>
      </w:r>
    </w:p>
    <w:p w14:paraId="0A28A9D7">
      <w:pPr>
        <w:pStyle w:val="148"/>
        <w:spacing w:line="440" w:lineRule="exact"/>
        <w:ind w:right="3" w:firstLine="420" w:firstLineChars="200"/>
        <w:jc w:val="both"/>
        <w:rPr>
          <w:rFonts w:hint="eastAsia"/>
          <w:color w:val="auto"/>
          <w:sz w:val="21"/>
          <w:szCs w:val="21"/>
          <w:highlight w:val="none"/>
          <w:lang w:val="en-US" w:eastAsia="zh-CN"/>
        </w:rPr>
      </w:pPr>
      <w:r>
        <w:rPr>
          <w:rFonts w:hint="eastAsia"/>
          <w:color w:val="auto"/>
          <w:sz w:val="21"/>
          <w:szCs w:val="21"/>
          <w:highlight w:val="none"/>
          <w:lang w:val="en-US" w:eastAsia="zh-CN"/>
        </w:rPr>
        <w:t>（6）企业管理费、税金、利润等。</w:t>
      </w:r>
    </w:p>
    <w:p w14:paraId="4A553663">
      <w:pPr>
        <w:pStyle w:val="148"/>
        <w:spacing w:line="440" w:lineRule="exact"/>
        <w:ind w:right="3"/>
        <w:jc w:val="both"/>
        <w:rPr>
          <w:rFonts w:hint="eastAsia" w:ascii="宋体" w:eastAsia="宋体" w:cs="宋体"/>
          <w:b/>
          <w:bCs/>
          <w:color w:val="auto"/>
          <w:sz w:val="21"/>
          <w:szCs w:val="21"/>
          <w:highlight w:val="none"/>
          <w:lang w:val="en-US" w:eastAsia="zh-CN"/>
        </w:rPr>
      </w:pPr>
      <w:r>
        <w:rPr>
          <w:rFonts w:hint="eastAsia" w:ascii="宋体" w:eastAsia="宋体" w:cs="宋体"/>
          <w:b/>
          <w:bCs/>
          <w:color w:val="auto"/>
          <w:sz w:val="21"/>
          <w:szCs w:val="21"/>
          <w:highlight w:val="none"/>
          <w:lang w:val="en-US" w:eastAsia="zh-CN"/>
        </w:rPr>
        <w:t>相关说明：</w:t>
      </w:r>
    </w:p>
    <w:p w14:paraId="4C919511">
      <w:pPr>
        <w:pStyle w:val="148"/>
        <w:spacing w:line="440" w:lineRule="exact"/>
        <w:ind w:right="3" w:firstLine="420" w:firstLineChars="200"/>
        <w:jc w:val="both"/>
        <w:rPr>
          <w:rFonts w:hint="eastAsia"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（1）投标报价不含服务区域水、电、气费用；</w:t>
      </w:r>
    </w:p>
    <w:p w14:paraId="242F77B6">
      <w:pPr>
        <w:pStyle w:val="148"/>
        <w:spacing w:line="440" w:lineRule="exact"/>
        <w:ind w:right="3" w:firstLine="420" w:firstLineChars="200"/>
        <w:jc w:val="both"/>
        <w:rPr>
          <w:rFonts w:hint="eastAsia"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（2）服务区域所有公共设备设施的维护由中标人提供技术服务，所需材料由招标人负责；</w:t>
      </w:r>
    </w:p>
    <w:p w14:paraId="3B96A9B9">
      <w:pPr>
        <w:pStyle w:val="148"/>
        <w:spacing w:line="440" w:lineRule="exact"/>
        <w:ind w:right="3" w:firstLine="422" w:firstLineChars="200"/>
        <w:jc w:val="both"/>
        <w:rPr>
          <w:rFonts w:hint="eastAsia" w:ascii="宋体" w:eastAsia="宋体" w:cs="宋体"/>
          <w:b/>
          <w:bCs/>
          <w:color w:val="auto"/>
          <w:sz w:val="21"/>
          <w:szCs w:val="21"/>
          <w:highlight w:val="none"/>
          <w:lang w:val="en-US" w:eastAsia="zh-CN"/>
        </w:rPr>
      </w:pPr>
      <w:r>
        <w:rPr>
          <w:rFonts w:hint="eastAsia" w:ascii="宋体" w:eastAsia="宋体" w:cs="宋体"/>
          <w:b/>
          <w:bCs/>
          <w:color w:val="auto"/>
          <w:sz w:val="21"/>
          <w:szCs w:val="21"/>
          <w:highlight w:val="none"/>
          <w:lang w:val="en-US" w:eastAsia="zh-CN"/>
        </w:rPr>
        <w:t>（3）</w:t>
      </w:r>
      <w:r>
        <w:rPr>
          <w:rFonts w:hint="eastAsia" w:cs="宋体"/>
          <w:b/>
          <w:bCs/>
          <w:color w:val="auto"/>
          <w:sz w:val="21"/>
          <w:szCs w:val="21"/>
          <w:highlight w:val="none"/>
          <w:lang w:val="en-US" w:eastAsia="zh-CN"/>
        </w:rPr>
        <w:t>重大活动配合保障费用（重大活动配合保障时，配合保障的人员中须具有市级及以上语言文字工作部门颁发的普通话二级乙等及以上等级证书、全国计算机等级证书、应急救援员或救护员证书，如中标单位无此类配合保障人员，允许外聘人员进行保障。年度20场以内，招标人不另行支付任何费用，中标人综合考虑，包含在投标报价中，超过20场的，甲方视情况给予适当补助，具体补助金额双方协商解决。）</w:t>
      </w:r>
      <w:r>
        <w:rPr>
          <w:rFonts w:hint="eastAsia" w:ascii="宋体" w:eastAsia="宋体" w:cs="宋体"/>
          <w:b/>
          <w:bCs/>
          <w:color w:val="auto"/>
          <w:sz w:val="21"/>
          <w:szCs w:val="21"/>
          <w:highlight w:val="none"/>
          <w:lang w:val="en-US" w:eastAsia="zh-CN"/>
        </w:rPr>
        <w:t>；</w:t>
      </w:r>
    </w:p>
    <w:p w14:paraId="1285A318">
      <w:pPr>
        <w:pStyle w:val="148"/>
        <w:spacing w:line="440" w:lineRule="exact"/>
        <w:ind w:right="3" w:firstLine="420" w:firstLineChars="200"/>
        <w:jc w:val="both"/>
        <w:rPr>
          <w:rFonts w:hint="eastAsia"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（4）服务费用在投标总价基础上，除奖罚额度</w:t>
      </w:r>
      <w:r>
        <w:rPr>
          <w:rFonts w:hint="eastAsia" w:cs="宋体"/>
          <w:color w:val="auto"/>
          <w:sz w:val="21"/>
          <w:szCs w:val="21"/>
          <w:highlight w:val="none"/>
          <w:lang w:val="en-US" w:eastAsia="zh-CN"/>
        </w:rPr>
        <w:t>、重大活动配合保障费补助</w:t>
      </w:r>
      <w:r>
        <w:rPr>
          <w:rFonts w:hint="eastAsia" w:ascii="宋体" w:eastAsia="宋体" w:cs="宋体"/>
          <w:color w:val="auto"/>
          <w:sz w:val="21"/>
          <w:szCs w:val="21"/>
          <w:highlight w:val="none"/>
          <w:lang w:val="en-US" w:eastAsia="zh-CN"/>
        </w:rPr>
        <w:t>外，其余不予调整。</w:t>
      </w:r>
    </w:p>
    <w:p w14:paraId="56079652">
      <w:pPr>
        <w:pStyle w:val="148"/>
        <w:spacing w:line="440" w:lineRule="exact"/>
        <w:ind w:right="3" w:firstLine="420" w:firstLineChars="200"/>
        <w:jc w:val="both"/>
        <w:rPr>
          <w:rFonts w:hint="eastAsia"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（5）滁州市人社局对滁州市人员最低工资及五险进行调整时，人员工资按最低标准作相应调整。</w:t>
      </w:r>
    </w:p>
    <w:p w14:paraId="458357A9">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textAlignment w:val="auto"/>
        <w:outlineLvl w:val="1"/>
        <w:rPr>
          <w:rFonts w:hint="eastAsia" w:ascii="宋体" w:hAnsi="宋体" w:eastAsia="宋体" w:cs="宋体"/>
          <w:b/>
          <w:bCs/>
          <w:color w:val="auto"/>
          <w:kern w:val="0"/>
          <w:sz w:val="24"/>
          <w:szCs w:val="24"/>
          <w:highlight w:val="none"/>
          <w:lang w:val="zh-CN" w:eastAsia="zh-CN" w:bidi="ar-SA"/>
        </w:rPr>
      </w:pPr>
      <w:r>
        <w:rPr>
          <w:rFonts w:hint="eastAsia" w:ascii="宋体" w:hAnsi="宋体" w:eastAsia="宋体" w:cs="宋体"/>
          <w:b/>
          <w:bCs/>
          <w:color w:val="auto"/>
          <w:kern w:val="0"/>
          <w:sz w:val="24"/>
          <w:szCs w:val="24"/>
          <w:highlight w:val="none"/>
          <w:lang w:val="en-US" w:eastAsia="zh-CN" w:bidi="ar-SA"/>
        </w:rPr>
        <w:t>七</w:t>
      </w:r>
      <w:r>
        <w:rPr>
          <w:rFonts w:hint="eastAsia" w:ascii="宋体" w:hAnsi="宋体" w:eastAsia="宋体" w:cs="宋体"/>
          <w:b/>
          <w:bCs/>
          <w:color w:val="auto"/>
          <w:kern w:val="0"/>
          <w:sz w:val="24"/>
          <w:szCs w:val="24"/>
          <w:highlight w:val="none"/>
          <w:lang w:val="zh-CN" w:eastAsia="zh-CN" w:bidi="ar-SA"/>
        </w:rPr>
        <w:t>、考核评分标准：</w:t>
      </w:r>
      <w:r>
        <w:rPr>
          <w:rFonts w:hint="eastAsia" w:ascii="宋体" w:hAnsi="宋体" w:eastAsia="宋体" w:cs="宋体"/>
          <w:b/>
          <w:bCs/>
          <w:color w:val="auto"/>
          <w:kern w:val="0"/>
          <w:sz w:val="24"/>
          <w:szCs w:val="24"/>
          <w:highlight w:val="none"/>
          <w:lang w:val="en-US" w:eastAsia="zh-CN" w:bidi="ar-SA"/>
        </w:rPr>
        <w:t>详见合同附件。</w:t>
      </w:r>
    </w:p>
    <w:p w14:paraId="1722A3A5">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textAlignment w:val="auto"/>
        <w:outlineLvl w:val="1"/>
        <w:rPr>
          <w:rFonts w:hint="eastAsia" w:ascii="宋体" w:hAnsi="宋体" w:eastAsia="宋体" w:cs="宋体"/>
          <w:b/>
          <w:bCs/>
          <w:color w:val="auto"/>
          <w:kern w:val="0"/>
          <w:sz w:val="24"/>
          <w:szCs w:val="24"/>
          <w:highlight w:val="none"/>
          <w:lang w:val="zh-CN" w:eastAsia="zh-CN" w:bidi="ar-SA"/>
        </w:rPr>
      </w:pPr>
      <w:r>
        <w:rPr>
          <w:rFonts w:hint="eastAsia" w:ascii="宋体" w:hAnsi="宋体" w:eastAsia="宋体" w:cs="宋体"/>
          <w:b/>
          <w:bCs/>
          <w:color w:val="auto"/>
          <w:kern w:val="0"/>
          <w:sz w:val="24"/>
          <w:szCs w:val="24"/>
          <w:highlight w:val="none"/>
          <w:lang w:val="zh-CN" w:eastAsia="zh-CN" w:bidi="ar-SA"/>
        </w:rPr>
        <w:br w:type="page"/>
      </w:r>
    </w:p>
    <w:p w14:paraId="630DE699">
      <w:pPr>
        <w:rPr>
          <w:rFonts w:hint="eastAsia" w:ascii="宋体" w:hAnsi="宋体" w:eastAsia="宋体" w:cs="宋体"/>
          <w:b/>
          <w:color w:val="auto"/>
          <w:sz w:val="21"/>
          <w:szCs w:val="21"/>
          <w:highlight w:val="none"/>
        </w:rPr>
      </w:pPr>
    </w:p>
    <w:p w14:paraId="58D521C3">
      <w:pPr>
        <w:keepNext w:val="0"/>
        <w:keepLines w:val="0"/>
        <w:pageBreakBefore w:val="0"/>
        <w:widowControl w:val="0"/>
        <w:numPr>
          <w:ilvl w:val="0"/>
          <w:numId w:val="0"/>
        </w:numPr>
        <w:kinsoku/>
        <w:wordWrap/>
        <w:overflowPunct/>
        <w:topLinePunct w:val="0"/>
        <w:autoSpaceDE/>
        <w:autoSpaceDN/>
        <w:bidi w:val="0"/>
        <w:adjustRightInd/>
        <w:snapToGrid/>
        <w:spacing w:before="95" w:beforeLines="30" w:after="95" w:afterLines="30" w:line="360" w:lineRule="exact"/>
        <w:ind w:right="0" w:rightChars="0"/>
        <w:jc w:val="center"/>
        <w:textAlignment w:val="auto"/>
        <w:outlineLvl w:val="0"/>
        <w:rPr>
          <w:rFonts w:hint="eastAsia" w:ascii="宋体" w:hAnsi="Times New Roman" w:eastAsia="宋体" w:cs="Times New Roman"/>
          <w:b/>
          <w:color w:val="auto"/>
          <w:sz w:val="32"/>
          <w:szCs w:val="32"/>
          <w:highlight w:val="none"/>
          <w:lang w:eastAsia="zh-CN"/>
        </w:rPr>
      </w:pPr>
      <w:r>
        <w:rPr>
          <w:rFonts w:hint="eastAsia" w:ascii="宋体" w:hAnsi="Times New Roman" w:eastAsia="宋体" w:cs="Times New Roman"/>
          <w:b/>
          <w:color w:val="auto"/>
          <w:sz w:val="32"/>
          <w:szCs w:val="32"/>
          <w:highlight w:val="none"/>
          <w:lang w:eastAsia="zh-CN"/>
        </w:rPr>
        <w:t>第</w:t>
      </w:r>
      <w:r>
        <w:rPr>
          <w:rFonts w:hint="eastAsia" w:ascii="宋体" w:hAnsi="Times New Roman" w:eastAsia="宋体" w:cs="Times New Roman"/>
          <w:b/>
          <w:color w:val="auto"/>
          <w:sz w:val="32"/>
          <w:szCs w:val="32"/>
          <w:highlight w:val="none"/>
          <w:lang w:val="en-US" w:eastAsia="zh-CN"/>
        </w:rPr>
        <w:t>六</w:t>
      </w:r>
      <w:r>
        <w:rPr>
          <w:rFonts w:hint="eastAsia" w:ascii="宋体" w:hAnsi="Times New Roman" w:eastAsia="宋体" w:cs="Times New Roman"/>
          <w:b/>
          <w:color w:val="auto"/>
          <w:sz w:val="32"/>
          <w:szCs w:val="32"/>
          <w:highlight w:val="none"/>
          <w:lang w:eastAsia="zh-CN"/>
        </w:rPr>
        <w:t>章</w:t>
      </w:r>
      <w:r>
        <w:rPr>
          <w:rFonts w:hint="eastAsia" w:ascii="宋体" w:hAnsi="Times New Roman" w:eastAsia="宋体" w:cs="Times New Roman"/>
          <w:b/>
          <w:color w:val="auto"/>
          <w:sz w:val="32"/>
          <w:szCs w:val="32"/>
          <w:highlight w:val="none"/>
          <w:lang w:val="en-US" w:eastAsia="zh-CN"/>
        </w:rPr>
        <w:t xml:space="preserve">  </w:t>
      </w:r>
      <w:r>
        <w:rPr>
          <w:rFonts w:hint="eastAsia" w:ascii="宋体" w:hAnsi="Times New Roman" w:eastAsia="宋体" w:cs="Times New Roman"/>
          <w:b/>
          <w:color w:val="auto"/>
          <w:sz w:val="32"/>
          <w:szCs w:val="32"/>
          <w:highlight w:val="none"/>
          <w:lang w:eastAsia="zh-CN"/>
        </w:rPr>
        <w:t>合同条款及格式</w:t>
      </w:r>
    </w:p>
    <w:p w14:paraId="2742CD8D">
      <w:pPr>
        <w:adjustRightInd w:val="0"/>
        <w:snapToGrid w:val="0"/>
        <w:spacing w:line="440" w:lineRule="exact"/>
        <w:ind w:firstLine="411" w:firstLineChars="196"/>
        <w:rPr>
          <w:rFonts w:hint="eastAsia" w:ascii="宋体"/>
          <w:color w:val="auto"/>
          <w:szCs w:val="21"/>
          <w:highlight w:val="none"/>
        </w:rPr>
      </w:pPr>
      <w:r>
        <w:rPr>
          <w:rFonts w:hint="eastAsia" w:ascii="宋体"/>
          <w:color w:val="auto"/>
          <w:szCs w:val="21"/>
          <w:highlight w:val="none"/>
        </w:rPr>
        <w:t>（签订合同时，仅以此本文为基准，具体条款双方协定，但不得违反交易文件的相关规定）</w:t>
      </w:r>
    </w:p>
    <w:p w14:paraId="637CAA9A">
      <w:pPr>
        <w:spacing w:line="440" w:lineRule="exact"/>
        <w:jc w:val="center"/>
        <w:rPr>
          <w:rFonts w:hint="eastAsia" w:ascii="黑体" w:eastAsia="黑体"/>
          <w:b/>
          <w:bCs/>
          <w:color w:val="auto"/>
          <w:szCs w:val="21"/>
          <w:highlight w:val="none"/>
        </w:rPr>
      </w:pPr>
      <w:r>
        <w:rPr>
          <w:rFonts w:hint="eastAsia" w:ascii="黑体" w:eastAsia="黑体"/>
          <w:b/>
          <w:bCs/>
          <w:color w:val="auto"/>
          <w:szCs w:val="21"/>
          <w:highlight w:val="none"/>
        </w:rPr>
        <w:t>一、总  则</w:t>
      </w:r>
    </w:p>
    <w:p w14:paraId="520EDAE4">
      <w:pPr>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rPr>
        <w:t>第一条  本合同当事人</w:t>
      </w:r>
    </w:p>
    <w:p w14:paraId="09BA2595">
      <w:pPr>
        <w:snapToGrid w:val="0"/>
        <w:spacing w:line="440" w:lineRule="exact"/>
        <w:ind w:firstLine="420" w:firstLineChars="200"/>
        <w:rPr>
          <w:rFonts w:hint="eastAsia" w:ascii="宋体"/>
          <w:color w:val="auto"/>
          <w:szCs w:val="21"/>
          <w:highlight w:val="none"/>
          <w:u w:val="single"/>
        </w:rPr>
      </w:pPr>
      <w:r>
        <w:rPr>
          <w:rFonts w:hint="eastAsia" w:ascii="宋体"/>
          <w:color w:val="auto"/>
          <w:szCs w:val="21"/>
          <w:highlight w:val="none"/>
        </w:rPr>
        <w:t>委托方（以下简称甲方）：</w:t>
      </w:r>
      <w:r>
        <w:rPr>
          <w:rFonts w:hint="eastAsia" w:ascii="宋体"/>
          <w:color w:val="auto"/>
          <w:szCs w:val="21"/>
          <w:highlight w:val="none"/>
          <w:u w:val="single"/>
        </w:rPr>
        <w:t xml:space="preserve">                                      </w:t>
      </w:r>
    </w:p>
    <w:p w14:paraId="7B591355">
      <w:pPr>
        <w:snapToGrid w:val="0"/>
        <w:spacing w:line="440" w:lineRule="exact"/>
        <w:ind w:firstLine="420" w:firstLineChars="200"/>
        <w:rPr>
          <w:rFonts w:hint="eastAsia" w:ascii="宋体"/>
          <w:color w:val="auto"/>
          <w:szCs w:val="21"/>
          <w:highlight w:val="none"/>
          <w:u w:val="single"/>
        </w:rPr>
      </w:pPr>
      <w:r>
        <w:rPr>
          <w:rFonts w:hint="eastAsia" w:ascii="宋体"/>
          <w:color w:val="auto"/>
          <w:szCs w:val="21"/>
          <w:highlight w:val="none"/>
        </w:rPr>
        <w:t>法定代表人：</w:t>
      </w:r>
      <w:r>
        <w:rPr>
          <w:rFonts w:hint="eastAsia" w:ascii="宋体"/>
          <w:color w:val="auto"/>
          <w:szCs w:val="21"/>
          <w:highlight w:val="none"/>
          <w:u w:val="single"/>
        </w:rPr>
        <w:t xml:space="preserve">                                                 </w:t>
      </w:r>
    </w:p>
    <w:p w14:paraId="492ACB71">
      <w:pPr>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rPr>
        <w:t>地    址：</w:t>
      </w:r>
      <w:r>
        <w:rPr>
          <w:rFonts w:hint="eastAsia" w:ascii="宋体"/>
          <w:color w:val="auto"/>
          <w:szCs w:val="21"/>
          <w:highlight w:val="none"/>
          <w:u w:val="single"/>
        </w:rPr>
        <w:t xml:space="preserve">                                                   </w:t>
      </w:r>
    </w:p>
    <w:p w14:paraId="20FF72EE">
      <w:pPr>
        <w:snapToGrid w:val="0"/>
        <w:spacing w:line="440" w:lineRule="exact"/>
        <w:ind w:firstLine="420" w:firstLineChars="200"/>
        <w:rPr>
          <w:rFonts w:hint="eastAsia" w:ascii="宋体"/>
          <w:color w:val="auto"/>
          <w:szCs w:val="21"/>
          <w:highlight w:val="none"/>
          <w:u w:val="single"/>
        </w:rPr>
      </w:pPr>
      <w:r>
        <w:rPr>
          <w:rFonts w:hint="eastAsia" w:ascii="宋体"/>
          <w:color w:val="auto"/>
          <w:szCs w:val="21"/>
          <w:highlight w:val="none"/>
        </w:rPr>
        <w:t>联系电话：</w:t>
      </w:r>
      <w:r>
        <w:rPr>
          <w:rFonts w:hint="eastAsia" w:ascii="宋体"/>
          <w:color w:val="auto"/>
          <w:szCs w:val="21"/>
          <w:highlight w:val="none"/>
          <w:u w:val="single"/>
        </w:rPr>
        <w:t xml:space="preserve">                                                   </w:t>
      </w:r>
    </w:p>
    <w:p w14:paraId="2FBE3C8F">
      <w:pPr>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rPr>
        <w:t>受托方（以下简称乙方）：</w:t>
      </w:r>
      <w:r>
        <w:rPr>
          <w:rFonts w:hint="eastAsia" w:ascii="宋体"/>
          <w:color w:val="auto"/>
          <w:szCs w:val="21"/>
          <w:highlight w:val="none"/>
          <w:u w:val="single"/>
        </w:rPr>
        <w:t xml:space="preserve">                                     </w:t>
      </w:r>
    </w:p>
    <w:p w14:paraId="05110612">
      <w:pPr>
        <w:snapToGrid w:val="0"/>
        <w:spacing w:line="440" w:lineRule="exact"/>
        <w:ind w:firstLine="420" w:firstLineChars="200"/>
        <w:rPr>
          <w:rFonts w:hint="eastAsia" w:ascii="宋体"/>
          <w:color w:val="auto"/>
          <w:szCs w:val="21"/>
          <w:highlight w:val="none"/>
          <w:u w:val="single"/>
        </w:rPr>
      </w:pPr>
      <w:r>
        <w:rPr>
          <w:rFonts w:hint="eastAsia" w:ascii="宋体"/>
          <w:color w:val="auto"/>
          <w:szCs w:val="21"/>
          <w:highlight w:val="none"/>
        </w:rPr>
        <w:t>法定代表人：</w:t>
      </w:r>
      <w:r>
        <w:rPr>
          <w:rFonts w:hint="eastAsia" w:ascii="宋体"/>
          <w:color w:val="auto"/>
          <w:szCs w:val="21"/>
          <w:highlight w:val="none"/>
          <w:u w:val="single"/>
        </w:rPr>
        <w:t xml:space="preserve">                                                 </w:t>
      </w:r>
    </w:p>
    <w:p w14:paraId="4C78EE91">
      <w:pPr>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rPr>
        <w:t xml:space="preserve">注册地址： </w:t>
      </w:r>
      <w:r>
        <w:rPr>
          <w:rFonts w:hint="eastAsia" w:ascii="宋体"/>
          <w:color w:val="auto"/>
          <w:szCs w:val="21"/>
          <w:highlight w:val="none"/>
          <w:u w:val="single"/>
        </w:rPr>
        <w:t xml:space="preserve">                                                  </w:t>
      </w:r>
    </w:p>
    <w:p w14:paraId="778F1E43">
      <w:pPr>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rPr>
        <w:t xml:space="preserve">联系电话： </w:t>
      </w:r>
      <w:r>
        <w:rPr>
          <w:rFonts w:hint="eastAsia" w:ascii="宋体"/>
          <w:color w:val="auto"/>
          <w:szCs w:val="21"/>
          <w:highlight w:val="none"/>
          <w:u w:val="single"/>
        </w:rPr>
        <w:t xml:space="preserve">                                                  </w:t>
      </w:r>
      <w:r>
        <w:rPr>
          <w:rFonts w:hint="eastAsia" w:ascii="宋体"/>
          <w:color w:val="auto"/>
          <w:szCs w:val="21"/>
          <w:highlight w:val="none"/>
        </w:rPr>
        <w:t xml:space="preserve"> </w:t>
      </w:r>
    </w:p>
    <w:p w14:paraId="7E75765E">
      <w:pPr>
        <w:spacing w:line="440" w:lineRule="exact"/>
        <w:ind w:left="420" w:leftChars="200" w:firstLine="0" w:firstLineChars="0"/>
        <w:rPr>
          <w:rFonts w:hint="eastAsia" w:ascii="宋体" w:cs="宋体"/>
          <w:color w:val="auto"/>
          <w:kern w:val="0"/>
          <w:szCs w:val="21"/>
          <w:highlight w:val="none"/>
          <w:u w:val="none"/>
          <w:lang w:val="zh-CN"/>
        </w:rPr>
      </w:pPr>
      <w:r>
        <w:rPr>
          <w:rFonts w:hint="eastAsia" w:ascii="宋体" w:cs="宋体"/>
          <w:color w:val="auto"/>
          <w:kern w:val="0"/>
          <w:szCs w:val="21"/>
          <w:highlight w:val="none"/>
          <w:u w:val="none"/>
          <w:lang w:val="zh-CN"/>
        </w:rPr>
        <w:t>根据《中华人民共和国民法典》相关规定，在自愿、平等、协商一致的基础上，甲方将</w:t>
      </w:r>
      <w:r>
        <w:rPr>
          <w:rFonts w:hint="eastAsia" w:ascii="宋体" w:cs="宋体"/>
          <w:color w:val="auto"/>
          <w:kern w:val="0"/>
          <w:szCs w:val="21"/>
          <w:highlight w:val="none"/>
          <w:u w:val="single"/>
          <w:lang w:val="en-US" w:eastAsia="zh-CN"/>
        </w:rPr>
        <w:t xml:space="preserve"> </w:t>
      </w:r>
      <w:r>
        <w:rPr>
          <w:rFonts w:hint="eastAsia" w:ascii="宋体" w:cs="宋体"/>
          <w:b/>
          <w:bCs/>
          <w:color w:val="auto"/>
          <w:kern w:val="0"/>
          <w:szCs w:val="21"/>
          <w:highlight w:val="none"/>
          <w:u w:val="single"/>
          <w:lang w:val="zh-CN" w:eastAsia="zh-CN"/>
        </w:rPr>
        <w:t>滁州大剧院物业管理服务项目</w:t>
      </w:r>
      <w:r>
        <w:rPr>
          <w:rFonts w:hint="eastAsia" w:ascii="宋体" w:cs="宋体"/>
          <w:b/>
          <w:bCs/>
          <w:color w:val="auto"/>
          <w:kern w:val="0"/>
          <w:szCs w:val="21"/>
          <w:highlight w:val="none"/>
          <w:u w:val="single"/>
          <w:lang w:val="en-US" w:eastAsia="zh-CN"/>
        </w:rPr>
        <w:t xml:space="preserve"> </w:t>
      </w:r>
      <w:r>
        <w:rPr>
          <w:rFonts w:hint="eastAsia" w:ascii="宋体" w:cs="宋体"/>
          <w:color w:val="auto"/>
          <w:kern w:val="0"/>
          <w:szCs w:val="21"/>
          <w:highlight w:val="none"/>
          <w:u w:val="none"/>
          <w:lang w:val="zh-CN"/>
        </w:rPr>
        <w:t>（</w:t>
      </w:r>
      <w:r>
        <w:rPr>
          <w:rFonts w:hint="eastAsia" w:ascii="宋体" w:cs="宋体"/>
          <w:color w:val="auto"/>
          <w:kern w:val="0"/>
          <w:szCs w:val="21"/>
          <w:highlight w:val="none"/>
          <w:u w:val="none"/>
          <w:lang w:val="en-US" w:eastAsia="zh-CN"/>
        </w:rPr>
        <w:t>项目</w:t>
      </w:r>
      <w:r>
        <w:rPr>
          <w:rFonts w:hint="eastAsia" w:ascii="宋体" w:cs="宋体"/>
          <w:color w:val="auto"/>
          <w:kern w:val="0"/>
          <w:szCs w:val="21"/>
          <w:highlight w:val="none"/>
          <w:u w:val="none"/>
          <w:lang w:val="zh-CN"/>
        </w:rPr>
        <w:t>名称）委托于乙方实行物业管理，订立本合同。</w:t>
      </w:r>
    </w:p>
    <w:p w14:paraId="7F381083">
      <w:pPr>
        <w:spacing w:line="440" w:lineRule="exact"/>
        <w:ind w:firstLine="420" w:firstLineChars="200"/>
        <w:rPr>
          <w:rFonts w:hint="eastAsia" w:ascii="宋体" w:cs="宋体"/>
          <w:color w:val="auto"/>
          <w:kern w:val="0"/>
          <w:szCs w:val="21"/>
          <w:highlight w:val="none"/>
          <w:u w:val="none"/>
          <w:lang w:val="zh-CN"/>
        </w:rPr>
      </w:pPr>
      <w:r>
        <w:rPr>
          <w:rFonts w:hint="eastAsia" w:ascii="宋体" w:cs="宋体"/>
          <w:color w:val="auto"/>
          <w:kern w:val="0"/>
          <w:szCs w:val="21"/>
          <w:highlight w:val="none"/>
          <w:u w:val="none"/>
          <w:lang w:val="zh-CN"/>
        </w:rPr>
        <w:t xml:space="preserve">第二条  </w:t>
      </w:r>
      <w:r>
        <w:rPr>
          <w:rFonts w:hint="eastAsia" w:ascii="宋体" w:cs="宋体"/>
          <w:color w:val="auto"/>
          <w:kern w:val="0"/>
          <w:szCs w:val="21"/>
          <w:highlight w:val="none"/>
          <w:u w:val="none"/>
          <w:lang w:val="zh-CN" w:eastAsia="zh-CN"/>
        </w:rPr>
        <w:t>物业服务的范围</w:t>
      </w:r>
    </w:p>
    <w:p w14:paraId="78232674">
      <w:pPr>
        <w:spacing w:line="440" w:lineRule="exact"/>
        <w:ind w:firstLine="420" w:firstLineChars="200"/>
        <w:rPr>
          <w:rFonts w:hint="eastAsia" w:ascii="宋体"/>
          <w:color w:val="auto"/>
          <w:szCs w:val="21"/>
          <w:highlight w:val="none"/>
        </w:rPr>
      </w:pPr>
      <w:r>
        <w:rPr>
          <w:rFonts w:hint="eastAsia" w:ascii="宋体" w:cs="宋体"/>
          <w:color w:val="auto"/>
          <w:kern w:val="0"/>
          <w:szCs w:val="21"/>
          <w:highlight w:val="none"/>
          <w:u w:val="none"/>
          <w:lang w:val="zh-CN"/>
        </w:rPr>
        <w:t>滁州大剧院</w:t>
      </w:r>
      <w:r>
        <w:rPr>
          <w:rFonts w:hint="eastAsia" w:ascii="宋体" w:cs="宋体"/>
          <w:color w:val="auto"/>
          <w:kern w:val="0"/>
          <w:szCs w:val="21"/>
          <w:highlight w:val="none"/>
          <w:u w:val="none"/>
          <w:lang w:val="en-US" w:eastAsia="zh-CN"/>
        </w:rPr>
        <w:t>所辖范围内</w:t>
      </w:r>
      <w:r>
        <w:rPr>
          <w:rFonts w:hint="eastAsia" w:ascii="宋体" w:hAnsi="宋体" w:eastAsia="宋体" w:cs="宋体"/>
          <w:b w:val="0"/>
          <w:bCs w:val="0"/>
          <w:color w:val="auto"/>
          <w:sz w:val="21"/>
          <w:szCs w:val="21"/>
          <w:highlight w:val="none"/>
        </w:rPr>
        <w:t>所有室外、室内的安保、保洁（含垃圾清运）、绿化 养护、消防、秩序维护等所有服务内容</w:t>
      </w:r>
      <w:r>
        <w:rPr>
          <w:rFonts w:hint="eastAsia" w:ascii="宋体" w:cs="宋体"/>
          <w:color w:val="auto"/>
          <w:kern w:val="0"/>
          <w:szCs w:val="21"/>
          <w:highlight w:val="none"/>
          <w:u w:val="none"/>
          <w:lang w:val="zh-CN"/>
        </w:rPr>
        <w:t>。</w:t>
      </w:r>
    </w:p>
    <w:p w14:paraId="30E1F56A">
      <w:pPr>
        <w:spacing w:line="440" w:lineRule="exact"/>
        <w:ind w:firstLine="420" w:firstLineChars="200"/>
        <w:rPr>
          <w:rFonts w:hint="eastAsia" w:ascii="宋体"/>
          <w:color w:val="auto"/>
          <w:szCs w:val="21"/>
          <w:highlight w:val="none"/>
        </w:rPr>
      </w:pPr>
      <w:r>
        <w:rPr>
          <w:rFonts w:hint="eastAsia" w:ascii="宋体"/>
          <w:color w:val="auto"/>
          <w:szCs w:val="21"/>
          <w:highlight w:val="none"/>
        </w:rPr>
        <w:t>第三条  乙方提供服务的受益人为本物业的</w:t>
      </w:r>
      <w:r>
        <w:rPr>
          <w:rFonts w:hint="eastAsia" w:ascii="宋体"/>
          <w:color w:val="auto"/>
          <w:szCs w:val="21"/>
          <w:highlight w:val="none"/>
          <w:lang w:val="en-US" w:eastAsia="zh-CN"/>
        </w:rPr>
        <w:t>甲方</w:t>
      </w:r>
      <w:r>
        <w:rPr>
          <w:rFonts w:hint="eastAsia" w:ascii="宋体"/>
          <w:color w:val="auto"/>
          <w:szCs w:val="21"/>
          <w:highlight w:val="none"/>
        </w:rPr>
        <w:t>和物业使用人；</w:t>
      </w:r>
      <w:r>
        <w:rPr>
          <w:rFonts w:hint="eastAsia" w:ascii="宋体"/>
          <w:color w:val="auto"/>
          <w:szCs w:val="21"/>
          <w:highlight w:val="none"/>
          <w:lang w:val="en-US" w:eastAsia="zh-CN"/>
        </w:rPr>
        <w:t>乙方应当按本合同</w:t>
      </w:r>
      <w:r>
        <w:rPr>
          <w:rFonts w:hint="eastAsia" w:ascii="宋体"/>
          <w:color w:val="auto"/>
          <w:szCs w:val="21"/>
          <w:highlight w:val="none"/>
        </w:rPr>
        <w:t>履行相应义务，承担相应责任，并遵守</w:t>
      </w:r>
      <w:r>
        <w:rPr>
          <w:rFonts w:hint="eastAsia" w:ascii="宋体"/>
          <w:color w:val="auto"/>
          <w:szCs w:val="21"/>
          <w:highlight w:val="none"/>
          <w:lang w:val="en-US" w:eastAsia="zh-CN"/>
        </w:rPr>
        <w:t>甲方的相关</w:t>
      </w:r>
      <w:r>
        <w:rPr>
          <w:rFonts w:hint="eastAsia" w:ascii="宋体"/>
          <w:color w:val="auto"/>
          <w:szCs w:val="21"/>
          <w:highlight w:val="none"/>
        </w:rPr>
        <w:t>管理制度。</w:t>
      </w:r>
    </w:p>
    <w:p w14:paraId="12953C9A">
      <w:pPr>
        <w:spacing w:line="440" w:lineRule="exact"/>
        <w:jc w:val="center"/>
        <w:rPr>
          <w:rFonts w:hint="eastAsia" w:ascii="黑体" w:eastAsia="黑体"/>
          <w:b/>
          <w:bCs/>
          <w:color w:val="auto"/>
          <w:szCs w:val="21"/>
          <w:highlight w:val="none"/>
        </w:rPr>
      </w:pPr>
      <w:r>
        <w:rPr>
          <w:rFonts w:hint="eastAsia" w:ascii="黑体" w:eastAsia="黑体"/>
          <w:b/>
          <w:bCs/>
          <w:color w:val="auto"/>
          <w:szCs w:val="21"/>
          <w:highlight w:val="none"/>
        </w:rPr>
        <w:t>二、 委托管理服务事项</w:t>
      </w:r>
    </w:p>
    <w:p w14:paraId="604924D9">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olor w:val="auto"/>
          <w:szCs w:val="21"/>
          <w:highlight w:val="none"/>
        </w:rPr>
        <w:t>第四条  委托管理服务事项，</w:t>
      </w:r>
      <w:r>
        <w:rPr>
          <w:rFonts w:hint="eastAsia" w:ascii="宋体" w:cs="宋体"/>
          <w:color w:val="auto"/>
          <w:kern w:val="0"/>
          <w:szCs w:val="21"/>
          <w:highlight w:val="none"/>
          <w:lang w:val="zh-CN"/>
        </w:rPr>
        <w:t>主要主要由</w:t>
      </w:r>
      <w:r>
        <w:rPr>
          <w:rFonts w:hint="eastAsia" w:ascii="宋体" w:cs="宋体"/>
          <w:b/>
          <w:bCs/>
          <w:color w:val="auto"/>
          <w:kern w:val="0"/>
          <w:szCs w:val="21"/>
          <w:highlight w:val="none"/>
          <w:lang w:val="zh-CN"/>
        </w:rPr>
        <w:t>安保、保洁、设备运行管理，日常维护和维修（不包括设备重大维修和更换）、工器具及低值易耗品的维护和更换、垃圾清运等项目组成</w:t>
      </w:r>
      <w:r>
        <w:rPr>
          <w:rFonts w:hint="eastAsia" w:ascii="宋体" w:cs="宋体"/>
          <w:color w:val="auto"/>
          <w:kern w:val="0"/>
          <w:szCs w:val="21"/>
          <w:highlight w:val="none"/>
          <w:lang w:val="zh-CN"/>
        </w:rPr>
        <w:t>。具体说明如下：</w:t>
      </w:r>
    </w:p>
    <w:p w14:paraId="38F87F1E">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（一）安保</w:t>
      </w:r>
    </w:p>
    <w:p w14:paraId="4CCEB1BA">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1、总体要求</w:t>
      </w:r>
    </w:p>
    <w:p w14:paraId="25A7C59A">
      <w:pPr>
        <w:autoSpaceDE w:val="0"/>
        <w:autoSpaceDN w:val="0"/>
        <w:adjustRightInd w:val="0"/>
        <w:spacing w:line="440" w:lineRule="exact"/>
        <w:ind w:firstLine="420" w:firstLineChars="200"/>
        <w:rPr>
          <w:rFonts w:hint="eastAsia" w:ascii="宋体" w:hAnsi="Times New Roman" w:eastAsia="宋体" w:cs="宋体"/>
          <w:color w:val="auto"/>
          <w:kern w:val="0"/>
          <w:szCs w:val="21"/>
          <w:highlight w:val="none"/>
          <w:lang w:val="zh-CN"/>
        </w:rPr>
      </w:pPr>
      <w:r>
        <w:rPr>
          <w:rFonts w:hint="eastAsia" w:ascii="宋体" w:cs="宋体"/>
          <w:color w:val="auto"/>
          <w:kern w:val="0"/>
          <w:szCs w:val="21"/>
          <w:highlight w:val="none"/>
          <w:lang w:val="zh-CN"/>
        </w:rPr>
        <w:t>物业服务区域内实行</w:t>
      </w:r>
      <w:r>
        <w:rPr>
          <w:rFonts w:hint="eastAsia" w:ascii="宋体" w:cs="宋体"/>
          <w:color w:val="auto"/>
          <w:kern w:val="0"/>
          <w:szCs w:val="21"/>
          <w:highlight w:val="none"/>
          <w:lang w:val="en-US" w:eastAsia="zh-CN"/>
        </w:rPr>
        <w:t>24</w:t>
      </w:r>
      <w:r>
        <w:rPr>
          <w:rFonts w:hint="eastAsia" w:ascii="宋体" w:cs="宋体"/>
          <w:color w:val="auto"/>
          <w:kern w:val="0"/>
          <w:szCs w:val="21"/>
          <w:highlight w:val="none"/>
          <w:lang w:val="zh-CN"/>
        </w:rPr>
        <w:t>小时监控、巡更执勤工作；确保24小时在岗在位值守。工作时间段内做好秩序维护、安全防范，做好车辆停放管理，确保无火灾、无刑事事故、无安全隐患发生。做好紧急突发事件的应急处理工作。如有事故发生，做到能够及时报警、保护现场，防止事态进一步恶化，事件</w:t>
      </w:r>
      <w:r>
        <w:rPr>
          <w:rFonts w:hint="eastAsia" w:ascii="宋体" w:hAnsi="Times New Roman" w:eastAsia="宋体" w:cs="宋体"/>
          <w:color w:val="auto"/>
          <w:kern w:val="0"/>
          <w:szCs w:val="21"/>
          <w:highlight w:val="none"/>
          <w:lang w:val="zh-CN"/>
        </w:rPr>
        <w:t>处理及时率100%。负责消防设施（灭火器、消火栓等）的检查及记录工作，确保处于完好状态。</w:t>
      </w:r>
    </w:p>
    <w:p w14:paraId="30892196">
      <w:pPr>
        <w:autoSpaceDE w:val="0"/>
        <w:autoSpaceDN w:val="0"/>
        <w:adjustRightInd w:val="0"/>
        <w:spacing w:line="440" w:lineRule="exact"/>
        <w:ind w:firstLine="420" w:firstLineChars="200"/>
        <w:rPr>
          <w:rFonts w:hint="eastAsia" w:ascii="宋体" w:hAnsi="Times New Roman" w:eastAsia="宋体" w:cs="宋体"/>
          <w:b/>
          <w:bCs/>
          <w:color w:val="auto"/>
          <w:kern w:val="0"/>
          <w:szCs w:val="21"/>
          <w:highlight w:val="none"/>
          <w:lang w:val="zh-CN"/>
        </w:rPr>
      </w:pPr>
      <w:r>
        <w:rPr>
          <w:rFonts w:hint="eastAsia" w:ascii="宋体" w:hAnsi="Times New Roman" w:eastAsia="宋体" w:cs="宋体"/>
          <w:color w:val="auto"/>
          <w:kern w:val="0"/>
          <w:szCs w:val="21"/>
          <w:highlight w:val="none"/>
          <w:lang w:val="zh-CN"/>
        </w:rPr>
        <w:t>安保人员要求：①品德良好，工作态度端正，责任心强，无不良记录；②接受过专业训练，业务熟练，机智勇敢；③五官端正、身体健康，形体符合工作要求；</w:t>
      </w:r>
      <w:r>
        <w:rPr>
          <w:rFonts w:hint="eastAsia" w:ascii="宋体" w:hAnsi="Times New Roman" w:eastAsia="宋体" w:cs="宋体"/>
          <w:b/>
          <w:bCs/>
          <w:color w:val="auto"/>
          <w:kern w:val="0"/>
          <w:szCs w:val="21"/>
          <w:highlight w:val="none"/>
          <w:lang w:val="zh-CN"/>
        </w:rPr>
        <w:t>④男性，身高 1.65 米以上；⑤形象岗不少于4人，身高1.70 米以上，年龄45周岁以下。</w:t>
      </w:r>
    </w:p>
    <w:p w14:paraId="79BEAB3F">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2、具体要求</w:t>
      </w:r>
    </w:p>
    <w:p w14:paraId="3EA4364A">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（1）做好</w:t>
      </w:r>
      <w:r>
        <w:rPr>
          <w:rFonts w:hint="eastAsia" w:ascii="宋体" w:cs="宋体"/>
          <w:color w:val="auto"/>
          <w:kern w:val="0"/>
          <w:szCs w:val="21"/>
          <w:highlight w:val="none"/>
          <w:lang w:val="en-US" w:eastAsia="zh-CN"/>
        </w:rPr>
        <w:t>大剧院所辖区域内</w:t>
      </w:r>
      <w:r>
        <w:rPr>
          <w:rFonts w:hint="eastAsia" w:ascii="宋体" w:cs="宋体"/>
          <w:color w:val="auto"/>
          <w:kern w:val="0"/>
          <w:szCs w:val="21"/>
          <w:highlight w:val="none"/>
          <w:lang w:val="zh-CN"/>
        </w:rPr>
        <w:t>安全保卫和消防工作，保安</w:t>
      </w:r>
      <w:r>
        <w:rPr>
          <w:rFonts w:hint="eastAsia" w:ascii="宋体" w:cs="宋体"/>
          <w:color w:val="auto"/>
          <w:kern w:val="0"/>
          <w:szCs w:val="21"/>
          <w:highlight w:val="none"/>
          <w:lang w:val="en-US" w:eastAsia="zh-CN"/>
        </w:rPr>
        <w:t>24</w:t>
      </w:r>
      <w:r>
        <w:rPr>
          <w:rFonts w:hint="eastAsia" w:ascii="宋体" w:cs="宋体"/>
          <w:color w:val="auto"/>
          <w:kern w:val="0"/>
          <w:szCs w:val="21"/>
          <w:highlight w:val="none"/>
          <w:lang w:val="zh-CN"/>
        </w:rPr>
        <w:t>小时值班，确保安全无事故。</w:t>
      </w:r>
    </w:p>
    <w:p w14:paraId="0075FD6B">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（2）维护</w:t>
      </w:r>
      <w:r>
        <w:rPr>
          <w:rFonts w:hint="eastAsia" w:ascii="宋体" w:cs="宋体"/>
          <w:color w:val="auto"/>
          <w:kern w:val="0"/>
          <w:szCs w:val="21"/>
          <w:highlight w:val="none"/>
          <w:lang w:val="en-US" w:eastAsia="zh-CN"/>
        </w:rPr>
        <w:t>大剧院所辖区域内</w:t>
      </w:r>
      <w:r>
        <w:rPr>
          <w:rFonts w:hint="eastAsia" w:ascii="宋体" w:cs="宋体"/>
          <w:color w:val="auto"/>
          <w:kern w:val="0"/>
          <w:szCs w:val="21"/>
          <w:highlight w:val="none"/>
          <w:lang w:val="zh-CN"/>
        </w:rPr>
        <w:t>内公共秩序，做好上下班时间院落停车管理。上班期间对进入院落内车辆停放进行管理，确保车辆停放合理规范，无严重堵车，出现堵车及时疏导。</w:t>
      </w:r>
    </w:p>
    <w:p w14:paraId="2E7FAFEA">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（3）熟悉</w:t>
      </w:r>
      <w:r>
        <w:rPr>
          <w:rFonts w:hint="eastAsia" w:ascii="宋体" w:cs="宋体"/>
          <w:color w:val="auto"/>
          <w:kern w:val="0"/>
          <w:szCs w:val="21"/>
          <w:highlight w:val="none"/>
          <w:lang w:val="en-US" w:eastAsia="zh-CN"/>
        </w:rPr>
        <w:t>大剧院所辖区域内</w:t>
      </w:r>
      <w:r>
        <w:rPr>
          <w:rFonts w:hint="eastAsia" w:ascii="宋体" w:cs="宋体"/>
          <w:color w:val="auto"/>
          <w:kern w:val="0"/>
          <w:szCs w:val="21"/>
          <w:highlight w:val="none"/>
          <w:lang w:val="zh-CN"/>
        </w:rPr>
        <w:t>的房屋、电、供水管道、电梯，消防设备的使用方法，每日定期简易操作和看管巡视检查，发现安全隐患及时告知上级单位。</w:t>
      </w:r>
    </w:p>
    <w:p w14:paraId="34ED294C">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（4）及时制止外来无关人员滋事、闹事，认真做好防盗防火工作，加强节假日和夜间安全巡查。</w:t>
      </w:r>
    </w:p>
    <w:p w14:paraId="0B995197">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（5）对于上访人员，积极、耐心进行宣传教育和治安防范，协助公安机关及政府部门开展各项治安防范活动或行动，努力完成各项治安服务工作。保证服务区域内人员的人身、财产安全和良好的办公环境。</w:t>
      </w:r>
    </w:p>
    <w:p w14:paraId="7B7C7D77">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（6）协助大楼</w:t>
      </w:r>
      <w:r>
        <w:rPr>
          <w:rFonts w:hint="eastAsia" w:ascii="宋体" w:cs="宋体"/>
          <w:color w:val="auto"/>
          <w:kern w:val="0"/>
          <w:szCs w:val="21"/>
          <w:highlight w:val="none"/>
          <w:lang w:val="en-US" w:eastAsia="zh-CN"/>
        </w:rPr>
        <w:t>其他</w:t>
      </w:r>
      <w:r>
        <w:rPr>
          <w:rFonts w:hint="eastAsia" w:ascii="宋体" w:cs="宋体"/>
          <w:color w:val="auto"/>
          <w:kern w:val="0"/>
          <w:szCs w:val="21"/>
          <w:highlight w:val="none"/>
          <w:lang w:val="zh-CN"/>
        </w:rPr>
        <w:t>办公单位处理突发事件(如火灾，接报治安事件、刑事案件，停电，浸、冒、漏水等)，并按要求紧急处置有关工作。</w:t>
      </w:r>
    </w:p>
    <w:p w14:paraId="35C4C69F">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（7）代办办公区内各单位书信、报刊、快递物品的收发工作，做到及时、准确、无误。</w:t>
      </w:r>
    </w:p>
    <w:p w14:paraId="3FDEED10">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（8）按有关部门的要求做好门前三包工作。</w:t>
      </w:r>
    </w:p>
    <w:p w14:paraId="63A94F20">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（9）完成委托方交办的其它工作（如搬运零星物品）。</w:t>
      </w:r>
    </w:p>
    <w:p w14:paraId="4FC1EE6B">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（二） 保洁</w:t>
      </w:r>
    </w:p>
    <w:p w14:paraId="7179D7A7">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1、总体保洁要求</w:t>
      </w:r>
    </w:p>
    <w:p w14:paraId="47A9365F">
      <w:pPr>
        <w:autoSpaceDE w:val="0"/>
        <w:autoSpaceDN w:val="0"/>
        <w:adjustRightInd w:val="0"/>
        <w:spacing w:line="440" w:lineRule="exact"/>
        <w:ind w:firstLine="420" w:firstLineChars="200"/>
        <w:rPr>
          <w:rFonts w:hint="eastAsia" w:ascii="宋体" w:hAnsi="Times New Roman" w:eastAsia="宋体" w:cs="宋体"/>
          <w:color w:val="auto"/>
          <w:kern w:val="0"/>
          <w:szCs w:val="21"/>
          <w:highlight w:val="none"/>
          <w:lang w:val="zh-CN"/>
        </w:rPr>
      </w:pPr>
      <w:r>
        <w:rPr>
          <w:rFonts w:hint="eastAsia" w:ascii="宋体" w:cs="宋体"/>
          <w:color w:val="auto"/>
          <w:kern w:val="0"/>
          <w:szCs w:val="21"/>
          <w:highlight w:val="none"/>
          <w:lang w:val="zh-CN"/>
        </w:rPr>
        <w:t>门厅、中庭、坡道、走廊、卫生间、楼梯间、屋顶、室内墙壁、外墙、办公楼四周、院内、绿化带等所有</w:t>
      </w:r>
      <w:r>
        <w:rPr>
          <w:rFonts w:hint="eastAsia" w:ascii="宋体" w:hAnsi="Times New Roman" w:eastAsia="宋体" w:cs="宋体"/>
          <w:color w:val="auto"/>
          <w:kern w:val="0"/>
          <w:szCs w:val="21"/>
          <w:highlight w:val="none"/>
          <w:lang w:val="zh-CN"/>
        </w:rPr>
        <w:t>公共区域、空调进出风口、扶栏管以及其他公共区域的清扫保洁、垃圾的收集清运和污水管道的清理及疏通、公共卫生防疫等。</w:t>
      </w:r>
    </w:p>
    <w:p w14:paraId="03A55278">
      <w:pPr>
        <w:autoSpaceDE w:val="0"/>
        <w:autoSpaceDN w:val="0"/>
        <w:adjustRightInd w:val="0"/>
        <w:spacing w:line="440" w:lineRule="exact"/>
        <w:ind w:firstLine="420" w:firstLineChars="200"/>
        <w:rPr>
          <w:rFonts w:hint="eastAsia" w:ascii="宋体" w:hAnsi="Times New Roman" w:eastAsia="宋体" w:cs="宋体"/>
          <w:color w:val="auto"/>
          <w:kern w:val="0"/>
          <w:szCs w:val="21"/>
          <w:highlight w:val="none"/>
          <w:lang w:val="zh-CN"/>
        </w:rPr>
      </w:pPr>
      <w:r>
        <w:rPr>
          <w:rFonts w:hint="eastAsia" w:ascii="宋体" w:hAnsi="Times New Roman" w:eastAsia="宋体" w:cs="宋体"/>
          <w:color w:val="auto"/>
          <w:kern w:val="0"/>
          <w:szCs w:val="21"/>
          <w:highlight w:val="none"/>
          <w:lang w:val="zh-CN"/>
        </w:rPr>
        <w:t>保洁人员要求：①女性。②品德良好，工作态度端正，责任心强，无不良记录；③接受过专业培训，业务熟练；④五官端正、身体健康、仪表大方。</w:t>
      </w:r>
    </w:p>
    <w:p w14:paraId="0B805423">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2、具体保洁要求</w:t>
      </w:r>
    </w:p>
    <w:p w14:paraId="2343B3B4">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（1）公共部分：</w:t>
      </w:r>
      <w:r>
        <w:rPr>
          <w:rFonts w:ascii="宋体" w:hAnsi="宋体" w:eastAsia="宋体" w:cs="宋体"/>
          <w:color w:val="auto"/>
          <w:sz w:val="21"/>
          <w:szCs w:val="21"/>
          <w:highlight w:val="none"/>
        </w:rPr>
        <w:t>每天（含周末、节假日）上班前半小时完成打扫、维护</w:t>
      </w:r>
      <w:r>
        <w:rPr>
          <w:rFonts w:ascii="宋体" w:hAnsi="宋体" w:eastAsia="宋体" w:cs="宋体"/>
          <w:color w:val="auto"/>
          <w:spacing w:val="-1"/>
          <w:sz w:val="21"/>
          <w:szCs w:val="21"/>
          <w:highlight w:val="none"/>
        </w:rPr>
        <w:t>工作，并在正常工作时间内不间断保洁，确保各区域及楼道地面干净无灰尘，无污迹，无积水，无尘土，无痰迹，无废物杂物等垃圾，墙面地面明亮整洁。保持墙面、天花板、门窗、踢脚线等部位的清洁，</w:t>
      </w:r>
      <w:r>
        <w:rPr>
          <w:rFonts w:ascii="宋体" w:hAnsi="宋体" w:eastAsia="宋体" w:cs="宋体"/>
          <w:color w:val="auto"/>
          <w:spacing w:val="-2"/>
          <w:sz w:val="21"/>
          <w:szCs w:val="21"/>
          <w:highlight w:val="none"/>
        </w:rPr>
        <w:t>每天开窗通风，保持空气清新，搞好环境卫生</w:t>
      </w:r>
      <w:r>
        <w:rPr>
          <w:rFonts w:hint="eastAsia" w:ascii="宋体" w:cs="宋体"/>
          <w:color w:val="auto"/>
          <w:kern w:val="0"/>
          <w:szCs w:val="21"/>
          <w:highlight w:val="none"/>
          <w:lang w:val="zh-CN"/>
        </w:rPr>
        <w:t>。</w:t>
      </w:r>
    </w:p>
    <w:p w14:paraId="4210FAEE">
      <w:pPr>
        <w:autoSpaceDE w:val="0"/>
        <w:autoSpaceDN w:val="0"/>
        <w:adjustRightInd w:val="0"/>
        <w:spacing w:line="440" w:lineRule="exact"/>
        <w:ind w:firstLine="420" w:firstLineChars="200"/>
        <w:rPr>
          <w:rFonts w:hint="eastAsia" w:ascii="宋体" w:eastAsia="宋体" w:cs="宋体"/>
          <w:color w:val="auto"/>
          <w:kern w:val="0"/>
          <w:szCs w:val="21"/>
          <w:highlight w:val="none"/>
          <w:lang w:val="zh-CN" w:eastAsia="zh-CN"/>
        </w:rPr>
      </w:pPr>
      <w:r>
        <w:rPr>
          <w:rFonts w:hint="eastAsia" w:ascii="宋体" w:cs="宋体"/>
          <w:color w:val="auto"/>
          <w:kern w:val="0"/>
          <w:szCs w:val="21"/>
          <w:highlight w:val="none"/>
          <w:lang w:val="zh-CN"/>
        </w:rPr>
        <w:t>（2）</w:t>
      </w:r>
      <w:r>
        <w:rPr>
          <w:rFonts w:ascii="宋体" w:hAnsi="宋体" w:eastAsia="宋体" w:cs="宋体"/>
          <w:color w:val="auto"/>
          <w:spacing w:val="-2"/>
          <w:sz w:val="21"/>
          <w:szCs w:val="21"/>
          <w:highlight w:val="none"/>
        </w:rPr>
        <w:t>垃圾桶：要套垃圾袋，摆放指定位置；垃</w:t>
      </w:r>
      <w:r>
        <w:rPr>
          <w:rFonts w:ascii="宋体" w:hAnsi="宋体" w:eastAsia="宋体" w:cs="宋体"/>
          <w:color w:val="auto"/>
          <w:spacing w:val="-3"/>
          <w:sz w:val="21"/>
          <w:szCs w:val="21"/>
          <w:highlight w:val="none"/>
        </w:rPr>
        <w:t>圾筒及时清倒，每天不少于 2 次，保</w:t>
      </w:r>
      <w:r>
        <w:rPr>
          <w:rFonts w:ascii="宋体" w:hAnsi="宋体" w:eastAsia="宋体" w:cs="宋体"/>
          <w:color w:val="auto"/>
          <w:spacing w:val="-2"/>
          <w:sz w:val="21"/>
          <w:szCs w:val="21"/>
          <w:highlight w:val="none"/>
        </w:rPr>
        <w:t>持无杂物，无污痕、桶外壁干净无垃圾粘附物</w:t>
      </w:r>
      <w:r>
        <w:rPr>
          <w:rFonts w:hint="eastAsia" w:ascii="宋体" w:hAnsi="宋体" w:eastAsia="宋体" w:cs="宋体"/>
          <w:color w:val="auto"/>
          <w:spacing w:val="-2"/>
          <w:sz w:val="21"/>
          <w:szCs w:val="21"/>
          <w:highlight w:val="none"/>
          <w:lang w:eastAsia="zh-CN"/>
        </w:rPr>
        <w:t>。</w:t>
      </w:r>
    </w:p>
    <w:p w14:paraId="3D477941">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w:t>
      </w:r>
      <w:r>
        <w:rPr>
          <w:rFonts w:hint="eastAsia" w:ascii="宋体" w:cs="宋体"/>
          <w:color w:val="auto"/>
          <w:kern w:val="0"/>
          <w:szCs w:val="21"/>
          <w:highlight w:val="none"/>
          <w:lang w:val="en-US" w:eastAsia="zh-CN"/>
        </w:rPr>
        <w:t>3</w:t>
      </w:r>
      <w:r>
        <w:rPr>
          <w:rFonts w:hint="eastAsia" w:ascii="宋体" w:cs="宋体"/>
          <w:color w:val="auto"/>
          <w:kern w:val="0"/>
          <w:szCs w:val="21"/>
          <w:highlight w:val="none"/>
          <w:lang w:val="zh-CN"/>
        </w:rPr>
        <w:t>）卫生间：无异味，保持卫生洁具、墙面、地面、玻璃等处的清洁、无水迹、无污迹等。及时补充手纸、芳香球等易耗物品。</w:t>
      </w:r>
    </w:p>
    <w:p w14:paraId="47D655BC">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w:t>
      </w:r>
      <w:r>
        <w:rPr>
          <w:rFonts w:hint="eastAsia" w:ascii="宋体" w:cs="宋体"/>
          <w:color w:val="auto"/>
          <w:kern w:val="0"/>
          <w:szCs w:val="21"/>
          <w:highlight w:val="none"/>
          <w:lang w:val="en-US" w:eastAsia="zh-CN"/>
        </w:rPr>
        <w:t>4</w:t>
      </w:r>
      <w:r>
        <w:rPr>
          <w:rFonts w:hint="eastAsia" w:ascii="宋体" w:cs="宋体"/>
          <w:color w:val="auto"/>
          <w:kern w:val="0"/>
          <w:szCs w:val="21"/>
          <w:highlight w:val="none"/>
          <w:lang w:val="zh-CN"/>
        </w:rPr>
        <w:t>）</w:t>
      </w:r>
      <w:r>
        <w:rPr>
          <w:rFonts w:ascii="宋体" w:hAnsi="宋体" w:eastAsia="宋体" w:cs="宋体"/>
          <w:color w:val="auto"/>
          <w:spacing w:val="-4"/>
          <w:sz w:val="21"/>
          <w:szCs w:val="21"/>
          <w:highlight w:val="none"/>
        </w:rPr>
        <w:t>楼梯：扶手无灰尘，无污迹，楼梯无垃圾，无杂物；电梯：内部干净、无灰尘、</w:t>
      </w:r>
      <w:r>
        <w:rPr>
          <w:rFonts w:ascii="宋体" w:hAnsi="宋体" w:eastAsia="宋体" w:cs="宋体"/>
          <w:color w:val="auto"/>
          <w:spacing w:val="-8"/>
          <w:sz w:val="21"/>
          <w:szCs w:val="21"/>
          <w:highlight w:val="none"/>
        </w:rPr>
        <w:t>无污迹</w:t>
      </w:r>
      <w:r>
        <w:rPr>
          <w:rFonts w:hint="eastAsia" w:ascii="宋体" w:cs="宋体"/>
          <w:color w:val="auto"/>
          <w:kern w:val="0"/>
          <w:szCs w:val="21"/>
          <w:highlight w:val="none"/>
          <w:lang w:val="zh-CN"/>
        </w:rPr>
        <w:t>。</w:t>
      </w:r>
    </w:p>
    <w:p w14:paraId="6924E63C">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（5）各种标识牌 ，宣传栏画，保持干净明亮无灰尘无污迹。</w:t>
      </w:r>
    </w:p>
    <w:p w14:paraId="511234F2">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（6）外环境及院落、公共绿地保持无垃圾，杂物，无严重污迹。</w:t>
      </w:r>
    </w:p>
    <w:p w14:paraId="3F4E6746">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（7）垃圾收集转运有垃圾桶每天至少清运一次，做到日产日清，卫生保洁用具、设备等应及时清洁整理，按指定区域堆放，保证垃圾桶无严重异味。</w:t>
      </w:r>
    </w:p>
    <w:p w14:paraId="4982B6C1">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（8）每日产生的废弃物及时清除转运。</w:t>
      </w:r>
    </w:p>
    <w:p w14:paraId="015076E4">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（9）提供夏季的灭蚊及冬季的防滑设施、设备。（购置“灭四害”设施，费用含在投标报价内，由中标单位承担）</w:t>
      </w:r>
    </w:p>
    <w:p w14:paraId="4D73DEAD">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（10）提供卫生间、过道等公共区域的消毒设施设备、消毒试剂并负责日常的消毒；</w:t>
      </w:r>
    </w:p>
    <w:p w14:paraId="58D636F2">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（11）按有关部门的要求做好门前三包工作。</w:t>
      </w:r>
    </w:p>
    <w:p w14:paraId="26A70F53">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（12）负责垃圾收集及运送、垃圾转运至垃圾中转站。</w:t>
      </w:r>
    </w:p>
    <w:p w14:paraId="3E424A8C">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（13）会议室保洁工作应在散会后及时进行清扫、整理，确保不影响下一次会议进行。</w:t>
      </w:r>
    </w:p>
    <w:p w14:paraId="6D2B23F7">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（14）会议室、接待室的会务接待、卫生保洁及窗户、窗帘、纱窗的定期清洗。</w:t>
      </w:r>
    </w:p>
    <w:p w14:paraId="5A5D744E">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（15）负责卫生间的清洁用品（如洗手液、卫生球、抽纸、擦手纸等）的及时补充。</w:t>
      </w:r>
    </w:p>
    <w:p w14:paraId="1162ED5A">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（16）区域内下水道，化粪池、窨井、排水系统等清淤工作。</w:t>
      </w:r>
    </w:p>
    <w:p w14:paraId="67078CA6">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（17）大楼的各出入口门厅、楼道等公共部位及物业区域内道路整洁，无堆放杂物的 现象。</w:t>
      </w:r>
    </w:p>
    <w:p w14:paraId="239C7591">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（18）大理石、花岗石材质部分（&lt;3 米以上为高位&gt;，含墙、柱、地面）清洗打腊每 年不少于 2 次；不锈钢材质部位（含楼道扶手、电梯内外门等）日常保洁，另视污染程度使 用护理剂。</w:t>
      </w:r>
    </w:p>
    <w:p w14:paraId="547680B5">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（19）完成</w:t>
      </w:r>
      <w:r>
        <w:rPr>
          <w:rFonts w:hint="eastAsia" w:ascii="宋体" w:cs="宋体"/>
          <w:color w:val="auto"/>
          <w:kern w:val="0"/>
          <w:szCs w:val="21"/>
          <w:highlight w:val="none"/>
          <w:lang w:val="en-US" w:eastAsia="zh-CN"/>
        </w:rPr>
        <w:t>甲方</w:t>
      </w:r>
      <w:r>
        <w:rPr>
          <w:rFonts w:hint="eastAsia" w:ascii="宋体" w:cs="宋体"/>
          <w:color w:val="auto"/>
          <w:kern w:val="0"/>
          <w:szCs w:val="21"/>
          <w:highlight w:val="none"/>
          <w:lang w:val="zh-CN"/>
        </w:rPr>
        <w:t>交办的其它工作。</w:t>
      </w:r>
    </w:p>
    <w:p w14:paraId="7F74D2AA">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（三）设备运行管理、维护和维修</w:t>
      </w:r>
    </w:p>
    <w:p w14:paraId="37FDEF0D">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1、总体要求</w:t>
      </w:r>
    </w:p>
    <w:p w14:paraId="0D2D2263">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负责给排水、强弱电、空调、消防、广播、安防等系统的设施设备的正常运行、管理、维护和维修；工器具及低值易耗品的维护和更换；负责办理相关设施设备的保修、年检等工作，按照</w:t>
      </w:r>
      <w:r>
        <w:rPr>
          <w:rFonts w:hint="eastAsia" w:ascii="宋体" w:cs="宋体"/>
          <w:color w:val="auto"/>
          <w:kern w:val="0"/>
          <w:szCs w:val="21"/>
          <w:highlight w:val="none"/>
          <w:lang w:val="en-US" w:eastAsia="zh-CN"/>
        </w:rPr>
        <w:t>甲方</w:t>
      </w:r>
      <w:r>
        <w:rPr>
          <w:rFonts w:hint="eastAsia" w:ascii="宋体" w:cs="宋体"/>
          <w:color w:val="auto"/>
          <w:kern w:val="0"/>
          <w:szCs w:val="21"/>
          <w:highlight w:val="none"/>
          <w:lang w:val="zh-CN"/>
        </w:rPr>
        <w:t>要求拟定照明、空调、开水器等设备开关时间，并做好各项节能工作。确保零修、急修及时率达 98%以上，零修、急修合格率达100%；</w:t>
      </w:r>
    </w:p>
    <w:p w14:paraId="282A7BF1">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空调、消防、配电等设施采取</w:t>
      </w:r>
      <w:r>
        <w:rPr>
          <w:rFonts w:hint="eastAsia" w:ascii="宋体" w:cs="宋体"/>
          <w:color w:val="auto"/>
          <w:kern w:val="0"/>
          <w:szCs w:val="21"/>
          <w:highlight w:val="none"/>
          <w:lang w:val="en-US" w:eastAsia="zh-CN"/>
        </w:rPr>
        <w:t>两</w:t>
      </w:r>
      <w:r>
        <w:rPr>
          <w:rFonts w:hint="eastAsia" w:ascii="宋体" w:cs="宋体"/>
          <w:color w:val="auto"/>
          <w:kern w:val="0"/>
          <w:szCs w:val="21"/>
          <w:highlight w:val="none"/>
          <w:lang w:val="zh-CN"/>
        </w:rPr>
        <w:t>方共管方式（</w:t>
      </w:r>
      <w:r>
        <w:rPr>
          <w:rFonts w:hint="eastAsia" w:ascii="宋体" w:cs="宋体"/>
          <w:color w:val="auto"/>
          <w:kern w:val="0"/>
          <w:szCs w:val="21"/>
          <w:highlight w:val="none"/>
          <w:lang w:val="en-US" w:eastAsia="zh-CN"/>
        </w:rPr>
        <w:t>招标</w:t>
      </w:r>
      <w:r>
        <w:rPr>
          <w:rFonts w:hint="eastAsia" w:ascii="宋体" w:cs="宋体"/>
          <w:color w:val="auto"/>
          <w:kern w:val="0"/>
          <w:szCs w:val="21"/>
          <w:highlight w:val="none"/>
          <w:lang w:val="zh-CN"/>
        </w:rPr>
        <w:t>单位、中标人），做好监督管理工作，承担连带责任。以上设备如发现故障应及时与</w:t>
      </w:r>
      <w:r>
        <w:rPr>
          <w:rFonts w:hint="eastAsia" w:ascii="宋体" w:cs="宋体"/>
          <w:color w:val="auto"/>
          <w:kern w:val="0"/>
          <w:szCs w:val="21"/>
          <w:highlight w:val="none"/>
          <w:lang w:val="en-US" w:eastAsia="zh-CN"/>
        </w:rPr>
        <w:t>招标</w:t>
      </w:r>
      <w:r>
        <w:rPr>
          <w:rFonts w:hint="eastAsia" w:ascii="宋体" w:cs="宋体"/>
          <w:color w:val="auto"/>
          <w:kern w:val="0"/>
          <w:szCs w:val="21"/>
          <w:highlight w:val="none"/>
          <w:lang w:val="zh-CN"/>
        </w:rPr>
        <w:t>单位（或维保单位）沟通、协调、联系，尽快排除故障。</w:t>
      </w:r>
    </w:p>
    <w:p w14:paraId="69A7BFF9">
      <w:pPr>
        <w:autoSpaceDE w:val="0"/>
        <w:autoSpaceDN w:val="0"/>
        <w:adjustRightInd w:val="0"/>
        <w:spacing w:line="440" w:lineRule="exact"/>
        <w:ind w:firstLine="420" w:firstLineChars="200"/>
        <w:rPr>
          <w:rFonts w:hint="eastAsia" w:ascii="宋体" w:cs="宋体"/>
          <w:color w:val="auto"/>
          <w:kern w:val="0"/>
          <w:szCs w:val="21"/>
          <w:highlight w:val="none"/>
          <w:u w:val="single"/>
          <w:lang w:val="en-US" w:eastAsia="zh-CN"/>
        </w:rPr>
      </w:pPr>
      <w:r>
        <w:rPr>
          <w:rFonts w:hint="eastAsia" w:ascii="宋体" w:cs="宋体"/>
          <w:color w:val="auto"/>
          <w:kern w:val="0"/>
          <w:szCs w:val="21"/>
          <w:highlight w:val="none"/>
          <w:u w:val="single"/>
          <w:lang w:val="zh-CN"/>
        </w:rPr>
        <w:t>对公共设施设备的维修</w:t>
      </w:r>
      <w:r>
        <w:rPr>
          <w:rFonts w:hint="eastAsia" w:ascii="宋体" w:cs="宋体"/>
          <w:color w:val="auto"/>
          <w:kern w:val="0"/>
          <w:szCs w:val="21"/>
          <w:highlight w:val="none"/>
          <w:u w:val="single"/>
          <w:lang w:val="en-US" w:eastAsia="zh-CN"/>
        </w:rPr>
        <w:t>由中标人承担，维修材料费有招标人承担，所有维修材料采购前须经招标人同意</w:t>
      </w:r>
      <w:r>
        <w:rPr>
          <w:rFonts w:hint="eastAsia" w:ascii="宋体" w:cs="宋体"/>
          <w:color w:val="auto"/>
          <w:kern w:val="0"/>
          <w:szCs w:val="21"/>
          <w:highlight w:val="none"/>
          <w:u w:val="single"/>
        </w:rPr>
        <w:t>。</w:t>
      </w:r>
      <w:r>
        <w:rPr>
          <w:rFonts w:hint="eastAsia" w:ascii="宋体" w:cs="宋体"/>
          <w:color w:val="auto"/>
          <w:kern w:val="0"/>
          <w:szCs w:val="21"/>
          <w:highlight w:val="none"/>
          <w:u w:val="single"/>
          <w:lang w:val="en-US" w:eastAsia="zh-CN"/>
        </w:rPr>
        <w:t>重大维修甲方自行负责。</w:t>
      </w:r>
    </w:p>
    <w:p w14:paraId="2B48709E">
      <w:pPr>
        <w:autoSpaceDE w:val="0"/>
        <w:autoSpaceDN w:val="0"/>
        <w:adjustRightInd w:val="0"/>
        <w:spacing w:line="440" w:lineRule="exact"/>
        <w:ind w:firstLine="420" w:firstLineChars="200"/>
        <w:rPr>
          <w:rFonts w:hint="eastAsia" w:ascii="宋体" w:cs="宋体"/>
          <w:color w:val="auto"/>
          <w:kern w:val="0"/>
          <w:szCs w:val="21"/>
          <w:highlight w:val="none"/>
          <w:u w:val="single"/>
          <w:lang w:val="en-US" w:eastAsia="zh-CN"/>
        </w:rPr>
      </w:pPr>
      <w:r>
        <w:rPr>
          <w:rFonts w:hint="eastAsia" w:ascii="宋体" w:cs="宋体"/>
          <w:color w:val="auto"/>
          <w:kern w:val="0"/>
          <w:szCs w:val="21"/>
          <w:highlight w:val="none"/>
          <w:u w:val="single"/>
          <w:lang w:val="en-US" w:eastAsia="zh-CN"/>
        </w:rPr>
        <w:t>大剧院所辖范围内的疏通下水由中标人负责，化粪池每年至少清理两次。</w:t>
      </w:r>
    </w:p>
    <w:p w14:paraId="4FC56EC4">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2、具体要求</w:t>
      </w:r>
    </w:p>
    <w:p w14:paraId="394EE7D5">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（1）给排水系统</w:t>
      </w:r>
    </w:p>
    <w:p w14:paraId="618332D5">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保持泵房清洁卫生，三个月清洗1次泵房，不经常启动的水泵每月要启动1次，每年对水泵机组清洁保养1次（无负压生活供水设施半年清洗一次）；每日填写水泵运行记录，建档备查。每半年对给排水管进行 1 次全面检查维修。专业人员每天巡视，出现问题随时处理。楼顶落水口保持完好畅通。</w:t>
      </w:r>
    </w:p>
    <w:p w14:paraId="4162B18F">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（2）供配电系统</w:t>
      </w:r>
    </w:p>
    <w:p w14:paraId="7F475DAD">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建立和完善有关规章制度及应急预案。</w:t>
      </w:r>
    </w:p>
    <w:p w14:paraId="112E1838">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24小时值班。具备变配电运行知识和技能，具备上岗资格，持有上岗证书。</w:t>
      </w:r>
    </w:p>
    <w:p w14:paraId="4D5C9DE3">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保持配电房清洁卫生，每周清扫地面及擦拭配电柜表面。</w:t>
      </w:r>
    </w:p>
    <w:p w14:paraId="2B3C9328">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每日监察供配电系统的运行状况，并定时抄表做好记录，出现异常及时处理。</w:t>
      </w:r>
    </w:p>
    <w:p w14:paraId="3E79B172">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每年委托专业单位对供配电相关系统进行测试，对其外部进行清洁、保养；每年需检测主要电器设备、高压操作工具的绝缘程度。</w:t>
      </w:r>
    </w:p>
    <w:p w14:paraId="2C84DEE7">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每月检测 1 次有无动物侵入配电房。</w:t>
      </w:r>
    </w:p>
    <w:p w14:paraId="77D93063">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每日填写运行记录，建档备查。</w:t>
      </w:r>
    </w:p>
    <w:p w14:paraId="2C71BE1E">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（3）弱电系统</w:t>
      </w:r>
    </w:p>
    <w:p w14:paraId="05F18737">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操作人员应受过专业培训，持证上岗，对异常情况能够识别。</w:t>
      </w:r>
    </w:p>
    <w:p w14:paraId="2E1490F2">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有切实可行的维修保养计划，维护保养及时，使系统处于最佳工作状态。</w:t>
      </w:r>
    </w:p>
    <w:p w14:paraId="794BB63A">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有日常维护记录、季检记录及报告、年检记录及报告。</w:t>
      </w:r>
    </w:p>
    <w:p w14:paraId="61AA3210">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建立相关的作业指导规定。</w:t>
      </w:r>
    </w:p>
    <w:p w14:paraId="732FA0A0">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（4）空调系统及其配套设施</w:t>
      </w:r>
    </w:p>
    <w:p w14:paraId="1DE13248">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机房值班人员须持有操作上岗证。</w:t>
      </w:r>
    </w:p>
    <w:p w14:paraId="141CF1BC">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中标人承担空调系统及其配套设施的操作，主机房及主机每周清洁1次，同时根据运行情况，要对空调系统及其附属设施进行清洁、保养。</w:t>
      </w:r>
    </w:p>
    <w:p w14:paraId="20FEA96E">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每年清洁2次进、出风机，每年检查 2 次主机房消防设备，控制柜内线路每年吸尘2次。</w:t>
      </w:r>
    </w:p>
    <w:p w14:paraId="307FCC53">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空调运行时每日填写运行记录，建档备案。</w:t>
      </w:r>
    </w:p>
    <w:p w14:paraId="67F56DBD">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w:t>
      </w:r>
      <w:r>
        <w:rPr>
          <w:rFonts w:hint="eastAsia" w:ascii="宋体" w:cs="宋体"/>
          <w:color w:val="auto"/>
          <w:kern w:val="0"/>
          <w:szCs w:val="21"/>
          <w:highlight w:val="none"/>
          <w:lang w:val="en-US" w:eastAsia="zh-CN"/>
        </w:rPr>
        <w:t>5</w:t>
      </w:r>
      <w:r>
        <w:rPr>
          <w:rFonts w:hint="eastAsia" w:ascii="宋体" w:cs="宋体"/>
          <w:color w:val="auto"/>
          <w:kern w:val="0"/>
          <w:szCs w:val="21"/>
          <w:highlight w:val="none"/>
          <w:lang w:val="zh-CN"/>
        </w:rPr>
        <w:t>）消防系统</w:t>
      </w:r>
    </w:p>
    <w:p w14:paraId="5642630A">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健全消防组织，建立消防责任制，严格贯彻执行消防法规。</w:t>
      </w:r>
    </w:p>
    <w:p w14:paraId="001A092E">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指定专人维护、管理消防器材、设施设备，每月至少两次巡查消防栓、箱、烟感、喷淋、消防外阀、消防标志等是否完好、齐全，保证设备 24 小时正常运转。</w:t>
      </w:r>
    </w:p>
    <w:p w14:paraId="61A667E8">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每天检测1次喷淋管网水压，每年模拟火灾演练1次。</w:t>
      </w:r>
    </w:p>
    <w:p w14:paraId="0501BBF7">
      <w:pPr>
        <w:autoSpaceDE w:val="0"/>
        <w:autoSpaceDN w:val="0"/>
        <w:adjustRightInd w:val="0"/>
        <w:spacing w:line="440" w:lineRule="exact"/>
        <w:ind w:firstLine="420" w:firstLineChars="200"/>
        <w:rPr>
          <w:rFonts w:hint="eastAsia" w:ascii="宋体" w:cs="宋体"/>
          <w:color w:val="auto"/>
          <w:kern w:val="0"/>
          <w:szCs w:val="21"/>
          <w:highlight w:val="none"/>
          <w:lang w:val="zh-CN"/>
        </w:rPr>
      </w:pPr>
      <w:r>
        <w:rPr>
          <w:rFonts w:hint="eastAsia" w:ascii="宋体" w:cs="宋体"/>
          <w:color w:val="auto"/>
          <w:kern w:val="0"/>
          <w:szCs w:val="21"/>
          <w:highlight w:val="none"/>
          <w:lang w:val="zh-CN"/>
        </w:rPr>
        <w:t>消防监控室24小时值班。每日填写工作记录，建档备案。</w:t>
      </w:r>
    </w:p>
    <w:p w14:paraId="2B10E4B6">
      <w:pPr>
        <w:pStyle w:val="19"/>
        <w:numPr>
          <w:ilvl w:val="0"/>
          <w:numId w:val="0"/>
        </w:numPr>
        <w:adjustRightInd w:val="0"/>
        <w:snapToGrid w:val="0"/>
        <w:spacing w:line="440" w:lineRule="exact"/>
        <w:ind w:left="0" w:leftChars="0" w:firstLine="420" w:firstLineChars="200"/>
        <w:rPr>
          <w:rFonts w:hint="eastAsia" w:cs="宋体"/>
          <w:color w:val="auto"/>
          <w:kern w:val="0"/>
          <w:szCs w:val="21"/>
          <w:highlight w:val="none"/>
        </w:rPr>
      </w:pPr>
      <w:r>
        <w:rPr>
          <w:rFonts w:hint="eastAsia" w:ascii="宋体" w:hAnsi="Times New Roman" w:eastAsia="宋体" w:cs="宋体"/>
          <w:color w:val="auto"/>
          <w:kern w:val="0"/>
          <w:sz w:val="21"/>
          <w:szCs w:val="21"/>
          <w:highlight w:val="none"/>
          <w:u w:color="000000"/>
          <w:lang w:val="en-US" w:eastAsia="zh-CN" w:bidi="ar-SA"/>
        </w:rPr>
        <w:t>（</w:t>
      </w:r>
      <w:r>
        <w:rPr>
          <w:rFonts w:hint="eastAsia" w:cs="宋体"/>
          <w:color w:val="auto"/>
          <w:kern w:val="0"/>
          <w:sz w:val="21"/>
          <w:szCs w:val="21"/>
          <w:highlight w:val="none"/>
          <w:u w:color="000000"/>
          <w:lang w:val="en-US" w:eastAsia="zh-CN" w:bidi="ar-SA"/>
        </w:rPr>
        <w:t>6</w:t>
      </w:r>
      <w:r>
        <w:rPr>
          <w:rFonts w:hint="eastAsia" w:ascii="宋体" w:hAnsi="Times New Roman" w:eastAsia="宋体" w:cs="宋体"/>
          <w:color w:val="auto"/>
          <w:kern w:val="0"/>
          <w:sz w:val="21"/>
          <w:szCs w:val="21"/>
          <w:highlight w:val="none"/>
          <w:u w:color="000000"/>
          <w:lang w:val="en-US" w:eastAsia="zh-CN" w:bidi="ar-SA"/>
        </w:rPr>
        <w:t>）</w:t>
      </w:r>
      <w:r>
        <w:rPr>
          <w:rFonts w:hint="eastAsia" w:ascii="宋体" w:cs="宋体"/>
          <w:color w:val="auto"/>
          <w:kern w:val="0"/>
          <w:szCs w:val="21"/>
          <w:highlight w:val="none"/>
          <w:lang w:val="zh-CN"/>
        </w:rPr>
        <w:t>夜景照明系统：根据</w:t>
      </w:r>
      <w:r>
        <w:rPr>
          <w:rFonts w:hint="eastAsia" w:cs="宋体"/>
          <w:color w:val="auto"/>
          <w:kern w:val="0"/>
          <w:szCs w:val="21"/>
          <w:highlight w:val="none"/>
          <w:lang w:val="en-US" w:eastAsia="zh-CN"/>
        </w:rPr>
        <w:t>甲方</w:t>
      </w:r>
      <w:r>
        <w:rPr>
          <w:rFonts w:hint="eastAsia" w:ascii="宋体" w:cs="宋体"/>
          <w:color w:val="auto"/>
          <w:kern w:val="0"/>
          <w:szCs w:val="21"/>
          <w:highlight w:val="none"/>
          <w:lang w:val="zh-CN"/>
        </w:rPr>
        <w:t>要求的时间和模式开闭夜景照明系统</w:t>
      </w:r>
      <w:r>
        <w:rPr>
          <w:rFonts w:hint="eastAsia" w:cs="宋体"/>
          <w:color w:val="auto"/>
          <w:kern w:val="0"/>
          <w:szCs w:val="21"/>
          <w:highlight w:val="none"/>
        </w:rPr>
        <w:t>。</w:t>
      </w:r>
    </w:p>
    <w:p w14:paraId="28B122F4">
      <w:pPr>
        <w:autoSpaceDE w:val="0"/>
        <w:autoSpaceDN w:val="0"/>
        <w:adjustRightInd w:val="0"/>
        <w:spacing w:line="440" w:lineRule="exact"/>
        <w:ind w:firstLine="420" w:firstLineChars="200"/>
        <w:rPr>
          <w:rFonts w:hint="eastAsia" w:ascii="宋体" w:hAnsi="Times New Roman" w:eastAsia="宋体" w:cs="宋体"/>
          <w:color w:val="auto"/>
          <w:kern w:val="0"/>
          <w:szCs w:val="21"/>
          <w:highlight w:val="none"/>
          <w:lang w:val="zh-CN"/>
        </w:rPr>
      </w:pPr>
      <w:r>
        <w:rPr>
          <w:rFonts w:hint="eastAsia" w:ascii="宋体" w:hAnsi="Times New Roman" w:eastAsia="宋体" w:cs="宋体"/>
          <w:color w:val="auto"/>
          <w:kern w:val="0"/>
          <w:szCs w:val="21"/>
          <w:highlight w:val="none"/>
          <w:lang w:val="zh-CN" w:eastAsia="zh-CN"/>
        </w:rPr>
        <w:t>（</w:t>
      </w:r>
      <w:r>
        <w:rPr>
          <w:rFonts w:hint="eastAsia" w:ascii="宋体" w:hAnsi="Times New Roman" w:eastAsia="宋体" w:cs="宋体"/>
          <w:color w:val="auto"/>
          <w:kern w:val="0"/>
          <w:szCs w:val="21"/>
          <w:highlight w:val="none"/>
          <w:lang w:val="en-US" w:eastAsia="zh-CN"/>
        </w:rPr>
        <w:t>7</w:t>
      </w:r>
      <w:r>
        <w:rPr>
          <w:rFonts w:hint="eastAsia" w:ascii="宋体" w:hAnsi="Times New Roman" w:eastAsia="宋体" w:cs="宋体"/>
          <w:color w:val="auto"/>
          <w:kern w:val="0"/>
          <w:szCs w:val="21"/>
          <w:highlight w:val="none"/>
          <w:lang w:val="zh-CN" w:eastAsia="zh-CN"/>
        </w:rPr>
        <w:t>）</w:t>
      </w:r>
      <w:r>
        <w:rPr>
          <w:rFonts w:hint="eastAsia" w:ascii="宋体" w:hAnsi="Times New Roman" w:eastAsia="宋体" w:cs="宋体"/>
          <w:color w:val="auto"/>
          <w:kern w:val="0"/>
          <w:szCs w:val="21"/>
          <w:highlight w:val="none"/>
          <w:lang w:val="zh-CN"/>
        </w:rPr>
        <w:t>绿化养护服务管理</w:t>
      </w:r>
    </w:p>
    <w:p w14:paraId="634E120E">
      <w:pPr>
        <w:autoSpaceDE w:val="0"/>
        <w:autoSpaceDN w:val="0"/>
        <w:adjustRightInd w:val="0"/>
        <w:spacing w:line="440" w:lineRule="exact"/>
        <w:ind w:firstLine="420" w:firstLineChars="200"/>
        <w:rPr>
          <w:rFonts w:hint="eastAsia" w:ascii="宋体" w:hAnsi="Times New Roman" w:eastAsia="宋体" w:cs="宋体"/>
          <w:color w:val="auto"/>
          <w:kern w:val="0"/>
          <w:szCs w:val="21"/>
          <w:highlight w:val="none"/>
          <w:lang w:val="zh-CN"/>
        </w:rPr>
      </w:pPr>
      <w:r>
        <w:rPr>
          <w:rFonts w:hint="eastAsia" w:ascii="宋体" w:hAnsi="Times New Roman" w:eastAsia="宋体" w:cs="宋体"/>
          <w:color w:val="auto"/>
          <w:kern w:val="0"/>
          <w:szCs w:val="21"/>
          <w:highlight w:val="none"/>
          <w:lang w:val="zh-CN"/>
        </w:rPr>
        <w:t>①绿化养护要做到草坪修剪，灌溉浇水、施肥加土和滚压，清除杂草、防病虫害、草坪维护和复苏、更新等。</w:t>
      </w:r>
    </w:p>
    <w:p w14:paraId="07DD73E0">
      <w:pPr>
        <w:autoSpaceDE w:val="0"/>
        <w:autoSpaceDN w:val="0"/>
        <w:adjustRightInd w:val="0"/>
        <w:spacing w:line="440" w:lineRule="exact"/>
        <w:ind w:firstLine="420" w:firstLineChars="200"/>
        <w:rPr>
          <w:rFonts w:hint="eastAsia" w:ascii="宋体" w:hAnsi="Times New Roman" w:eastAsia="宋体" w:cs="宋体"/>
          <w:color w:val="auto"/>
          <w:kern w:val="0"/>
          <w:szCs w:val="21"/>
          <w:highlight w:val="none"/>
          <w:lang w:val="zh-CN"/>
        </w:rPr>
      </w:pPr>
      <w:r>
        <w:rPr>
          <w:rFonts w:hint="eastAsia" w:ascii="宋体" w:hAnsi="Times New Roman" w:eastAsia="宋体" w:cs="宋体"/>
          <w:color w:val="auto"/>
          <w:kern w:val="0"/>
          <w:szCs w:val="21"/>
          <w:highlight w:val="none"/>
          <w:lang w:val="zh-CN"/>
        </w:rPr>
        <w:t>②定期进行养护、管理，做到跟踪养护及时管理。</w:t>
      </w:r>
    </w:p>
    <w:p w14:paraId="7EB804B6">
      <w:pPr>
        <w:autoSpaceDE w:val="0"/>
        <w:autoSpaceDN w:val="0"/>
        <w:adjustRightInd w:val="0"/>
        <w:spacing w:line="440" w:lineRule="exact"/>
        <w:ind w:firstLine="420" w:firstLineChars="200"/>
        <w:rPr>
          <w:rFonts w:hint="eastAsia" w:ascii="宋体" w:hAnsi="Times New Roman" w:eastAsia="宋体" w:cs="宋体"/>
          <w:color w:val="auto"/>
          <w:kern w:val="0"/>
          <w:szCs w:val="21"/>
          <w:highlight w:val="none"/>
          <w:lang w:val="zh-CN"/>
        </w:rPr>
      </w:pPr>
      <w:r>
        <w:rPr>
          <w:rFonts w:hint="eastAsia" w:ascii="宋体" w:hAnsi="Times New Roman" w:eastAsia="宋体" w:cs="宋体"/>
          <w:color w:val="auto"/>
          <w:kern w:val="0"/>
          <w:szCs w:val="21"/>
          <w:highlight w:val="none"/>
          <w:lang w:val="zh-CN"/>
        </w:rPr>
        <w:t>③一年进行至少</w:t>
      </w:r>
      <w:r>
        <w:rPr>
          <w:rFonts w:hint="eastAsia" w:ascii="宋体" w:hAnsi="Times New Roman" w:eastAsia="宋体" w:cs="宋体"/>
          <w:color w:val="auto"/>
          <w:kern w:val="0"/>
          <w:szCs w:val="21"/>
          <w:highlight w:val="none"/>
          <w:lang w:val="en-US" w:eastAsia="zh-CN"/>
        </w:rPr>
        <w:t>4</w:t>
      </w:r>
      <w:r>
        <w:rPr>
          <w:rFonts w:hint="eastAsia" w:ascii="宋体" w:hAnsi="Times New Roman" w:eastAsia="宋体" w:cs="宋体"/>
          <w:color w:val="auto"/>
          <w:kern w:val="0"/>
          <w:szCs w:val="21"/>
          <w:highlight w:val="none"/>
          <w:lang w:val="zh-CN"/>
        </w:rPr>
        <w:t>次</w:t>
      </w:r>
      <w:r>
        <w:rPr>
          <w:rFonts w:hint="eastAsia" w:ascii="宋体" w:hAnsi="Times New Roman" w:eastAsia="宋体" w:cs="宋体"/>
          <w:color w:val="auto"/>
          <w:kern w:val="0"/>
          <w:szCs w:val="21"/>
          <w:highlight w:val="none"/>
          <w:lang w:val="en-US" w:eastAsia="zh-CN"/>
        </w:rPr>
        <w:t>修剪</w:t>
      </w:r>
      <w:r>
        <w:rPr>
          <w:rFonts w:hint="eastAsia" w:ascii="宋体" w:hAnsi="Times New Roman" w:eastAsia="宋体" w:cs="宋体"/>
          <w:color w:val="auto"/>
          <w:kern w:val="0"/>
          <w:szCs w:val="21"/>
          <w:highlight w:val="none"/>
          <w:lang w:val="zh-CN"/>
        </w:rPr>
        <w:t>。</w:t>
      </w:r>
    </w:p>
    <w:p w14:paraId="74039D00">
      <w:pPr>
        <w:autoSpaceDE w:val="0"/>
        <w:autoSpaceDN w:val="0"/>
        <w:adjustRightInd w:val="0"/>
        <w:spacing w:line="440" w:lineRule="exact"/>
        <w:ind w:firstLine="420" w:firstLineChars="200"/>
        <w:rPr>
          <w:rFonts w:ascii="宋体" w:hAnsi="宋体"/>
          <w:color w:val="auto"/>
          <w:szCs w:val="21"/>
          <w:highlight w:val="none"/>
        </w:rPr>
      </w:pPr>
      <w:r>
        <w:rPr>
          <w:rFonts w:hint="eastAsia" w:ascii="宋体" w:hAnsi="Times New Roman" w:eastAsia="宋体" w:cs="宋体"/>
          <w:color w:val="auto"/>
          <w:kern w:val="0"/>
          <w:szCs w:val="21"/>
          <w:highlight w:val="none"/>
          <w:lang w:val="zh-CN"/>
        </w:rPr>
        <w:t>④突发任务（如</w:t>
      </w:r>
      <w:r>
        <w:rPr>
          <w:rFonts w:hint="eastAsia" w:ascii="宋体" w:hAnsi="宋体"/>
          <w:color w:val="auto"/>
          <w:szCs w:val="21"/>
          <w:highlight w:val="none"/>
        </w:rPr>
        <w:t>上级检查</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大型活动</w:t>
      </w:r>
      <w:r>
        <w:rPr>
          <w:rFonts w:hint="eastAsia" w:ascii="宋体" w:hAnsi="宋体"/>
          <w:color w:val="auto"/>
          <w:szCs w:val="21"/>
          <w:highlight w:val="none"/>
        </w:rPr>
        <w:t>等），</w:t>
      </w:r>
      <w:r>
        <w:rPr>
          <w:rFonts w:hint="eastAsia" w:ascii="宋体" w:hAnsi="宋体"/>
          <w:color w:val="auto"/>
          <w:szCs w:val="21"/>
          <w:highlight w:val="none"/>
          <w:lang w:val="en-US" w:eastAsia="zh-CN"/>
        </w:rPr>
        <w:t>中标单位</w:t>
      </w:r>
      <w:r>
        <w:rPr>
          <w:rFonts w:hint="eastAsia" w:ascii="宋体" w:hAnsi="宋体"/>
          <w:color w:val="auto"/>
          <w:szCs w:val="21"/>
          <w:highlight w:val="none"/>
        </w:rPr>
        <w:t>要做到随叫随到，高标准且迅速的完成任务。</w:t>
      </w:r>
    </w:p>
    <w:p w14:paraId="447B368E">
      <w:pPr>
        <w:spacing w:line="440" w:lineRule="exact"/>
        <w:jc w:val="center"/>
        <w:rPr>
          <w:rFonts w:hint="eastAsia" w:ascii="黑体" w:eastAsia="黑体"/>
          <w:b/>
          <w:bCs/>
          <w:color w:val="auto"/>
          <w:szCs w:val="21"/>
          <w:highlight w:val="none"/>
        </w:rPr>
      </w:pPr>
      <w:r>
        <w:rPr>
          <w:rFonts w:hint="eastAsia" w:ascii="黑体" w:eastAsia="黑体"/>
          <w:b/>
          <w:bCs/>
          <w:color w:val="auto"/>
          <w:szCs w:val="21"/>
          <w:highlight w:val="none"/>
        </w:rPr>
        <w:t>三、委托管理期限</w:t>
      </w:r>
    </w:p>
    <w:p w14:paraId="60E5F168">
      <w:pPr>
        <w:spacing w:line="440" w:lineRule="exact"/>
        <w:ind w:firstLine="420" w:firstLineChars="200"/>
        <w:jc w:val="left"/>
        <w:outlineLvl w:val="1"/>
        <w:rPr>
          <w:rFonts w:hint="eastAsia" w:ascii="宋体"/>
          <w:color w:val="auto"/>
          <w:szCs w:val="21"/>
          <w:highlight w:val="none"/>
        </w:rPr>
      </w:pPr>
      <w:bookmarkStart w:id="106" w:name="_Toc29436"/>
      <w:bookmarkStart w:id="107" w:name="_Toc21231830"/>
      <w:r>
        <w:rPr>
          <w:rFonts w:hint="eastAsia" w:ascii="宋体"/>
          <w:color w:val="auto"/>
          <w:szCs w:val="21"/>
          <w:highlight w:val="none"/>
        </w:rPr>
        <w:t>第</w:t>
      </w:r>
      <w:r>
        <w:rPr>
          <w:rFonts w:hint="eastAsia" w:ascii="宋体"/>
          <w:color w:val="auto"/>
          <w:szCs w:val="21"/>
          <w:highlight w:val="none"/>
          <w:lang w:eastAsia="zh-CN"/>
        </w:rPr>
        <w:t>五</w:t>
      </w:r>
      <w:r>
        <w:rPr>
          <w:rFonts w:hint="eastAsia" w:ascii="宋体"/>
          <w:color w:val="auto"/>
          <w:szCs w:val="21"/>
          <w:highlight w:val="none"/>
        </w:rPr>
        <w:t>条  委托管理期限为</w:t>
      </w:r>
      <w:r>
        <w:rPr>
          <w:rFonts w:hint="eastAsia" w:ascii="宋体"/>
          <w:color w:val="auto"/>
          <w:szCs w:val="21"/>
          <w:highlight w:val="none"/>
          <w:lang w:val="en-US" w:eastAsia="zh-CN"/>
        </w:rPr>
        <w:t>三</w:t>
      </w:r>
      <w:r>
        <w:rPr>
          <w:rFonts w:hint="eastAsia" w:ascii="宋体"/>
          <w:color w:val="auto"/>
          <w:szCs w:val="21"/>
          <w:highlight w:val="none"/>
        </w:rPr>
        <w:t>年</w:t>
      </w:r>
      <w:r>
        <w:rPr>
          <w:rFonts w:hint="eastAsia" w:ascii="宋体"/>
          <w:color w:val="auto"/>
          <w:szCs w:val="21"/>
          <w:highlight w:val="none"/>
          <w:lang w:eastAsia="zh-CN"/>
        </w:rPr>
        <w:t>，合同</w:t>
      </w:r>
      <w:r>
        <w:rPr>
          <w:rFonts w:hint="eastAsia" w:ascii="宋体"/>
          <w:color w:val="auto"/>
          <w:szCs w:val="21"/>
          <w:highlight w:val="none"/>
          <w:lang w:val="en-US" w:eastAsia="zh-CN"/>
        </w:rPr>
        <w:t>一签三年</w:t>
      </w:r>
      <w:r>
        <w:rPr>
          <w:rFonts w:hint="eastAsia" w:ascii="宋体"/>
          <w:color w:val="auto"/>
          <w:szCs w:val="21"/>
          <w:highlight w:val="none"/>
        </w:rPr>
        <w:t>。自</w:t>
      </w:r>
      <w:r>
        <w:rPr>
          <w:rFonts w:hint="eastAsia" w:ascii="宋体"/>
          <w:color w:val="auto"/>
          <w:szCs w:val="21"/>
          <w:highlight w:val="none"/>
          <w:lang w:val="en-US" w:eastAsia="zh-CN"/>
        </w:rPr>
        <w:t xml:space="preserve">    </w:t>
      </w:r>
      <w:r>
        <w:rPr>
          <w:rFonts w:hint="eastAsia" w:ascii="宋体"/>
          <w:color w:val="auto"/>
          <w:szCs w:val="21"/>
          <w:highlight w:val="none"/>
        </w:rPr>
        <w:t>年   月     日起至    年   月   日止。</w:t>
      </w:r>
      <w:bookmarkEnd w:id="106"/>
      <w:bookmarkEnd w:id="107"/>
    </w:p>
    <w:p w14:paraId="1C280AC0">
      <w:pPr>
        <w:spacing w:line="440" w:lineRule="exact"/>
        <w:ind w:firstLine="420" w:firstLineChars="200"/>
        <w:jc w:val="left"/>
        <w:outlineLvl w:val="1"/>
        <w:rPr>
          <w:rFonts w:hint="eastAsia" w:ascii="宋体"/>
          <w:color w:val="auto"/>
          <w:szCs w:val="21"/>
          <w:highlight w:val="none"/>
        </w:rPr>
      </w:pPr>
      <w:bookmarkStart w:id="108" w:name="_Toc21231831"/>
      <w:bookmarkStart w:id="109" w:name="_Toc25810"/>
      <w:r>
        <w:rPr>
          <w:rFonts w:hint="eastAsia" w:ascii="宋体"/>
          <w:color w:val="auto"/>
          <w:szCs w:val="21"/>
          <w:highlight w:val="none"/>
          <w:lang w:val="en-US" w:eastAsia="zh-CN"/>
        </w:rPr>
        <w:t>甲方按季度对乙方进行考核，年度服务期内初次考核不合格，予以整改；两次考核不合格，按规定整改外，还将扣除季度物业服务费50%的违约金；三次考核不合格，甲方有权直接解除合同</w:t>
      </w:r>
      <w:r>
        <w:rPr>
          <w:rFonts w:hint="eastAsia" w:ascii="宋体"/>
          <w:color w:val="auto"/>
          <w:szCs w:val="21"/>
          <w:highlight w:val="none"/>
        </w:rPr>
        <w:t>。</w:t>
      </w:r>
      <w:bookmarkEnd w:id="108"/>
      <w:bookmarkEnd w:id="109"/>
    </w:p>
    <w:p w14:paraId="46402D69">
      <w:pPr>
        <w:spacing w:line="440" w:lineRule="exact"/>
        <w:jc w:val="center"/>
        <w:rPr>
          <w:rFonts w:hint="eastAsia" w:ascii="黑体" w:eastAsia="黑体"/>
          <w:b/>
          <w:bCs/>
          <w:color w:val="auto"/>
          <w:szCs w:val="21"/>
          <w:highlight w:val="none"/>
        </w:rPr>
      </w:pPr>
      <w:r>
        <w:rPr>
          <w:rFonts w:hint="eastAsia" w:ascii="黑体" w:eastAsia="黑体"/>
          <w:b/>
          <w:bCs/>
          <w:color w:val="auto"/>
          <w:szCs w:val="21"/>
          <w:highlight w:val="none"/>
        </w:rPr>
        <w:t>四、双方权利义务</w:t>
      </w:r>
    </w:p>
    <w:p w14:paraId="160926C4">
      <w:pPr>
        <w:spacing w:line="440" w:lineRule="exact"/>
        <w:ind w:firstLine="420" w:firstLineChars="200"/>
        <w:rPr>
          <w:rFonts w:hint="eastAsia" w:ascii="宋体"/>
          <w:color w:val="auto"/>
          <w:szCs w:val="21"/>
          <w:highlight w:val="none"/>
        </w:rPr>
      </w:pPr>
      <w:r>
        <w:rPr>
          <w:rFonts w:hint="eastAsia" w:ascii="宋体"/>
          <w:color w:val="auto"/>
          <w:szCs w:val="21"/>
          <w:highlight w:val="none"/>
        </w:rPr>
        <w:t>第</w:t>
      </w:r>
      <w:r>
        <w:rPr>
          <w:rFonts w:hint="eastAsia" w:ascii="宋体"/>
          <w:color w:val="auto"/>
          <w:szCs w:val="21"/>
          <w:highlight w:val="none"/>
          <w:lang w:eastAsia="zh-CN"/>
        </w:rPr>
        <w:t>六</w:t>
      </w:r>
      <w:r>
        <w:rPr>
          <w:rFonts w:hint="eastAsia" w:ascii="宋体"/>
          <w:color w:val="auto"/>
          <w:szCs w:val="21"/>
          <w:highlight w:val="none"/>
        </w:rPr>
        <w:t>条  甲方权利及义务</w:t>
      </w:r>
    </w:p>
    <w:p w14:paraId="68BA3CEB">
      <w:pPr>
        <w:spacing w:line="440" w:lineRule="exact"/>
        <w:ind w:firstLine="420" w:firstLineChars="200"/>
        <w:rPr>
          <w:rFonts w:hint="eastAsia" w:ascii="宋体"/>
          <w:color w:val="auto"/>
          <w:szCs w:val="21"/>
          <w:highlight w:val="none"/>
        </w:rPr>
      </w:pPr>
      <w:r>
        <w:rPr>
          <w:rFonts w:hint="eastAsia" w:ascii="宋体"/>
          <w:color w:val="auto"/>
          <w:szCs w:val="21"/>
          <w:highlight w:val="none"/>
        </w:rPr>
        <w:t>1、代表和维护</w:t>
      </w:r>
      <w:r>
        <w:rPr>
          <w:rFonts w:hint="eastAsia" w:ascii="宋体"/>
          <w:color w:val="auto"/>
          <w:szCs w:val="21"/>
          <w:highlight w:val="none"/>
          <w:lang w:val="en-US" w:eastAsia="zh-CN"/>
        </w:rPr>
        <w:t>甲方</w:t>
      </w:r>
      <w:r>
        <w:rPr>
          <w:rFonts w:hint="eastAsia" w:ascii="宋体"/>
          <w:color w:val="auto"/>
          <w:szCs w:val="21"/>
          <w:highlight w:val="none"/>
        </w:rPr>
        <w:t>、使用人的合法权益；经常听取使用人的意见和建议，并及时将这些反馈给乙方；协调使用人与乙方之间的关系。</w:t>
      </w:r>
    </w:p>
    <w:p w14:paraId="01819589">
      <w:pPr>
        <w:spacing w:line="440" w:lineRule="exact"/>
        <w:ind w:firstLine="420" w:firstLineChars="200"/>
        <w:rPr>
          <w:rFonts w:hint="eastAsia" w:ascii="宋体"/>
          <w:color w:val="auto"/>
          <w:szCs w:val="21"/>
          <w:highlight w:val="none"/>
        </w:rPr>
      </w:pPr>
      <w:r>
        <w:rPr>
          <w:rFonts w:hint="eastAsia" w:ascii="宋体"/>
          <w:color w:val="auto"/>
          <w:szCs w:val="21"/>
          <w:highlight w:val="none"/>
        </w:rPr>
        <w:t>2、监督物业使用人遵守物业共用部位和共用设施设备的使用、公共秩序和环境卫生的维护等方面的管理制度；采取措施督促使用人按时交纳物业管理服务费用。</w:t>
      </w:r>
    </w:p>
    <w:p w14:paraId="4BDCB86E">
      <w:pPr>
        <w:spacing w:line="440" w:lineRule="exact"/>
        <w:ind w:firstLine="420" w:firstLineChars="200"/>
        <w:rPr>
          <w:rFonts w:hint="eastAsia" w:ascii="宋体"/>
          <w:color w:val="auto"/>
          <w:szCs w:val="21"/>
          <w:highlight w:val="none"/>
        </w:rPr>
      </w:pPr>
      <w:r>
        <w:rPr>
          <w:rFonts w:hint="eastAsia" w:ascii="宋体"/>
          <w:color w:val="auto"/>
          <w:szCs w:val="21"/>
          <w:highlight w:val="none"/>
        </w:rPr>
        <w:t>3、审定乙方拟定的物业管理方案。</w:t>
      </w:r>
    </w:p>
    <w:p w14:paraId="75746EB3">
      <w:pPr>
        <w:spacing w:line="440" w:lineRule="exact"/>
        <w:ind w:firstLine="420" w:firstLineChars="200"/>
        <w:rPr>
          <w:rFonts w:hint="eastAsia" w:ascii="宋体"/>
          <w:color w:val="auto"/>
          <w:szCs w:val="21"/>
          <w:highlight w:val="none"/>
        </w:rPr>
      </w:pPr>
      <w:r>
        <w:rPr>
          <w:rFonts w:hint="eastAsia" w:ascii="宋体"/>
          <w:color w:val="auto"/>
          <w:szCs w:val="21"/>
          <w:highlight w:val="none"/>
        </w:rPr>
        <w:t>4、检查监督乙方物业管理方案的实施及制度的执行情况。</w:t>
      </w:r>
    </w:p>
    <w:p w14:paraId="65224318">
      <w:pPr>
        <w:spacing w:line="440" w:lineRule="exact"/>
        <w:ind w:firstLine="420" w:firstLineChars="200"/>
        <w:rPr>
          <w:rFonts w:hint="eastAsia" w:ascii="宋体"/>
          <w:color w:val="auto"/>
          <w:szCs w:val="21"/>
          <w:highlight w:val="none"/>
        </w:rPr>
      </w:pPr>
      <w:r>
        <w:rPr>
          <w:rFonts w:hint="eastAsia" w:ascii="宋体"/>
          <w:color w:val="auto"/>
          <w:szCs w:val="21"/>
          <w:highlight w:val="none"/>
        </w:rPr>
        <w:t>5、审定乙方提出的物业管理服务年度计划、维修养护计划和财务预算及决算报告。</w:t>
      </w:r>
    </w:p>
    <w:p w14:paraId="7D3D7570">
      <w:pPr>
        <w:spacing w:line="440" w:lineRule="exact"/>
        <w:ind w:firstLine="420" w:firstLineChars="200"/>
        <w:rPr>
          <w:rFonts w:hint="eastAsia" w:ascii="宋体"/>
          <w:color w:val="auto"/>
          <w:szCs w:val="21"/>
          <w:highlight w:val="none"/>
        </w:rPr>
      </w:pPr>
      <w:r>
        <w:rPr>
          <w:rFonts w:hint="eastAsia" w:ascii="宋体"/>
          <w:color w:val="auto"/>
          <w:szCs w:val="21"/>
          <w:highlight w:val="none"/>
        </w:rPr>
        <w:t>6、在甲方通知乙方进场后</w:t>
      </w:r>
      <w:r>
        <w:rPr>
          <w:rFonts w:hint="eastAsia" w:ascii="宋体"/>
          <w:color w:val="auto"/>
          <w:szCs w:val="21"/>
          <w:highlight w:val="none"/>
          <w:u w:val="single"/>
        </w:rPr>
        <w:t>3</w:t>
      </w:r>
      <w:r>
        <w:rPr>
          <w:rFonts w:hint="eastAsia" w:ascii="宋体"/>
          <w:color w:val="auto"/>
          <w:szCs w:val="21"/>
          <w:highlight w:val="none"/>
        </w:rPr>
        <w:t>日内无偿向乙方提供物业管理用房。</w:t>
      </w:r>
    </w:p>
    <w:p w14:paraId="1F0D539C">
      <w:pPr>
        <w:spacing w:line="440" w:lineRule="exact"/>
        <w:ind w:firstLine="420" w:firstLineChars="200"/>
        <w:rPr>
          <w:rFonts w:hint="eastAsia" w:ascii="宋体"/>
          <w:color w:val="auto"/>
          <w:szCs w:val="21"/>
          <w:highlight w:val="none"/>
        </w:rPr>
      </w:pPr>
      <w:r>
        <w:rPr>
          <w:rFonts w:hint="eastAsia" w:ascii="宋体"/>
          <w:color w:val="auto"/>
          <w:szCs w:val="21"/>
          <w:highlight w:val="none"/>
        </w:rPr>
        <w:t>7、与乙方办理物业管理验收手续时，应向乙方移交项目相关资料。</w:t>
      </w:r>
    </w:p>
    <w:p w14:paraId="48BB311D">
      <w:pPr>
        <w:spacing w:line="440" w:lineRule="exact"/>
        <w:ind w:firstLine="420" w:firstLineChars="200"/>
        <w:rPr>
          <w:rFonts w:hint="eastAsia" w:ascii="宋体"/>
          <w:color w:val="auto"/>
          <w:szCs w:val="21"/>
          <w:highlight w:val="none"/>
        </w:rPr>
      </w:pPr>
      <w:r>
        <w:rPr>
          <w:rFonts w:hint="eastAsia" w:ascii="宋体"/>
          <w:color w:val="auto"/>
          <w:szCs w:val="21"/>
          <w:highlight w:val="none"/>
        </w:rPr>
        <w:t>8、协助乙方做好物业管理工作和宣传教育、文化活动及完成物业管理各项管理目标。</w:t>
      </w:r>
    </w:p>
    <w:p w14:paraId="2B24AECC">
      <w:pPr>
        <w:spacing w:line="440" w:lineRule="exact"/>
        <w:ind w:firstLine="420" w:firstLineChars="200"/>
        <w:rPr>
          <w:rFonts w:hint="eastAsia" w:ascii="宋体"/>
          <w:color w:val="auto"/>
          <w:szCs w:val="21"/>
          <w:highlight w:val="none"/>
        </w:rPr>
      </w:pPr>
      <w:r>
        <w:rPr>
          <w:rFonts w:hint="eastAsia" w:ascii="宋体"/>
          <w:color w:val="auto"/>
          <w:szCs w:val="21"/>
          <w:highlight w:val="none"/>
        </w:rPr>
        <w:t xml:space="preserve">9、甲方有权指定专业审计机构，对本合同约定的物业管理公共服务费支出状况进行审计，审计费用由乙方承担。 </w:t>
      </w:r>
    </w:p>
    <w:p w14:paraId="308EC21C">
      <w:pPr>
        <w:spacing w:line="440" w:lineRule="exact"/>
        <w:ind w:firstLine="420" w:firstLineChars="200"/>
        <w:rPr>
          <w:rFonts w:hint="eastAsia" w:ascii="宋体"/>
          <w:color w:val="auto"/>
          <w:szCs w:val="21"/>
          <w:highlight w:val="none"/>
        </w:rPr>
      </w:pPr>
      <w:r>
        <w:rPr>
          <w:rFonts w:hint="eastAsia" w:ascii="宋体"/>
          <w:color w:val="auto"/>
          <w:szCs w:val="21"/>
          <w:highlight w:val="none"/>
        </w:rPr>
        <w:t>第</w:t>
      </w:r>
      <w:r>
        <w:rPr>
          <w:rFonts w:hint="eastAsia" w:ascii="宋体"/>
          <w:color w:val="auto"/>
          <w:szCs w:val="21"/>
          <w:highlight w:val="none"/>
          <w:lang w:eastAsia="zh-CN"/>
        </w:rPr>
        <w:t>七</w:t>
      </w:r>
      <w:r>
        <w:rPr>
          <w:rFonts w:hint="eastAsia" w:ascii="宋体"/>
          <w:color w:val="auto"/>
          <w:szCs w:val="21"/>
          <w:highlight w:val="none"/>
        </w:rPr>
        <w:t>条  乙方权利及义务</w:t>
      </w:r>
    </w:p>
    <w:p w14:paraId="0E3E856D">
      <w:pPr>
        <w:spacing w:line="440" w:lineRule="exact"/>
        <w:ind w:firstLine="420" w:firstLineChars="200"/>
        <w:rPr>
          <w:rFonts w:hint="eastAsia" w:ascii="宋体"/>
          <w:color w:val="auto"/>
          <w:szCs w:val="21"/>
          <w:highlight w:val="none"/>
        </w:rPr>
      </w:pPr>
      <w:r>
        <w:rPr>
          <w:rFonts w:hint="eastAsia" w:ascii="宋体"/>
          <w:color w:val="auto"/>
          <w:szCs w:val="21"/>
          <w:highlight w:val="none"/>
        </w:rPr>
        <w:t>1、乙方应根据有关法律法规及本合同的约定，在进驻后7日内编制完成本区域物业服务管理年度计划和月度计划，经双方议定后组织实施。乙方应于进驻后3日内在门卫处悬挂物业管理处标识牌（有服务和监督电话），张贴管理人员上岗牌，公布管理制度。制作员工考勤簿、车辆统计簿、车辆出入登记簿、值班记录簿、巡逻记录簿、共用部位和共用设施设备维修养护记录簿、装修及安全检查记录簿、企业信息普查记录簿、重大事项记录簿并做好详细登记工作。记录簿设计后要经过甲方审核，要保持洁净、填写完整。7日内制定项目经理、保洁、秩序、客服、管理、安全检查等项管理制度、各岗位工作标准；制定考核和奖惩办法。7日内完成管理处员工手册编印任务。手册须经甲方审核后印发。</w:t>
      </w:r>
    </w:p>
    <w:p w14:paraId="19AE2796">
      <w:pPr>
        <w:spacing w:line="440" w:lineRule="exact"/>
        <w:ind w:firstLine="420" w:firstLineChars="200"/>
        <w:rPr>
          <w:rFonts w:hint="eastAsia" w:ascii="宋体"/>
          <w:color w:val="auto"/>
          <w:szCs w:val="21"/>
          <w:highlight w:val="none"/>
        </w:rPr>
      </w:pPr>
      <w:r>
        <w:rPr>
          <w:rFonts w:hint="eastAsia" w:ascii="宋体"/>
          <w:color w:val="auto"/>
          <w:szCs w:val="21"/>
          <w:highlight w:val="none"/>
        </w:rPr>
        <w:t>2、协调、处理本合同生效前发生的管理遗留问题。</w:t>
      </w:r>
    </w:p>
    <w:p w14:paraId="39485000">
      <w:pPr>
        <w:spacing w:line="440" w:lineRule="exact"/>
        <w:ind w:firstLine="420" w:firstLineChars="200"/>
        <w:rPr>
          <w:rFonts w:hint="eastAsia" w:ascii="宋体"/>
          <w:color w:val="auto"/>
          <w:szCs w:val="21"/>
          <w:highlight w:val="none"/>
        </w:rPr>
      </w:pPr>
      <w:r>
        <w:rPr>
          <w:rFonts w:hint="eastAsia" w:ascii="宋体"/>
          <w:color w:val="auto"/>
          <w:szCs w:val="21"/>
          <w:highlight w:val="none"/>
        </w:rPr>
        <w:t>3、可选聘专营公司承担本物业的专项管理业务，但不得将本物业的管理责任转让给第三方。</w:t>
      </w:r>
    </w:p>
    <w:p w14:paraId="1BF054F7">
      <w:pPr>
        <w:spacing w:line="440" w:lineRule="exact"/>
        <w:ind w:firstLine="420" w:firstLineChars="200"/>
        <w:rPr>
          <w:rFonts w:hint="eastAsia" w:ascii="宋体"/>
          <w:color w:val="auto"/>
          <w:szCs w:val="21"/>
          <w:highlight w:val="none"/>
        </w:rPr>
      </w:pPr>
      <w:r>
        <w:rPr>
          <w:rFonts w:hint="eastAsia" w:ascii="宋体"/>
          <w:color w:val="auto"/>
          <w:szCs w:val="21"/>
          <w:highlight w:val="none"/>
        </w:rPr>
        <w:t>4、向物业使用人告知物业使用的有关规定，当物业使用人装修物业时，书面告知有关注意事项和禁止行为，订立书面约定，并负责日常巡查和监督；对本物业的公共设施不得擅自占用和改变使用功能，如需在本物业内改、扩建或改善配套项目，须征得甲方书面同意后报有关部门批准方可实施。按养护计划和操作规程，对共用设施设备状况进行检查，发现不安全隐患或险情应及时排除。</w:t>
      </w:r>
    </w:p>
    <w:p w14:paraId="18E8D9AC">
      <w:pPr>
        <w:spacing w:line="440" w:lineRule="exact"/>
        <w:ind w:firstLine="420" w:firstLineChars="200"/>
        <w:rPr>
          <w:rFonts w:hint="eastAsia" w:ascii="宋体"/>
          <w:color w:val="auto"/>
          <w:szCs w:val="21"/>
          <w:highlight w:val="none"/>
        </w:rPr>
      </w:pPr>
      <w:r>
        <w:rPr>
          <w:rFonts w:hint="eastAsia" w:ascii="宋体"/>
          <w:color w:val="auto"/>
          <w:szCs w:val="21"/>
          <w:highlight w:val="none"/>
        </w:rPr>
        <w:t>5、对物业使用人违反法规、规章的行为（如违规装修、兴办食宿、私拉乱接电线、违章搭建、垃圾乱倒乱烧、车辆乱停乱放等），乙方必须第一时间制止，第一时间发出停止违章建设、违规行为通知书，第一时间向甲方管理人员报告，第一时间提请公安、消防、行政执法、环境保护等有关部门处理。</w:t>
      </w:r>
    </w:p>
    <w:p w14:paraId="01DAF703">
      <w:pPr>
        <w:spacing w:line="440" w:lineRule="exact"/>
        <w:ind w:firstLine="420" w:firstLineChars="200"/>
        <w:rPr>
          <w:rFonts w:hint="eastAsia" w:ascii="宋体"/>
          <w:color w:val="auto"/>
          <w:szCs w:val="21"/>
          <w:highlight w:val="none"/>
        </w:rPr>
      </w:pPr>
      <w:r>
        <w:rPr>
          <w:rFonts w:hint="eastAsia" w:ascii="宋体"/>
          <w:color w:val="auto"/>
          <w:szCs w:val="21"/>
          <w:highlight w:val="none"/>
        </w:rPr>
        <w:t>6、每年12月31日前，以书面方式向甲方提交年度工作总结和下年度工作计划。接受使用人、甲方、物业管理主管部门等的监督，不断完善管理服务，定期向甲方报告本合同履行情况。</w:t>
      </w:r>
    </w:p>
    <w:p w14:paraId="3A72EE62">
      <w:pPr>
        <w:spacing w:line="440" w:lineRule="exact"/>
        <w:ind w:firstLine="420" w:firstLineChars="200"/>
        <w:rPr>
          <w:rFonts w:hint="eastAsia" w:ascii="宋体"/>
          <w:color w:val="auto"/>
          <w:szCs w:val="21"/>
          <w:highlight w:val="none"/>
        </w:rPr>
      </w:pPr>
      <w:r>
        <w:rPr>
          <w:rFonts w:hint="eastAsia" w:ascii="宋体"/>
          <w:color w:val="auto"/>
          <w:szCs w:val="21"/>
          <w:highlight w:val="none"/>
        </w:rPr>
        <w:t>7、建立、妥善保管和正确使用物业管理档案，并负责及时记载有关的变更情况。</w:t>
      </w:r>
    </w:p>
    <w:p w14:paraId="235372EE">
      <w:pPr>
        <w:spacing w:line="440" w:lineRule="exact"/>
        <w:ind w:firstLine="420" w:firstLineChars="200"/>
        <w:rPr>
          <w:rFonts w:hint="eastAsia" w:ascii="宋体"/>
          <w:color w:val="auto"/>
          <w:szCs w:val="21"/>
          <w:highlight w:val="none"/>
        </w:rPr>
      </w:pPr>
      <w:r>
        <w:rPr>
          <w:rFonts w:hint="eastAsia" w:ascii="宋体"/>
          <w:color w:val="auto"/>
          <w:szCs w:val="21"/>
          <w:highlight w:val="none"/>
        </w:rPr>
        <w:t xml:space="preserve">8、合同终止时，乙方必须向甲方移交全部管理用房及物业管理的全部档案资料。 </w:t>
      </w:r>
    </w:p>
    <w:p w14:paraId="64D81EA2">
      <w:pPr>
        <w:spacing w:line="440" w:lineRule="exact"/>
        <w:ind w:firstLine="420" w:firstLineChars="200"/>
        <w:rPr>
          <w:rFonts w:hint="eastAsia" w:ascii="宋体"/>
          <w:color w:val="auto"/>
          <w:szCs w:val="21"/>
          <w:highlight w:val="none"/>
        </w:rPr>
      </w:pPr>
      <w:r>
        <w:rPr>
          <w:rFonts w:hint="eastAsia" w:ascii="宋体"/>
          <w:color w:val="auto"/>
          <w:szCs w:val="21"/>
          <w:highlight w:val="none"/>
        </w:rPr>
        <w:t>9、由于乙方工作不力、监管不到位等自身原因造成的各类损失的，由乙方承担全部经济责任和法律责任。</w:t>
      </w:r>
    </w:p>
    <w:p w14:paraId="22812C5D">
      <w:pPr>
        <w:spacing w:line="440" w:lineRule="exact"/>
        <w:ind w:firstLine="420" w:firstLineChars="200"/>
        <w:rPr>
          <w:rFonts w:hint="eastAsia" w:ascii="宋体"/>
          <w:color w:val="auto"/>
          <w:szCs w:val="21"/>
          <w:highlight w:val="none"/>
        </w:rPr>
      </w:pPr>
      <w:r>
        <w:rPr>
          <w:rFonts w:hint="eastAsia" w:ascii="宋体"/>
          <w:color w:val="auto"/>
          <w:szCs w:val="21"/>
          <w:highlight w:val="none"/>
        </w:rPr>
        <w:t>10、属于在乙方管理范围内治安、消防、用电等安全事项，由乙方承担全部经济责任和法律责任。</w:t>
      </w:r>
    </w:p>
    <w:p w14:paraId="22460171">
      <w:pPr>
        <w:spacing w:line="440" w:lineRule="exact"/>
        <w:jc w:val="center"/>
        <w:rPr>
          <w:rFonts w:hint="eastAsia" w:ascii="黑体" w:eastAsia="黑体"/>
          <w:b/>
          <w:bCs/>
          <w:color w:val="auto"/>
          <w:szCs w:val="21"/>
          <w:highlight w:val="none"/>
        </w:rPr>
      </w:pPr>
      <w:r>
        <w:rPr>
          <w:rFonts w:hint="eastAsia" w:ascii="黑体" w:eastAsia="黑体"/>
          <w:b/>
          <w:bCs/>
          <w:color w:val="auto"/>
          <w:szCs w:val="21"/>
          <w:highlight w:val="none"/>
        </w:rPr>
        <w:t>五、  物业管理公共服务质量</w:t>
      </w:r>
    </w:p>
    <w:p w14:paraId="7F5BC7AC">
      <w:pPr>
        <w:spacing w:line="440" w:lineRule="exact"/>
        <w:ind w:firstLine="420" w:firstLineChars="200"/>
        <w:rPr>
          <w:rFonts w:hint="eastAsia" w:ascii="宋体"/>
          <w:color w:val="auto"/>
          <w:szCs w:val="21"/>
          <w:highlight w:val="none"/>
        </w:rPr>
      </w:pPr>
      <w:r>
        <w:rPr>
          <w:rFonts w:hint="eastAsia" w:ascii="宋体"/>
          <w:color w:val="auto"/>
          <w:szCs w:val="21"/>
          <w:highlight w:val="none"/>
        </w:rPr>
        <w:t>第</w:t>
      </w:r>
      <w:r>
        <w:rPr>
          <w:rFonts w:hint="eastAsia" w:ascii="宋体"/>
          <w:color w:val="auto"/>
          <w:szCs w:val="21"/>
          <w:highlight w:val="none"/>
          <w:lang w:eastAsia="zh-CN"/>
        </w:rPr>
        <w:t>八</w:t>
      </w:r>
      <w:r>
        <w:rPr>
          <w:rFonts w:hint="eastAsia" w:ascii="宋体"/>
          <w:color w:val="auto"/>
          <w:szCs w:val="21"/>
          <w:highlight w:val="none"/>
        </w:rPr>
        <w:t>条  人员配置</w:t>
      </w:r>
    </w:p>
    <w:p w14:paraId="4AF5F0D5">
      <w:pPr>
        <w:spacing w:line="440" w:lineRule="exact"/>
        <w:ind w:firstLine="420" w:firstLineChars="200"/>
        <w:rPr>
          <w:rFonts w:hint="eastAsia" w:ascii="宋体"/>
          <w:color w:val="auto"/>
          <w:szCs w:val="21"/>
          <w:highlight w:val="none"/>
        </w:rPr>
      </w:pPr>
      <w:r>
        <w:rPr>
          <w:rFonts w:hint="eastAsia" w:ascii="宋体"/>
          <w:color w:val="auto"/>
          <w:szCs w:val="21"/>
          <w:highlight w:val="none"/>
        </w:rPr>
        <w:t>1、</w:t>
      </w:r>
      <w:r>
        <w:rPr>
          <w:rFonts w:hint="eastAsia" w:ascii="宋体"/>
          <w:color w:val="auto"/>
          <w:szCs w:val="21"/>
          <w:highlight w:val="none"/>
          <w:lang w:eastAsia="zh-CN"/>
        </w:rPr>
        <w:t>乙方</w:t>
      </w:r>
      <w:r>
        <w:rPr>
          <w:rFonts w:hint="eastAsia" w:ascii="宋体" w:cs="宋体"/>
          <w:color w:val="auto"/>
          <w:kern w:val="0"/>
          <w:szCs w:val="21"/>
          <w:highlight w:val="none"/>
          <w:u w:val="single"/>
          <w:lang w:val="zh-CN"/>
        </w:rPr>
        <w:t>需派出不低于</w:t>
      </w:r>
      <w:r>
        <w:rPr>
          <w:rFonts w:hint="eastAsia" w:ascii="宋体" w:cs="宋体"/>
          <w:color w:val="auto"/>
          <w:kern w:val="0"/>
          <w:szCs w:val="21"/>
          <w:highlight w:val="none"/>
          <w:u w:val="single"/>
          <w:lang w:val="en-US" w:eastAsia="zh-CN"/>
        </w:rPr>
        <w:t xml:space="preserve">    </w:t>
      </w:r>
      <w:r>
        <w:rPr>
          <w:rFonts w:hint="eastAsia" w:ascii="宋体" w:cs="宋体"/>
          <w:color w:val="auto"/>
          <w:kern w:val="0"/>
          <w:szCs w:val="21"/>
          <w:highlight w:val="none"/>
          <w:u w:val="single"/>
          <w:lang w:val="zh-CN"/>
        </w:rPr>
        <w:t>名员工为甲方提供管理服务，其中项目负责人</w:t>
      </w:r>
      <w:r>
        <w:rPr>
          <w:rFonts w:hint="eastAsia" w:ascii="宋体" w:cs="宋体"/>
          <w:color w:val="auto"/>
          <w:kern w:val="0"/>
          <w:szCs w:val="21"/>
          <w:highlight w:val="none"/>
          <w:u w:val="single"/>
          <w:lang w:val="en-US" w:eastAsia="zh-CN"/>
        </w:rPr>
        <w:t xml:space="preserve">    </w:t>
      </w:r>
      <w:r>
        <w:rPr>
          <w:rFonts w:hint="eastAsia" w:ascii="宋体" w:cs="宋体"/>
          <w:color w:val="auto"/>
          <w:kern w:val="0"/>
          <w:szCs w:val="21"/>
          <w:highlight w:val="none"/>
          <w:u w:val="single"/>
          <w:lang w:val="zh-CN"/>
        </w:rPr>
        <w:t>人，保安</w:t>
      </w:r>
      <w:r>
        <w:rPr>
          <w:rFonts w:hint="eastAsia" w:ascii="宋体" w:cs="宋体"/>
          <w:color w:val="auto"/>
          <w:kern w:val="0"/>
          <w:szCs w:val="21"/>
          <w:highlight w:val="none"/>
          <w:u w:val="single"/>
          <w:lang w:val="en-US" w:eastAsia="zh-CN"/>
        </w:rPr>
        <w:t xml:space="preserve">  </w:t>
      </w:r>
      <w:r>
        <w:rPr>
          <w:rFonts w:hint="eastAsia" w:ascii="宋体" w:cs="宋体"/>
          <w:color w:val="auto"/>
          <w:kern w:val="0"/>
          <w:szCs w:val="21"/>
          <w:highlight w:val="none"/>
          <w:u w:val="single"/>
          <w:lang w:val="zh-CN"/>
        </w:rPr>
        <w:t>人，保洁</w:t>
      </w:r>
      <w:r>
        <w:rPr>
          <w:rFonts w:hint="eastAsia" w:ascii="宋体" w:cs="宋体"/>
          <w:color w:val="auto"/>
          <w:kern w:val="0"/>
          <w:szCs w:val="21"/>
          <w:highlight w:val="none"/>
          <w:u w:val="single"/>
          <w:lang w:val="en-US" w:eastAsia="zh-CN"/>
        </w:rPr>
        <w:t xml:space="preserve">    </w:t>
      </w:r>
      <w:r>
        <w:rPr>
          <w:rFonts w:hint="eastAsia" w:ascii="宋体" w:cs="宋体"/>
          <w:color w:val="auto"/>
          <w:kern w:val="0"/>
          <w:szCs w:val="21"/>
          <w:highlight w:val="none"/>
          <w:u w:val="single"/>
          <w:lang w:val="zh-CN"/>
        </w:rPr>
        <w:t>人，设备维护人员</w:t>
      </w:r>
      <w:r>
        <w:rPr>
          <w:rFonts w:hint="eastAsia" w:ascii="宋体" w:cs="宋体"/>
          <w:color w:val="auto"/>
          <w:kern w:val="0"/>
          <w:szCs w:val="21"/>
          <w:highlight w:val="none"/>
          <w:u w:val="single"/>
          <w:lang w:val="en-US" w:eastAsia="zh-CN"/>
        </w:rPr>
        <w:t xml:space="preserve">    </w:t>
      </w:r>
      <w:r>
        <w:rPr>
          <w:rFonts w:hint="eastAsia" w:ascii="宋体" w:cs="宋体"/>
          <w:color w:val="auto"/>
          <w:kern w:val="0"/>
          <w:szCs w:val="21"/>
          <w:highlight w:val="none"/>
          <w:u w:val="single"/>
          <w:lang w:val="zh-CN"/>
        </w:rPr>
        <w:t>人</w:t>
      </w:r>
      <w:r>
        <w:rPr>
          <w:rFonts w:hint="eastAsia" w:ascii="宋体"/>
          <w:color w:val="auto"/>
          <w:szCs w:val="21"/>
          <w:highlight w:val="none"/>
        </w:rPr>
        <w:t>。</w:t>
      </w:r>
    </w:p>
    <w:p w14:paraId="1710031A">
      <w:pPr>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rPr>
        <w:t>2、</w:t>
      </w:r>
      <w:r>
        <w:rPr>
          <w:rFonts w:hint="eastAsia" w:ascii="宋体" w:cs="宋体"/>
          <w:color w:val="auto"/>
          <w:kern w:val="0"/>
          <w:szCs w:val="21"/>
          <w:highlight w:val="none"/>
        </w:rPr>
        <w:t>乙方应严格按照物业协议，按规定人数上岗，执行物业岗位职责、服务质量标准，承担物业管理服务、安全运行责任，达到全职全责。凡达不到工作要求的员工，应及时调换。</w:t>
      </w:r>
      <w:r>
        <w:rPr>
          <w:rFonts w:hint="eastAsia" w:ascii="宋体"/>
          <w:color w:val="auto"/>
          <w:szCs w:val="21"/>
          <w:highlight w:val="none"/>
        </w:rPr>
        <w:t>项目经理持证服务，从事过类似项目三年以上；保安员须取得保安员证书，政审合格，无酗酒等不良嗜好，须由公安机关出具无犯罪记录证明；所有人员统一着装（春、夏、秋、冬制服各两套），挂牌上岗。</w:t>
      </w:r>
    </w:p>
    <w:p w14:paraId="17C2F503">
      <w:pPr>
        <w:spacing w:line="440" w:lineRule="exact"/>
        <w:jc w:val="center"/>
        <w:rPr>
          <w:rFonts w:hint="eastAsia" w:ascii="黑体" w:eastAsia="黑体"/>
          <w:b/>
          <w:bCs/>
          <w:color w:val="auto"/>
          <w:szCs w:val="21"/>
          <w:highlight w:val="none"/>
        </w:rPr>
      </w:pPr>
      <w:r>
        <w:rPr>
          <w:rFonts w:hint="eastAsia" w:ascii="黑体" w:eastAsia="黑体"/>
          <w:b/>
          <w:bCs/>
          <w:color w:val="auto"/>
          <w:szCs w:val="21"/>
          <w:highlight w:val="none"/>
        </w:rPr>
        <w:t>六、物业管理服务费用</w:t>
      </w:r>
    </w:p>
    <w:p w14:paraId="6F2656D2">
      <w:pPr>
        <w:spacing w:line="440" w:lineRule="exact"/>
        <w:ind w:firstLine="420" w:firstLineChars="200"/>
        <w:rPr>
          <w:rFonts w:hint="eastAsia" w:ascii="宋体"/>
          <w:color w:val="auto"/>
          <w:szCs w:val="21"/>
          <w:highlight w:val="none"/>
        </w:rPr>
      </w:pPr>
      <w:r>
        <w:rPr>
          <w:rFonts w:hint="eastAsia" w:ascii="宋体"/>
          <w:color w:val="auto"/>
          <w:szCs w:val="21"/>
          <w:highlight w:val="none"/>
        </w:rPr>
        <w:t>第</w:t>
      </w:r>
      <w:r>
        <w:rPr>
          <w:rFonts w:hint="eastAsia" w:ascii="宋体"/>
          <w:color w:val="auto"/>
          <w:szCs w:val="21"/>
          <w:highlight w:val="none"/>
          <w:lang w:val="en-US" w:eastAsia="zh-CN"/>
        </w:rPr>
        <w:t>九</w:t>
      </w:r>
      <w:r>
        <w:rPr>
          <w:rFonts w:hint="eastAsia" w:ascii="宋体"/>
          <w:color w:val="auto"/>
          <w:szCs w:val="21"/>
          <w:highlight w:val="none"/>
        </w:rPr>
        <w:t>条  物业管理服务费</w:t>
      </w:r>
    </w:p>
    <w:p w14:paraId="4C71FB41">
      <w:pPr>
        <w:spacing w:line="440" w:lineRule="exact"/>
        <w:ind w:firstLine="420" w:firstLineChars="200"/>
        <w:rPr>
          <w:rFonts w:hint="eastAsia" w:ascii="宋体"/>
          <w:color w:val="auto"/>
          <w:szCs w:val="21"/>
          <w:highlight w:val="none"/>
        </w:rPr>
      </w:pPr>
      <w:r>
        <w:rPr>
          <w:rFonts w:hint="eastAsia" w:ascii="宋体"/>
          <w:color w:val="auto"/>
          <w:szCs w:val="21"/>
          <w:highlight w:val="none"/>
        </w:rPr>
        <w:t>1、年度物业费总额为</w:t>
      </w:r>
      <w:r>
        <w:rPr>
          <w:rFonts w:hint="eastAsia" w:ascii="宋体"/>
          <w:color w:val="auto"/>
          <w:szCs w:val="21"/>
          <w:highlight w:val="none"/>
          <w:u w:val="single"/>
        </w:rPr>
        <w:t xml:space="preserve">    </w:t>
      </w:r>
      <w:r>
        <w:rPr>
          <w:rFonts w:hint="eastAsia" w:ascii="宋体"/>
          <w:color w:val="auto"/>
          <w:szCs w:val="21"/>
          <w:highlight w:val="none"/>
          <w:u w:val="single"/>
          <w:lang w:val="en-US" w:eastAsia="zh-CN"/>
        </w:rPr>
        <w:t xml:space="preserve">   </w:t>
      </w:r>
      <w:r>
        <w:rPr>
          <w:rFonts w:hint="eastAsia" w:ascii="宋体"/>
          <w:color w:val="auto"/>
          <w:szCs w:val="21"/>
          <w:highlight w:val="none"/>
          <w:u w:val="single"/>
        </w:rPr>
        <w:t xml:space="preserve"> </w:t>
      </w:r>
      <w:r>
        <w:rPr>
          <w:rFonts w:hint="eastAsia" w:ascii="宋体"/>
          <w:color w:val="auto"/>
          <w:szCs w:val="21"/>
          <w:highlight w:val="none"/>
        </w:rPr>
        <w:t>万元</w:t>
      </w:r>
      <w:r>
        <w:rPr>
          <w:rFonts w:hint="eastAsia" w:ascii="宋体"/>
          <w:color w:val="auto"/>
          <w:szCs w:val="21"/>
          <w:highlight w:val="none"/>
          <w:lang w:eastAsia="zh-CN"/>
        </w:rPr>
        <w:t>，</w:t>
      </w:r>
      <w:r>
        <w:rPr>
          <w:rFonts w:hint="eastAsia" w:ascii="宋体"/>
          <w:color w:val="auto"/>
          <w:szCs w:val="21"/>
          <w:highlight w:val="none"/>
          <w:lang w:val="en-US" w:eastAsia="zh-CN"/>
        </w:rPr>
        <w:t>每年为</w:t>
      </w:r>
      <w:r>
        <w:rPr>
          <w:rFonts w:hint="eastAsia" w:ascii="宋体"/>
          <w:color w:val="auto"/>
          <w:szCs w:val="21"/>
          <w:highlight w:val="none"/>
          <w:u w:val="single"/>
          <w:lang w:val="en-US" w:eastAsia="zh-CN"/>
        </w:rPr>
        <w:t xml:space="preserve">       </w:t>
      </w:r>
      <w:r>
        <w:rPr>
          <w:rFonts w:hint="eastAsia" w:ascii="宋体"/>
          <w:color w:val="auto"/>
          <w:szCs w:val="21"/>
          <w:highlight w:val="none"/>
          <w:lang w:val="en-US" w:eastAsia="zh-CN"/>
        </w:rPr>
        <w:t>万元</w:t>
      </w:r>
      <w:r>
        <w:rPr>
          <w:rFonts w:hint="eastAsia" w:ascii="宋体"/>
          <w:color w:val="auto"/>
          <w:szCs w:val="21"/>
          <w:highlight w:val="none"/>
        </w:rPr>
        <w:t>。</w:t>
      </w:r>
    </w:p>
    <w:p w14:paraId="34C9723D">
      <w:pPr>
        <w:widowControl/>
        <w:snapToGrid w:val="0"/>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第十条 其他费用。乙方受</w:t>
      </w:r>
      <w:r>
        <w:rPr>
          <w:rFonts w:hint="eastAsia" w:ascii="宋体"/>
          <w:color w:val="auto"/>
          <w:szCs w:val="21"/>
          <w:highlight w:val="none"/>
          <w:lang w:val="en-US" w:eastAsia="zh-CN"/>
        </w:rPr>
        <w:t>甲方</w:t>
      </w:r>
      <w:r>
        <w:rPr>
          <w:rFonts w:hint="eastAsia" w:ascii="宋体"/>
          <w:color w:val="auto"/>
          <w:szCs w:val="21"/>
          <w:highlight w:val="none"/>
        </w:rPr>
        <w:t>的委托对其房屋自用部位、自用设备的维修、养护及其它特约服务的费用，由当事人自行约定。乙方除此之外不得收取物业使用人任何费用，一经发现，没收所得，立即终止合同，通报主管部门，三年内不得参与甲方的任何招投标项目。乙方须在合同签订前按投标须知前附表的要求向甲方支付履约保证金。合同期满，经验收无共用部位、共用设施设备损坏，乙方无重大过错，按投标须知前附表的要求退还全额保证金。若有损坏，按价格扣除，保证金不足部分，甲方保留追诉权。</w:t>
      </w:r>
    </w:p>
    <w:p w14:paraId="038E9B13">
      <w:pPr>
        <w:widowControl/>
        <w:snapToGrid w:val="0"/>
        <w:spacing w:line="440" w:lineRule="exact"/>
        <w:ind w:firstLine="422" w:firstLineChars="200"/>
        <w:jc w:val="left"/>
        <w:rPr>
          <w:rFonts w:hint="eastAsia" w:ascii="宋体"/>
          <w:color w:val="auto"/>
          <w:szCs w:val="21"/>
          <w:highlight w:val="none"/>
        </w:rPr>
      </w:pPr>
      <w:r>
        <w:rPr>
          <w:rFonts w:hint="eastAsia" w:cs="宋体"/>
          <w:b/>
          <w:bCs/>
          <w:color w:val="auto"/>
          <w:sz w:val="21"/>
          <w:szCs w:val="21"/>
          <w:highlight w:val="none"/>
          <w:lang w:val="en-US" w:eastAsia="zh-CN"/>
        </w:rPr>
        <w:t>重大活动配合保障费用（（重大活动配合保障时，配合保障的人员中须具有市级及以上语言文字工作部门颁发的普通话二级乙等及以上等级证书、全国计算机等级证书、应急救援员或救护员证书，如乙方无此类配合保障人员，允许外聘人员进行保障。年度20场以内，甲方不另行支付任何费用，乙方综合考虑，包含在投标报价中，超过20场的，甲方视情况给予适当补助，具体补助金额双方协商解决。）。</w:t>
      </w:r>
      <w:bookmarkStart w:id="132" w:name="_GoBack"/>
      <w:bookmarkEnd w:id="132"/>
    </w:p>
    <w:p w14:paraId="1224A896">
      <w:pPr>
        <w:spacing w:line="440" w:lineRule="exact"/>
        <w:jc w:val="center"/>
        <w:rPr>
          <w:rFonts w:hint="eastAsia" w:ascii="黑体" w:hAnsi="Times New Roman" w:eastAsia="黑体" w:cs="Times New Roman"/>
          <w:b/>
          <w:bCs/>
          <w:color w:val="auto"/>
          <w:szCs w:val="21"/>
          <w:highlight w:val="none"/>
        </w:rPr>
      </w:pPr>
      <w:r>
        <w:rPr>
          <w:rFonts w:hint="eastAsia" w:ascii="黑体" w:hAnsi="Times New Roman" w:eastAsia="黑体" w:cs="Times New Roman"/>
          <w:b/>
          <w:bCs/>
          <w:color w:val="auto"/>
          <w:szCs w:val="21"/>
          <w:highlight w:val="none"/>
        </w:rPr>
        <w:t>七、违约责任</w:t>
      </w:r>
    </w:p>
    <w:p w14:paraId="0DABDF23">
      <w:pPr>
        <w:spacing w:line="440" w:lineRule="exact"/>
        <w:ind w:firstLine="420" w:firstLineChars="200"/>
        <w:rPr>
          <w:rFonts w:hint="eastAsia" w:ascii="宋体"/>
          <w:color w:val="auto"/>
          <w:szCs w:val="21"/>
          <w:highlight w:val="none"/>
        </w:rPr>
      </w:pPr>
      <w:r>
        <w:rPr>
          <w:rFonts w:hint="eastAsia" w:ascii="宋体"/>
          <w:color w:val="auto"/>
          <w:szCs w:val="21"/>
          <w:highlight w:val="none"/>
        </w:rPr>
        <w:t>第十</w:t>
      </w:r>
      <w:r>
        <w:rPr>
          <w:rFonts w:hint="eastAsia" w:ascii="宋体"/>
          <w:color w:val="auto"/>
          <w:szCs w:val="21"/>
          <w:highlight w:val="none"/>
          <w:lang w:val="en-US" w:eastAsia="zh-CN"/>
        </w:rPr>
        <w:t>一</w:t>
      </w:r>
      <w:r>
        <w:rPr>
          <w:rFonts w:hint="eastAsia" w:ascii="宋体"/>
          <w:color w:val="auto"/>
          <w:szCs w:val="21"/>
          <w:highlight w:val="none"/>
        </w:rPr>
        <w:t>条  甲方未及时支付物业费用的，乙方有权要求甲方在</w:t>
      </w:r>
      <w:r>
        <w:rPr>
          <w:rFonts w:hint="eastAsia" w:ascii="宋体"/>
          <w:color w:val="auto"/>
          <w:szCs w:val="21"/>
          <w:highlight w:val="none"/>
          <w:u w:val="single"/>
        </w:rPr>
        <w:t>30</w:t>
      </w:r>
      <w:r>
        <w:rPr>
          <w:rFonts w:hint="eastAsia" w:ascii="宋体"/>
          <w:color w:val="auto"/>
          <w:szCs w:val="21"/>
          <w:highlight w:val="none"/>
        </w:rPr>
        <w:t>内支付，逾期未支付的，乙方有权终止合同；造成乙方经济损失的，甲方应给予乙方经济赔偿。</w:t>
      </w:r>
    </w:p>
    <w:p w14:paraId="5389617D">
      <w:pPr>
        <w:spacing w:line="440" w:lineRule="exact"/>
        <w:ind w:firstLine="420" w:firstLineChars="200"/>
        <w:rPr>
          <w:rFonts w:hint="eastAsia" w:ascii="宋体"/>
          <w:color w:val="auto"/>
          <w:szCs w:val="21"/>
          <w:highlight w:val="none"/>
        </w:rPr>
      </w:pPr>
      <w:r>
        <w:rPr>
          <w:rFonts w:hint="eastAsia" w:ascii="宋体"/>
          <w:color w:val="auto"/>
          <w:szCs w:val="21"/>
          <w:highlight w:val="none"/>
        </w:rPr>
        <w:t>第十</w:t>
      </w:r>
      <w:r>
        <w:rPr>
          <w:rFonts w:hint="eastAsia" w:ascii="宋体"/>
          <w:color w:val="auto"/>
          <w:szCs w:val="21"/>
          <w:highlight w:val="none"/>
          <w:lang w:val="en-US" w:eastAsia="zh-CN"/>
        </w:rPr>
        <w:t>二</w:t>
      </w:r>
      <w:r>
        <w:rPr>
          <w:rFonts w:hint="eastAsia" w:ascii="宋体"/>
          <w:color w:val="auto"/>
          <w:szCs w:val="21"/>
          <w:highlight w:val="none"/>
        </w:rPr>
        <w:t>条 乙方违反本合同约定，未能达到约定的管理目标，甲方有权要求乙方限期整改，并达到合同约定；逾期未整改的，或整改不符合合同约定的，甲方有权终止合同；造成甲方或物业使用人经济损失的，乙方应给予甲方或物业使用人经济赔偿。</w:t>
      </w:r>
    </w:p>
    <w:p w14:paraId="46752316">
      <w:pPr>
        <w:spacing w:line="440" w:lineRule="exact"/>
        <w:ind w:firstLine="420" w:firstLineChars="200"/>
        <w:rPr>
          <w:rFonts w:hint="eastAsia" w:ascii="宋体"/>
          <w:color w:val="auto"/>
          <w:szCs w:val="21"/>
          <w:highlight w:val="none"/>
        </w:rPr>
      </w:pPr>
      <w:r>
        <w:rPr>
          <w:rFonts w:hint="eastAsia" w:ascii="宋体"/>
          <w:color w:val="auto"/>
          <w:szCs w:val="21"/>
          <w:highlight w:val="none"/>
        </w:rPr>
        <w:t>第十</w:t>
      </w:r>
      <w:r>
        <w:rPr>
          <w:rFonts w:hint="eastAsia" w:ascii="宋体"/>
          <w:color w:val="auto"/>
          <w:szCs w:val="21"/>
          <w:highlight w:val="none"/>
          <w:lang w:eastAsia="zh-CN"/>
        </w:rPr>
        <w:t>三</w:t>
      </w:r>
      <w:r>
        <w:rPr>
          <w:rFonts w:hint="eastAsia" w:ascii="宋体"/>
          <w:color w:val="auto"/>
          <w:szCs w:val="21"/>
          <w:highlight w:val="none"/>
        </w:rPr>
        <w:t>条 因乙方管理不善或操作不当等原因造成重大事故的，由乙方承担责任并负责善后处理。产生质量事故的直接原因，以相关主管部门的鉴定为准。</w:t>
      </w:r>
    </w:p>
    <w:p w14:paraId="2AFC4875">
      <w:pPr>
        <w:spacing w:line="440" w:lineRule="exact"/>
        <w:ind w:firstLine="420" w:firstLineChars="200"/>
        <w:rPr>
          <w:rFonts w:hint="default" w:ascii="宋体" w:eastAsia="宋体"/>
          <w:strike w:val="0"/>
          <w:dstrike w:val="0"/>
          <w:color w:val="auto"/>
          <w:szCs w:val="21"/>
          <w:highlight w:val="none"/>
          <w:u w:val="none"/>
          <w:lang w:val="en-US" w:eastAsia="zh-CN"/>
        </w:rPr>
      </w:pPr>
      <w:r>
        <w:rPr>
          <w:rFonts w:hint="eastAsia" w:ascii="宋体"/>
          <w:color w:val="auto"/>
          <w:szCs w:val="21"/>
          <w:highlight w:val="none"/>
        </w:rPr>
        <w:t>第十</w:t>
      </w:r>
      <w:r>
        <w:rPr>
          <w:rFonts w:hint="eastAsia" w:ascii="宋体"/>
          <w:color w:val="auto"/>
          <w:szCs w:val="21"/>
          <w:highlight w:val="none"/>
          <w:lang w:eastAsia="zh-CN"/>
        </w:rPr>
        <w:t>四</w:t>
      </w:r>
      <w:r>
        <w:rPr>
          <w:rFonts w:hint="eastAsia" w:ascii="宋体"/>
          <w:color w:val="auto"/>
          <w:szCs w:val="21"/>
          <w:highlight w:val="none"/>
        </w:rPr>
        <w:t>条 因违约而需解除本合同的，提出解除合同的一方应及时通知对方，合同自书面通知到达对方时即行解除，并在二十日内办理交接。如有异议，</w:t>
      </w:r>
      <w:r>
        <w:rPr>
          <w:rFonts w:hint="eastAsia" w:ascii="宋体"/>
          <w:strike w:val="0"/>
          <w:dstrike w:val="0"/>
          <w:color w:val="auto"/>
          <w:szCs w:val="21"/>
          <w:highlight w:val="none"/>
          <w:u w:val="single"/>
          <w:lang w:val="en-US" w:eastAsia="zh-CN"/>
        </w:rPr>
        <w:t>请滁州仲裁委员会确认解除合同的效力。</w:t>
      </w:r>
    </w:p>
    <w:p w14:paraId="0EF636B9">
      <w:pPr>
        <w:spacing w:line="440" w:lineRule="exact"/>
        <w:jc w:val="center"/>
        <w:rPr>
          <w:rFonts w:hint="eastAsia" w:ascii="黑体" w:eastAsia="黑体"/>
          <w:b/>
          <w:bCs/>
          <w:color w:val="auto"/>
          <w:szCs w:val="21"/>
          <w:highlight w:val="none"/>
        </w:rPr>
      </w:pPr>
      <w:r>
        <w:rPr>
          <w:rFonts w:hint="eastAsia" w:ascii="黑体" w:eastAsia="黑体"/>
          <w:b/>
          <w:bCs/>
          <w:color w:val="auto"/>
          <w:szCs w:val="21"/>
          <w:highlight w:val="none"/>
        </w:rPr>
        <w:t>八、其他要求</w:t>
      </w:r>
    </w:p>
    <w:p w14:paraId="25783237">
      <w:pPr>
        <w:pStyle w:val="148"/>
        <w:snapToGrid w:val="0"/>
        <w:spacing w:line="440" w:lineRule="exact"/>
        <w:ind w:firstLine="420" w:firstLineChars="200"/>
        <w:jc w:val="both"/>
        <w:rPr>
          <w:color w:val="auto"/>
          <w:sz w:val="21"/>
          <w:szCs w:val="21"/>
          <w:highlight w:val="none"/>
        </w:rPr>
      </w:pPr>
      <w:r>
        <w:rPr>
          <w:rFonts w:hint="eastAsia" w:ascii="宋体" w:eastAsia="宋体" w:cs="宋体"/>
          <w:color w:val="auto"/>
          <w:sz w:val="21"/>
          <w:szCs w:val="21"/>
          <w:highlight w:val="none"/>
        </w:rPr>
        <w:t>第十</w:t>
      </w:r>
      <w:r>
        <w:rPr>
          <w:rFonts w:hint="eastAsia" w:ascii="宋体" w:eastAsia="宋体" w:cs="宋体"/>
          <w:color w:val="auto"/>
          <w:sz w:val="21"/>
          <w:szCs w:val="21"/>
          <w:highlight w:val="none"/>
          <w:lang w:eastAsia="zh-CN"/>
        </w:rPr>
        <w:t>五</w:t>
      </w:r>
      <w:r>
        <w:rPr>
          <w:rFonts w:hint="eastAsia" w:ascii="宋体" w:eastAsia="宋体" w:cs="宋体"/>
          <w:color w:val="auto"/>
          <w:sz w:val="21"/>
          <w:szCs w:val="21"/>
          <w:highlight w:val="none"/>
        </w:rPr>
        <w:t xml:space="preserve">条  </w:t>
      </w:r>
      <w:r>
        <w:rPr>
          <w:rFonts w:hint="eastAsia" w:ascii="宋体" w:eastAsia="宋体" w:cs="宋体"/>
          <w:color w:val="auto"/>
          <w:sz w:val="21"/>
          <w:szCs w:val="21"/>
          <w:highlight w:val="none"/>
          <w:lang w:val="en-US" w:eastAsia="zh-CN"/>
        </w:rPr>
        <w:t>乙方</w:t>
      </w:r>
      <w:r>
        <w:rPr>
          <w:rFonts w:hint="eastAsia" w:ascii="宋体" w:eastAsia="宋体" w:cs="宋体"/>
          <w:color w:val="auto"/>
          <w:sz w:val="21"/>
          <w:szCs w:val="21"/>
          <w:highlight w:val="none"/>
        </w:rPr>
        <w:t>应按照物业管理的相关规定负责物业服务，做好门岗、巡逻岗和监控岗的值守工作</w:t>
      </w:r>
      <w:r>
        <w:rPr>
          <w:rFonts w:hint="eastAsia"/>
          <w:color w:val="auto"/>
          <w:sz w:val="21"/>
          <w:szCs w:val="21"/>
          <w:highlight w:val="none"/>
        </w:rPr>
        <w:t>，做好共用设施设备的维护工作。由于工作不力、监管不到位等自身原因导致共用设施设备及资产的损毁或被盗的，以及引起的各种事故及造成的各类损失，由</w:t>
      </w:r>
      <w:r>
        <w:rPr>
          <w:rFonts w:hint="eastAsia"/>
          <w:color w:val="auto"/>
          <w:sz w:val="21"/>
          <w:szCs w:val="21"/>
          <w:highlight w:val="none"/>
          <w:lang w:eastAsia="zh-CN"/>
        </w:rPr>
        <w:t>中标人</w:t>
      </w:r>
      <w:r>
        <w:rPr>
          <w:rFonts w:hint="eastAsia"/>
          <w:color w:val="auto"/>
          <w:sz w:val="21"/>
          <w:szCs w:val="21"/>
          <w:highlight w:val="none"/>
        </w:rPr>
        <w:t>承担相应的法律和经济责任。</w:t>
      </w:r>
    </w:p>
    <w:p w14:paraId="06ED0818">
      <w:pPr>
        <w:snapToGrid w:val="0"/>
        <w:spacing w:line="440" w:lineRule="exact"/>
        <w:ind w:firstLine="420" w:firstLineChars="200"/>
        <w:rPr>
          <w:rFonts w:hint="eastAsia" w:ascii="宋体" w:cs="宋体"/>
          <w:color w:val="auto"/>
          <w:kern w:val="0"/>
          <w:szCs w:val="21"/>
          <w:highlight w:val="none"/>
        </w:rPr>
      </w:pPr>
      <w:r>
        <w:rPr>
          <w:rFonts w:hint="eastAsia" w:ascii="宋体"/>
          <w:color w:val="auto"/>
          <w:szCs w:val="21"/>
          <w:highlight w:val="none"/>
        </w:rPr>
        <w:t>第十</w:t>
      </w:r>
      <w:r>
        <w:rPr>
          <w:rFonts w:hint="eastAsia"/>
          <w:color w:val="auto"/>
          <w:sz w:val="21"/>
          <w:szCs w:val="21"/>
          <w:highlight w:val="none"/>
          <w:lang w:eastAsia="zh-CN"/>
        </w:rPr>
        <w:t>六</w:t>
      </w:r>
      <w:r>
        <w:rPr>
          <w:rFonts w:hint="eastAsia" w:ascii="宋体"/>
          <w:color w:val="auto"/>
          <w:szCs w:val="21"/>
          <w:highlight w:val="none"/>
        </w:rPr>
        <w:t xml:space="preserve">条  </w:t>
      </w:r>
      <w:r>
        <w:rPr>
          <w:rFonts w:hint="eastAsia" w:ascii="宋体" w:cs="宋体"/>
          <w:color w:val="auto"/>
          <w:kern w:val="0"/>
          <w:szCs w:val="21"/>
          <w:highlight w:val="none"/>
          <w:lang w:val="en-US" w:eastAsia="zh-CN"/>
        </w:rPr>
        <w:t>乙方</w:t>
      </w:r>
      <w:r>
        <w:rPr>
          <w:rFonts w:hint="eastAsia" w:ascii="宋体" w:cs="宋体"/>
          <w:color w:val="auto"/>
          <w:kern w:val="0"/>
          <w:szCs w:val="21"/>
          <w:highlight w:val="none"/>
        </w:rPr>
        <w:t>需在合同签定后一周内完成本项目人员招聘、培训工作，并组织所有人员做好进场准备（具体进驻时间以招标人通知为准）。</w:t>
      </w:r>
    </w:p>
    <w:p w14:paraId="418618AA">
      <w:pPr>
        <w:snapToGrid w:val="0"/>
        <w:spacing w:line="440" w:lineRule="exact"/>
        <w:ind w:firstLine="420" w:firstLineChars="200"/>
        <w:rPr>
          <w:rFonts w:hint="eastAsia" w:ascii="宋体" w:cs="宋体"/>
          <w:color w:val="auto"/>
          <w:kern w:val="0"/>
          <w:szCs w:val="21"/>
          <w:highlight w:val="none"/>
        </w:rPr>
      </w:pPr>
      <w:r>
        <w:rPr>
          <w:rFonts w:hint="eastAsia" w:ascii="宋体"/>
          <w:color w:val="auto"/>
          <w:szCs w:val="21"/>
          <w:highlight w:val="none"/>
        </w:rPr>
        <w:t>第十</w:t>
      </w:r>
      <w:r>
        <w:rPr>
          <w:rFonts w:hint="eastAsia" w:ascii="宋体"/>
          <w:color w:val="auto"/>
          <w:szCs w:val="21"/>
          <w:highlight w:val="none"/>
          <w:lang w:eastAsia="zh-CN"/>
        </w:rPr>
        <w:t>七</w:t>
      </w:r>
      <w:r>
        <w:rPr>
          <w:rFonts w:hint="eastAsia" w:ascii="宋体"/>
          <w:color w:val="auto"/>
          <w:szCs w:val="21"/>
          <w:highlight w:val="none"/>
        </w:rPr>
        <w:t xml:space="preserve">条  </w:t>
      </w:r>
      <w:r>
        <w:rPr>
          <w:rFonts w:hint="eastAsia" w:ascii="宋体" w:cs="宋体"/>
          <w:color w:val="auto"/>
          <w:kern w:val="0"/>
          <w:szCs w:val="21"/>
          <w:highlight w:val="none"/>
          <w:lang w:val="en-US" w:eastAsia="zh-CN"/>
        </w:rPr>
        <w:t>乙方</w:t>
      </w:r>
      <w:r>
        <w:rPr>
          <w:rFonts w:hint="eastAsia" w:ascii="宋体" w:cs="宋体"/>
          <w:color w:val="auto"/>
          <w:kern w:val="0"/>
          <w:szCs w:val="21"/>
          <w:highlight w:val="none"/>
        </w:rPr>
        <w:t>进驻后须对地面、围墙、门斗、门卫室内外、车棚、绿化带等处进行彻底保洁。</w:t>
      </w:r>
    </w:p>
    <w:p w14:paraId="5F8635AE">
      <w:pPr>
        <w:snapToGrid w:val="0"/>
        <w:spacing w:line="440" w:lineRule="exact"/>
        <w:ind w:firstLine="420" w:firstLineChars="200"/>
        <w:rPr>
          <w:rFonts w:hint="eastAsia" w:ascii="宋体" w:cs="宋体"/>
          <w:color w:val="auto"/>
          <w:kern w:val="0"/>
          <w:szCs w:val="21"/>
          <w:highlight w:val="none"/>
        </w:rPr>
      </w:pPr>
      <w:r>
        <w:rPr>
          <w:rFonts w:hint="eastAsia" w:ascii="宋体"/>
          <w:color w:val="auto"/>
          <w:szCs w:val="21"/>
          <w:highlight w:val="none"/>
        </w:rPr>
        <w:t>第</w:t>
      </w:r>
      <w:r>
        <w:rPr>
          <w:rFonts w:hint="eastAsia" w:ascii="宋体"/>
          <w:color w:val="auto"/>
          <w:szCs w:val="21"/>
          <w:highlight w:val="none"/>
          <w:lang w:eastAsia="zh-CN"/>
        </w:rPr>
        <w:t>十八</w:t>
      </w:r>
      <w:r>
        <w:rPr>
          <w:rFonts w:hint="eastAsia" w:ascii="宋体"/>
          <w:color w:val="auto"/>
          <w:szCs w:val="21"/>
          <w:highlight w:val="none"/>
        </w:rPr>
        <w:t xml:space="preserve">条  </w:t>
      </w:r>
      <w:r>
        <w:rPr>
          <w:rFonts w:hint="eastAsia" w:ascii="宋体" w:cs="宋体"/>
          <w:color w:val="auto"/>
          <w:kern w:val="0"/>
          <w:szCs w:val="21"/>
          <w:highlight w:val="none"/>
          <w:lang w:val="en-US" w:eastAsia="zh-CN"/>
        </w:rPr>
        <w:t>乙方</w:t>
      </w:r>
      <w:r>
        <w:rPr>
          <w:rFonts w:hint="eastAsia" w:ascii="宋体" w:cs="宋体"/>
          <w:color w:val="auto"/>
          <w:kern w:val="0"/>
          <w:szCs w:val="21"/>
          <w:highlight w:val="none"/>
        </w:rPr>
        <w:t>遵守物业法规，承担本项目的物业服务及物业安全责任，达到物业工作质量标准。</w:t>
      </w:r>
    </w:p>
    <w:p w14:paraId="373F6FE6">
      <w:pPr>
        <w:snapToGrid w:val="0"/>
        <w:spacing w:line="440" w:lineRule="exact"/>
        <w:ind w:firstLine="420" w:firstLineChars="200"/>
        <w:rPr>
          <w:rFonts w:hint="eastAsia" w:ascii="宋体" w:cs="宋体"/>
          <w:color w:val="auto"/>
          <w:kern w:val="0"/>
          <w:szCs w:val="21"/>
          <w:highlight w:val="none"/>
        </w:rPr>
      </w:pPr>
      <w:r>
        <w:rPr>
          <w:rFonts w:hint="eastAsia" w:ascii="宋体"/>
          <w:color w:val="auto"/>
          <w:szCs w:val="21"/>
          <w:highlight w:val="none"/>
        </w:rPr>
        <w:t>第</w:t>
      </w:r>
      <w:r>
        <w:rPr>
          <w:rFonts w:hint="eastAsia" w:ascii="宋体"/>
          <w:color w:val="auto"/>
          <w:szCs w:val="21"/>
          <w:highlight w:val="none"/>
          <w:lang w:val="en-US" w:eastAsia="zh-CN"/>
        </w:rPr>
        <w:t>十九</w:t>
      </w:r>
      <w:r>
        <w:rPr>
          <w:rFonts w:hint="eastAsia" w:ascii="宋体"/>
          <w:color w:val="auto"/>
          <w:szCs w:val="21"/>
          <w:highlight w:val="none"/>
        </w:rPr>
        <w:t xml:space="preserve">条 </w:t>
      </w:r>
      <w:r>
        <w:rPr>
          <w:rFonts w:hint="eastAsia" w:ascii="宋体"/>
          <w:color w:val="auto"/>
          <w:szCs w:val="21"/>
          <w:highlight w:val="none"/>
          <w:lang w:val="en-US" w:eastAsia="zh-CN"/>
        </w:rPr>
        <w:t>乙方</w:t>
      </w:r>
      <w:r>
        <w:rPr>
          <w:rFonts w:hint="eastAsia" w:ascii="宋体" w:cs="宋体"/>
          <w:color w:val="auto"/>
          <w:kern w:val="0"/>
          <w:szCs w:val="21"/>
          <w:highlight w:val="none"/>
        </w:rPr>
        <w:t>应严格按照物业协议，按规定人数上岗，执行物业岗位职责、服务质量标准，承担物业管理服务、安全运行责任，达到全职全责。</w:t>
      </w:r>
    </w:p>
    <w:p w14:paraId="044D8FFB">
      <w:pPr>
        <w:snapToGrid w:val="0"/>
        <w:spacing w:line="440" w:lineRule="exact"/>
        <w:ind w:firstLine="420" w:firstLineChars="200"/>
        <w:rPr>
          <w:rFonts w:hint="eastAsia" w:ascii="宋体" w:cs="宋体"/>
          <w:color w:val="auto"/>
          <w:kern w:val="0"/>
          <w:szCs w:val="21"/>
          <w:highlight w:val="none"/>
        </w:rPr>
      </w:pPr>
      <w:r>
        <w:rPr>
          <w:rFonts w:hint="eastAsia" w:ascii="宋体"/>
          <w:color w:val="auto"/>
          <w:szCs w:val="21"/>
          <w:highlight w:val="none"/>
        </w:rPr>
        <w:t xml:space="preserve">第二十条  </w:t>
      </w:r>
      <w:r>
        <w:rPr>
          <w:rFonts w:hint="eastAsia" w:ascii="宋体" w:cs="宋体"/>
          <w:color w:val="auto"/>
          <w:kern w:val="0"/>
          <w:szCs w:val="21"/>
          <w:highlight w:val="none"/>
          <w:lang w:val="en-US" w:eastAsia="zh-CN"/>
        </w:rPr>
        <w:t>乙方</w:t>
      </w:r>
      <w:r>
        <w:rPr>
          <w:rFonts w:hint="eastAsia" w:ascii="宋体" w:cs="宋体"/>
          <w:color w:val="auto"/>
          <w:kern w:val="0"/>
          <w:szCs w:val="21"/>
          <w:highlight w:val="none"/>
        </w:rPr>
        <w:t>员工必须经培训合格后上岗，胜任本职、本岗工作。凡达不到工作要求的员工，</w:t>
      </w:r>
      <w:r>
        <w:rPr>
          <w:rFonts w:hint="eastAsia" w:ascii="宋体" w:cs="宋体"/>
          <w:color w:val="auto"/>
          <w:kern w:val="0"/>
          <w:szCs w:val="21"/>
          <w:highlight w:val="none"/>
          <w:lang w:eastAsia="zh-CN"/>
        </w:rPr>
        <w:t>中标人</w:t>
      </w:r>
      <w:r>
        <w:rPr>
          <w:rFonts w:hint="eastAsia" w:ascii="宋体" w:cs="宋体"/>
          <w:color w:val="auto"/>
          <w:kern w:val="0"/>
          <w:szCs w:val="21"/>
          <w:highlight w:val="none"/>
        </w:rPr>
        <w:t>应及时调换。</w:t>
      </w:r>
    </w:p>
    <w:p w14:paraId="28CCD6F6">
      <w:pPr>
        <w:spacing w:line="440" w:lineRule="exact"/>
        <w:ind w:firstLine="420" w:firstLineChars="200"/>
        <w:rPr>
          <w:rFonts w:hint="eastAsia" w:ascii="宋体" w:cs="宋体"/>
          <w:color w:val="auto"/>
          <w:kern w:val="0"/>
          <w:szCs w:val="21"/>
          <w:highlight w:val="none"/>
        </w:rPr>
      </w:pPr>
      <w:r>
        <w:rPr>
          <w:rFonts w:hint="eastAsia" w:ascii="宋体"/>
          <w:color w:val="auto"/>
          <w:szCs w:val="21"/>
          <w:highlight w:val="none"/>
        </w:rPr>
        <w:t>第二十</w:t>
      </w:r>
      <w:r>
        <w:rPr>
          <w:rFonts w:hint="eastAsia" w:ascii="宋体"/>
          <w:color w:val="auto"/>
          <w:szCs w:val="21"/>
          <w:highlight w:val="none"/>
          <w:lang w:val="en-US" w:eastAsia="zh-CN"/>
        </w:rPr>
        <w:t>一</w:t>
      </w:r>
      <w:r>
        <w:rPr>
          <w:rFonts w:hint="eastAsia" w:ascii="宋体"/>
          <w:color w:val="auto"/>
          <w:szCs w:val="21"/>
          <w:highlight w:val="none"/>
        </w:rPr>
        <w:t xml:space="preserve">条  </w:t>
      </w:r>
      <w:r>
        <w:rPr>
          <w:rFonts w:hint="eastAsia" w:ascii="宋体" w:cs="宋体"/>
          <w:color w:val="auto"/>
          <w:kern w:val="0"/>
          <w:szCs w:val="21"/>
          <w:highlight w:val="none"/>
        </w:rPr>
        <w:t>凡涉及特种行业操作的，须持证上岗，操作人员须完全达到对设备能够检修、检测、检验能力，并且做到工作岗位记录、确保资料齐全，因其违反规定产生的一切法律和经济责任均由中标人全部负责。</w:t>
      </w:r>
    </w:p>
    <w:p w14:paraId="78082120">
      <w:pPr>
        <w:snapToGrid w:val="0"/>
        <w:spacing w:line="440" w:lineRule="exact"/>
        <w:ind w:firstLine="420" w:firstLineChars="200"/>
        <w:rPr>
          <w:rFonts w:hint="eastAsia" w:ascii="宋体" w:cs="宋体"/>
          <w:color w:val="auto"/>
          <w:kern w:val="0"/>
          <w:szCs w:val="21"/>
          <w:highlight w:val="none"/>
        </w:rPr>
      </w:pPr>
      <w:r>
        <w:rPr>
          <w:rFonts w:hint="eastAsia" w:ascii="宋体"/>
          <w:color w:val="auto"/>
          <w:szCs w:val="21"/>
          <w:highlight w:val="none"/>
        </w:rPr>
        <w:t>第二十</w:t>
      </w:r>
      <w:r>
        <w:rPr>
          <w:rFonts w:hint="eastAsia" w:ascii="宋体"/>
          <w:color w:val="auto"/>
          <w:szCs w:val="21"/>
          <w:highlight w:val="none"/>
          <w:lang w:val="en-US" w:eastAsia="zh-CN"/>
        </w:rPr>
        <w:t>二</w:t>
      </w:r>
      <w:r>
        <w:rPr>
          <w:rFonts w:hint="eastAsia" w:ascii="宋体"/>
          <w:color w:val="auto"/>
          <w:szCs w:val="21"/>
          <w:highlight w:val="none"/>
        </w:rPr>
        <w:t xml:space="preserve">条  </w:t>
      </w:r>
      <w:r>
        <w:rPr>
          <w:rFonts w:hint="eastAsia" w:ascii="宋体" w:cs="宋体"/>
          <w:color w:val="auto"/>
          <w:kern w:val="0"/>
          <w:szCs w:val="21"/>
          <w:highlight w:val="none"/>
          <w:lang w:val="en-US" w:eastAsia="zh-CN"/>
        </w:rPr>
        <w:t>乙方</w:t>
      </w:r>
      <w:r>
        <w:rPr>
          <w:rFonts w:hint="eastAsia" w:ascii="宋体" w:cs="宋体"/>
          <w:color w:val="auto"/>
          <w:kern w:val="0"/>
          <w:szCs w:val="21"/>
          <w:highlight w:val="none"/>
        </w:rPr>
        <w:t>员工文明上岗，统一着装，标志明显，自觉遵守相关规章制度。</w:t>
      </w:r>
    </w:p>
    <w:p w14:paraId="79615658">
      <w:pPr>
        <w:snapToGrid w:val="0"/>
        <w:spacing w:line="440" w:lineRule="exact"/>
        <w:ind w:firstLine="420" w:firstLineChars="200"/>
        <w:rPr>
          <w:rFonts w:hint="eastAsia" w:ascii="宋体" w:cs="宋体"/>
          <w:color w:val="auto"/>
          <w:kern w:val="0"/>
          <w:szCs w:val="21"/>
          <w:highlight w:val="none"/>
        </w:rPr>
      </w:pPr>
      <w:r>
        <w:rPr>
          <w:rFonts w:hint="eastAsia" w:ascii="宋体"/>
          <w:color w:val="auto"/>
          <w:szCs w:val="21"/>
          <w:highlight w:val="none"/>
        </w:rPr>
        <w:t>第二十</w:t>
      </w:r>
      <w:r>
        <w:rPr>
          <w:rFonts w:hint="eastAsia" w:ascii="宋体"/>
          <w:color w:val="auto"/>
          <w:szCs w:val="21"/>
          <w:highlight w:val="none"/>
          <w:lang w:val="en-US" w:eastAsia="zh-CN"/>
        </w:rPr>
        <w:t>三</w:t>
      </w:r>
      <w:r>
        <w:rPr>
          <w:rFonts w:hint="eastAsia" w:ascii="宋体"/>
          <w:color w:val="auto"/>
          <w:szCs w:val="21"/>
          <w:highlight w:val="none"/>
        </w:rPr>
        <w:t xml:space="preserve">条  </w:t>
      </w:r>
      <w:r>
        <w:rPr>
          <w:rFonts w:hint="eastAsia" w:ascii="宋体" w:cs="宋体"/>
          <w:color w:val="auto"/>
          <w:kern w:val="0"/>
          <w:szCs w:val="21"/>
          <w:highlight w:val="none"/>
        </w:rPr>
        <w:t>遇雨雪天气，及时组织人员清理道路、各门门前保证畅通无阻。</w:t>
      </w:r>
    </w:p>
    <w:p w14:paraId="587BFA2E">
      <w:pPr>
        <w:snapToGrid w:val="0"/>
        <w:spacing w:line="440" w:lineRule="exact"/>
        <w:ind w:firstLine="420" w:firstLineChars="200"/>
        <w:rPr>
          <w:rFonts w:hint="eastAsia" w:ascii="宋体" w:cs="宋体"/>
          <w:color w:val="auto"/>
          <w:kern w:val="0"/>
          <w:szCs w:val="21"/>
          <w:highlight w:val="none"/>
        </w:rPr>
      </w:pPr>
      <w:r>
        <w:rPr>
          <w:rFonts w:hint="eastAsia" w:ascii="宋体"/>
          <w:color w:val="auto"/>
          <w:szCs w:val="21"/>
          <w:highlight w:val="none"/>
        </w:rPr>
        <w:t>第二十</w:t>
      </w:r>
      <w:r>
        <w:rPr>
          <w:rFonts w:hint="eastAsia" w:ascii="宋体"/>
          <w:color w:val="auto"/>
          <w:szCs w:val="21"/>
          <w:highlight w:val="none"/>
          <w:lang w:val="en-US" w:eastAsia="zh-CN"/>
        </w:rPr>
        <w:t>四</w:t>
      </w:r>
      <w:r>
        <w:rPr>
          <w:rFonts w:hint="eastAsia" w:ascii="宋体"/>
          <w:color w:val="auto"/>
          <w:szCs w:val="21"/>
          <w:highlight w:val="none"/>
        </w:rPr>
        <w:t xml:space="preserve">条  </w:t>
      </w:r>
      <w:r>
        <w:rPr>
          <w:rFonts w:hint="eastAsia" w:ascii="宋体" w:cs="宋体"/>
          <w:color w:val="auto"/>
          <w:kern w:val="0"/>
          <w:szCs w:val="21"/>
          <w:highlight w:val="none"/>
          <w:lang w:val="en-US" w:eastAsia="zh-CN"/>
        </w:rPr>
        <w:t>甲方</w:t>
      </w:r>
      <w:r>
        <w:rPr>
          <w:rFonts w:hint="eastAsia" w:ascii="宋体" w:cs="宋体"/>
          <w:color w:val="auto"/>
          <w:kern w:val="0"/>
          <w:szCs w:val="21"/>
          <w:highlight w:val="none"/>
        </w:rPr>
        <w:t>对</w:t>
      </w:r>
      <w:r>
        <w:rPr>
          <w:rFonts w:hint="eastAsia" w:ascii="宋体" w:cs="宋体"/>
          <w:color w:val="auto"/>
          <w:kern w:val="0"/>
          <w:szCs w:val="21"/>
          <w:highlight w:val="none"/>
          <w:lang w:eastAsia="zh-CN"/>
        </w:rPr>
        <w:t>中标人</w:t>
      </w:r>
      <w:r>
        <w:rPr>
          <w:rFonts w:hint="eastAsia" w:ascii="宋体" w:cs="宋体"/>
          <w:color w:val="auto"/>
          <w:kern w:val="0"/>
          <w:szCs w:val="21"/>
          <w:highlight w:val="none"/>
        </w:rPr>
        <w:t>的物业服务工作，实行专业对口监管和业务工作指导、每季度对物业服务工作进行质量考核，并及时协调工作中出现的问题。</w:t>
      </w:r>
    </w:p>
    <w:p w14:paraId="47F6DAE9">
      <w:pPr>
        <w:spacing w:line="440" w:lineRule="exact"/>
        <w:ind w:firstLine="420" w:firstLineChars="200"/>
        <w:rPr>
          <w:rFonts w:hint="eastAsia" w:ascii="宋体"/>
          <w:color w:val="auto"/>
          <w:szCs w:val="21"/>
          <w:highlight w:val="none"/>
        </w:rPr>
      </w:pPr>
      <w:r>
        <w:rPr>
          <w:rFonts w:hint="eastAsia" w:ascii="宋体"/>
          <w:color w:val="auto"/>
          <w:szCs w:val="21"/>
          <w:highlight w:val="none"/>
        </w:rPr>
        <w:t>第二十</w:t>
      </w:r>
      <w:r>
        <w:rPr>
          <w:rFonts w:hint="eastAsia" w:ascii="宋体"/>
          <w:color w:val="auto"/>
          <w:szCs w:val="21"/>
          <w:highlight w:val="none"/>
          <w:lang w:val="en-US" w:eastAsia="zh-CN"/>
        </w:rPr>
        <w:t>五</w:t>
      </w:r>
      <w:r>
        <w:rPr>
          <w:rFonts w:hint="eastAsia" w:ascii="宋体"/>
          <w:color w:val="auto"/>
          <w:szCs w:val="21"/>
          <w:highlight w:val="none"/>
        </w:rPr>
        <w:t xml:space="preserve">条  </w:t>
      </w:r>
      <w:r>
        <w:rPr>
          <w:rFonts w:hint="eastAsia" w:ascii="宋体" w:cs="宋体"/>
          <w:color w:val="auto"/>
          <w:kern w:val="0"/>
          <w:szCs w:val="21"/>
          <w:highlight w:val="none"/>
          <w:lang w:val="en-US" w:eastAsia="zh-CN"/>
        </w:rPr>
        <w:t>乙方</w:t>
      </w:r>
      <w:r>
        <w:rPr>
          <w:rFonts w:hint="eastAsia" w:ascii="宋体" w:cs="宋体"/>
          <w:color w:val="auto"/>
          <w:kern w:val="0"/>
          <w:szCs w:val="21"/>
          <w:highlight w:val="none"/>
        </w:rPr>
        <w:t>应自行配备办公类设备（办公桌椅、固定电话、电脑，打印机等办公设施），配备常规保洁、</w:t>
      </w:r>
      <w:r>
        <w:rPr>
          <w:rFonts w:hint="eastAsia" w:ascii="宋体"/>
          <w:color w:val="auto"/>
          <w:szCs w:val="21"/>
          <w:highlight w:val="none"/>
        </w:rPr>
        <w:t>秩序维护、</w:t>
      </w:r>
      <w:r>
        <w:rPr>
          <w:rFonts w:hint="eastAsia" w:ascii="宋体" w:cs="宋体"/>
          <w:color w:val="auto"/>
          <w:kern w:val="0"/>
          <w:szCs w:val="21"/>
          <w:highlight w:val="none"/>
        </w:rPr>
        <w:t>绿化等设备和工具。</w:t>
      </w:r>
    </w:p>
    <w:p w14:paraId="263C83C3">
      <w:pPr>
        <w:spacing w:line="440" w:lineRule="exact"/>
        <w:jc w:val="center"/>
        <w:rPr>
          <w:rFonts w:hint="eastAsia" w:ascii="黑体" w:eastAsia="黑体"/>
          <w:b/>
          <w:bCs/>
          <w:color w:val="auto"/>
          <w:szCs w:val="21"/>
          <w:highlight w:val="none"/>
        </w:rPr>
      </w:pPr>
      <w:r>
        <w:rPr>
          <w:rFonts w:hint="eastAsia" w:ascii="黑体" w:eastAsia="黑体"/>
          <w:b/>
          <w:bCs/>
          <w:color w:val="auto"/>
          <w:szCs w:val="21"/>
          <w:highlight w:val="none"/>
        </w:rPr>
        <w:t>九、  附  则</w:t>
      </w:r>
    </w:p>
    <w:p w14:paraId="15008B85">
      <w:pPr>
        <w:spacing w:line="440" w:lineRule="exact"/>
        <w:ind w:firstLine="420" w:firstLineChars="200"/>
        <w:rPr>
          <w:rFonts w:hint="eastAsia" w:ascii="宋体"/>
          <w:color w:val="auto"/>
          <w:szCs w:val="21"/>
          <w:highlight w:val="none"/>
        </w:rPr>
      </w:pPr>
      <w:r>
        <w:rPr>
          <w:rFonts w:hint="eastAsia" w:ascii="宋体"/>
          <w:color w:val="auto"/>
          <w:szCs w:val="21"/>
          <w:highlight w:val="none"/>
        </w:rPr>
        <w:t>第二十</w:t>
      </w:r>
      <w:r>
        <w:rPr>
          <w:rFonts w:hint="eastAsia" w:ascii="宋体"/>
          <w:color w:val="auto"/>
          <w:szCs w:val="21"/>
          <w:highlight w:val="none"/>
          <w:lang w:val="en-US" w:eastAsia="zh-CN"/>
        </w:rPr>
        <w:t>六</w:t>
      </w:r>
      <w:r>
        <w:rPr>
          <w:rFonts w:hint="eastAsia" w:ascii="宋体"/>
          <w:color w:val="auto"/>
          <w:szCs w:val="21"/>
          <w:highlight w:val="none"/>
        </w:rPr>
        <w:t>条  自本合同生效之日起</w:t>
      </w:r>
      <w:r>
        <w:rPr>
          <w:rFonts w:hint="eastAsia" w:ascii="宋体"/>
          <w:color w:val="auto"/>
          <w:szCs w:val="21"/>
          <w:highlight w:val="none"/>
          <w:u w:val="single"/>
        </w:rPr>
        <w:t>15</w:t>
      </w:r>
      <w:r>
        <w:rPr>
          <w:rFonts w:hint="eastAsia" w:ascii="宋体"/>
          <w:color w:val="auto"/>
          <w:szCs w:val="21"/>
          <w:highlight w:val="none"/>
        </w:rPr>
        <w:t>天内，根据甲方委托管理事项，办理完交接验收手续。</w:t>
      </w:r>
    </w:p>
    <w:p w14:paraId="38A2AD38">
      <w:pPr>
        <w:spacing w:line="440" w:lineRule="exact"/>
        <w:ind w:firstLine="420" w:firstLineChars="200"/>
        <w:rPr>
          <w:rFonts w:hint="eastAsia" w:ascii="宋体"/>
          <w:color w:val="auto"/>
          <w:szCs w:val="21"/>
          <w:highlight w:val="none"/>
        </w:rPr>
      </w:pPr>
      <w:r>
        <w:rPr>
          <w:rFonts w:hint="eastAsia" w:ascii="宋体"/>
          <w:color w:val="auto"/>
          <w:szCs w:val="21"/>
          <w:highlight w:val="none"/>
        </w:rPr>
        <w:t>第二十</w:t>
      </w:r>
      <w:r>
        <w:rPr>
          <w:rFonts w:hint="eastAsia" w:ascii="宋体"/>
          <w:color w:val="auto"/>
          <w:szCs w:val="21"/>
          <w:highlight w:val="none"/>
          <w:lang w:val="en-US" w:eastAsia="zh-CN"/>
        </w:rPr>
        <w:t>七</w:t>
      </w:r>
      <w:r>
        <w:rPr>
          <w:rFonts w:hint="eastAsia" w:ascii="宋体"/>
          <w:color w:val="auto"/>
          <w:szCs w:val="21"/>
          <w:highlight w:val="none"/>
        </w:rPr>
        <w:t>条  为维护公众、业主、使用人的切身利益，在不可预见情况下，如发生漏电、火灾、水管破裂、救助人命、协助公安机关执行任务等突发事件，乙方因采取紧急避险措施。造成业主财产损失的，当事双方按有关法律规定处理。</w:t>
      </w:r>
    </w:p>
    <w:p w14:paraId="45C33C33">
      <w:pPr>
        <w:spacing w:line="440" w:lineRule="exact"/>
        <w:ind w:firstLine="420" w:firstLineChars="200"/>
        <w:rPr>
          <w:rFonts w:hint="eastAsia" w:ascii="宋体"/>
          <w:color w:val="auto"/>
          <w:szCs w:val="21"/>
          <w:highlight w:val="none"/>
        </w:rPr>
      </w:pPr>
      <w:r>
        <w:rPr>
          <w:rFonts w:hint="eastAsia" w:ascii="宋体"/>
          <w:color w:val="auto"/>
          <w:szCs w:val="21"/>
          <w:highlight w:val="none"/>
        </w:rPr>
        <w:t>第</w:t>
      </w:r>
      <w:r>
        <w:rPr>
          <w:rFonts w:hint="eastAsia" w:ascii="宋体"/>
          <w:color w:val="auto"/>
          <w:szCs w:val="21"/>
          <w:highlight w:val="none"/>
          <w:lang w:eastAsia="zh-CN"/>
        </w:rPr>
        <w:t>二十</w:t>
      </w:r>
      <w:r>
        <w:rPr>
          <w:rFonts w:hint="eastAsia" w:ascii="宋体"/>
          <w:color w:val="auto"/>
          <w:szCs w:val="21"/>
          <w:highlight w:val="none"/>
          <w:lang w:val="en-US" w:eastAsia="zh-CN"/>
        </w:rPr>
        <w:t>八</w:t>
      </w:r>
      <w:r>
        <w:rPr>
          <w:rFonts w:hint="eastAsia" w:ascii="宋体"/>
          <w:color w:val="auto"/>
          <w:szCs w:val="21"/>
          <w:highlight w:val="none"/>
        </w:rPr>
        <w:t>条   双方可对本合同的条款进行补充，以书面形式签订补充协议，补充协议与本合同具有同等效力。</w:t>
      </w:r>
    </w:p>
    <w:p w14:paraId="21B494A6">
      <w:pPr>
        <w:spacing w:line="440" w:lineRule="exact"/>
        <w:ind w:firstLine="420" w:firstLineChars="200"/>
        <w:rPr>
          <w:rFonts w:hint="eastAsia" w:ascii="宋体"/>
          <w:color w:val="auto"/>
          <w:szCs w:val="21"/>
          <w:highlight w:val="none"/>
        </w:rPr>
      </w:pPr>
      <w:r>
        <w:rPr>
          <w:rFonts w:hint="eastAsia" w:ascii="宋体"/>
          <w:color w:val="auto"/>
          <w:szCs w:val="21"/>
          <w:highlight w:val="none"/>
        </w:rPr>
        <w:t>第</w:t>
      </w:r>
      <w:r>
        <w:rPr>
          <w:rFonts w:hint="eastAsia" w:ascii="宋体"/>
          <w:color w:val="auto"/>
          <w:szCs w:val="21"/>
          <w:highlight w:val="none"/>
          <w:lang w:val="en-US" w:eastAsia="zh-CN"/>
        </w:rPr>
        <w:t>二十九</w:t>
      </w:r>
      <w:r>
        <w:rPr>
          <w:rFonts w:hint="eastAsia" w:ascii="宋体"/>
          <w:color w:val="auto"/>
          <w:szCs w:val="21"/>
          <w:highlight w:val="none"/>
        </w:rPr>
        <w:t>条  本合同之附件均为合同有效组成部分。本合同及其附件内，空格部分填写的文字与印刷文字具有同等效力。</w:t>
      </w:r>
    </w:p>
    <w:p w14:paraId="10303997">
      <w:pPr>
        <w:spacing w:line="440" w:lineRule="exact"/>
        <w:ind w:firstLine="420" w:firstLineChars="200"/>
        <w:rPr>
          <w:rFonts w:hint="eastAsia" w:ascii="宋体"/>
          <w:color w:val="auto"/>
          <w:szCs w:val="21"/>
          <w:highlight w:val="none"/>
        </w:rPr>
      </w:pPr>
      <w:r>
        <w:rPr>
          <w:rFonts w:hint="eastAsia" w:ascii="宋体"/>
          <w:color w:val="auto"/>
          <w:szCs w:val="21"/>
          <w:highlight w:val="none"/>
        </w:rPr>
        <w:t>本合同及其附件和补充协议中未规定的事宜，均遵照中华人民共和国有关法律、法规和规章执行。</w:t>
      </w:r>
    </w:p>
    <w:p w14:paraId="35F5D49E">
      <w:pPr>
        <w:spacing w:line="440" w:lineRule="exact"/>
        <w:ind w:firstLine="420" w:firstLineChars="200"/>
        <w:rPr>
          <w:rFonts w:hint="eastAsia" w:ascii="宋体"/>
          <w:color w:val="auto"/>
          <w:szCs w:val="21"/>
          <w:highlight w:val="none"/>
        </w:rPr>
      </w:pPr>
      <w:r>
        <w:rPr>
          <w:rFonts w:hint="eastAsia" w:ascii="宋体"/>
          <w:color w:val="auto"/>
          <w:szCs w:val="21"/>
          <w:highlight w:val="none"/>
        </w:rPr>
        <w:t>第三十条 本合同正本连同附件共</w:t>
      </w:r>
      <w:r>
        <w:rPr>
          <w:rFonts w:hint="eastAsia" w:ascii="宋体"/>
          <w:color w:val="auto"/>
          <w:szCs w:val="21"/>
          <w:highlight w:val="none"/>
          <w:u w:val="single"/>
        </w:rPr>
        <w:t xml:space="preserve">   </w:t>
      </w:r>
      <w:r>
        <w:rPr>
          <w:rFonts w:hint="eastAsia" w:ascii="宋体"/>
          <w:color w:val="auto"/>
          <w:szCs w:val="21"/>
          <w:highlight w:val="none"/>
        </w:rPr>
        <w:t>页，一式陆份，甲乙双方及物业管理行政主管部门（备案）各执贰份，具有同等法律效力。</w:t>
      </w:r>
    </w:p>
    <w:p w14:paraId="2D93E21B">
      <w:pPr>
        <w:spacing w:line="440" w:lineRule="exact"/>
        <w:ind w:firstLine="420" w:firstLineChars="200"/>
        <w:rPr>
          <w:rFonts w:hint="eastAsia" w:ascii="宋体"/>
          <w:color w:val="auto"/>
          <w:szCs w:val="21"/>
          <w:highlight w:val="none"/>
        </w:rPr>
      </w:pPr>
      <w:r>
        <w:rPr>
          <w:rFonts w:hint="eastAsia" w:ascii="宋体"/>
          <w:color w:val="auto"/>
          <w:szCs w:val="21"/>
          <w:highlight w:val="none"/>
        </w:rPr>
        <w:t>第三十</w:t>
      </w:r>
      <w:r>
        <w:rPr>
          <w:rFonts w:hint="eastAsia" w:ascii="宋体"/>
          <w:color w:val="auto"/>
          <w:szCs w:val="21"/>
          <w:highlight w:val="none"/>
          <w:lang w:val="en-US" w:eastAsia="zh-CN"/>
        </w:rPr>
        <w:t>一</w:t>
      </w:r>
      <w:r>
        <w:rPr>
          <w:rFonts w:hint="eastAsia" w:ascii="宋体"/>
          <w:color w:val="auto"/>
          <w:szCs w:val="21"/>
          <w:highlight w:val="none"/>
        </w:rPr>
        <w:t xml:space="preserve">条 </w:t>
      </w:r>
      <w:r>
        <w:rPr>
          <w:rFonts w:hint="eastAsia" w:ascii="宋体"/>
          <w:strike w:val="0"/>
          <w:dstrike w:val="0"/>
          <w:color w:val="auto"/>
          <w:szCs w:val="21"/>
          <w:highlight w:val="none"/>
          <w:u w:val="single"/>
          <w:lang w:val="en-US" w:eastAsia="zh-CN"/>
        </w:rPr>
        <w:t>本合同执行期间，发生争议的，双方先协商解决，协商不成的，向滁州仲裁委员会申请仲裁。</w:t>
      </w:r>
      <w:r>
        <w:rPr>
          <w:rFonts w:hint="eastAsia" w:ascii="宋体"/>
          <w:color w:val="auto"/>
          <w:szCs w:val="21"/>
          <w:highlight w:val="none"/>
        </w:rPr>
        <w:t>如遇不可抗力，致使合同无法履行时，双方应按有关法律规定及时协商处理。</w:t>
      </w:r>
    </w:p>
    <w:p w14:paraId="4BA2D80F">
      <w:pPr>
        <w:spacing w:line="440" w:lineRule="exact"/>
        <w:ind w:firstLine="420" w:firstLineChars="200"/>
        <w:rPr>
          <w:rFonts w:hint="eastAsia" w:ascii="宋体"/>
          <w:color w:val="auto"/>
          <w:szCs w:val="21"/>
          <w:highlight w:val="none"/>
        </w:rPr>
      </w:pPr>
      <w:r>
        <w:rPr>
          <w:rFonts w:hint="eastAsia" w:ascii="宋体"/>
          <w:color w:val="auto"/>
          <w:szCs w:val="21"/>
          <w:highlight w:val="none"/>
        </w:rPr>
        <w:t>第三十</w:t>
      </w:r>
      <w:r>
        <w:rPr>
          <w:rFonts w:hint="eastAsia" w:ascii="宋体"/>
          <w:color w:val="auto"/>
          <w:szCs w:val="21"/>
          <w:highlight w:val="none"/>
          <w:lang w:val="en-US" w:eastAsia="zh-CN"/>
        </w:rPr>
        <w:t>二</w:t>
      </w:r>
      <w:r>
        <w:rPr>
          <w:rFonts w:hint="eastAsia" w:ascii="宋体"/>
          <w:color w:val="auto"/>
          <w:szCs w:val="21"/>
          <w:highlight w:val="none"/>
        </w:rPr>
        <w:t>条 本合同</w:t>
      </w:r>
      <w:r>
        <w:rPr>
          <w:rFonts w:hint="eastAsia" w:ascii="宋体"/>
          <w:strike w:val="0"/>
          <w:dstrike w:val="0"/>
          <w:color w:val="auto"/>
          <w:szCs w:val="21"/>
          <w:highlight w:val="none"/>
          <w:u w:val="single"/>
          <w:lang w:val="en-US" w:eastAsia="zh-CN"/>
        </w:rPr>
        <w:t>自双方签字盖章之日</w:t>
      </w:r>
      <w:r>
        <w:rPr>
          <w:rFonts w:hint="eastAsia" w:ascii="宋体"/>
          <w:color w:val="auto"/>
          <w:szCs w:val="21"/>
          <w:highlight w:val="none"/>
        </w:rPr>
        <w:t>起生效</w:t>
      </w:r>
      <w:r>
        <w:rPr>
          <w:rFonts w:hint="eastAsia" w:ascii="宋体"/>
          <w:color w:val="auto"/>
          <w:szCs w:val="21"/>
          <w:highlight w:val="none"/>
          <w:lang w:eastAsia="zh-CN"/>
        </w:rPr>
        <w:t>，</w:t>
      </w:r>
      <w:r>
        <w:rPr>
          <w:rFonts w:hint="eastAsia" w:ascii="宋体"/>
          <w:color w:val="auto"/>
          <w:szCs w:val="21"/>
          <w:highlight w:val="none"/>
        </w:rPr>
        <w:t>期满自然终止。</w:t>
      </w:r>
    </w:p>
    <w:p w14:paraId="1A3D2650">
      <w:pPr>
        <w:spacing w:line="440" w:lineRule="exact"/>
        <w:ind w:firstLine="420" w:firstLineChars="200"/>
        <w:rPr>
          <w:rFonts w:hint="eastAsia" w:ascii="宋体"/>
          <w:color w:val="auto"/>
          <w:szCs w:val="21"/>
          <w:highlight w:val="none"/>
        </w:rPr>
      </w:pPr>
      <w:r>
        <w:rPr>
          <w:rFonts w:hint="eastAsia" w:ascii="宋体"/>
          <w:color w:val="auto"/>
          <w:szCs w:val="21"/>
          <w:highlight w:val="none"/>
        </w:rPr>
        <w:t>甲方（盖章）：                  乙方（盖章）：</w:t>
      </w:r>
    </w:p>
    <w:p w14:paraId="69F9FFFF">
      <w:pPr>
        <w:spacing w:line="440" w:lineRule="exact"/>
        <w:ind w:firstLine="420" w:firstLineChars="200"/>
        <w:rPr>
          <w:rFonts w:hint="eastAsia" w:ascii="宋体"/>
          <w:color w:val="auto"/>
          <w:szCs w:val="21"/>
          <w:highlight w:val="none"/>
        </w:rPr>
      </w:pPr>
      <w:r>
        <w:rPr>
          <w:rFonts w:hint="eastAsia" w:ascii="宋体"/>
          <w:color w:val="auto"/>
          <w:szCs w:val="21"/>
          <w:highlight w:val="none"/>
        </w:rPr>
        <w:t>法人代表或委托人：              法人代表：</w:t>
      </w:r>
    </w:p>
    <w:p w14:paraId="3FCD33D1">
      <w:pPr>
        <w:spacing w:line="440" w:lineRule="exact"/>
        <w:ind w:firstLine="420" w:firstLineChars="200"/>
        <w:rPr>
          <w:rFonts w:hint="eastAsia" w:ascii="宋体"/>
          <w:color w:val="auto"/>
          <w:szCs w:val="21"/>
          <w:highlight w:val="none"/>
        </w:rPr>
      </w:pPr>
      <w:r>
        <w:rPr>
          <w:rFonts w:hint="eastAsia" w:ascii="宋体"/>
          <w:color w:val="auto"/>
          <w:szCs w:val="21"/>
          <w:highlight w:val="none"/>
        </w:rPr>
        <w:t>经办人：                        经办人：</w:t>
      </w:r>
    </w:p>
    <w:p w14:paraId="49E910F0">
      <w:pPr>
        <w:spacing w:line="440" w:lineRule="exact"/>
        <w:ind w:firstLine="420" w:firstLineChars="200"/>
        <w:rPr>
          <w:rFonts w:hint="eastAsia" w:ascii="宋体"/>
          <w:color w:val="auto"/>
          <w:szCs w:val="21"/>
          <w:highlight w:val="none"/>
        </w:rPr>
      </w:pPr>
      <w:r>
        <w:rPr>
          <w:rFonts w:hint="eastAsia" w:ascii="宋体"/>
          <w:color w:val="auto"/>
          <w:szCs w:val="21"/>
          <w:highlight w:val="none"/>
        </w:rPr>
        <w:t>联系电话：                      联系电话：</w:t>
      </w:r>
    </w:p>
    <w:p w14:paraId="1D193675">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 xml:space="preserve">年   月    日                   年   月    日 </w:t>
      </w:r>
    </w:p>
    <w:p w14:paraId="06580B25">
      <w:pPr>
        <w:spacing w:line="440" w:lineRule="exact"/>
        <w:ind w:firstLine="420" w:firstLineChars="200"/>
        <w:rPr>
          <w:rFonts w:hint="eastAsia" w:ascii="宋体"/>
          <w:color w:val="auto"/>
          <w:szCs w:val="21"/>
          <w:highlight w:val="none"/>
        </w:rPr>
      </w:pPr>
      <w:r>
        <w:rPr>
          <w:rFonts w:hint="eastAsia" w:ascii="宋体"/>
          <w:color w:val="auto"/>
          <w:szCs w:val="21"/>
          <w:highlight w:val="none"/>
        </w:rPr>
        <w:t xml:space="preserve">甲    方:                       乙    方：                          </w:t>
      </w:r>
    </w:p>
    <w:p w14:paraId="088CC7DF">
      <w:pPr>
        <w:ind w:firstLine="420" w:firstLineChars="200"/>
        <w:rPr>
          <w:color w:val="auto"/>
          <w:highlight w:val="none"/>
        </w:rPr>
      </w:pPr>
      <w:r>
        <w:rPr>
          <w:rFonts w:hint="eastAsia" w:ascii="宋体"/>
          <w:color w:val="auto"/>
          <w:szCs w:val="21"/>
          <w:highlight w:val="none"/>
        </w:rPr>
        <w:t>收款单位：                      收款单位：</w:t>
      </w:r>
    </w:p>
    <w:p w14:paraId="175A600C">
      <w:pPr>
        <w:rPr>
          <w:rFonts w:hint="eastAsia" w:ascii="宋体"/>
          <w:b/>
          <w:color w:val="auto"/>
          <w:sz w:val="32"/>
          <w:szCs w:val="32"/>
          <w:highlight w:val="none"/>
        </w:rPr>
      </w:pPr>
      <w:r>
        <w:rPr>
          <w:rFonts w:hint="eastAsia" w:ascii="宋体"/>
          <w:b/>
          <w:color w:val="auto"/>
          <w:sz w:val="32"/>
          <w:szCs w:val="32"/>
          <w:highlight w:val="none"/>
        </w:rPr>
        <w:br w:type="page"/>
      </w:r>
    </w:p>
    <w:p w14:paraId="2E751976">
      <w:pPr>
        <w:pStyle w:val="2"/>
        <w:ind w:left="0" w:leftChars="0" w:firstLine="0" w:firstLineChars="0"/>
        <w:rPr>
          <w:rFonts w:hint="eastAsia" w:ascii="宋体"/>
          <w:b/>
          <w:bCs/>
          <w:color w:val="auto"/>
          <w:szCs w:val="21"/>
          <w:highlight w:val="none"/>
        </w:rPr>
      </w:pPr>
      <w:r>
        <w:rPr>
          <w:rFonts w:hint="eastAsia"/>
          <w:b/>
          <w:bCs/>
          <w:color w:val="auto"/>
          <w:highlight w:val="none"/>
          <w:lang w:val="en-US" w:eastAsia="zh-CN"/>
        </w:rPr>
        <w:t>合同附件：</w:t>
      </w:r>
      <w:r>
        <w:rPr>
          <w:rFonts w:hint="eastAsia" w:ascii="宋体"/>
          <w:b/>
          <w:bCs/>
          <w:color w:val="auto"/>
          <w:szCs w:val="21"/>
          <w:highlight w:val="none"/>
        </w:rPr>
        <w:t>考核标准</w:t>
      </w:r>
    </w:p>
    <w:p w14:paraId="318FF861">
      <w:pPr>
        <w:spacing w:before="245" w:line="220" w:lineRule="auto"/>
        <w:rPr>
          <w:rFonts w:ascii="宋体" w:hAnsi="宋体" w:eastAsia="宋体" w:cs="宋体"/>
          <w:color w:val="auto"/>
          <w:sz w:val="21"/>
          <w:szCs w:val="21"/>
          <w:highlight w:val="none"/>
        </w:rPr>
      </w:pPr>
      <w:r>
        <w:rPr>
          <w:rFonts w:ascii="宋体" w:hAnsi="宋体" w:eastAsia="宋体" w:cs="宋体"/>
          <w:b/>
          <w:bCs/>
          <w:color w:val="auto"/>
          <w:spacing w:val="1"/>
          <w:sz w:val="21"/>
          <w:szCs w:val="21"/>
          <w:highlight w:val="none"/>
        </w:rPr>
        <w:t>1、分值评定</w:t>
      </w:r>
    </w:p>
    <w:p w14:paraId="0CF334E1">
      <w:pPr>
        <w:keepNext w:val="0"/>
        <w:keepLines w:val="0"/>
        <w:pageBreakBefore w:val="0"/>
        <w:widowControl w:val="0"/>
        <w:kinsoku/>
        <w:wordWrap/>
        <w:overflowPunct/>
        <w:topLinePunct w:val="0"/>
        <w:autoSpaceDE/>
        <w:autoSpaceDN/>
        <w:bidi w:val="0"/>
        <w:adjustRightInd/>
        <w:snapToGrid/>
        <w:spacing w:before="260" w:line="437" w:lineRule="auto"/>
        <w:ind w:right="0" w:firstLine="408" w:firstLineChars="200"/>
        <w:textAlignment w:val="auto"/>
        <w:rPr>
          <w:rFonts w:ascii="宋体" w:hAnsi="宋体" w:eastAsia="宋体" w:cs="宋体"/>
          <w:color w:val="auto"/>
          <w:sz w:val="21"/>
          <w:szCs w:val="21"/>
          <w:highlight w:val="none"/>
        </w:rPr>
      </w:pPr>
      <w:r>
        <w:rPr>
          <w:rFonts w:hint="eastAsia" w:ascii="宋体" w:hAnsi="宋体" w:cs="宋体"/>
          <w:color w:val="auto"/>
          <w:spacing w:val="-3"/>
          <w:sz w:val="21"/>
          <w:szCs w:val="21"/>
          <w:highlight w:val="none"/>
          <w:lang w:val="en-US" w:eastAsia="zh-CN"/>
        </w:rPr>
        <w:t>在年度服务期内，甲方按季度对乙方进行考核。</w:t>
      </w:r>
      <w:r>
        <w:rPr>
          <w:rFonts w:ascii="宋体" w:hAnsi="宋体" w:eastAsia="宋体" w:cs="宋体"/>
          <w:color w:val="auto"/>
          <w:spacing w:val="-3"/>
          <w:sz w:val="21"/>
          <w:szCs w:val="21"/>
          <w:highlight w:val="none"/>
        </w:rPr>
        <w:t>考核分值为 100 分。每次考核按照《物业服务季度考核评分标准 》规定进行扣分</w:t>
      </w:r>
      <w:r>
        <w:rPr>
          <w:rFonts w:hint="eastAsia" w:ascii="宋体" w:hAnsi="宋体" w:cs="宋体"/>
          <w:color w:val="auto"/>
          <w:spacing w:val="-3"/>
          <w:sz w:val="21"/>
          <w:szCs w:val="21"/>
          <w:highlight w:val="none"/>
          <w:lang w:eastAsia="zh-CN"/>
        </w:rPr>
        <w:t>，</w:t>
      </w:r>
      <w:r>
        <w:rPr>
          <w:rFonts w:ascii="宋体" w:hAnsi="宋体" w:eastAsia="宋体" w:cs="宋体"/>
          <w:color w:val="auto"/>
          <w:spacing w:val="-3"/>
          <w:sz w:val="21"/>
          <w:szCs w:val="21"/>
          <w:highlight w:val="none"/>
        </w:rPr>
        <w:t>作为对中标人物业费支付的依据。</w:t>
      </w:r>
    </w:p>
    <w:p w14:paraId="4AF84B58">
      <w:pPr>
        <w:spacing w:line="219" w:lineRule="auto"/>
        <w:rPr>
          <w:rFonts w:ascii="宋体" w:hAnsi="宋体" w:eastAsia="宋体" w:cs="宋体"/>
          <w:color w:val="auto"/>
          <w:sz w:val="21"/>
          <w:szCs w:val="21"/>
          <w:highlight w:val="none"/>
        </w:rPr>
      </w:pPr>
      <w:r>
        <w:rPr>
          <w:rFonts w:ascii="宋体" w:hAnsi="宋体" w:eastAsia="宋体" w:cs="宋体"/>
          <w:b/>
          <w:bCs/>
          <w:color w:val="auto"/>
          <w:spacing w:val="3"/>
          <w:sz w:val="21"/>
          <w:szCs w:val="21"/>
          <w:highlight w:val="none"/>
        </w:rPr>
        <w:t>2、考核措施</w:t>
      </w:r>
    </w:p>
    <w:p w14:paraId="15127BCB">
      <w:pPr>
        <w:keepNext w:val="0"/>
        <w:keepLines w:val="0"/>
        <w:pageBreakBefore w:val="0"/>
        <w:widowControl w:val="0"/>
        <w:kinsoku/>
        <w:wordWrap/>
        <w:overflowPunct/>
        <w:topLinePunct w:val="0"/>
        <w:autoSpaceDE/>
        <w:autoSpaceDN/>
        <w:bidi w:val="0"/>
        <w:adjustRightInd/>
        <w:snapToGrid/>
        <w:spacing w:before="261" w:line="437" w:lineRule="auto"/>
        <w:ind w:right="0" w:firstLine="408"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cs="宋体"/>
          <w:color w:val="auto"/>
          <w:spacing w:val="-3"/>
          <w:sz w:val="21"/>
          <w:szCs w:val="21"/>
          <w:highlight w:val="none"/>
          <w:lang w:val="en-US" w:eastAsia="zh-CN"/>
        </w:rPr>
        <w:t>甲方按季度对乙方进行考核，四个季度考核结果中有2个及以上合格的，继续下一年度履约。年度服务期内初次考核不合格，予以整改；两次考核不合格，按规定整改外，还将扣除季度物业服务费50%的违约金；三次考核不合格，甲方有权直接解除合同</w:t>
      </w:r>
      <w:r>
        <w:rPr>
          <w:rFonts w:hint="eastAsia" w:ascii="宋体" w:hAnsi="宋体" w:cs="宋体"/>
          <w:color w:val="auto"/>
          <w:spacing w:val="-3"/>
          <w:sz w:val="21"/>
          <w:szCs w:val="21"/>
          <w:highlight w:val="none"/>
          <w:lang w:eastAsia="zh-CN"/>
        </w:rPr>
        <w:t>。</w:t>
      </w:r>
    </w:p>
    <w:p w14:paraId="14A6D0A4">
      <w:pPr>
        <w:spacing w:before="12" w:line="220" w:lineRule="auto"/>
        <w:rPr>
          <w:color w:val="auto"/>
          <w:highlight w:val="none"/>
        </w:rPr>
      </w:pPr>
      <w:r>
        <w:rPr>
          <w:rFonts w:ascii="宋体" w:hAnsi="宋体" w:eastAsia="宋体" w:cs="宋体"/>
          <w:b/>
          <w:bCs/>
          <w:color w:val="auto"/>
          <w:spacing w:val="2"/>
          <w:sz w:val="21"/>
          <w:szCs w:val="21"/>
          <w:highlight w:val="none"/>
        </w:rPr>
        <w:t>3、考核评分标准</w:t>
      </w:r>
    </w:p>
    <w:p w14:paraId="51F4B88B">
      <w:pPr>
        <w:pStyle w:val="17"/>
        <w:spacing w:line="304" w:lineRule="auto"/>
        <w:rPr>
          <w:color w:val="auto"/>
          <w:highlight w:val="none"/>
        </w:rPr>
      </w:pPr>
    </w:p>
    <w:p w14:paraId="74217A8B">
      <w:pPr>
        <w:spacing w:before="92" w:line="225" w:lineRule="auto"/>
        <w:ind w:left="3180"/>
        <w:rPr>
          <w:rFonts w:ascii="宋体" w:hAnsi="宋体" w:eastAsia="宋体" w:cs="宋体"/>
          <w:color w:val="auto"/>
          <w:spacing w:val="6"/>
          <w:sz w:val="28"/>
          <w:szCs w:val="28"/>
          <w:highlight w:val="none"/>
        </w:rPr>
      </w:pPr>
      <w:r>
        <w:rPr>
          <w:rFonts w:ascii="宋体" w:hAnsi="宋体" w:eastAsia="宋体" w:cs="宋体"/>
          <w:b/>
          <w:bCs/>
          <w:color w:val="auto"/>
          <w:spacing w:val="13"/>
          <w:sz w:val="28"/>
          <w:szCs w:val="28"/>
          <w:highlight w:val="none"/>
        </w:rPr>
        <w:t>物业服务季度考核评分标准</w:t>
      </w:r>
      <w:r>
        <w:rPr>
          <w:rFonts w:ascii="宋体" w:hAnsi="宋体" w:eastAsia="宋体" w:cs="宋体"/>
          <w:color w:val="auto"/>
          <w:spacing w:val="6"/>
          <w:sz w:val="28"/>
          <w:szCs w:val="28"/>
          <w:highlight w:val="none"/>
        </w:rPr>
        <w:t xml:space="preserve">      </w:t>
      </w:r>
    </w:p>
    <w:p w14:paraId="131700E4">
      <w:pPr>
        <w:spacing w:before="92" w:line="225" w:lineRule="auto"/>
        <w:ind w:left="3180"/>
        <w:jc w:val="right"/>
        <w:rPr>
          <w:rFonts w:ascii="仿宋" w:hAnsi="仿宋" w:eastAsia="仿宋" w:cs="仿宋"/>
          <w:color w:val="auto"/>
          <w:sz w:val="16"/>
          <w:szCs w:val="16"/>
          <w:highlight w:val="none"/>
        </w:rPr>
      </w:pPr>
      <w:r>
        <w:rPr>
          <w:rFonts w:ascii="仿宋" w:hAnsi="仿宋" w:eastAsia="仿宋" w:cs="仿宋"/>
          <w:b/>
          <w:bCs/>
          <w:color w:val="auto"/>
          <w:spacing w:val="13"/>
          <w:position w:val="-2"/>
          <w:sz w:val="16"/>
          <w:szCs w:val="16"/>
          <w:highlight w:val="none"/>
        </w:rPr>
        <w:t>第</w:t>
      </w:r>
      <w:r>
        <w:rPr>
          <w:rFonts w:ascii="仿宋" w:hAnsi="仿宋" w:eastAsia="仿宋" w:cs="仿宋"/>
          <w:b/>
          <w:bCs/>
          <w:color w:val="auto"/>
          <w:spacing w:val="7"/>
          <w:position w:val="-2"/>
          <w:sz w:val="16"/>
          <w:szCs w:val="16"/>
          <w:highlight w:val="none"/>
        </w:rPr>
        <w:t>（</w:t>
      </w:r>
      <w:r>
        <w:rPr>
          <w:rFonts w:ascii="仿宋" w:hAnsi="仿宋" w:eastAsia="仿宋" w:cs="仿宋"/>
          <w:color w:val="auto"/>
          <w:spacing w:val="16"/>
          <w:position w:val="-2"/>
          <w:sz w:val="16"/>
          <w:szCs w:val="16"/>
          <w:highlight w:val="none"/>
        </w:rPr>
        <w:t xml:space="preserve">  </w:t>
      </w:r>
      <w:r>
        <w:rPr>
          <w:rFonts w:ascii="仿宋" w:hAnsi="仿宋" w:eastAsia="仿宋" w:cs="仿宋"/>
          <w:b/>
          <w:bCs/>
          <w:color w:val="auto"/>
          <w:spacing w:val="7"/>
          <w:position w:val="-2"/>
          <w:sz w:val="16"/>
          <w:szCs w:val="16"/>
          <w:highlight w:val="none"/>
        </w:rPr>
        <w:t>）</w:t>
      </w:r>
      <w:r>
        <w:rPr>
          <w:rFonts w:ascii="仿宋" w:hAnsi="仿宋" w:eastAsia="仿宋" w:cs="仿宋"/>
          <w:b/>
          <w:bCs/>
          <w:color w:val="auto"/>
          <w:spacing w:val="13"/>
          <w:position w:val="-2"/>
          <w:sz w:val="16"/>
          <w:szCs w:val="16"/>
          <w:highlight w:val="none"/>
        </w:rPr>
        <w:t>季度</w:t>
      </w:r>
    </w:p>
    <w:p w14:paraId="16AC06E8">
      <w:pPr>
        <w:spacing w:line="204" w:lineRule="exact"/>
        <w:rPr>
          <w:color w:val="auto"/>
          <w:highlight w:val="none"/>
        </w:rPr>
      </w:pPr>
    </w:p>
    <w:tbl>
      <w:tblPr>
        <w:tblStyle w:val="137"/>
        <w:tblW w:w="964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48"/>
        <w:gridCol w:w="667"/>
        <w:gridCol w:w="4829"/>
        <w:gridCol w:w="815"/>
        <w:gridCol w:w="1803"/>
        <w:gridCol w:w="679"/>
      </w:tblGrid>
      <w:tr w14:paraId="0024B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3" w:hRule="atLeast"/>
        </w:trPr>
        <w:tc>
          <w:tcPr>
            <w:tcW w:w="1515" w:type="dxa"/>
            <w:gridSpan w:val="2"/>
            <w:vAlign w:val="top"/>
          </w:tcPr>
          <w:p w14:paraId="20091FD5">
            <w:pPr>
              <w:pStyle w:val="157"/>
              <w:keepNext w:val="0"/>
              <w:keepLines/>
              <w:pageBreakBefore w:val="0"/>
              <w:widowControl w:val="0"/>
              <w:kinsoku/>
              <w:wordWrap/>
              <w:overflowPunct/>
              <w:topLinePunct w:val="0"/>
              <w:autoSpaceDE/>
              <w:autoSpaceDN/>
              <w:bidi w:val="0"/>
              <w:adjustRightInd/>
              <w:snapToGrid/>
              <w:spacing w:before="183" w:line="220" w:lineRule="auto"/>
              <w:textAlignment w:val="auto"/>
              <w:rPr>
                <w:color w:val="auto"/>
                <w:sz w:val="24"/>
                <w:szCs w:val="24"/>
                <w:highlight w:val="none"/>
              </w:rPr>
            </w:pPr>
            <w:r>
              <w:rPr>
                <w:b/>
                <w:bCs/>
                <w:color w:val="auto"/>
                <w:spacing w:val="7"/>
                <w:sz w:val="24"/>
                <w:szCs w:val="24"/>
                <w:highlight w:val="none"/>
              </w:rPr>
              <w:t>项目及分值</w:t>
            </w:r>
          </w:p>
        </w:tc>
        <w:tc>
          <w:tcPr>
            <w:tcW w:w="4829" w:type="dxa"/>
            <w:vAlign w:val="top"/>
          </w:tcPr>
          <w:p w14:paraId="023535DF">
            <w:pPr>
              <w:pStyle w:val="157"/>
              <w:keepNext w:val="0"/>
              <w:keepLines/>
              <w:pageBreakBefore w:val="0"/>
              <w:widowControl w:val="0"/>
              <w:kinsoku/>
              <w:wordWrap/>
              <w:overflowPunct/>
              <w:topLinePunct w:val="0"/>
              <w:autoSpaceDE/>
              <w:autoSpaceDN/>
              <w:bidi w:val="0"/>
              <w:adjustRightInd/>
              <w:snapToGrid/>
              <w:spacing w:before="184" w:line="220" w:lineRule="auto"/>
              <w:ind w:left="1669"/>
              <w:textAlignment w:val="auto"/>
              <w:rPr>
                <w:color w:val="auto"/>
                <w:sz w:val="24"/>
                <w:szCs w:val="24"/>
                <w:highlight w:val="none"/>
              </w:rPr>
            </w:pPr>
            <w:r>
              <w:rPr>
                <w:b/>
                <w:bCs/>
                <w:color w:val="auto"/>
                <w:spacing w:val="-11"/>
                <w:sz w:val="24"/>
                <w:szCs w:val="24"/>
                <w:highlight w:val="none"/>
              </w:rPr>
              <w:t>评</w:t>
            </w:r>
            <w:r>
              <w:rPr>
                <w:color w:val="auto"/>
                <w:spacing w:val="44"/>
                <w:sz w:val="24"/>
                <w:szCs w:val="24"/>
                <w:highlight w:val="none"/>
              </w:rPr>
              <w:t xml:space="preserve"> </w:t>
            </w:r>
            <w:r>
              <w:rPr>
                <w:b/>
                <w:bCs/>
                <w:color w:val="auto"/>
                <w:spacing w:val="-11"/>
                <w:sz w:val="24"/>
                <w:szCs w:val="24"/>
                <w:highlight w:val="none"/>
              </w:rPr>
              <w:t>分</w:t>
            </w:r>
            <w:r>
              <w:rPr>
                <w:color w:val="auto"/>
                <w:spacing w:val="41"/>
                <w:sz w:val="24"/>
                <w:szCs w:val="24"/>
                <w:highlight w:val="none"/>
              </w:rPr>
              <w:t xml:space="preserve"> </w:t>
            </w:r>
            <w:r>
              <w:rPr>
                <w:b/>
                <w:bCs/>
                <w:color w:val="auto"/>
                <w:spacing w:val="-11"/>
                <w:sz w:val="24"/>
                <w:szCs w:val="24"/>
                <w:highlight w:val="none"/>
              </w:rPr>
              <w:t>标</w:t>
            </w:r>
            <w:r>
              <w:rPr>
                <w:color w:val="auto"/>
                <w:spacing w:val="42"/>
                <w:sz w:val="24"/>
                <w:szCs w:val="24"/>
                <w:highlight w:val="none"/>
              </w:rPr>
              <w:t xml:space="preserve"> </w:t>
            </w:r>
            <w:r>
              <w:rPr>
                <w:b/>
                <w:bCs/>
                <w:color w:val="auto"/>
                <w:spacing w:val="-11"/>
                <w:sz w:val="24"/>
                <w:szCs w:val="24"/>
                <w:highlight w:val="none"/>
              </w:rPr>
              <w:t>准</w:t>
            </w:r>
          </w:p>
        </w:tc>
        <w:tc>
          <w:tcPr>
            <w:tcW w:w="815" w:type="dxa"/>
            <w:vAlign w:val="top"/>
          </w:tcPr>
          <w:p w14:paraId="78770D80">
            <w:pPr>
              <w:pStyle w:val="157"/>
              <w:keepNext w:val="0"/>
              <w:keepLines/>
              <w:pageBreakBefore w:val="0"/>
              <w:widowControl w:val="0"/>
              <w:kinsoku/>
              <w:wordWrap/>
              <w:overflowPunct/>
              <w:topLinePunct w:val="0"/>
              <w:autoSpaceDE/>
              <w:autoSpaceDN/>
              <w:bidi w:val="0"/>
              <w:adjustRightInd/>
              <w:snapToGrid/>
              <w:spacing w:before="183" w:line="220" w:lineRule="auto"/>
              <w:jc w:val="center"/>
              <w:textAlignment w:val="auto"/>
              <w:rPr>
                <w:color w:val="auto"/>
                <w:sz w:val="24"/>
                <w:szCs w:val="24"/>
                <w:highlight w:val="none"/>
              </w:rPr>
            </w:pPr>
            <w:r>
              <w:rPr>
                <w:b/>
                <w:bCs/>
                <w:color w:val="auto"/>
                <w:spacing w:val="-1"/>
                <w:sz w:val="24"/>
                <w:szCs w:val="24"/>
                <w:highlight w:val="none"/>
              </w:rPr>
              <w:t>分值</w:t>
            </w:r>
          </w:p>
        </w:tc>
        <w:tc>
          <w:tcPr>
            <w:tcW w:w="1803" w:type="dxa"/>
            <w:vAlign w:val="top"/>
          </w:tcPr>
          <w:p w14:paraId="4A04ECF5">
            <w:pPr>
              <w:pStyle w:val="157"/>
              <w:keepNext w:val="0"/>
              <w:keepLines/>
              <w:pageBreakBefore w:val="0"/>
              <w:widowControl w:val="0"/>
              <w:kinsoku/>
              <w:wordWrap/>
              <w:overflowPunct/>
              <w:topLinePunct w:val="0"/>
              <w:autoSpaceDE/>
              <w:autoSpaceDN/>
              <w:bidi w:val="0"/>
              <w:adjustRightInd/>
              <w:snapToGrid/>
              <w:spacing w:before="184" w:line="220" w:lineRule="auto"/>
              <w:jc w:val="center"/>
              <w:textAlignment w:val="auto"/>
              <w:rPr>
                <w:color w:val="auto"/>
                <w:sz w:val="24"/>
                <w:szCs w:val="24"/>
                <w:highlight w:val="none"/>
              </w:rPr>
            </w:pPr>
            <w:r>
              <w:rPr>
                <w:b/>
                <w:bCs/>
                <w:color w:val="auto"/>
                <w:spacing w:val="-11"/>
                <w:sz w:val="24"/>
                <w:szCs w:val="24"/>
                <w:highlight w:val="none"/>
              </w:rPr>
              <w:t>评分方法</w:t>
            </w:r>
          </w:p>
        </w:tc>
        <w:tc>
          <w:tcPr>
            <w:tcW w:w="679" w:type="dxa"/>
            <w:vAlign w:val="top"/>
          </w:tcPr>
          <w:p w14:paraId="3557F38F">
            <w:pPr>
              <w:pStyle w:val="157"/>
              <w:keepNext w:val="0"/>
              <w:keepLines/>
              <w:pageBreakBefore w:val="0"/>
              <w:widowControl w:val="0"/>
              <w:kinsoku/>
              <w:wordWrap/>
              <w:overflowPunct/>
              <w:topLinePunct w:val="0"/>
              <w:autoSpaceDE/>
              <w:autoSpaceDN/>
              <w:bidi w:val="0"/>
              <w:adjustRightInd/>
              <w:snapToGrid/>
              <w:spacing w:before="183" w:line="220" w:lineRule="auto"/>
              <w:jc w:val="center"/>
              <w:textAlignment w:val="auto"/>
              <w:rPr>
                <w:color w:val="auto"/>
                <w:sz w:val="24"/>
                <w:szCs w:val="24"/>
                <w:highlight w:val="none"/>
              </w:rPr>
            </w:pPr>
            <w:r>
              <w:rPr>
                <w:b/>
                <w:bCs/>
                <w:color w:val="auto"/>
                <w:sz w:val="24"/>
                <w:szCs w:val="24"/>
                <w:highlight w:val="none"/>
              </w:rPr>
              <w:t>得分</w:t>
            </w:r>
          </w:p>
        </w:tc>
      </w:tr>
      <w:tr w14:paraId="14C98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0" w:hRule="atLeast"/>
        </w:trPr>
        <w:tc>
          <w:tcPr>
            <w:tcW w:w="848" w:type="dxa"/>
            <w:vMerge w:val="restart"/>
            <w:vAlign w:val="center"/>
          </w:tcPr>
          <w:p w14:paraId="40D91964">
            <w:pPr>
              <w:pStyle w:val="157"/>
              <w:keepNext w:val="0"/>
              <w:keepLines/>
              <w:pageBreakBefore w:val="0"/>
              <w:widowControl w:val="0"/>
              <w:kinsoku/>
              <w:wordWrap/>
              <w:overflowPunct/>
              <w:topLinePunct w:val="0"/>
              <w:autoSpaceDE/>
              <w:autoSpaceDN/>
              <w:bidi w:val="0"/>
              <w:adjustRightInd/>
              <w:snapToGrid/>
              <w:spacing w:before="69" w:line="220" w:lineRule="auto"/>
              <w:jc w:val="center"/>
              <w:textAlignment w:val="auto"/>
              <w:rPr>
                <w:color w:val="auto"/>
                <w:highlight w:val="none"/>
              </w:rPr>
            </w:pPr>
            <w:r>
              <w:rPr>
                <w:color w:val="auto"/>
                <w:spacing w:val="-7"/>
                <w:highlight w:val="none"/>
              </w:rPr>
              <w:t>内部管理</w:t>
            </w:r>
          </w:p>
        </w:tc>
        <w:tc>
          <w:tcPr>
            <w:tcW w:w="667" w:type="dxa"/>
            <w:vMerge w:val="restart"/>
            <w:vAlign w:val="center"/>
          </w:tcPr>
          <w:p w14:paraId="06227DD7">
            <w:pPr>
              <w:pStyle w:val="157"/>
              <w:keepNext w:val="0"/>
              <w:keepLines/>
              <w:pageBreakBefore w:val="0"/>
              <w:widowControl w:val="0"/>
              <w:kinsoku/>
              <w:wordWrap/>
              <w:overflowPunct/>
              <w:topLinePunct w:val="0"/>
              <w:autoSpaceDE/>
              <w:autoSpaceDN/>
              <w:bidi w:val="0"/>
              <w:adjustRightInd/>
              <w:snapToGrid/>
              <w:spacing w:before="68" w:line="220" w:lineRule="auto"/>
              <w:jc w:val="center"/>
              <w:textAlignment w:val="auto"/>
              <w:rPr>
                <w:color w:val="auto"/>
                <w:highlight w:val="none"/>
              </w:rPr>
            </w:pPr>
            <w:r>
              <w:rPr>
                <w:color w:val="auto"/>
                <w:spacing w:val="-8"/>
                <w:highlight w:val="none"/>
              </w:rPr>
              <w:t>10</w:t>
            </w:r>
            <w:r>
              <w:rPr>
                <w:color w:val="auto"/>
                <w:spacing w:val="-35"/>
                <w:highlight w:val="none"/>
              </w:rPr>
              <w:t xml:space="preserve"> </w:t>
            </w:r>
            <w:r>
              <w:rPr>
                <w:color w:val="auto"/>
                <w:spacing w:val="-8"/>
                <w:highlight w:val="none"/>
              </w:rPr>
              <w:t>分</w:t>
            </w:r>
          </w:p>
        </w:tc>
        <w:tc>
          <w:tcPr>
            <w:tcW w:w="4829" w:type="dxa"/>
            <w:vAlign w:val="top"/>
          </w:tcPr>
          <w:p w14:paraId="1EB0AE57">
            <w:pPr>
              <w:pStyle w:val="157"/>
              <w:keepNext w:val="0"/>
              <w:keepLines/>
              <w:pageBreakBefore w:val="0"/>
              <w:widowControl w:val="0"/>
              <w:kinsoku/>
              <w:wordWrap/>
              <w:overflowPunct/>
              <w:topLinePunct w:val="0"/>
              <w:autoSpaceDE/>
              <w:autoSpaceDN/>
              <w:bidi w:val="0"/>
              <w:adjustRightInd/>
              <w:snapToGrid/>
              <w:spacing w:before="157" w:line="220" w:lineRule="auto"/>
              <w:ind w:left="21"/>
              <w:textAlignment w:val="auto"/>
              <w:rPr>
                <w:color w:val="auto"/>
                <w:highlight w:val="none"/>
              </w:rPr>
            </w:pPr>
            <w:r>
              <w:rPr>
                <w:color w:val="auto"/>
                <w:spacing w:val="-1"/>
                <w:highlight w:val="none"/>
              </w:rPr>
              <w:t>设置管理处（没有的不扣分）、配置相关办公设备</w:t>
            </w:r>
          </w:p>
        </w:tc>
        <w:tc>
          <w:tcPr>
            <w:tcW w:w="815" w:type="dxa"/>
            <w:vAlign w:val="top"/>
          </w:tcPr>
          <w:p w14:paraId="096DF758">
            <w:pPr>
              <w:pStyle w:val="157"/>
              <w:keepNext w:val="0"/>
              <w:keepLines/>
              <w:pageBreakBefore w:val="0"/>
              <w:widowControl w:val="0"/>
              <w:kinsoku/>
              <w:wordWrap/>
              <w:overflowPunct/>
              <w:topLinePunct w:val="0"/>
              <w:autoSpaceDE/>
              <w:autoSpaceDN/>
              <w:bidi w:val="0"/>
              <w:adjustRightInd/>
              <w:snapToGrid/>
              <w:spacing w:before="157" w:line="241" w:lineRule="auto"/>
              <w:ind w:left="460"/>
              <w:textAlignment w:val="auto"/>
              <w:rPr>
                <w:color w:val="auto"/>
                <w:highlight w:val="none"/>
              </w:rPr>
            </w:pPr>
            <w:r>
              <w:rPr>
                <w:color w:val="auto"/>
                <w:highlight w:val="none"/>
              </w:rPr>
              <w:t>1</w:t>
            </w:r>
          </w:p>
        </w:tc>
        <w:tc>
          <w:tcPr>
            <w:tcW w:w="1803" w:type="dxa"/>
            <w:vAlign w:val="top"/>
          </w:tcPr>
          <w:p w14:paraId="0CB410A2">
            <w:pPr>
              <w:pStyle w:val="157"/>
              <w:keepNext w:val="0"/>
              <w:keepLines/>
              <w:pageBreakBefore w:val="0"/>
              <w:widowControl w:val="0"/>
              <w:kinsoku/>
              <w:wordWrap/>
              <w:overflowPunct/>
              <w:topLinePunct w:val="0"/>
              <w:autoSpaceDE/>
              <w:autoSpaceDN/>
              <w:bidi w:val="0"/>
              <w:adjustRightInd/>
              <w:snapToGrid/>
              <w:spacing w:before="157" w:line="220" w:lineRule="auto"/>
              <w:ind w:left="251"/>
              <w:textAlignment w:val="auto"/>
              <w:rPr>
                <w:color w:val="auto"/>
                <w:highlight w:val="none"/>
              </w:rPr>
            </w:pPr>
            <w:r>
              <w:rPr>
                <w:color w:val="auto"/>
                <w:spacing w:val="-5"/>
                <w:highlight w:val="none"/>
              </w:rPr>
              <w:t>达不到的扣</w:t>
            </w:r>
            <w:r>
              <w:rPr>
                <w:color w:val="auto"/>
                <w:spacing w:val="-17"/>
                <w:highlight w:val="none"/>
              </w:rPr>
              <w:t xml:space="preserve"> </w:t>
            </w:r>
            <w:r>
              <w:rPr>
                <w:color w:val="auto"/>
                <w:spacing w:val="-5"/>
                <w:highlight w:val="none"/>
              </w:rPr>
              <w:t>1</w:t>
            </w:r>
            <w:r>
              <w:rPr>
                <w:color w:val="auto"/>
                <w:spacing w:val="-35"/>
                <w:highlight w:val="none"/>
              </w:rPr>
              <w:t xml:space="preserve"> </w:t>
            </w:r>
            <w:r>
              <w:rPr>
                <w:color w:val="auto"/>
                <w:spacing w:val="-5"/>
                <w:highlight w:val="none"/>
              </w:rPr>
              <w:t>分</w:t>
            </w:r>
          </w:p>
        </w:tc>
        <w:tc>
          <w:tcPr>
            <w:tcW w:w="679" w:type="dxa"/>
            <w:vAlign w:val="top"/>
          </w:tcPr>
          <w:p w14:paraId="4BC201B4">
            <w:pPr>
              <w:keepNext w:val="0"/>
              <w:keepLines/>
              <w:pageBreakBefore w:val="0"/>
              <w:widowControl w:val="0"/>
              <w:kinsoku/>
              <w:wordWrap/>
              <w:overflowPunct/>
              <w:topLinePunct w:val="0"/>
              <w:autoSpaceDE/>
              <w:autoSpaceDN/>
              <w:bidi w:val="0"/>
              <w:adjustRightInd/>
              <w:snapToGrid/>
              <w:textAlignment w:val="auto"/>
              <w:rPr>
                <w:rFonts w:ascii="Arial"/>
                <w:color w:val="auto"/>
                <w:sz w:val="21"/>
                <w:highlight w:val="none"/>
              </w:rPr>
            </w:pPr>
          </w:p>
        </w:tc>
      </w:tr>
      <w:tr w14:paraId="128283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848" w:type="dxa"/>
            <w:vMerge w:val="continue"/>
            <w:vAlign w:val="center"/>
          </w:tcPr>
          <w:p w14:paraId="43FB2679">
            <w:pPr>
              <w:keepNext w:val="0"/>
              <w:keepLines/>
              <w:pageBreakBefore w:val="0"/>
              <w:widowControl w:val="0"/>
              <w:kinsoku/>
              <w:wordWrap/>
              <w:overflowPunct/>
              <w:topLinePunct w:val="0"/>
              <w:autoSpaceDE/>
              <w:autoSpaceDN/>
              <w:bidi w:val="0"/>
              <w:adjustRightInd/>
              <w:snapToGrid/>
              <w:jc w:val="center"/>
              <w:textAlignment w:val="auto"/>
              <w:rPr>
                <w:rFonts w:ascii="Arial"/>
                <w:color w:val="auto"/>
                <w:sz w:val="21"/>
                <w:highlight w:val="none"/>
              </w:rPr>
            </w:pPr>
          </w:p>
        </w:tc>
        <w:tc>
          <w:tcPr>
            <w:tcW w:w="667" w:type="dxa"/>
            <w:vMerge w:val="continue"/>
            <w:vAlign w:val="center"/>
          </w:tcPr>
          <w:p w14:paraId="2B5A702D">
            <w:pPr>
              <w:keepNext w:val="0"/>
              <w:keepLines/>
              <w:pageBreakBefore w:val="0"/>
              <w:widowControl w:val="0"/>
              <w:kinsoku/>
              <w:wordWrap/>
              <w:overflowPunct/>
              <w:topLinePunct w:val="0"/>
              <w:autoSpaceDE/>
              <w:autoSpaceDN/>
              <w:bidi w:val="0"/>
              <w:adjustRightInd/>
              <w:snapToGrid/>
              <w:jc w:val="center"/>
              <w:textAlignment w:val="auto"/>
              <w:rPr>
                <w:rFonts w:ascii="Arial"/>
                <w:color w:val="auto"/>
                <w:sz w:val="21"/>
                <w:highlight w:val="none"/>
              </w:rPr>
            </w:pPr>
          </w:p>
        </w:tc>
        <w:tc>
          <w:tcPr>
            <w:tcW w:w="4829" w:type="dxa"/>
            <w:vAlign w:val="top"/>
          </w:tcPr>
          <w:p w14:paraId="5F1B1C08">
            <w:pPr>
              <w:pStyle w:val="157"/>
              <w:keepNext w:val="0"/>
              <w:keepLines/>
              <w:pageBreakBefore w:val="0"/>
              <w:widowControl w:val="0"/>
              <w:kinsoku/>
              <w:wordWrap/>
              <w:overflowPunct/>
              <w:topLinePunct w:val="0"/>
              <w:autoSpaceDE/>
              <w:autoSpaceDN/>
              <w:bidi w:val="0"/>
              <w:adjustRightInd/>
              <w:snapToGrid/>
              <w:spacing w:before="157" w:line="220" w:lineRule="auto"/>
              <w:ind w:left="21"/>
              <w:textAlignment w:val="auto"/>
              <w:rPr>
                <w:color w:val="auto"/>
                <w:highlight w:val="none"/>
              </w:rPr>
            </w:pPr>
            <w:r>
              <w:rPr>
                <w:color w:val="auto"/>
                <w:spacing w:val="-1"/>
                <w:highlight w:val="none"/>
              </w:rPr>
              <w:t>办公环境整洁、卫生、资料摆放整齐、查阅方便</w:t>
            </w:r>
          </w:p>
        </w:tc>
        <w:tc>
          <w:tcPr>
            <w:tcW w:w="815" w:type="dxa"/>
            <w:vAlign w:val="top"/>
          </w:tcPr>
          <w:p w14:paraId="3CF56253">
            <w:pPr>
              <w:pStyle w:val="157"/>
              <w:keepNext w:val="0"/>
              <w:keepLines/>
              <w:pageBreakBefore w:val="0"/>
              <w:widowControl w:val="0"/>
              <w:kinsoku/>
              <w:wordWrap/>
              <w:overflowPunct/>
              <w:topLinePunct w:val="0"/>
              <w:autoSpaceDE/>
              <w:autoSpaceDN/>
              <w:bidi w:val="0"/>
              <w:adjustRightInd/>
              <w:snapToGrid/>
              <w:spacing w:before="158" w:line="241" w:lineRule="auto"/>
              <w:ind w:left="460"/>
              <w:textAlignment w:val="auto"/>
              <w:rPr>
                <w:color w:val="auto"/>
                <w:highlight w:val="none"/>
              </w:rPr>
            </w:pPr>
            <w:r>
              <w:rPr>
                <w:color w:val="auto"/>
                <w:highlight w:val="none"/>
              </w:rPr>
              <w:t>1</w:t>
            </w:r>
          </w:p>
        </w:tc>
        <w:tc>
          <w:tcPr>
            <w:tcW w:w="1803" w:type="dxa"/>
            <w:vAlign w:val="top"/>
          </w:tcPr>
          <w:p w14:paraId="3336F4E4">
            <w:pPr>
              <w:pStyle w:val="157"/>
              <w:keepNext w:val="0"/>
              <w:keepLines/>
              <w:pageBreakBefore w:val="0"/>
              <w:widowControl w:val="0"/>
              <w:kinsoku/>
              <w:wordWrap/>
              <w:overflowPunct/>
              <w:topLinePunct w:val="0"/>
              <w:autoSpaceDE/>
              <w:autoSpaceDN/>
              <w:bidi w:val="0"/>
              <w:adjustRightInd/>
              <w:snapToGrid/>
              <w:spacing w:before="158" w:line="220" w:lineRule="auto"/>
              <w:ind w:left="251"/>
              <w:textAlignment w:val="auto"/>
              <w:rPr>
                <w:color w:val="auto"/>
                <w:highlight w:val="none"/>
              </w:rPr>
            </w:pPr>
            <w:r>
              <w:rPr>
                <w:color w:val="auto"/>
                <w:spacing w:val="-5"/>
                <w:highlight w:val="none"/>
              </w:rPr>
              <w:t>达不到的扣</w:t>
            </w:r>
            <w:r>
              <w:rPr>
                <w:color w:val="auto"/>
                <w:spacing w:val="-17"/>
                <w:highlight w:val="none"/>
              </w:rPr>
              <w:t xml:space="preserve"> </w:t>
            </w:r>
            <w:r>
              <w:rPr>
                <w:color w:val="auto"/>
                <w:spacing w:val="-5"/>
                <w:highlight w:val="none"/>
              </w:rPr>
              <w:t>1</w:t>
            </w:r>
            <w:r>
              <w:rPr>
                <w:color w:val="auto"/>
                <w:spacing w:val="-35"/>
                <w:highlight w:val="none"/>
              </w:rPr>
              <w:t xml:space="preserve"> </w:t>
            </w:r>
            <w:r>
              <w:rPr>
                <w:color w:val="auto"/>
                <w:spacing w:val="-5"/>
                <w:highlight w:val="none"/>
              </w:rPr>
              <w:t>分</w:t>
            </w:r>
          </w:p>
        </w:tc>
        <w:tc>
          <w:tcPr>
            <w:tcW w:w="679" w:type="dxa"/>
            <w:vAlign w:val="top"/>
          </w:tcPr>
          <w:p w14:paraId="0E1A1D37">
            <w:pPr>
              <w:keepNext w:val="0"/>
              <w:keepLines/>
              <w:pageBreakBefore w:val="0"/>
              <w:widowControl w:val="0"/>
              <w:kinsoku/>
              <w:wordWrap/>
              <w:overflowPunct/>
              <w:topLinePunct w:val="0"/>
              <w:autoSpaceDE/>
              <w:autoSpaceDN/>
              <w:bidi w:val="0"/>
              <w:adjustRightInd/>
              <w:snapToGrid/>
              <w:textAlignment w:val="auto"/>
              <w:rPr>
                <w:rFonts w:ascii="Arial"/>
                <w:color w:val="auto"/>
                <w:sz w:val="21"/>
                <w:highlight w:val="none"/>
              </w:rPr>
            </w:pPr>
          </w:p>
        </w:tc>
      </w:tr>
      <w:tr w14:paraId="7E5C3A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0" w:hRule="atLeast"/>
        </w:trPr>
        <w:tc>
          <w:tcPr>
            <w:tcW w:w="848" w:type="dxa"/>
            <w:vMerge w:val="continue"/>
            <w:vAlign w:val="center"/>
          </w:tcPr>
          <w:p w14:paraId="4E78893E">
            <w:pPr>
              <w:keepNext w:val="0"/>
              <w:keepLines/>
              <w:pageBreakBefore w:val="0"/>
              <w:widowControl w:val="0"/>
              <w:kinsoku/>
              <w:wordWrap/>
              <w:overflowPunct/>
              <w:topLinePunct w:val="0"/>
              <w:autoSpaceDE/>
              <w:autoSpaceDN/>
              <w:bidi w:val="0"/>
              <w:adjustRightInd/>
              <w:snapToGrid/>
              <w:jc w:val="center"/>
              <w:textAlignment w:val="auto"/>
              <w:rPr>
                <w:rFonts w:ascii="Arial"/>
                <w:color w:val="auto"/>
                <w:sz w:val="21"/>
                <w:highlight w:val="none"/>
              </w:rPr>
            </w:pPr>
          </w:p>
        </w:tc>
        <w:tc>
          <w:tcPr>
            <w:tcW w:w="667" w:type="dxa"/>
            <w:vMerge w:val="continue"/>
            <w:vAlign w:val="center"/>
          </w:tcPr>
          <w:p w14:paraId="7CE337E7">
            <w:pPr>
              <w:keepNext w:val="0"/>
              <w:keepLines/>
              <w:pageBreakBefore w:val="0"/>
              <w:widowControl w:val="0"/>
              <w:kinsoku/>
              <w:wordWrap/>
              <w:overflowPunct/>
              <w:topLinePunct w:val="0"/>
              <w:autoSpaceDE/>
              <w:autoSpaceDN/>
              <w:bidi w:val="0"/>
              <w:adjustRightInd/>
              <w:snapToGrid/>
              <w:jc w:val="center"/>
              <w:textAlignment w:val="auto"/>
              <w:rPr>
                <w:rFonts w:ascii="Arial"/>
                <w:color w:val="auto"/>
                <w:sz w:val="21"/>
                <w:highlight w:val="none"/>
              </w:rPr>
            </w:pPr>
          </w:p>
        </w:tc>
        <w:tc>
          <w:tcPr>
            <w:tcW w:w="4829" w:type="dxa"/>
            <w:vAlign w:val="top"/>
          </w:tcPr>
          <w:p w14:paraId="0619D749">
            <w:pPr>
              <w:pStyle w:val="157"/>
              <w:keepNext w:val="0"/>
              <w:keepLines/>
              <w:pageBreakBefore w:val="0"/>
              <w:widowControl w:val="0"/>
              <w:kinsoku/>
              <w:wordWrap/>
              <w:overflowPunct/>
              <w:topLinePunct w:val="0"/>
              <w:autoSpaceDE/>
              <w:autoSpaceDN/>
              <w:bidi w:val="0"/>
              <w:adjustRightInd/>
              <w:snapToGrid/>
              <w:spacing w:before="173" w:line="220" w:lineRule="auto"/>
              <w:ind w:left="21"/>
              <w:textAlignment w:val="auto"/>
              <w:rPr>
                <w:color w:val="auto"/>
                <w:highlight w:val="none"/>
              </w:rPr>
            </w:pPr>
            <w:r>
              <w:rPr>
                <w:color w:val="auto"/>
                <w:spacing w:val="-1"/>
                <w:highlight w:val="none"/>
              </w:rPr>
              <w:t>办公区域各项管理制度健全且上墙公示</w:t>
            </w:r>
          </w:p>
        </w:tc>
        <w:tc>
          <w:tcPr>
            <w:tcW w:w="815" w:type="dxa"/>
            <w:vAlign w:val="top"/>
          </w:tcPr>
          <w:p w14:paraId="14B9C2B8">
            <w:pPr>
              <w:pStyle w:val="157"/>
              <w:keepNext w:val="0"/>
              <w:keepLines/>
              <w:pageBreakBefore w:val="0"/>
              <w:widowControl w:val="0"/>
              <w:kinsoku/>
              <w:wordWrap/>
              <w:overflowPunct/>
              <w:topLinePunct w:val="0"/>
              <w:autoSpaceDE/>
              <w:autoSpaceDN/>
              <w:bidi w:val="0"/>
              <w:adjustRightInd/>
              <w:snapToGrid/>
              <w:spacing w:before="173" w:line="241" w:lineRule="auto"/>
              <w:ind w:left="447"/>
              <w:textAlignment w:val="auto"/>
              <w:rPr>
                <w:color w:val="auto"/>
                <w:highlight w:val="none"/>
              </w:rPr>
            </w:pPr>
            <w:r>
              <w:rPr>
                <w:color w:val="auto"/>
                <w:highlight w:val="none"/>
              </w:rPr>
              <w:t>2</w:t>
            </w:r>
          </w:p>
        </w:tc>
        <w:tc>
          <w:tcPr>
            <w:tcW w:w="1803" w:type="dxa"/>
            <w:vAlign w:val="top"/>
          </w:tcPr>
          <w:p w14:paraId="01121432">
            <w:pPr>
              <w:pStyle w:val="157"/>
              <w:keepNext w:val="0"/>
              <w:keepLines/>
              <w:pageBreakBefore w:val="0"/>
              <w:widowControl w:val="0"/>
              <w:kinsoku/>
              <w:wordWrap/>
              <w:overflowPunct/>
              <w:topLinePunct w:val="0"/>
              <w:autoSpaceDE/>
              <w:autoSpaceDN/>
              <w:bidi w:val="0"/>
              <w:adjustRightInd/>
              <w:snapToGrid/>
              <w:spacing w:before="173" w:line="220" w:lineRule="auto"/>
              <w:ind w:left="251"/>
              <w:textAlignment w:val="auto"/>
              <w:rPr>
                <w:color w:val="auto"/>
                <w:highlight w:val="none"/>
              </w:rPr>
            </w:pPr>
            <w:r>
              <w:rPr>
                <w:color w:val="auto"/>
                <w:spacing w:val="-3"/>
                <w:highlight w:val="none"/>
              </w:rPr>
              <w:t>达不到的扣</w:t>
            </w:r>
            <w:r>
              <w:rPr>
                <w:color w:val="auto"/>
                <w:spacing w:val="-31"/>
                <w:highlight w:val="none"/>
              </w:rPr>
              <w:t xml:space="preserve"> </w:t>
            </w:r>
            <w:r>
              <w:rPr>
                <w:color w:val="auto"/>
                <w:spacing w:val="-3"/>
                <w:highlight w:val="none"/>
              </w:rPr>
              <w:t>2</w:t>
            </w:r>
            <w:r>
              <w:rPr>
                <w:color w:val="auto"/>
                <w:spacing w:val="-35"/>
                <w:highlight w:val="none"/>
              </w:rPr>
              <w:t xml:space="preserve"> </w:t>
            </w:r>
            <w:r>
              <w:rPr>
                <w:color w:val="auto"/>
                <w:spacing w:val="-3"/>
                <w:highlight w:val="none"/>
              </w:rPr>
              <w:t>分</w:t>
            </w:r>
          </w:p>
        </w:tc>
        <w:tc>
          <w:tcPr>
            <w:tcW w:w="679" w:type="dxa"/>
            <w:vAlign w:val="top"/>
          </w:tcPr>
          <w:p w14:paraId="1C1FD7EC">
            <w:pPr>
              <w:keepNext w:val="0"/>
              <w:keepLines/>
              <w:pageBreakBefore w:val="0"/>
              <w:widowControl w:val="0"/>
              <w:kinsoku/>
              <w:wordWrap/>
              <w:overflowPunct/>
              <w:topLinePunct w:val="0"/>
              <w:autoSpaceDE/>
              <w:autoSpaceDN/>
              <w:bidi w:val="0"/>
              <w:adjustRightInd/>
              <w:snapToGrid/>
              <w:textAlignment w:val="auto"/>
              <w:rPr>
                <w:rFonts w:ascii="Arial"/>
                <w:color w:val="auto"/>
                <w:sz w:val="21"/>
                <w:highlight w:val="none"/>
              </w:rPr>
            </w:pPr>
          </w:p>
        </w:tc>
      </w:tr>
      <w:tr w14:paraId="471D54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848" w:type="dxa"/>
            <w:vMerge w:val="continue"/>
            <w:vAlign w:val="center"/>
          </w:tcPr>
          <w:p w14:paraId="58B31ECC">
            <w:pPr>
              <w:keepNext w:val="0"/>
              <w:keepLines/>
              <w:pageBreakBefore w:val="0"/>
              <w:widowControl w:val="0"/>
              <w:kinsoku/>
              <w:wordWrap/>
              <w:overflowPunct/>
              <w:topLinePunct w:val="0"/>
              <w:autoSpaceDE/>
              <w:autoSpaceDN/>
              <w:bidi w:val="0"/>
              <w:adjustRightInd/>
              <w:snapToGrid/>
              <w:jc w:val="center"/>
              <w:textAlignment w:val="auto"/>
              <w:rPr>
                <w:rFonts w:ascii="Arial"/>
                <w:color w:val="auto"/>
                <w:sz w:val="21"/>
                <w:highlight w:val="none"/>
              </w:rPr>
            </w:pPr>
          </w:p>
        </w:tc>
        <w:tc>
          <w:tcPr>
            <w:tcW w:w="667" w:type="dxa"/>
            <w:vMerge w:val="continue"/>
            <w:vAlign w:val="center"/>
          </w:tcPr>
          <w:p w14:paraId="32527D47">
            <w:pPr>
              <w:keepNext w:val="0"/>
              <w:keepLines/>
              <w:pageBreakBefore w:val="0"/>
              <w:widowControl w:val="0"/>
              <w:kinsoku/>
              <w:wordWrap/>
              <w:overflowPunct/>
              <w:topLinePunct w:val="0"/>
              <w:autoSpaceDE/>
              <w:autoSpaceDN/>
              <w:bidi w:val="0"/>
              <w:adjustRightInd/>
              <w:snapToGrid/>
              <w:jc w:val="center"/>
              <w:textAlignment w:val="auto"/>
              <w:rPr>
                <w:rFonts w:ascii="Arial"/>
                <w:color w:val="auto"/>
                <w:sz w:val="21"/>
                <w:highlight w:val="none"/>
              </w:rPr>
            </w:pPr>
          </w:p>
        </w:tc>
        <w:tc>
          <w:tcPr>
            <w:tcW w:w="4829" w:type="dxa"/>
            <w:vAlign w:val="top"/>
          </w:tcPr>
          <w:p w14:paraId="7D04AAD0">
            <w:pPr>
              <w:pStyle w:val="157"/>
              <w:keepNext w:val="0"/>
              <w:keepLines/>
              <w:pageBreakBefore w:val="0"/>
              <w:widowControl w:val="0"/>
              <w:kinsoku/>
              <w:wordWrap/>
              <w:overflowPunct/>
              <w:topLinePunct w:val="0"/>
              <w:autoSpaceDE/>
              <w:autoSpaceDN/>
              <w:bidi w:val="0"/>
              <w:adjustRightInd/>
              <w:snapToGrid/>
              <w:spacing w:before="158" w:line="220" w:lineRule="auto"/>
              <w:ind w:left="24"/>
              <w:textAlignment w:val="auto"/>
              <w:rPr>
                <w:color w:val="auto"/>
                <w:highlight w:val="none"/>
              </w:rPr>
            </w:pPr>
            <w:r>
              <w:rPr>
                <w:color w:val="auto"/>
                <w:spacing w:val="-2"/>
                <w:highlight w:val="none"/>
              </w:rPr>
              <w:t>公示服务联系电话</w:t>
            </w:r>
          </w:p>
        </w:tc>
        <w:tc>
          <w:tcPr>
            <w:tcW w:w="815" w:type="dxa"/>
            <w:vAlign w:val="top"/>
          </w:tcPr>
          <w:p w14:paraId="5B950B11">
            <w:pPr>
              <w:pStyle w:val="157"/>
              <w:keepNext w:val="0"/>
              <w:keepLines/>
              <w:pageBreakBefore w:val="0"/>
              <w:widowControl w:val="0"/>
              <w:kinsoku/>
              <w:wordWrap/>
              <w:overflowPunct/>
              <w:topLinePunct w:val="0"/>
              <w:autoSpaceDE/>
              <w:autoSpaceDN/>
              <w:bidi w:val="0"/>
              <w:adjustRightInd/>
              <w:snapToGrid/>
              <w:spacing w:before="158" w:line="241" w:lineRule="auto"/>
              <w:ind w:left="460"/>
              <w:textAlignment w:val="auto"/>
              <w:rPr>
                <w:color w:val="auto"/>
                <w:highlight w:val="none"/>
              </w:rPr>
            </w:pPr>
            <w:r>
              <w:rPr>
                <w:color w:val="auto"/>
                <w:highlight w:val="none"/>
              </w:rPr>
              <w:t>1</w:t>
            </w:r>
          </w:p>
        </w:tc>
        <w:tc>
          <w:tcPr>
            <w:tcW w:w="1803" w:type="dxa"/>
            <w:vAlign w:val="top"/>
          </w:tcPr>
          <w:p w14:paraId="7962FB8E">
            <w:pPr>
              <w:pStyle w:val="157"/>
              <w:keepNext w:val="0"/>
              <w:keepLines/>
              <w:pageBreakBefore w:val="0"/>
              <w:widowControl w:val="0"/>
              <w:kinsoku/>
              <w:wordWrap/>
              <w:overflowPunct/>
              <w:topLinePunct w:val="0"/>
              <w:autoSpaceDE/>
              <w:autoSpaceDN/>
              <w:bidi w:val="0"/>
              <w:adjustRightInd/>
              <w:snapToGrid/>
              <w:spacing w:before="158" w:line="220" w:lineRule="auto"/>
              <w:ind w:left="360"/>
              <w:textAlignment w:val="auto"/>
              <w:rPr>
                <w:color w:val="auto"/>
                <w:highlight w:val="none"/>
              </w:rPr>
            </w:pPr>
            <w:r>
              <w:rPr>
                <w:color w:val="auto"/>
                <w:spacing w:val="-6"/>
                <w:highlight w:val="none"/>
              </w:rPr>
              <w:t>不符合扣</w:t>
            </w:r>
            <w:r>
              <w:rPr>
                <w:color w:val="auto"/>
                <w:spacing w:val="-21"/>
                <w:highlight w:val="none"/>
              </w:rPr>
              <w:t xml:space="preserve"> </w:t>
            </w:r>
            <w:r>
              <w:rPr>
                <w:color w:val="auto"/>
                <w:spacing w:val="-6"/>
                <w:highlight w:val="none"/>
              </w:rPr>
              <w:t>1</w:t>
            </w:r>
            <w:r>
              <w:rPr>
                <w:color w:val="auto"/>
                <w:spacing w:val="-34"/>
                <w:highlight w:val="none"/>
              </w:rPr>
              <w:t xml:space="preserve"> </w:t>
            </w:r>
            <w:r>
              <w:rPr>
                <w:color w:val="auto"/>
                <w:spacing w:val="-6"/>
                <w:highlight w:val="none"/>
              </w:rPr>
              <w:t>分</w:t>
            </w:r>
          </w:p>
        </w:tc>
        <w:tc>
          <w:tcPr>
            <w:tcW w:w="679" w:type="dxa"/>
            <w:vAlign w:val="top"/>
          </w:tcPr>
          <w:p w14:paraId="255358BA">
            <w:pPr>
              <w:keepNext w:val="0"/>
              <w:keepLines/>
              <w:pageBreakBefore w:val="0"/>
              <w:widowControl w:val="0"/>
              <w:kinsoku/>
              <w:wordWrap/>
              <w:overflowPunct/>
              <w:topLinePunct w:val="0"/>
              <w:autoSpaceDE/>
              <w:autoSpaceDN/>
              <w:bidi w:val="0"/>
              <w:adjustRightInd/>
              <w:snapToGrid/>
              <w:textAlignment w:val="auto"/>
              <w:rPr>
                <w:rFonts w:ascii="Arial"/>
                <w:color w:val="auto"/>
                <w:sz w:val="21"/>
                <w:highlight w:val="none"/>
              </w:rPr>
            </w:pPr>
          </w:p>
        </w:tc>
      </w:tr>
      <w:tr w14:paraId="00DEB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848" w:type="dxa"/>
            <w:vMerge w:val="continue"/>
            <w:vAlign w:val="center"/>
          </w:tcPr>
          <w:p w14:paraId="5E194EF7">
            <w:pPr>
              <w:keepNext w:val="0"/>
              <w:keepLines/>
              <w:pageBreakBefore w:val="0"/>
              <w:widowControl w:val="0"/>
              <w:kinsoku/>
              <w:wordWrap/>
              <w:overflowPunct/>
              <w:topLinePunct w:val="0"/>
              <w:autoSpaceDE/>
              <w:autoSpaceDN/>
              <w:bidi w:val="0"/>
              <w:adjustRightInd/>
              <w:snapToGrid/>
              <w:jc w:val="center"/>
              <w:textAlignment w:val="auto"/>
              <w:rPr>
                <w:rFonts w:ascii="Arial"/>
                <w:color w:val="auto"/>
                <w:sz w:val="21"/>
                <w:highlight w:val="none"/>
              </w:rPr>
            </w:pPr>
          </w:p>
        </w:tc>
        <w:tc>
          <w:tcPr>
            <w:tcW w:w="667" w:type="dxa"/>
            <w:vMerge w:val="continue"/>
            <w:vAlign w:val="center"/>
          </w:tcPr>
          <w:p w14:paraId="64DA8446">
            <w:pPr>
              <w:keepNext w:val="0"/>
              <w:keepLines/>
              <w:pageBreakBefore w:val="0"/>
              <w:widowControl w:val="0"/>
              <w:kinsoku/>
              <w:wordWrap/>
              <w:overflowPunct/>
              <w:topLinePunct w:val="0"/>
              <w:autoSpaceDE/>
              <w:autoSpaceDN/>
              <w:bidi w:val="0"/>
              <w:adjustRightInd/>
              <w:snapToGrid/>
              <w:jc w:val="center"/>
              <w:textAlignment w:val="auto"/>
              <w:rPr>
                <w:rFonts w:ascii="Arial"/>
                <w:color w:val="auto"/>
                <w:sz w:val="21"/>
                <w:highlight w:val="none"/>
              </w:rPr>
            </w:pPr>
          </w:p>
        </w:tc>
        <w:tc>
          <w:tcPr>
            <w:tcW w:w="4829" w:type="dxa"/>
            <w:vAlign w:val="top"/>
          </w:tcPr>
          <w:p w14:paraId="6E354271">
            <w:pPr>
              <w:pStyle w:val="157"/>
              <w:keepNext w:val="0"/>
              <w:keepLines/>
              <w:pageBreakBefore w:val="0"/>
              <w:widowControl w:val="0"/>
              <w:kinsoku/>
              <w:wordWrap/>
              <w:overflowPunct/>
              <w:topLinePunct w:val="0"/>
              <w:autoSpaceDE/>
              <w:autoSpaceDN/>
              <w:bidi w:val="0"/>
              <w:adjustRightInd/>
              <w:snapToGrid/>
              <w:spacing w:before="173" w:line="220" w:lineRule="auto"/>
              <w:ind w:left="22"/>
              <w:textAlignment w:val="auto"/>
              <w:rPr>
                <w:color w:val="auto"/>
                <w:highlight w:val="none"/>
              </w:rPr>
            </w:pPr>
            <w:r>
              <w:rPr>
                <w:color w:val="auto"/>
                <w:spacing w:val="-1"/>
                <w:highlight w:val="none"/>
              </w:rPr>
              <w:t>管理处按规定配置工作人员，名单、照片上墙</w:t>
            </w:r>
          </w:p>
        </w:tc>
        <w:tc>
          <w:tcPr>
            <w:tcW w:w="815" w:type="dxa"/>
            <w:vAlign w:val="top"/>
          </w:tcPr>
          <w:p w14:paraId="078D178A">
            <w:pPr>
              <w:pStyle w:val="157"/>
              <w:keepNext w:val="0"/>
              <w:keepLines/>
              <w:pageBreakBefore w:val="0"/>
              <w:widowControl w:val="0"/>
              <w:kinsoku/>
              <w:wordWrap/>
              <w:overflowPunct/>
              <w:topLinePunct w:val="0"/>
              <w:autoSpaceDE/>
              <w:autoSpaceDN/>
              <w:bidi w:val="0"/>
              <w:adjustRightInd/>
              <w:snapToGrid/>
              <w:spacing w:before="173"/>
              <w:ind w:left="449"/>
              <w:textAlignment w:val="auto"/>
              <w:rPr>
                <w:color w:val="auto"/>
                <w:highlight w:val="none"/>
              </w:rPr>
            </w:pPr>
            <w:r>
              <w:rPr>
                <w:color w:val="auto"/>
                <w:highlight w:val="none"/>
              </w:rPr>
              <w:t>3</w:t>
            </w:r>
          </w:p>
        </w:tc>
        <w:tc>
          <w:tcPr>
            <w:tcW w:w="1803" w:type="dxa"/>
            <w:vAlign w:val="top"/>
          </w:tcPr>
          <w:p w14:paraId="6D4636E6">
            <w:pPr>
              <w:pStyle w:val="157"/>
              <w:keepNext w:val="0"/>
              <w:keepLines/>
              <w:pageBreakBefore w:val="0"/>
              <w:widowControl w:val="0"/>
              <w:kinsoku/>
              <w:wordWrap/>
              <w:overflowPunct/>
              <w:topLinePunct w:val="0"/>
              <w:autoSpaceDE/>
              <w:autoSpaceDN/>
              <w:bidi w:val="0"/>
              <w:adjustRightInd/>
              <w:snapToGrid/>
              <w:spacing w:before="163" w:line="222" w:lineRule="auto"/>
              <w:ind w:left="207"/>
              <w:textAlignment w:val="auto"/>
              <w:rPr>
                <w:color w:val="auto"/>
                <w:highlight w:val="none"/>
              </w:rPr>
            </w:pPr>
            <w:r>
              <w:rPr>
                <w:color w:val="auto"/>
                <w:spacing w:val="-9"/>
                <w:highlight w:val="none"/>
              </w:rPr>
              <w:t>每少</w:t>
            </w:r>
            <w:r>
              <w:rPr>
                <w:color w:val="auto"/>
                <w:spacing w:val="-13"/>
                <w:highlight w:val="none"/>
              </w:rPr>
              <w:t xml:space="preserve"> </w:t>
            </w:r>
            <w:r>
              <w:rPr>
                <w:color w:val="auto"/>
                <w:spacing w:val="-9"/>
                <w:sz w:val="24"/>
                <w:szCs w:val="24"/>
                <w:highlight w:val="none"/>
              </w:rPr>
              <w:t>1</w:t>
            </w:r>
            <w:r>
              <w:rPr>
                <w:color w:val="auto"/>
                <w:spacing w:val="-50"/>
                <w:sz w:val="24"/>
                <w:szCs w:val="24"/>
                <w:highlight w:val="none"/>
              </w:rPr>
              <w:t xml:space="preserve"> </w:t>
            </w:r>
            <w:r>
              <w:rPr>
                <w:b/>
                <w:bCs/>
                <w:color w:val="auto"/>
                <w:spacing w:val="-9"/>
                <w:highlight w:val="none"/>
              </w:rPr>
              <w:t>人扣</w:t>
            </w:r>
            <w:r>
              <w:rPr>
                <w:color w:val="auto"/>
                <w:spacing w:val="-9"/>
                <w:highlight w:val="none"/>
              </w:rPr>
              <w:t xml:space="preserve"> </w:t>
            </w:r>
            <w:r>
              <w:rPr>
                <w:color w:val="auto"/>
                <w:spacing w:val="-9"/>
                <w:sz w:val="24"/>
                <w:szCs w:val="24"/>
                <w:highlight w:val="none"/>
              </w:rPr>
              <w:t>1</w:t>
            </w:r>
            <w:r>
              <w:rPr>
                <w:color w:val="auto"/>
                <w:spacing w:val="-49"/>
                <w:sz w:val="24"/>
                <w:szCs w:val="24"/>
                <w:highlight w:val="none"/>
              </w:rPr>
              <w:t xml:space="preserve"> </w:t>
            </w:r>
            <w:r>
              <w:rPr>
                <w:b/>
                <w:bCs/>
                <w:color w:val="auto"/>
                <w:spacing w:val="-9"/>
                <w:highlight w:val="none"/>
              </w:rPr>
              <w:t>分</w:t>
            </w:r>
          </w:p>
        </w:tc>
        <w:tc>
          <w:tcPr>
            <w:tcW w:w="679" w:type="dxa"/>
            <w:vAlign w:val="top"/>
          </w:tcPr>
          <w:p w14:paraId="500CEA62">
            <w:pPr>
              <w:keepNext w:val="0"/>
              <w:keepLines/>
              <w:pageBreakBefore w:val="0"/>
              <w:widowControl w:val="0"/>
              <w:kinsoku/>
              <w:wordWrap/>
              <w:overflowPunct/>
              <w:topLinePunct w:val="0"/>
              <w:autoSpaceDE/>
              <w:autoSpaceDN/>
              <w:bidi w:val="0"/>
              <w:adjustRightInd/>
              <w:snapToGrid/>
              <w:textAlignment w:val="auto"/>
              <w:rPr>
                <w:rFonts w:ascii="Arial"/>
                <w:color w:val="auto"/>
                <w:sz w:val="21"/>
                <w:highlight w:val="none"/>
              </w:rPr>
            </w:pPr>
          </w:p>
        </w:tc>
      </w:tr>
      <w:tr w14:paraId="246366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848" w:type="dxa"/>
            <w:vMerge w:val="continue"/>
            <w:vAlign w:val="center"/>
          </w:tcPr>
          <w:p w14:paraId="3A75E49E">
            <w:pPr>
              <w:keepNext w:val="0"/>
              <w:keepLines/>
              <w:pageBreakBefore w:val="0"/>
              <w:widowControl w:val="0"/>
              <w:kinsoku/>
              <w:wordWrap/>
              <w:overflowPunct/>
              <w:topLinePunct w:val="0"/>
              <w:autoSpaceDE/>
              <w:autoSpaceDN/>
              <w:bidi w:val="0"/>
              <w:adjustRightInd/>
              <w:snapToGrid/>
              <w:jc w:val="center"/>
              <w:textAlignment w:val="auto"/>
              <w:rPr>
                <w:rFonts w:ascii="Arial"/>
                <w:color w:val="auto"/>
                <w:sz w:val="21"/>
                <w:highlight w:val="none"/>
              </w:rPr>
            </w:pPr>
          </w:p>
        </w:tc>
        <w:tc>
          <w:tcPr>
            <w:tcW w:w="667" w:type="dxa"/>
            <w:vMerge w:val="continue"/>
            <w:vAlign w:val="center"/>
          </w:tcPr>
          <w:p w14:paraId="22624012">
            <w:pPr>
              <w:keepNext w:val="0"/>
              <w:keepLines/>
              <w:pageBreakBefore w:val="0"/>
              <w:widowControl w:val="0"/>
              <w:kinsoku/>
              <w:wordWrap/>
              <w:overflowPunct/>
              <w:topLinePunct w:val="0"/>
              <w:autoSpaceDE/>
              <w:autoSpaceDN/>
              <w:bidi w:val="0"/>
              <w:adjustRightInd/>
              <w:snapToGrid/>
              <w:jc w:val="center"/>
              <w:textAlignment w:val="auto"/>
              <w:rPr>
                <w:rFonts w:ascii="Arial"/>
                <w:color w:val="auto"/>
                <w:sz w:val="21"/>
                <w:highlight w:val="none"/>
              </w:rPr>
            </w:pPr>
          </w:p>
        </w:tc>
        <w:tc>
          <w:tcPr>
            <w:tcW w:w="4829" w:type="dxa"/>
            <w:vAlign w:val="top"/>
          </w:tcPr>
          <w:p w14:paraId="63F1F129">
            <w:pPr>
              <w:pStyle w:val="157"/>
              <w:keepNext w:val="0"/>
              <w:keepLines/>
              <w:pageBreakBefore w:val="0"/>
              <w:widowControl w:val="0"/>
              <w:kinsoku/>
              <w:wordWrap/>
              <w:overflowPunct/>
              <w:topLinePunct w:val="0"/>
              <w:autoSpaceDE/>
              <w:autoSpaceDN/>
              <w:bidi w:val="0"/>
              <w:adjustRightInd/>
              <w:snapToGrid/>
              <w:spacing w:before="189" w:line="220" w:lineRule="auto"/>
              <w:ind w:left="20"/>
              <w:textAlignment w:val="auto"/>
              <w:rPr>
                <w:color w:val="auto"/>
                <w:highlight w:val="none"/>
              </w:rPr>
            </w:pPr>
            <w:r>
              <w:rPr>
                <w:color w:val="auto"/>
                <w:spacing w:val="-1"/>
                <w:highlight w:val="none"/>
              </w:rPr>
              <w:t>工作人员着装整齐统一，语言文明，作风端正</w:t>
            </w:r>
          </w:p>
        </w:tc>
        <w:tc>
          <w:tcPr>
            <w:tcW w:w="815" w:type="dxa"/>
            <w:vAlign w:val="top"/>
          </w:tcPr>
          <w:p w14:paraId="1EBB5109">
            <w:pPr>
              <w:pStyle w:val="157"/>
              <w:keepNext w:val="0"/>
              <w:keepLines/>
              <w:pageBreakBefore w:val="0"/>
              <w:widowControl w:val="0"/>
              <w:kinsoku/>
              <w:wordWrap/>
              <w:overflowPunct/>
              <w:topLinePunct w:val="0"/>
              <w:autoSpaceDE/>
              <w:autoSpaceDN/>
              <w:bidi w:val="0"/>
              <w:adjustRightInd/>
              <w:snapToGrid/>
              <w:spacing w:before="189" w:line="241" w:lineRule="auto"/>
              <w:ind w:left="460"/>
              <w:textAlignment w:val="auto"/>
              <w:rPr>
                <w:color w:val="auto"/>
                <w:highlight w:val="none"/>
              </w:rPr>
            </w:pPr>
            <w:r>
              <w:rPr>
                <w:color w:val="auto"/>
                <w:highlight w:val="none"/>
              </w:rPr>
              <w:t>1</w:t>
            </w:r>
          </w:p>
        </w:tc>
        <w:tc>
          <w:tcPr>
            <w:tcW w:w="1803" w:type="dxa"/>
            <w:vAlign w:val="top"/>
          </w:tcPr>
          <w:p w14:paraId="6ABF7590">
            <w:pPr>
              <w:pStyle w:val="157"/>
              <w:keepNext w:val="0"/>
              <w:keepLines/>
              <w:pageBreakBefore w:val="0"/>
              <w:widowControl w:val="0"/>
              <w:kinsoku/>
              <w:wordWrap/>
              <w:overflowPunct/>
              <w:topLinePunct w:val="0"/>
              <w:autoSpaceDE/>
              <w:autoSpaceDN/>
              <w:bidi w:val="0"/>
              <w:adjustRightInd/>
              <w:snapToGrid/>
              <w:spacing w:before="189" w:line="220" w:lineRule="auto"/>
              <w:ind w:left="251"/>
              <w:textAlignment w:val="auto"/>
              <w:rPr>
                <w:color w:val="auto"/>
                <w:highlight w:val="none"/>
              </w:rPr>
            </w:pPr>
            <w:r>
              <w:rPr>
                <w:color w:val="auto"/>
                <w:spacing w:val="-5"/>
                <w:highlight w:val="none"/>
              </w:rPr>
              <w:t>达不到的扣</w:t>
            </w:r>
            <w:r>
              <w:rPr>
                <w:color w:val="auto"/>
                <w:spacing w:val="-17"/>
                <w:highlight w:val="none"/>
              </w:rPr>
              <w:t xml:space="preserve"> </w:t>
            </w:r>
            <w:r>
              <w:rPr>
                <w:color w:val="auto"/>
                <w:spacing w:val="-5"/>
                <w:highlight w:val="none"/>
              </w:rPr>
              <w:t>1</w:t>
            </w:r>
            <w:r>
              <w:rPr>
                <w:color w:val="auto"/>
                <w:spacing w:val="-35"/>
                <w:highlight w:val="none"/>
              </w:rPr>
              <w:t xml:space="preserve"> </w:t>
            </w:r>
            <w:r>
              <w:rPr>
                <w:color w:val="auto"/>
                <w:spacing w:val="-5"/>
                <w:highlight w:val="none"/>
              </w:rPr>
              <w:t>分</w:t>
            </w:r>
          </w:p>
        </w:tc>
        <w:tc>
          <w:tcPr>
            <w:tcW w:w="679" w:type="dxa"/>
            <w:vAlign w:val="top"/>
          </w:tcPr>
          <w:p w14:paraId="05688564">
            <w:pPr>
              <w:keepNext w:val="0"/>
              <w:keepLines/>
              <w:pageBreakBefore w:val="0"/>
              <w:widowControl w:val="0"/>
              <w:kinsoku/>
              <w:wordWrap/>
              <w:overflowPunct/>
              <w:topLinePunct w:val="0"/>
              <w:autoSpaceDE/>
              <w:autoSpaceDN/>
              <w:bidi w:val="0"/>
              <w:adjustRightInd/>
              <w:snapToGrid/>
              <w:textAlignment w:val="auto"/>
              <w:rPr>
                <w:rFonts w:ascii="Arial"/>
                <w:color w:val="auto"/>
                <w:sz w:val="21"/>
                <w:highlight w:val="none"/>
              </w:rPr>
            </w:pPr>
          </w:p>
        </w:tc>
      </w:tr>
      <w:tr w14:paraId="7CD5FA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7" w:hRule="atLeast"/>
        </w:trPr>
        <w:tc>
          <w:tcPr>
            <w:tcW w:w="848" w:type="dxa"/>
            <w:vMerge w:val="continue"/>
            <w:vAlign w:val="center"/>
          </w:tcPr>
          <w:p w14:paraId="2447F28F">
            <w:pPr>
              <w:keepNext w:val="0"/>
              <w:keepLines/>
              <w:pageBreakBefore w:val="0"/>
              <w:widowControl w:val="0"/>
              <w:kinsoku/>
              <w:wordWrap/>
              <w:overflowPunct/>
              <w:topLinePunct w:val="0"/>
              <w:autoSpaceDE/>
              <w:autoSpaceDN/>
              <w:bidi w:val="0"/>
              <w:adjustRightInd/>
              <w:snapToGrid/>
              <w:jc w:val="center"/>
              <w:textAlignment w:val="auto"/>
              <w:rPr>
                <w:rFonts w:ascii="Arial"/>
                <w:color w:val="auto"/>
                <w:sz w:val="21"/>
                <w:highlight w:val="none"/>
              </w:rPr>
            </w:pPr>
          </w:p>
        </w:tc>
        <w:tc>
          <w:tcPr>
            <w:tcW w:w="667" w:type="dxa"/>
            <w:vMerge w:val="continue"/>
            <w:vAlign w:val="center"/>
          </w:tcPr>
          <w:p w14:paraId="5B19EBF0">
            <w:pPr>
              <w:keepNext w:val="0"/>
              <w:keepLines/>
              <w:pageBreakBefore w:val="0"/>
              <w:widowControl w:val="0"/>
              <w:kinsoku/>
              <w:wordWrap/>
              <w:overflowPunct/>
              <w:topLinePunct w:val="0"/>
              <w:autoSpaceDE/>
              <w:autoSpaceDN/>
              <w:bidi w:val="0"/>
              <w:adjustRightInd/>
              <w:snapToGrid/>
              <w:jc w:val="center"/>
              <w:textAlignment w:val="auto"/>
              <w:rPr>
                <w:rFonts w:ascii="Arial"/>
                <w:color w:val="auto"/>
                <w:sz w:val="21"/>
                <w:highlight w:val="none"/>
              </w:rPr>
            </w:pPr>
          </w:p>
        </w:tc>
        <w:tc>
          <w:tcPr>
            <w:tcW w:w="4829" w:type="dxa"/>
            <w:vAlign w:val="top"/>
          </w:tcPr>
          <w:p w14:paraId="4FF4E396">
            <w:pPr>
              <w:pStyle w:val="157"/>
              <w:keepNext w:val="0"/>
              <w:keepLines/>
              <w:pageBreakBefore w:val="0"/>
              <w:widowControl w:val="0"/>
              <w:kinsoku/>
              <w:wordWrap/>
              <w:overflowPunct/>
              <w:topLinePunct w:val="0"/>
              <w:autoSpaceDE/>
              <w:autoSpaceDN/>
              <w:bidi w:val="0"/>
              <w:adjustRightInd/>
              <w:snapToGrid/>
              <w:spacing w:before="149" w:line="220" w:lineRule="auto"/>
              <w:ind w:left="20"/>
              <w:textAlignment w:val="auto"/>
              <w:rPr>
                <w:color w:val="auto"/>
                <w:highlight w:val="none"/>
              </w:rPr>
            </w:pPr>
            <w:r>
              <w:rPr>
                <w:color w:val="auto"/>
                <w:spacing w:val="-1"/>
                <w:highlight w:val="none"/>
              </w:rPr>
              <w:t>工作人员年龄；性别、按招标文件要求执行</w:t>
            </w:r>
          </w:p>
        </w:tc>
        <w:tc>
          <w:tcPr>
            <w:tcW w:w="815" w:type="dxa"/>
            <w:vAlign w:val="top"/>
          </w:tcPr>
          <w:p w14:paraId="740F9117">
            <w:pPr>
              <w:pStyle w:val="157"/>
              <w:keepNext w:val="0"/>
              <w:keepLines/>
              <w:pageBreakBefore w:val="0"/>
              <w:widowControl w:val="0"/>
              <w:kinsoku/>
              <w:wordWrap/>
              <w:overflowPunct/>
              <w:topLinePunct w:val="0"/>
              <w:autoSpaceDE/>
              <w:autoSpaceDN/>
              <w:bidi w:val="0"/>
              <w:adjustRightInd/>
              <w:snapToGrid/>
              <w:spacing w:before="149" w:line="241" w:lineRule="auto"/>
              <w:ind w:left="460"/>
              <w:textAlignment w:val="auto"/>
              <w:rPr>
                <w:color w:val="auto"/>
                <w:highlight w:val="none"/>
              </w:rPr>
            </w:pPr>
            <w:r>
              <w:rPr>
                <w:color w:val="auto"/>
                <w:highlight w:val="none"/>
              </w:rPr>
              <w:t>1</w:t>
            </w:r>
          </w:p>
        </w:tc>
        <w:tc>
          <w:tcPr>
            <w:tcW w:w="1803" w:type="dxa"/>
            <w:vAlign w:val="top"/>
          </w:tcPr>
          <w:p w14:paraId="2F083556">
            <w:pPr>
              <w:pStyle w:val="157"/>
              <w:keepNext w:val="0"/>
              <w:keepLines/>
              <w:pageBreakBefore w:val="0"/>
              <w:widowControl w:val="0"/>
              <w:kinsoku/>
              <w:wordWrap/>
              <w:overflowPunct/>
              <w:topLinePunct w:val="0"/>
              <w:autoSpaceDE/>
              <w:autoSpaceDN/>
              <w:bidi w:val="0"/>
              <w:adjustRightInd/>
              <w:snapToGrid/>
              <w:spacing w:before="149" w:line="220" w:lineRule="auto"/>
              <w:ind w:left="356"/>
              <w:textAlignment w:val="auto"/>
              <w:rPr>
                <w:color w:val="auto"/>
                <w:highlight w:val="none"/>
              </w:rPr>
            </w:pPr>
            <w:r>
              <w:rPr>
                <w:color w:val="auto"/>
                <w:spacing w:val="-5"/>
                <w:highlight w:val="none"/>
              </w:rPr>
              <w:t>超一岁扣</w:t>
            </w:r>
            <w:r>
              <w:rPr>
                <w:color w:val="auto"/>
                <w:spacing w:val="-22"/>
                <w:highlight w:val="none"/>
              </w:rPr>
              <w:t xml:space="preserve"> </w:t>
            </w:r>
            <w:r>
              <w:rPr>
                <w:color w:val="auto"/>
                <w:spacing w:val="-5"/>
                <w:highlight w:val="none"/>
              </w:rPr>
              <w:t>1</w:t>
            </w:r>
            <w:r>
              <w:rPr>
                <w:color w:val="auto"/>
                <w:spacing w:val="-34"/>
                <w:highlight w:val="none"/>
              </w:rPr>
              <w:t xml:space="preserve"> </w:t>
            </w:r>
            <w:r>
              <w:rPr>
                <w:color w:val="auto"/>
                <w:spacing w:val="-5"/>
                <w:highlight w:val="none"/>
              </w:rPr>
              <w:t>分</w:t>
            </w:r>
          </w:p>
        </w:tc>
        <w:tc>
          <w:tcPr>
            <w:tcW w:w="679" w:type="dxa"/>
            <w:vAlign w:val="top"/>
          </w:tcPr>
          <w:p w14:paraId="20894581">
            <w:pPr>
              <w:keepNext w:val="0"/>
              <w:keepLines/>
              <w:pageBreakBefore w:val="0"/>
              <w:widowControl w:val="0"/>
              <w:kinsoku/>
              <w:wordWrap/>
              <w:overflowPunct/>
              <w:topLinePunct w:val="0"/>
              <w:autoSpaceDE/>
              <w:autoSpaceDN/>
              <w:bidi w:val="0"/>
              <w:adjustRightInd/>
              <w:snapToGrid/>
              <w:textAlignment w:val="auto"/>
              <w:rPr>
                <w:rFonts w:ascii="Arial"/>
                <w:color w:val="auto"/>
                <w:sz w:val="21"/>
                <w:highlight w:val="none"/>
              </w:rPr>
            </w:pPr>
          </w:p>
        </w:tc>
      </w:tr>
      <w:tr w14:paraId="3CA894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48" w:type="dxa"/>
            <w:vMerge w:val="restart"/>
            <w:tcBorders>
              <w:bottom w:val="nil"/>
            </w:tcBorders>
            <w:vAlign w:val="center"/>
          </w:tcPr>
          <w:p w14:paraId="2793CDF3">
            <w:pPr>
              <w:pStyle w:val="157"/>
              <w:keepNext w:val="0"/>
              <w:keepLines/>
              <w:pageBreakBefore w:val="0"/>
              <w:widowControl w:val="0"/>
              <w:kinsoku/>
              <w:wordWrap/>
              <w:overflowPunct/>
              <w:topLinePunct w:val="0"/>
              <w:autoSpaceDE/>
              <w:autoSpaceDN/>
              <w:bidi w:val="0"/>
              <w:adjustRightInd/>
              <w:snapToGrid/>
              <w:spacing w:before="68" w:line="220" w:lineRule="auto"/>
              <w:jc w:val="center"/>
              <w:textAlignment w:val="auto"/>
              <w:rPr>
                <w:color w:val="auto"/>
                <w:highlight w:val="none"/>
              </w:rPr>
            </w:pPr>
            <w:r>
              <w:rPr>
                <w:color w:val="auto"/>
                <w:spacing w:val="-3"/>
                <w:highlight w:val="none"/>
              </w:rPr>
              <w:t>公共秩序</w:t>
            </w:r>
            <w:r>
              <w:rPr>
                <w:color w:val="auto"/>
                <w:spacing w:val="-4"/>
                <w:highlight w:val="none"/>
              </w:rPr>
              <w:t>管理</w:t>
            </w:r>
          </w:p>
        </w:tc>
        <w:tc>
          <w:tcPr>
            <w:tcW w:w="667" w:type="dxa"/>
            <w:vMerge w:val="restart"/>
            <w:tcBorders>
              <w:bottom w:val="nil"/>
            </w:tcBorders>
            <w:vAlign w:val="center"/>
          </w:tcPr>
          <w:p w14:paraId="313369FA">
            <w:pPr>
              <w:pStyle w:val="157"/>
              <w:keepNext w:val="0"/>
              <w:keepLines/>
              <w:pageBreakBefore w:val="0"/>
              <w:widowControl w:val="0"/>
              <w:kinsoku/>
              <w:wordWrap/>
              <w:overflowPunct/>
              <w:topLinePunct w:val="0"/>
              <w:autoSpaceDE/>
              <w:autoSpaceDN/>
              <w:bidi w:val="0"/>
              <w:adjustRightInd/>
              <w:snapToGrid/>
              <w:spacing w:before="68" w:line="220" w:lineRule="auto"/>
              <w:jc w:val="center"/>
              <w:textAlignment w:val="auto"/>
              <w:rPr>
                <w:color w:val="auto"/>
                <w:highlight w:val="none"/>
              </w:rPr>
            </w:pPr>
            <w:r>
              <w:rPr>
                <w:color w:val="auto"/>
                <w:spacing w:val="-4"/>
                <w:highlight w:val="none"/>
              </w:rPr>
              <w:t>20</w:t>
            </w:r>
            <w:r>
              <w:rPr>
                <w:color w:val="auto"/>
                <w:spacing w:val="-34"/>
                <w:highlight w:val="none"/>
              </w:rPr>
              <w:t xml:space="preserve"> </w:t>
            </w:r>
            <w:r>
              <w:rPr>
                <w:color w:val="auto"/>
                <w:spacing w:val="-4"/>
                <w:highlight w:val="none"/>
              </w:rPr>
              <w:t>分</w:t>
            </w:r>
          </w:p>
        </w:tc>
        <w:tc>
          <w:tcPr>
            <w:tcW w:w="4829" w:type="dxa"/>
            <w:vAlign w:val="top"/>
          </w:tcPr>
          <w:p w14:paraId="49C10FA2">
            <w:pPr>
              <w:pStyle w:val="157"/>
              <w:keepNext w:val="0"/>
              <w:keepLines/>
              <w:pageBreakBefore w:val="0"/>
              <w:widowControl w:val="0"/>
              <w:kinsoku/>
              <w:wordWrap/>
              <w:overflowPunct/>
              <w:topLinePunct w:val="0"/>
              <w:autoSpaceDE/>
              <w:autoSpaceDN/>
              <w:bidi w:val="0"/>
              <w:adjustRightInd/>
              <w:snapToGrid/>
              <w:spacing w:before="142" w:line="220" w:lineRule="auto"/>
              <w:ind w:left="22"/>
              <w:textAlignment w:val="auto"/>
              <w:rPr>
                <w:color w:val="auto"/>
                <w:highlight w:val="none"/>
              </w:rPr>
            </w:pPr>
            <w:r>
              <w:rPr>
                <w:color w:val="auto"/>
                <w:spacing w:val="-1"/>
                <w:highlight w:val="none"/>
              </w:rPr>
              <w:t>实行封闭式管理，建设单位遗留原因不扣分</w:t>
            </w:r>
          </w:p>
        </w:tc>
        <w:tc>
          <w:tcPr>
            <w:tcW w:w="815" w:type="dxa"/>
            <w:vAlign w:val="top"/>
          </w:tcPr>
          <w:p w14:paraId="12A47859">
            <w:pPr>
              <w:pStyle w:val="157"/>
              <w:keepNext w:val="0"/>
              <w:keepLines/>
              <w:pageBreakBefore w:val="0"/>
              <w:widowControl w:val="0"/>
              <w:kinsoku/>
              <w:wordWrap/>
              <w:overflowPunct/>
              <w:topLinePunct w:val="0"/>
              <w:autoSpaceDE/>
              <w:autoSpaceDN/>
              <w:bidi w:val="0"/>
              <w:adjustRightInd/>
              <w:snapToGrid/>
              <w:spacing w:before="143" w:line="241" w:lineRule="auto"/>
              <w:ind w:left="460"/>
              <w:textAlignment w:val="auto"/>
              <w:rPr>
                <w:color w:val="auto"/>
                <w:highlight w:val="none"/>
              </w:rPr>
            </w:pPr>
            <w:r>
              <w:rPr>
                <w:color w:val="auto"/>
                <w:highlight w:val="none"/>
              </w:rPr>
              <w:t>1</w:t>
            </w:r>
          </w:p>
        </w:tc>
        <w:tc>
          <w:tcPr>
            <w:tcW w:w="1803" w:type="dxa"/>
            <w:vAlign w:val="top"/>
          </w:tcPr>
          <w:p w14:paraId="096E7316">
            <w:pPr>
              <w:pStyle w:val="157"/>
              <w:keepNext w:val="0"/>
              <w:keepLines/>
              <w:pageBreakBefore w:val="0"/>
              <w:widowControl w:val="0"/>
              <w:kinsoku/>
              <w:wordWrap/>
              <w:overflowPunct/>
              <w:topLinePunct w:val="0"/>
              <w:autoSpaceDE/>
              <w:autoSpaceDN/>
              <w:bidi w:val="0"/>
              <w:adjustRightInd/>
              <w:snapToGrid/>
              <w:spacing w:before="142" w:line="220" w:lineRule="auto"/>
              <w:ind w:left="360"/>
              <w:textAlignment w:val="auto"/>
              <w:rPr>
                <w:color w:val="auto"/>
                <w:highlight w:val="none"/>
              </w:rPr>
            </w:pPr>
            <w:r>
              <w:rPr>
                <w:color w:val="auto"/>
                <w:spacing w:val="-6"/>
                <w:highlight w:val="none"/>
              </w:rPr>
              <w:t>不符合扣</w:t>
            </w:r>
            <w:r>
              <w:rPr>
                <w:color w:val="auto"/>
                <w:spacing w:val="-21"/>
                <w:highlight w:val="none"/>
              </w:rPr>
              <w:t xml:space="preserve"> </w:t>
            </w:r>
            <w:r>
              <w:rPr>
                <w:color w:val="auto"/>
                <w:spacing w:val="-6"/>
                <w:highlight w:val="none"/>
              </w:rPr>
              <w:t>1</w:t>
            </w:r>
            <w:r>
              <w:rPr>
                <w:color w:val="auto"/>
                <w:spacing w:val="-34"/>
                <w:highlight w:val="none"/>
              </w:rPr>
              <w:t xml:space="preserve"> </w:t>
            </w:r>
            <w:r>
              <w:rPr>
                <w:color w:val="auto"/>
                <w:spacing w:val="-6"/>
                <w:highlight w:val="none"/>
              </w:rPr>
              <w:t>分</w:t>
            </w:r>
          </w:p>
        </w:tc>
        <w:tc>
          <w:tcPr>
            <w:tcW w:w="679" w:type="dxa"/>
            <w:vAlign w:val="top"/>
          </w:tcPr>
          <w:p w14:paraId="48E1E59C">
            <w:pPr>
              <w:keepNext w:val="0"/>
              <w:keepLines/>
              <w:pageBreakBefore w:val="0"/>
              <w:widowControl w:val="0"/>
              <w:kinsoku/>
              <w:wordWrap/>
              <w:overflowPunct/>
              <w:topLinePunct w:val="0"/>
              <w:autoSpaceDE/>
              <w:autoSpaceDN/>
              <w:bidi w:val="0"/>
              <w:adjustRightInd/>
              <w:snapToGrid/>
              <w:textAlignment w:val="auto"/>
              <w:rPr>
                <w:rFonts w:ascii="Arial"/>
                <w:color w:val="auto"/>
                <w:sz w:val="21"/>
                <w:highlight w:val="none"/>
              </w:rPr>
            </w:pPr>
          </w:p>
        </w:tc>
      </w:tr>
      <w:tr w14:paraId="58C39E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0" w:hRule="atLeast"/>
        </w:trPr>
        <w:tc>
          <w:tcPr>
            <w:tcW w:w="848" w:type="dxa"/>
            <w:vMerge w:val="continue"/>
            <w:tcBorders>
              <w:top w:val="nil"/>
              <w:bottom w:val="nil"/>
            </w:tcBorders>
            <w:vAlign w:val="center"/>
          </w:tcPr>
          <w:p w14:paraId="7635299F">
            <w:pPr>
              <w:keepNext w:val="0"/>
              <w:keepLines/>
              <w:pageBreakBefore w:val="0"/>
              <w:widowControl w:val="0"/>
              <w:kinsoku/>
              <w:wordWrap/>
              <w:overflowPunct/>
              <w:topLinePunct w:val="0"/>
              <w:autoSpaceDE/>
              <w:autoSpaceDN/>
              <w:bidi w:val="0"/>
              <w:adjustRightInd/>
              <w:snapToGrid/>
              <w:jc w:val="center"/>
              <w:textAlignment w:val="auto"/>
              <w:rPr>
                <w:rFonts w:ascii="Arial"/>
                <w:color w:val="auto"/>
                <w:sz w:val="21"/>
                <w:highlight w:val="none"/>
              </w:rPr>
            </w:pPr>
          </w:p>
        </w:tc>
        <w:tc>
          <w:tcPr>
            <w:tcW w:w="667" w:type="dxa"/>
            <w:vMerge w:val="continue"/>
            <w:tcBorders>
              <w:top w:val="nil"/>
              <w:bottom w:val="nil"/>
            </w:tcBorders>
            <w:vAlign w:val="center"/>
          </w:tcPr>
          <w:p w14:paraId="0E9E53BB">
            <w:pPr>
              <w:keepNext w:val="0"/>
              <w:keepLines/>
              <w:pageBreakBefore w:val="0"/>
              <w:widowControl w:val="0"/>
              <w:kinsoku/>
              <w:wordWrap/>
              <w:overflowPunct/>
              <w:topLinePunct w:val="0"/>
              <w:autoSpaceDE/>
              <w:autoSpaceDN/>
              <w:bidi w:val="0"/>
              <w:adjustRightInd/>
              <w:snapToGrid/>
              <w:jc w:val="center"/>
              <w:textAlignment w:val="auto"/>
              <w:rPr>
                <w:rFonts w:ascii="Arial"/>
                <w:color w:val="auto"/>
                <w:sz w:val="21"/>
                <w:highlight w:val="none"/>
              </w:rPr>
            </w:pPr>
          </w:p>
        </w:tc>
        <w:tc>
          <w:tcPr>
            <w:tcW w:w="4829" w:type="dxa"/>
            <w:vAlign w:val="top"/>
          </w:tcPr>
          <w:p w14:paraId="34639168">
            <w:pPr>
              <w:pStyle w:val="157"/>
              <w:keepNext w:val="0"/>
              <w:keepLines/>
              <w:pageBreakBefore w:val="0"/>
              <w:widowControl w:val="0"/>
              <w:kinsoku/>
              <w:wordWrap/>
              <w:overflowPunct/>
              <w:topLinePunct w:val="0"/>
              <w:autoSpaceDE/>
              <w:autoSpaceDN/>
              <w:bidi w:val="0"/>
              <w:adjustRightInd/>
              <w:snapToGrid/>
              <w:spacing w:before="53" w:line="262" w:lineRule="auto"/>
              <w:ind w:left="16" w:right="11" w:firstLine="2"/>
              <w:textAlignment w:val="auto"/>
              <w:rPr>
                <w:color w:val="auto"/>
                <w:highlight w:val="none"/>
              </w:rPr>
            </w:pPr>
            <w:r>
              <w:rPr>
                <w:color w:val="auto"/>
                <w:highlight w:val="none"/>
              </w:rPr>
              <w:t>主要出入口有门岗值班，24 小时值班看守</w:t>
            </w:r>
            <w:r>
              <w:rPr>
                <w:color w:val="auto"/>
                <w:spacing w:val="-1"/>
                <w:highlight w:val="none"/>
              </w:rPr>
              <w:t>，有交接</w:t>
            </w:r>
            <w:r>
              <w:rPr>
                <w:color w:val="auto"/>
                <w:spacing w:val="-2"/>
                <w:highlight w:val="none"/>
              </w:rPr>
              <w:t>记录</w:t>
            </w:r>
          </w:p>
        </w:tc>
        <w:tc>
          <w:tcPr>
            <w:tcW w:w="815" w:type="dxa"/>
            <w:vAlign w:val="top"/>
          </w:tcPr>
          <w:p w14:paraId="1226BD6F">
            <w:pPr>
              <w:pStyle w:val="157"/>
              <w:keepNext w:val="0"/>
              <w:keepLines/>
              <w:pageBreakBefore w:val="0"/>
              <w:widowControl w:val="0"/>
              <w:kinsoku/>
              <w:wordWrap/>
              <w:overflowPunct/>
              <w:topLinePunct w:val="0"/>
              <w:autoSpaceDE/>
              <w:autoSpaceDN/>
              <w:bidi w:val="0"/>
              <w:adjustRightInd/>
              <w:snapToGrid/>
              <w:spacing w:before="204"/>
              <w:ind w:left="449"/>
              <w:textAlignment w:val="auto"/>
              <w:rPr>
                <w:color w:val="auto"/>
                <w:highlight w:val="none"/>
              </w:rPr>
            </w:pPr>
            <w:r>
              <w:rPr>
                <w:color w:val="auto"/>
                <w:highlight w:val="none"/>
              </w:rPr>
              <w:t>3</w:t>
            </w:r>
          </w:p>
        </w:tc>
        <w:tc>
          <w:tcPr>
            <w:tcW w:w="1803" w:type="dxa"/>
            <w:vAlign w:val="top"/>
          </w:tcPr>
          <w:p w14:paraId="0D0F446F">
            <w:pPr>
              <w:pStyle w:val="157"/>
              <w:keepNext w:val="0"/>
              <w:keepLines/>
              <w:pageBreakBefore w:val="0"/>
              <w:widowControl w:val="0"/>
              <w:kinsoku/>
              <w:wordWrap/>
              <w:overflowPunct/>
              <w:topLinePunct w:val="0"/>
              <w:autoSpaceDE/>
              <w:autoSpaceDN/>
              <w:bidi w:val="0"/>
              <w:adjustRightInd/>
              <w:snapToGrid/>
              <w:spacing w:before="203" w:line="220" w:lineRule="auto"/>
              <w:ind w:left="192"/>
              <w:textAlignment w:val="auto"/>
              <w:rPr>
                <w:color w:val="auto"/>
                <w:highlight w:val="none"/>
              </w:rPr>
            </w:pPr>
            <w:r>
              <w:rPr>
                <w:color w:val="auto"/>
                <w:spacing w:val="-8"/>
                <w:highlight w:val="none"/>
              </w:rPr>
              <w:t>1</w:t>
            </w:r>
            <w:r>
              <w:rPr>
                <w:color w:val="auto"/>
                <w:spacing w:val="-28"/>
                <w:highlight w:val="none"/>
              </w:rPr>
              <w:t xml:space="preserve"> </w:t>
            </w:r>
            <w:r>
              <w:rPr>
                <w:color w:val="auto"/>
                <w:spacing w:val="-8"/>
                <w:highlight w:val="none"/>
              </w:rPr>
              <w:t>项不符合扣</w:t>
            </w:r>
            <w:r>
              <w:rPr>
                <w:color w:val="auto"/>
                <w:spacing w:val="-22"/>
                <w:highlight w:val="none"/>
              </w:rPr>
              <w:t xml:space="preserve"> </w:t>
            </w:r>
            <w:r>
              <w:rPr>
                <w:color w:val="auto"/>
                <w:spacing w:val="-8"/>
                <w:highlight w:val="none"/>
              </w:rPr>
              <w:t>1</w:t>
            </w:r>
            <w:r>
              <w:rPr>
                <w:color w:val="auto"/>
                <w:spacing w:val="-34"/>
                <w:highlight w:val="none"/>
              </w:rPr>
              <w:t xml:space="preserve"> </w:t>
            </w:r>
            <w:r>
              <w:rPr>
                <w:color w:val="auto"/>
                <w:spacing w:val="-8"/>
                <w:highlight w:val="none"/>
              </w:rPr>
              <w:t>分</w:t>
            </w:r>
          </w:p>
        </w:tc>
        <w:tc>
          <w:tcPr>
            <w:tcW w:w="679" w:type="dxa"/>
            <w:vAlign w:val="top"/>
          </w:tcPr>
          <w:p w14:paraId="70F1392F">
            <w:pPr>
              <w:keepNext w:val="0"/>
              <w:keepLines/>
              <w:pageBreakBefore w:val="0"/>
              <w:widowControl w:val="0"/>
              <w:kinsoku/>
              <w:wordWrap/>
              <w:overflowPunct/>
              <w:topLinePunct w:val="0"/>
              <w:autoSpaceDE/>
              <w:autoSpaceDN/>
              <w:bidi w:val="0"/>
              <w:adjustRightInd/>
              <w:snapToGrid/>
              <w:textAlignment w:val="auto"/>
              <w:rPr>
                <w:rFonts w:ascii="Arial"/>
                <w:color w:val="auto"/>
                <w:sz w:val="21"/>
                <w:highlight w:val="none"/>
              </w:rPr>
            </w:pPr>
          </w:p>
        </w:tc>
      </w:tr>
      <w:tr w14:paraId="06450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4" w:hRule="atLeast"/>
        </w:trPr>
        <w:tc>
          <w:tcPr>
            <w:tcW w:w="848" w:type="dxa"/>
            <w:vMerge w:val="continue"/>
            <w:tcBorders>
              <w:top w:val="nil"/>
              <w:bottom w:val="nil"/>
            </w:tcBorders>
            <w:vAlign w:val="center"/>
          </w:tcPr>
          <w:p w14:paraId="5E1759F3">
            <w:pPr>
              <w:keepNext w:val="0"/>
              <w:keepLines/>
              <w:pageBreakBefore w:val="0"/>
              <w:widowControl w:val="0"/>
              <w:kinsoku/>
              <w:wordWrap/>
              <w:overflowPunct/>
              <w:topLinePunct w:val="0"/>
              <w:autoSpaceDE/>
              <w:autoSpaceDN/>
              <w:bidi w:val="0"/>
              <w:adjustRightInd/>
              <w:snapToGrid/>
              <w:jc w:val="center"/>
              <w:textAlignment w:val="auto"/>
              <w:rPr>
                <w:rFonts w:ascii="Arial"/>
                <w:color w:val="auto"/>
                <w:sz w:val="21"/>
                <w:highlight w:val="none"/>
              </w:rPr>
            </w:pPr>
          </w:p>
        </w:tc>
        <w:tc>
          <w:tcPr>
            <w:tcW w:w="667" w:type="dxa"/>
            <w:vMerge w:val="continue"/>
            <w:tcBorders>
              <w:top w:val="nil"/>
              <w:bottom w:val="nil"/>
            </w:tcBorders>
            <w:vAlign w:val="center"/>
          </w:tcPr>
          <w:p w14:paraId="2B49B403">
            <w:pPr>
              <w:keepNext w:val="0"/>
              <w:keepLines/>
              <w:pageBreakBefore w:val="0"/>
              <w:widowControl w:val="0"/>
              <w:kinsoku/>
              <w:wordWrap/>
              <w:overflowPunct/>
              <w:topLinePunct w:val="0"/>
              <w:autoSpaceDE/>
              <w:autoSpaceDN/>
              <w:bidi w:val="0"/>
              <w:adjustRightInd/>
              <w:snapToGrid/>
              <w:jc w:val="center"/>
              <w:textAlignment w:val="auto"/>
              <w:rPr>
                <w:rFonts w:ascii="Arial"/>
                <w:color w:val="auto"/>
                <w:sz w:val="21"/>
                <w:highlight w:val="none"/>
              </w:rPr>
            </w:pPr>
          </w:p>
        </w:tc>
        <w:tc>
          <w:tcPr>
            <w:tcW w:w="4829" w:type="dxa"/>
            <w:vAlign w:val="top"/>
          </w:tcPr>
          <w:p w14:paraId="0963B176">
            <w:pPr>
              <w:pStyle w:val="157"/>
              <w:keepNext w:val="0"/>
              <w:keepLines/>
              <w:pageBreakBefore w:val="0"/>
              <w:widowControl w:val="0"/>
              <w:kinsoku/>
              <w:wordWrap/>
              <w:overflowPunct/>
              <w:topLinePunct w:val="0"/>
              <w:autoSpaceDE/>
              <w:autoSpaceDN/>
              <w:bidi w:val="0"/>
              <w:adjustRightInd/>
              <w:snapToGrid/>
              <w:spacing w:before="40" w:line="261" w:lineRule="auto"/>
              <w:ind w:left="18"/>
              <w:textAlignment w:val="auto"/>
              <w:rPr>
                <w:color w:val="auto"/>
                <w:highlight w:val="none"/>
              </w:rPr>
            </w:pPr>
            <w:r>
              <w:rPr>
                <w:color w:val="auto"/>
                <w:spacing w:val="-4"/>
                <w:highlight w:val="none"/>
              </w:rPr>
              <w:t>保安人员要经常巡逻，发现问题及时处理，</w:t>
            </w:r>
            <w:r>
              <w:rPr>
                <w:color w:val="auto"/>
                <w:spacing w:val="-5"/>
                <w:highlight w:val="none"/>
              </w:rPr>
              <w:t>有巡查记</w:t>
            </w:r>
            <w:r>
              <w:rPr>
                <w:color w:val="auto"/>
                <w:highlight w:val="none"/>
              </w:rPr>
              <w:t>录</w:t>
            </w:r>
          </w:p>
        </w:tc>
        <w:tc>
          <w:tcPr>
            <w:tcW w:w="815" w:type="dxa"/>
            <w:vAlign w:val="top"/>
          </w:tcPr>
          <w:p w14:paraId="243CFFF2">
            <w:pPr>
              <w:pStyle w:val="157"/>
              <w:keepNext w:val="0"/>
              <w:keepLines/>
              <w:pageBreakBefore w:val="0"/>
              <w:widowControl w:val="0"/>
              <w:kinsoku/>
              <w:wordWrap/>
              <w:overflowPunct/>
              <w:topLinePunct w:val="0"/>
              <w:autoSpaceDE/>
              <w:autoSpaceDN/>
              <w:bidi w:val="0"/>
              <w:adjustRightInd/>
              <w:snapToGrid/>
              <w:spacing w:before="204"/>
              <w:ind w:left="449"/>
              <w:textAlignment w:val="auto"/>
              <w:rPr>
                <w:color w:val="auto"/>
                <w:highlight w:val="none"/>
              </w:rPr>
            </w:pPr>
            <w:r>
              <w:rPr>
                <w:color w:val="auto"/>
                <w:highlight w:val="none"/>
              </w:rPr>
              <w:t>3</w:t>
            </w:r>
          </w:p>
        </w:tc>
        <w:tc>
          <w:tcPr>
            <w:tcW w:w="1803" w:type="dxa"/>
            <w:vAlign w:val="top"/>
          </w:tcPr>
          <w:p w14:paraId="51ED1C62">
            <w:pPr>
              <w:pStyle w:val="157"/>
              <w:keepNext w:val="0"/>
              <w:keepLines/>
              <w:pageBreakBefore w:val="0"/>
              <w:widowControl w:val="0"/>
              <w:kinsoku/>
              <w:wordWrap/>
              <w:overflowPunct/>
              <w:topLinePunct w:val="0"/>
              <w:autoSpaceDE/>
              <w:autoSpaceDN/>
              <w:bidi w:val="0"/>
              <w:adjustRightInd/>
              <w:snapToGrid/>
              <w:spacing w:before="204" w:line="220" w:lineRule="auto"/>
              <w:ind w:left="252"/>
              <w:textAlignment w:val="auto"/>
              <w:rPr>
                <w:color w:val="auto"/>
                <w:highlight w:val="none"/>
              </w:rPr>
            </w:pPr>
            <w:r>
              <w:rPr>
                <w:color w:val="auto"/>
                <w:spacing w:val="-10"/>
                <w:highlight w:val="none"/>
              </w:rPr>
              <w:t>每少</w:t>
            </w:r>
            <w:r>
              <w:rPr>
                <w:color w:val="auto"/>
                <w:spacing w:val="-19"/>
                <w:highlight w:val="none"/>
              </w:rPr>
              <w:t xml:space="preserve"> </w:t>
            </w:r>
            <w:r>
              <w:rPr>
                <w:color w:val="auto"/>
                <w:spacing w:val="-10"/>
                <w:highlight w:val="none"/>
              </w:rPr>
              <w:t>1</w:t>
            </w:r>
            <w:r>
              <w:rPr>
                <w:color w:val="auto"/>
                <w:spacing w:val="-33"/>
                <w:highlight w:val="none"/>
              </w:rPr>
              <w:t xml:space="preserve"> </w:t>
            </w:r>
            <w:r>
              <w:rPr>
                <w:color w:val="auto"/>
                <w:spacing w:val="-10"/>
                <w:highlight w:val="none"/>
              </w:rPr>
              <w:t>项扣</w:t>
            </w:r>
            <w:r>
              <w:rPr>
                <w:color w:val="auto"/>
                <w:spacing w:val="-21"/>
                <w:highlight w:val="none"/>
              </w:rPr>
              <w:t xml:space="preserve"> </w:t>
            </w:r>
            <w:r>
              <w:rPr>
                <w:color w:val="auto"/>
                <w:spacing w:val="-10"/>
                <w:highlight w:val="none"/>
              </w:rPr>
              <w:t>1</w:t>
            </w:r>
            <w:r>
              <w:rPr>
                <w:color w:val="auto"/>
                <w:spacing w:val="-34"/>
                <w:highlight w:val="none"/>
              </w:rPr>
              <w:t xml:space="preserve"> </w:t>
            </w:r>
            <w:r>
              <w:rPr>
                <w:color w:val="auto"/>
                <w:spacing w:val="-10"/>
                <w:highlight w:val="none"/>
              </w:rPr>
              <w:t>分</w:t>
            </w:r>
          </w:p>
        </w:tc>
        <w:tc>
          <w:tcPr>
            <w:tcW w:w="679" w:type="dxa"/>
            <w:vAlign w:val="top"/>
          </w:tcPr>
          <w:p w14:paraId="62D4BDA9">
            <w:pPr>
              <w:keepNext w:val="0"/>
              <w:keepLines/>
              <w:pageBreakBefore w:val="0"/>
              <w:widowControl w:val="0"/>
              <w:kinsoku/>
              <w:wordWrap/>
              <w:overflowPunct/>
              <w:topLinePunct w:val="0"/>
              <w:autoSpaceDE/>
              <w:autoSpaceDN/>
              <w:bidi w:val="0"/>
              <w:adjustRightInd/>
              <w:snapToGrid/>
              <w:textAlignment w:val="auto"/>
              <w:rPr>
                <w:rFonts w:ascii="Arial"/>
                <w:color w:val="auto"/>
                <w:sz w:val="21"/>
                <w:highlight w:val="none"/>
              </w:rPr>
            </w:pPr>
          </w:p>
        </w:tc>
      </w:tr>
      <w:tr w14:paraId="57052B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0" w:hRule="atLeast"/>
        </w:trPr>
        <w:tc>
          <w:tcPr>
            <w:tcW w:w="848" w:type="dxa"/>
            <w:vMerge w:val="continue"/>
            <w:tcBorders>
              <w:top w:val="nil"/>
              <w:bottom w:val="nil"/>
            </w:tcBorders>
            <w:vAlign w:val="center"/>
          </w:tcPr>
          <w:p w14:paraId="1011CDE5">
            <w:pPr>
              <w:keepNext w:val="0"/>
              <w:keepLines/>
              <w:pageBreakBefore w:val="0"/>
              <w:widowControl w:val="0"/>
              <w:kinsoku/>
              <w:wordWrap/>
              <w:overflowPunct/>
              <w:topLinePunct w:val="0"/>
              <w:autoSpaceDE/>
              <w:autoSpaceDN/>
              <w:bidi w:val="0"/>
              <w:adjustRightInd/>
              <w:snapToGrid/>
              <w:jc w:val="center"/>
              <w:textAlignment w:val="auto"/>
              <w:rPr>
                <w:rFonts w:ascii="Arial"/>
                <w:color w:val="auto"/>
                <w:sz w:val="21"/>
                <w:highlight w:val="none"/>
              </w:rPr>
            </w:pPr>
          </w:p>
        </w:tc>
        <w:tc>
          <w:tcPr>
            <w:tcW w:w="667" w:type="dxa"/>
            <w:vMerge w:val="continue"/>
            <w:tcBorders>
              <w:top w:val="nil"/>
              <w:bottom w:val="nil"/>
            </w:tcBorders>
            <w:vAlign w:val="center"/>
          </w:tcPr>
          <w:p w14:paraId="74382409">
            <w:pPr>
              <w:keepNext w:val="0"/>
              <w:keepLines/>
              <w:pageBreakBefore w:val="0"/>
              <w:widowControl w:val="0"/>
              <w:kinsoku/>
              <w:wordWrap/>
              <w:overflowPunct/>
              <w:topLinePunct w:val="0"/>
              <w:autoSpaceDE/>
              <w:autoSpaceDN/>
              <w:bidi w:val="0"/>
              <w:adjustRightInd/>
              <w:snapToGrid/>
              <w:jc w:val="center"/>
              <w:textAlignment w:val="auto"/>
              <w:rPr>
                <w:rFonts w:ascii="Arial"/>
                <w:color w:val="auto"/>
                <w:sz w:val="21"/>
                <w:highlight w:val="none"/>
              </w:rPr>
            </w:pPr>
          </w:p>
        </w:tc>
        <w:tc>
          <w:tcPr>
            <w:tcW w:w="4829" w:type="dxa"/>
            <w:vAlign w:val="top"/>
          </w:tcPr>
          <w:p w14:paraId="321BFB84">
            <w:pPr>
              <w:pStyle w:val="157"/>
              <w:keepNext w:val="0"/>
              <w:keepLines/>
              <w:pageBreakBefore w:val="0"/>
              <w:widowControl w:val="0"/>
              <w:kinsoku/>
              <w:wordWrap/>
              <w:overflowPunct/>
              <w:topLinePunct w:val="0"/>
              <w:autoSpaceDE/>
              <w:autoSpaceDN/>
              <w:bidi w:val="0"/>
              <w:adjustRightInd/>
              <w:snapToGrid/>
              <w:spacing w:before="145" w:line="220" w:lineRule="auto"/>
              <w:ind w:left="16"/>
              <w:textAlignment w:val="auto"/>
              <w:rPr>
                <w:color w:val="auto"/>
                <w:highlight w:val="none"/>
              </w:rPr>
            </w:pPr>
            <w:r>
              <w:rPr>
                <w:color w:val="auto"/>
                <w:highlight w:val="none"/>
              </w:rPr>
              <w:t>进入管理区域各种车辆管理有序，无堵塞交通现象</w:t>
            </w:r>
          </w:p>
        </w:tc>
        <w:tc>
          <w:tcPr>
            <w:tcW w:w="815" w:type="dxa"/>
            <w:vAlign w:val="top"/>
          </w:tcPr>
          <w:p w14:paraId="1D8F3D57">
            <w:pPr>
              <w:pStyle w:val="157"/>
              <w:keepNext w:val="0"/>
              <w:keepLines/>
              <w:pageBreakBefore w:val="0"/>
              <w:widowControl w:val="0"/>
              <w:kinsoku/>
              <w:wordWrap/>
              <w:overflowPunct/>
              <w:topLinePunct w:val="0"/>
              <w:autoSpaceDE/>
              <w:autoSpaceDN/>
              <w:bidi w:val="0"/>
              <w:adjustRightInd/>
              <w:snapToGrid/>
              <w:spacing w:before="146" w:line="241" w:lineRule="auto"/>
              <w:ind w:left="447"/>
              <w:textAlignment w:val="auto"/>
              <w:rPr>
                <w:color w:val="auto"/>
                <w:highlight w:val="none"/>
              </w:rPr>
            </w:pPr>
            <w:r>
              <w:rPr>
                <w:color w:val="auto"/>
                <w:highlight w:val="none"/>
              </w:rPr>
              <w:t>2</w:t>
            </w:r>
          </w:p>
        </w:tc>
        <w:tc>
          <w:tcPr>
            <w:tcW w:w="1803" w:type="dxa"/>
            <w:vAlign w:val="top"/>
          </w:tcPr>
          <w:p w14:paraId="6606C60F">
            <w:pPr>
              <w:pStyle w:val="157"/>
              <w:keepNext w:val="0"/>
              <w:keepLines/>
              <w:pageBreakBefore w:val="0"/>
              <w:widowControl w:val="0"/>
              <w:kinsoku/>
              <w:wordWrap/>
              <w:overflowPunct/>
              <w:topLinePunct w:val="0"/>
              <w:autoSpaceDE/>
              <w:autoSpaceDN/>
              <w:bidi w:val="0"/>
              <w:adjustRightInd/>
              <w:snapToGrid/>
              <w:spacing w:before="145" w:line="220" w:lineRule="auto"/>
              <w:ind w:left="255"/>
              <w:textAlignment w:val="auto"/>
              <w:rPr>
                <w:color w:val="auto"/>
                <w:highlight w:val="none"/>
              </w:rPr>
            </w:pPr>
            <w:r>
              <w:rPr>
                <w:color w:val="auto"/>
                <w:spacing w:val="-3"/>
                <w:highlight w:val="none"/>
              </w:rPr>
              <w:t>发生一次扣</w:t>
            </w:r>
            <w:r>
              <w:rPr>
                <w:color w:val="auto"/>
                <w:spacing w:val="-35"/>
                <w:highlight w:val="none"/>
              </w:rPr>
              <w:t xml:space="preserve"> </w:t>
            </w:r>
            <w:r>
              <w:rPr>
                <w:color w:val="auto"/>
                <w:spacing w:val="-3"/>
                <w:highlight w:val="none"/>
              </w:rPr>
              <w:t>2</w:t>
            </w:r>
            <w:r>
              <w:rPr>
                <w:color w:val="auto"/>
                <w:spacing w:val="-35"/>
                <w:highlight w:val="none"/>
              </w:rPr>
              <w:t xml:space="preserve"> </w:t>
            </w:r>
            <w:r>
              <w:rPr>
                <w:color w:val="auto"/>
                <w:spacing w:val="-3"/>
                <w:highlight w:val="none"/>
              </w:rPr>
              <w:t>分</w:t>
            </w:r>
          </w:p>
        </w:tc>
        <w:tc>
          <w:tcPr>
            <w:tcW w:w="679" w:type="dxa"/>
            <w:vAlign w:val="top"/>
          </w:tcPr>
          <w:p w14:paraId="1E6C02BE">
            <w:pPr>
              <w:keepNext w:val="0"/>
              <w:keepLines/>
              <w:pageBreakBefore w:val="0"/>
              <w:widowControl w:val="0"/>
              <w:kinsoku/>
              <w:wordWrap/>
              <w:overflowPunct/>
              <w:topLinePunct w:val="0"/>
              <w:autoSpaceDE/>
              <w:autoSpaceDN/>
              <w:bidi w:val="0"/>
              <w:adjustRightInd/>
              <w:snapToGrid/>
              <w:textAlignment w:val="auto"/>
              <w:rPr>
                <w:rFonts w:ascii="Arial"/>
                <w:color w:val="auto"/>
                <w:sz w:val="21"/>
                <w:highlight w:val="none"/>
              </w:rPr>
            </w:pPr>
          </w:p>
        </w:tc>
      </w:tr>
      <w:tr w14:paraId="4AE548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5" w:hRule="atLeast"/>
        </w:trPr>
        <w:tc>
          <w:tcPr>
            <w:tcW w:w="848" w:type="dxa"/>
            <w:vMerge w:val="continue"/>
            <w:tcBorders>
              <w:top w:val="nil"/>
              <w:bottom w:val="nil"/>
            </w:tcBorders>
            <w:vAlign w:val="center"/>
          </w:tcPr>
          <w:p w14:paraId="4A6E9EFC">
            <w:pPr>
              <w:keepNext w:val="0"/>
              <w:keepLines/>
              <w:pageBreakBefore w:val="0"/>
              <w:widowControl w:val="0"/>
              <w:kinsoku/>
              <w:wordWrap/>
              <w:overflowPunct/>
              <w:topLinePunct w:val="0"/>
              <w:autoSpaceDE/>
              <w:autoSpaceDN/>
              <w:bidi w:val="0"/>
              <w:adjustRightInd/>
              <w:snapToGrid/>
              <w:jc w:val="center"/>
              <w:textAlignment w:val="auto"/>
              <w:rPr>
                <w:rFonts w:ascii="Arial"/>
                <w:color w:val="auto"/>
                <w:sz w:val="21"/>
                <w:highlight w:val="none"/>
              </w:rPr>
            </w:pPr>
          </w:p>
        </w:tc>
        <w:tc>
          <w:tcPr>
            <w:tcW w:w="667" w:type="dxa"/>
            <w:vMerge w:val="continue"/>
            <w:tcBorders>
              <w:top w:val="nil"/>
              <w:bottom w:val="nil"/>
            </w:tcBorders>
            <w:vAlign w:val="center"/>
          </w:tcPr>
          <w:p w14:paraId="26D6B09D">
            <w:pPr>
              <w:keepNext w:val="0"/>
              <w:keepLines/>
              <w:pageBreakBefore w:val="0"/>
              <w:widowControl w:val="0"/>
              <w:kinsoku/>
              <w:wordWrap/>
              <w:overflowPunct/>
              <w:topLinePunct w:val="0"/>
              <w:autoSpaceDE/>
              <w:autoSpaceDN/>
              <w:bidi w:val="0"/>
              <w:adjustRightInd/>
              <w:snapToGrid/>
              <w:jc w:val="center"/>
              <w:textAlignment w:val="auto"/>
              <w:rPr>
                <w:rFonts w:ascii="Arial"/>
                <w:color w:val="auto"/>
                <w:sz w:val="21"/>
                <w:highlight w:val="none"/>
              </w:rPr>
            </w:pPr>
          </w:p>
        </w:tc>
        <w:tc>
          <w:tcPr>
            <w:tcW w:w="4829" w:type="dxa"/>
            <w:vAlign w:val="top"/>
          </w:tcPr>
          <w:p w14:paraId="01DB69D5">
            <w:pPr>
              <w:pStyle w:val="157"/>
              <w:keepNext w:val="0"/>
              <w:keepLines/>
              <w:pageBreakBefore w:val="0"/>
              <w:widowControl w:val="0"/>
              <w:kinsoku/>
              <w:wordWrap/>
              <w:overflowPunct/>
              <w:topLinePunct w:val="0"/>
              <w:autoSpaceDE/>
              <w:autoSpaceDN/>
              <w:bidi w:val="0"/>
              <w:adjustRightInd/>
              <w:snapToGrid/>
              <w:spacing w:before="41" w:line="261" w:lineRule="auto"/>
              <w:ind w:left="23" w:firstLine="8"/>
              <w:textAlignment w:val="auto"/>
              <w:rPr>
                <w:color w:val="auto"/>
                <w:highlight w:val="none"/>
              </w:rPr>
            </w:pPr>
            <w:r>
              <w:rPr>
                <w:color w:val="auto"/>
                <w:spacing w:val="-5"/>
                <w:highlight w:val="none"/>
              </w:rPr>
              <w:t>院内院外停车场管理有序，车辆停放整齐，有专人疏</w:t>
            </w:r>
            <w:r>
              <w:rPr>
                <w:color w:val="auto"/>
                <w:highlight w:val="none"/>
              </w:rPr>
              <w:t>导</w:t>
            </w:r>
          </w:p>
        </w:tc>
        <w:tc>
          <w:tcPr>
            <w:tcW w:w="815" w:type="dxa"/>
            <w:vAlign w:val="top"/>
          </w:tcPr>
          <w:p w14:paraId="79A8C1F8">
            <w:pPr>
              <w:pStyle w:val="157"/>
              <w:keepNext w:val="0"/>
              <w:keepLines/>
              <w:pageBreakBefore w:val="0"/>
              <w:widowControl w:val="0"/>
              <w:kinsoku/>
              <w:wordWrap/>
              <w:overflowPunct/>
              <w:topLinePunct w:val="0"/>
              <w:autoSpaceDE/>
              <w:autoSpaceDN/>
              <w:bidi w:val="0"/>
              <w:adjustRightInd/>
              <w:snapToGrid/>
              <w:spacing w:before="206"/>
              <w:ind w:left="449"/>
              <w:textAlignment w:val="auto"/>
              <w:rPr>
                <w:color w:val="auto"/>
                <w:highlight w:val="none"/>
              </w:rPr>
            </w:pPr>
            <w:r>
              <w:rPr>
                <w:color w:val="auto"/>
                <w:highlight w:val="none"/>
              </w:rPr>
              <w:t>3</w:t>
            </w:r>
          </w:p>
        </w:tc>
        <w:tc>
          <w:tcPr>
            <w:tcW w:w="1803" w:type="dxa"/>
            <w:vAlign w:val="top"/>
          </w:tcPr>
          <w:p w14:paraId="266E9CEC">
            <w:pPr>
              <w:pStyle w:val="157"/>
              <w:keepNext w:val="0"/>
              <w:keepLines/>
              <w:pageBreakBefore w:val="0"/>
              <w:widowControl w:val="0"/>
              <w:kinsoku/>
              <w:wordWrap/>
              <w:overflowPunct/>
              <w:topLinePunct w:val="0"/>
              <w:autoSpaceDE/>
              <w:autoSpaceDN/>
              <w:bidi w:val="0"/>
              <w:adjustRightInd/>
              <w:snapToGrid/>
              <w:spacing w:before="207" w:line="220" w:lineRule="auto"/>
              <w:ind w:left="356"/>
              <w:textAlignment w:val="auto"/>
              <w:rPr>
                <w:color w:val="auto"/>
                <w:highlight w:val="none"/>
              </w:rPr>
            </w:pPr>
            <w:r>
              <w:rPr>
                <w:color w:val="auto"/>
                <w:spacing w:val="-4"/>
                <w:highlight w:val="none"/>
              </w:rPr>
              <w:t>达不到扣</w:t>
            </w:r>
            <w:r>
              <w:rPr>
                <w:color w:val="auto"/>
                <w:spacing w:val="-29"/>
                <w:highlight w:val="none"/>
              </w:rPr>
              <w:t xml:space="preserve"> </w:t>
            </w:r>
            <w:r>
              <w:rPr>
                <w:color w:val="auto"/>
                <w:spacing w:val="-4"/>
                <w:highlight w:val="none"/>
              </w:rPr>
              <w:t>3</w:t>
            </w:r>
            <w:r>
              <w:rPr>
                <w:color w:val="auto"/>
                <w:spacing w:val="-34"/>
                <w:highlight w:val="none"/>
              </w:rPr>
              <w:t xml:space="preserve"> </w:t>
            </w:r>
            <w:r>
              <w:rPr>
                <w:color w:val="auto"/>
                <w:spacing w:val="-4"/>
                <w:highlight w:val="none"/>
              </w:rPr>
              <w:t>分</w:t>
            </w:r>
          </w:p>
        </w:tc>
        <w:tc>
          <w:tcPr>
            <w:tcW w:w="679" w:type="dxa"/>
            <w:vAlign w:val="top"/>
          </w:tcPr>
          <w:p w14:paraId="39E3E7E6">
            <w:pPr>
              <w:keepNext w:val="0"/>
              <w:keepLines/>
              <w:pageBreakBefore w:val="0"/>
              <w:widowControl w:val="0"/>
              <w:kinsoku/>
              <w:wordWrap/>
              <w:overflowPunct/>
              <w:topLinePunct w:val="0"/>
              <w:autoSpaceDE/>
              <w:autoSpaceDN/>
              <w:bidi w:val="0"/>
              <w:adjustRightInd/>
              <w:snapToGrid/>
              <w:textAlignment w:val="auto"/>
              <w:rPr>
                <w:rFonts w:ascii="Arial"/>
                <w:color w:val="auto"/>
                <w:sz w:val="21"/>
                <w:highlight w:val="none"/>
              </w:rPr>
            </w:pPr>
          </w:p>
        </w:tc>
      </w:tr>
      <w:tr w14:paraId="65DF6A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5" w:hRule="atLeast"/>
        </w:trPr>
        <w:tc>
          <w:tcPr>
            <w:tcW w:w="848" w:type="dxa"/>
            <w:vMerge w:val="continue"/>
            <w:tcBorders>
              <w:top w:val="nil"/>
              <w:bottom w:val="nil"/>
            </w:tcBorders>
            <w:vAlign w:val="center"/>
          </w:tcPr>
          <w:p w14:paraId="6F96A571">
            <w:pPr>
              <w:keepNext w:val="0"/>
              <w:keepLines/>
              <w:pageBreakBefore w:val="0"/>
              <w:widowControl w:val="0"/>
              <w:kinsoku/>
              <w:wordWrap/>
              <w:overflowPunct/>
              <w:topLinePunct w:val="0"/>
              <w:autoSpaceDE/>
              <w:autoSpaceDN/>
              <w:bidi w:val="0"/>
              <w:adjustRightInd/>
              <w:snapToGrid/>
              <w:jc w:val="center"/>
              <w:textAlignment w:val="auto"/>
              <w:rPr>
                <w:rFonts w:ascii="Arial"/>
                <w:color w:val="auto"/>
                <w:sz w:val="21"/>
                <w:highlight w:val="none"/>
              </w:rPr>
            </w:pPr>
          </w:p>
        </w:tc>
        <w:tc>
          <w:tcPr>
            <w:tcW w:w="667" w:type="dxa"/>
            <w:vMerge w:val="continue"/>
            <w:tcBorders>
              <w:top w:val="nil"/>
              <w:bottom w:val="nil"/>
            </w:tcBorders>
            <w:vAlign w:val="center"/>
          </w:tcPr>
          <w:p w14:paraId="343C7A6E">
            <w:pPr>
              <w:keepNext w:val="0"/>
              <w:keepLines/>
              <w:pageBreakBefore w:val="0"/>
              <w:widowControl w:val="0"/>
              <w:kinsoku/>
              <w:wordWrap/>
              <w:overflowPunct/>
              <w:topLinePunct w:val="0"/>
              <w:autoSpaceDE/>
              <w:autoSpaceDN/>
              <w:bidi w:val="0"/>
              <w:adjustRightInd/>
              <w:snapToGrid/>
              <w:jc w:val="center"/>
              <w:textAlignment w:val="auto"/>
              <w:rPr>
                <w:rFonts w:ascii="Arial"/>
                <w:color w:val="auto"/>
                <w:sz w:val="21"/>
                <w:highlight w:val="none"/>
              </w:rPr>
            </w:pPr>
          </w:p>
        </w:tc>
        <w:tc>
          <w:tcPr>
            <w:tcW w:w="4829" w:type="dxa"/>
            <w:vAlign w:val="top"/>
          </w:tcPr>
          <w:p w14:paraId="6A7751A3">
            <w:pPr>
              <w:pStyle w:val="157"/>
              <w:keepNext w:val="0"/>
              <w:keepLines/>
              <w:pageBreakBefore w:val="0"/>
              <w:widowControl w:val="0"/>
              <w:kinsoku/>
              <w:wordWrap/>
              <w:overflowPunct/>
              <w:topLinePunct w:val="0"/>
              <w:autoSpaceDE/>
              <w:autoSpaceDN/>
              <w:bidi w:val="0"/>
              <w:adjustRightInd/>
              <w:snapToGrid/>
              <w:spacing w:before="43" w:line="260" w:lineRule="auto"/>
              <w:ind w:left="17" w:firstLine="3"/>
              <w:textAlignment w:val="auto"/>
              <w:rPr>
                <w:color w:val="auto"/>
                <w:highlight w:val="none"/>
              </w:rPr>
            </w:pPr>
            <w:r>
              <w:rPr>
                <w:color w:val="auto"/>
                <w:spacing w:val="-5"/>
                <w:highlight w:val="none"/>
              </w:rPr>
              <w:t>非机动车有集中停放场地，管理有序，停放整齐，场</w:t>
            </w:r>
            <w:r>
              <w:rPr>
                <w:color w:val="auto"/>
                <w:spacing w:val="-2"/>
                <w:highlight w:val="none"/>
              </w:rPr>
              <w:t>地整洁</w:t>
            </w:r>
          </w:p>
        </w:tc>
        <w:tc>
          <w:tcPr>
            <w:tcW w:w="815" w:type="dxa"/>
            <w:vAlign w:val="top"/>
          </w:tcPr>
          <w:p w14:paraId="2E6C219B">
            <w:pPr>
              <w:pStyle w:val="157"/>
              <w:keepNext w:val="0"/>
              <w:keepLines/>
              <w:pageBreakBefore w:val="0"/>
              <w:widowControl w:val="0"/>
              <w:kinsoku/>
              <w:wordWrap/>
              <w:overflowPunct/>
              <w:topLinePunct w:val="0"/>
              <w:autoSpaceDE/>
              <w:autoSpaceDN/>
              <w:bidi w:val="0"/>
              <w:adjustRightInd/>
              <w:snapToGrid/>
              <w:spacing w:before="207"/>
              <w:ind w:left="449"/>
              <w:textAlignment w:val="auto"/>
              <w:rPr>
                <w:color w:val="auto"/>
                <w:highlight w:val="none"/>
              </w:rPr>
            </w:pPr>
            <w:r>
              <w:rPr>
                <w:color w:val="auto"/>
                <w:highlight w:val="none"/>
              </w:rPr>
              <w:t>3</w:t>
            </w:r>
          </w:p>
        </w:tc>
        <w:tc>
          <w:tcPr>
            <w:tcW w:w="1803" w:type="dxa"/>
            <w:vAlign w:val="top"/>
          </w:tcPr>
          <w:p w14:paraId="4AE1919E">
            <w:pPr>
              <w:pStyle w:val="157"/>
              <w:keepNext w:val="0"/>
              <w:keepLines/>
              <w:pageBreakBefore w:val="0"/>
              <w:widowControl w:val="0"/>
              <w:kinsoku/>
              <w:wordWrap/>
              <w:overflowPunct/>
              <w:topLinePunct w:val="0"/>
              <w:autoSpaceDE/>
              <w:autoSpaceDN/>
              <w:bidi w:val="0"/>
              <w:adjustRightInd/>
              <w:snapToGrid/>
              <w:spacing w:before="208" w:line="220" w:lineRule="auto"/>
              <w:ind w:left="356"/>
              <w:textAlignment w:val="auto"/>
              <w:rPr>
                <w:color w:val="auto"/>
                <w:highlight w:val="none"/>
              </w:rPr>
            </w:pPr>
            <w:r>
              <w:rPr>
                <w:color w:val="auto"/>
                <w:spacing w:val="-4"/>
                <w:highlight w:val="none"/>
              </w:rPr>
              <w:t>达不到扣</w:t>
            </w:r>
            <w:r>
              <w:rPr>
                <w:color w:val="auto"/>
                <w:spacing w:val="-29"/>
                <w:highlight w:val="none"/>
              </w:rPr>
              <w:t xml:space="preserve"> </w:t>
            </w:r>
            <w:r>
              <w:rPr>
                <w:color w:val="auto"/>
                <w:spacing w:val="-4"/>
                <w:highlight w:val="none"/>
              </w:rPr>
              <w:t>3</w:t>
            </w:r>
            <w:r>
              <w:rPr>
                <w:color w:val="auto"/>
                <w:spacing w:val="-34"/>
                <w:highlight w:val="none"/>
              </w:rPr>
              <w:t xml:space="preserve"> </w:t>
            </w:r>
            <w:r>
              <w:rPr>
                <w:color w:val="auto"/>
                <w:spacing w:val="-4"/>
                <w:highlight w:val="none"/>
              </w:rPr>
              <w:t>分</w:t>
            </w:r>
          </w:p>
        </w:tc>
        <w:tc>
          <w:tcPr>
            <w:tcW w:w="679" w:type="dxa"/>
            <w:vAlign w:val="top"/>
          </w:tcPr>
          <w:p w14:paraId="43197337">
            <w:pPr>
              <w:keepNext w:val="0"/>
              <w:keepLines/>
              <w:pageBreakBefore w:val="0"/>
              <w:widowControl w:val="0"/>
              <w:kinsoku/>
              <w:wordWrap/>
              <w:overflowPunct/>
              <w:topLinePunct w:val="0"/>
              <w:autoSpaceDE/>
              <w:autoSpaceDN/>
              <w:bidi w:val="0"/>
              <w:adjustRightInd/>
              <w:snapToGrid/>
              <w:textAlignment w:val="auto"/>
              <w:rPr>
                <w:rFonts w:ascii="Arial"/>
                <w:color w:val="auto"/>
                <w:sz w:val="21"/>
                <w:highlight w:val="none"/>
              </w:rPr>
            </w:pPr>
          </w:p>
        </w:tc>
      </w:tr>
      <w:tr w14:paraId="421FD6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0" w:hRule="atLeast"/>
        </w:trPr>
        <w:tc>
          <w:tcPr>
            <w:tcW w:w="848" w:type="dxa"/>
            <w:vMerge w:val="continue"/>
            <w:tcBorders>
              <w:top w:val="nil"/>
            </w:tcBorders>
            <w:vAlign w:val="center"/>
          </w:tcPr>
          <w:p w14:paraId="02336E1B">
            <w:pPr>
              <w:keepNext w:val="0"/>
              <w:keepLines/>
              <w:pageBreakBefore w:val="0"/>
              <w:widowControl w:val="0"/>
              <w:kinsoku/>
              <w:wordWrap/>
              <w:overflowPunct/>
              <w:topLinePunct w:val="0"/>
              <w:autoSpaceDE/>
              <w:autoSpaceDN/>
              <w:bidi w:val="0"/>
              <w:adjustRightInd/>
              <w:snapToGrid/>
              <w:jc w:val="center"/>
              <w:textAlignment w:val="auto"/>
              <w:rPr>
                <w:rFonts w:ascii="Arial"/>
                <w:color w:val="auto"/>
                <w:sz w:val="21"/>
                <w:highlight w:val="none"/>
              </w:rPr>
            </w:pPr>
          </w:p>
        </w:tc>
        <w:tc>
          <w:tcPr>
            <w:tcW w:w="667" w:type="dxa"/>
            <w:vMerge w:val="continue"/>
            <w:tcBorders>
              <w:top w:val="nil"/>
            </w:tcBorders>
            <w:vAlign w:val="center"/>
          </w:tcPr>
          <w:p w14:paraId="11159BAF">
            <w:pPr>
              <w:keepNext w:val="0"/>
              <w:keepLines/>
              <w:pageBreakBefore w:val="0"/>
              <w:widowControl w:val="0"/>
              <w:kinsoku/>
              <w:wordWrap/>
              <w:overflowPunct/>
              <w:topLinePunct w:val="0"/>
              <w:autoSpaceDE/>
              <w:autoSpaceDN/>
              <w:bidi w:val="0"/>
              <w:adjustRightInd/>
              <w:snapToGrid/>
              <w:jc w:val="center"/>
              <w:textAlignment w:val="auto"/>
              <w:rPr>
                <w:rFonts w:ascii="Arial"/>
                <w:color w:val="auto"/>
                <w:sz w:val="21"/>
                <w:highlight w:val="none"/>
              </w:rPr>
            </w:pPr>
          </w:p>
        </w:tc>
        <w:tc>
          <w:tcPr>
            <w:tcW w:w="4829" w:type="dxa"/>
            <w:vAlign w:val="top"/>
          </w:tcPr>
          <w:p w14:paraId="5ECAFB7B">
            <w:pPr>
              <w:pStyle w:val="157"/>
              <w:keepNext w:val="0"/>
              <w:keepLines/>
              <w:pageBreakBefore w:val="0"/>
              <w:widowControl w:val="0"/>
              <w:kinsoku/>
              <w:wordWrap/>
              <w:overflowPunct/>
              <w:topLinePunct w:val="0"/>
              <w:autoSpaceDE/>
              <w:autoSpaceDN/>
              <w:bidi w:val="0"/>
              <w:adjustRightInd/>
              <w:snapToGrid/>
              <w:spacing w:before="148" w:line="220" w:lineRule="auto"/>
              <w:ind w:left="20"/>
              <w:textAlignment w:val="auto"/>
              <w:rPr>
                <w:color w:val="auto"/>
                <w:highlight w:val="none"/>
              </w:rPr>
            </w:pPr>
            <w:r>
              <w:rPr>
                <w:color w:val="auto"/>
                <w:spacing w:val="-1"/>
                <w:highlight w:val="none"/>
              </w:rPr>
              <w:t>危及人身安全处设有明显标志和防范措施</w:t>
            </w:r>
          </w:p>
        </w:tc>
        <w:tc>
          <w:tcPr>
            <w:tcW w:w="815" w:type="dxa"/>
            <w:vAlign w:val="top"/>
          </w:tcPr>
          <w:p w14:paraId="698DC89F">
            <w:pPr>
              <w:pStyle w:val="157"/>
              <w:keepNext w:val="0"/>
              <w:keepLines/>
              <w:pageBreakBefore w:val="0"/>
              <w:widowControl w:val="0"/>
              <w:kinsoku/>
              <w:wordWrap/>
              <w:overflowPunct/>
              <w:topLinePunct w:val="0"/>
              <w:autoSpaceDE/>
              <w:autoSpaceDN/>
              <w:bidi w:val="0"/>
              <w:adjustRightInd/>
              <w:snapToGrid/>
              <w:spacing w:before="148"/>
              <w:ind w:left="449"/>
              <w:textAlignment w:val="auto"/>
              <w:rPr>
                <w:color w:val="auto"/>
                <w:highlight w:val="none"/>
              </w:rPr>
            </w:pPr>
            <w:r>
              <w:rPr>
                <w:color w:val="auto"/>
                <w:highlight w:val="none"/>
              </w:rPr>
              <w:t>5</w:t>
            </w:r>
          </w:p>
        </w:tc>
        <w:tc>
          <w:tcPr>
            <w:tcW w:w="1803" w:type="dxa"/>
            <w:vAlign w:val="top"/>
          </w:tcPr>
          <w:p w14:paraId="2502AFFC">
            <w:pPr>
              <w:pStyle w:val="157"/>
              <w:keepNext w:val="0"/>
              <w:keepLines/>
              <w:pageBreakBefore w:val="0"/>
              <w:widowControl w:val="0"/>
              <w:kinsoku/>
              <w:wordWrap/>
              <w:overflowPunct/>
              <w:topLinePunct w:val="0"/>
              <w:autoSpaceDE/>
              <w:autoSpaceDN/>
              <w:bidi w:val="0"/>
              <w:adjustRightInd/>
              <w:snapToGrid/>
              <w:spacing w:before="148" w:line="220" w:lineRule="auto"/>
              <w:ind w:left="356"/>
              <w:textAlignment w:val="auto"/>
              <w:rPr>
                <w:color w:val="auto"/>
                <w:highlight w:val="none"/>
              </w:rPr>
            </w:pPr>
            <w:r>
              <w:rPr>
                <w:color w:val="auto"/>
                <w:spacing w:val="-4"/>
                <w:highlight w:val="none"/>
              </w:rPr>
              <w:t>达不到扣</w:t>
            </w:r>
            <w:r>
              <w:rPr>
                <w:color w:val="auto"/>
                <w:spacing w:val="-29"/>
                <w:highlight w:val="none"/>
              </w:rPr>
              <w:t xml:space="preserve"> </w:t>
            </w:r>
            <w:r>
              <w:rPr>
                <w:color w:val="auto"/>
                <w:spacing w:val="-4"/>
                <w:highlight w:val="none"/>
              </w:rPr>
              <w:t>5</w:t>
            </w:r>
            <w:r>
              <w:rPr>
                <w:color w:val="auto"/>
                <w:spacing w:val="-34"/>
                <w:highlight w:val="none"/>
              </w:rPr>
              <w:t xml:space="preserve"> </w:t>
            </w:r>
            <w:r>
              <w:rPr>
                <w:color w:val="auto"/>
                <w:spacing w:val="-4"/>
                <w:highlight w:val="none"/>
              </w:rPr>
              <w:t>分</w:t>
            </w:r>
          </w:p>
        </w:tc>
        <w:tc>
          <w:tcPr>
            <w:tcW w:w="679" w:type="dxa"/>
            <w:vAlign w:val="top"/>
          </w:tcPr>
          <w:p w14:paraId="62F07F90">
            <w:pPr>
              <w:keepNext w:val="0"/>
              <w:keepLines/>
              <w:pageBreakBefore w:val="0"/>
              <w:widowControl w:val="0"/>
              <w:kinsoku/>
              <w:wordWrap/>
              <w:overflowPunct/>
              <w:topLinePunct w:val="0"/>
              <w:autoSpaceDE/>
              <w:autoSpaceDN/>
              <w:bidi w:val="0"/>
              <w:adjustRightInd/>
              <w:snapToGrid/>
              <w:textAlignment w:val="auto"/>
              <w:rPr>
                <w:rFonts w:ascii="Arial"/>
                <w:color w:val="auto"/>
                <w:sz w:val="21"/>
                <w:highlight w:val="none"/>
              </w:rPr>
            </w:pPr>
          </w:p>
        </w:tc>
      </w:tr>
      <w:tr w14:paraId="2504EF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5" w:hRule="atLeast"/>
        </w:trPr>
        <w:tc>
          <w:tcPr>
            <w:tcW w:w="848" w:type="dxa"/>
            <w:vMerge w:val="restart"/>
            <w:tcBorders>
              <w:bottom w:val="nil"/>
            </w:tcBorders>
            <w:vAlign w:val="center"/>
          </w:tcPr>
          <w:p w14:paraId="185D4FC5">
            <w:pPr>
              <w:pStyle w:val="157"/>
              <w:keepNext w:val="0"/>
              <w:keepLines/>
              <w:pageBreakBefore w:val="0"/>
              <w:widowControl w:val="0"/>
              <w:kinsoku/>
              <w:wordWrap/>
              <w:overflowPunct/>
              <w:topLinePunct w:val="0"/>
              <w:autoSpaceDE/>
              <w:autoSpaceDN/>
              <w:bidi w:val="0"/>
              <w:adjustRightInd/>
              <w:snapToGrid/>
              <w:spacing w:before="69" w:line="220" w:lineRule="auto"/>
              <w:jc w:val="center"/>
              <w:textAlignment w:val="auto"/>
              <w:rPr>
                <w:color w:val="auto"/>
                <w:highlight w:val="none"/>
              </w:rPr>
            </w:pPr>
            <w:r>
              <w:rPr>
                <w:color w:val="auto"/>
                <w:spacing w:val="-2"/>
                <w:highlight w:val="none"/>
              </w:rPr>
              <w:t>环境卫生</w:t>
            </w:r>
          </w:p>
          <w:p w14:paraId="0F60EC17">
            <w:pPr>
              <w:pStyle w:val="157"/>
              <w:keepNext w:val="0"/>
              <w:keepLines/>
              <w:pageBreakBefore w:val="0"/>
              <w:widowControl w:val="0"/>
              <w:kinsoku/>
              <w:wordWrap/>
              <w:overflowPunct/>
              <w:topLinePunct w:val="0"/>
              <w:autoSpaceDE/>
              <w:autoSpaceDN/>
              <w:bidi w:val="0"/>
              <w:adjustRightInd/>
              <w:snapToGrid/>
              <w:spacing w:before="63" w:line="220" w:lineRule="auto"/>
              <w:jc w:val="center"/>
              <w:textAlignment w:val="auto"/>
              <w:rPr>
                <w:color w:val="auto"/>
                <w:highlight w:val="none"/>
              </w:rPr>
            </w:pPr>
            <w:r>
              <w:rPr>
                <w:color w:val="auto"/>
                <w:spacing w:val="-4"/>
                <w:highlight w:val="none"/>
              </w:rPr>
              <w:t>管理</w:t>
            </w:r>
          </w:p>
        </w:tc>
        <w:tc>
          <w:tcPr>
            <w:tcW w:w="667" w:type="dxa"/>
            <w:vMerge w:val="restart"/>
            <w:tcBorders>
              <w:bottom w:val="nil"/>
            </w:tcBorders>
            <w:vAlign w:val="center"/>
          </w:tcPr>
          <w:p w14:paraId="6FACCD3E">
            <w:pPr>
              <w:pStyle w:val="157"/>
              <w:keepNext w:val="0"/>
              <w:keepLines/>
              <w:pageBreakBefore w:val="0"/>
              <w:widowControl w:val="0"/>
              <w:kinsoku/>
              <w:wordWrap/>
              <w:overflowPunct/>
              <w:topLinePunct w:val="0"/>
              <w:autoSpaceDE/>
              <w:autoSpaceDN/>
              <w:bidi w:val="0"/>
              <w:adjustRightInd/>
              <w:snapToGrid/>
              <w:spacing w:before="69" w:line="220" w:lineRule="auto"/>
              <w:jc w:val="center"/>
              <w:textAlignment w:val="auto"/>
              <w:rPr>
                <w:color w:val="auto"/>
                <w:highlight w:val="none"/>
              </w:rPr>
            </w:pPr>
            <w:r>
              <w:rPr>
                <w:color w:val="auto"/>
                <w:spacing w:val="-4"/>
                <w:highlight w:val="none"/>
              </w:rPr>
              <w:t>20</w:t>
            </w:r>
            <w:r>
              <w:rPr>
                <w:color w:val="auto"/>
                <w:spacing w:val="-34"/>
                <w:highlight w:val="none"/>
              </w:rPr>
              <w:t xml:space="preserve"> </w:t>
            </w:r>
            <w:r>
              <w:rPr>
                <w:color w:val="auto"/>
                <w:spacing w:val="-4"/>
                <w:highlight w:val="none"/>
              </w:rPr>
              <w:t>分</w:t>
            </w:r>
          </w:p>
        </w:tc>
        <w:tc>
          <w:tcPr>
            <w:tcW w:w="4829" w:type="dxa"/>
            <w:vAlign w:val="top"/>
          </w:tcPr>
          <w:p w14:paraId="7D6543A2">
            <w:pPr>
              <w:pStyle w:val="157"/>
              <w:keepNext w:val="0"/>
              <w:keepLines/>
              <w:pageBreakBefore w:val="0"/>
              <w:widowControl w:val="0"/>
              <w:kinsoku/>
              <w:wordWrap/>
              <w:overflowPunct/>
              <w:topLinePunct w:val="0"/>
              <w:autoSpaceDE/>
              <w:autoSpaceDN/>
              <w:bidi w:val="0"/>
              <w:adjustRightInd/>
              <w:snapToGrid/>
              <w:spacing w:before="43" w:line="260" w:lineRule="auto"/>
              <w:ind w:left="19" w:right="7" w:firstLine="4"/>
              <w:textAlignment w:val="auto"/>
              <w:rPr>
                <w:color w:val="auto"/>
                <w:highlight w:val="none"/>
              </w:rPr>
            </w:pPr>
            <w:r>
              <w:rPr>
                <w:color w:val="auto"/>
                <w:spacing w:val="-5"/>
                <w:highlight w:val="none"/>
              </w:rPr>
              <w:t>公共卫生整洁，生活垃圾、装潢垃圾清理及时；垃圾</w:t>
            </w:r>
            <w:r>
              <w:rPr>
                <w:color w:val="auto"/>
                <w:spacing w:val="6"/>
                <w:highlight w:val="none"/>
              </w:rPr>
              <w:t xml:space="preserve"> </w:t>
            </w:r>
            <w:r>
              <w:rPr>
                <w:color w:val="auto"/>
                <w:spacing w:val="-1"/>
                <w:highlight w:val="none"/>
              </w:rPr>
              <w:t>桶完好，外表干净</w:t>
            </w:r>
          </w:p>
        </w:tc>
        <w:tc>
          <w:tcPr>
            <w:tcW w:w="815" w:type="dxa"/>
            <w:vAlign w:val="top"/>
          </w:tcPr>
          <w:p w14:paraId="74F6960C">
            <w:pPr>
              <w:pStyle w:val="157"/>
              <w:keepNext w:val="0"/>
              <w:keepLines/>
              <w:pageBreakBefore w:val="0"/>
              <w:widowControl w:val="0"/>
              <w:kinsoku/>
              <w:wordWrap/>
              <w:overflowPunct/>
              <w:topLinePunct w:val="0"/>
              <w:autoSpaceDE/>
              <w:autoSpaceDN/>
              <w:bidi w:val="0"/>
              <w:adjustRightInd/>
              <w:snapToGrid/>
              <w:spacing w:before="208"/>
              <w:ind w:left="449"/>
              <w:textAlignment w:val="auto"/>
              <w:rPr>
                <w:color w:val="auto"/>
                <w:highlight w:val="none"/>
              </w:rPr>
            </w:pPr>
            <w:r>
              <w:rPr>
                <w:color w:val="auto"/>
                <w:highlight w:val="none"/>
              </w:rPr>
              <w:t>5</w:t>
            </w:r>
          </w:p>
        </w:tc>
        <w:tc>
          <w:tcPr>
            <w:tcW w:w="1803" w:type="dxa"/>
            <w:vAlign w:val="top"/>
          </w:tcPr>
          <w:p w14:paraId="51D3E829">
            <w:pPr>
              <w:pStyle w:val="157"/>
              <w:keepNext w:val="0"/>
              <w:keepLines/>
              <w:pageBreakBefore w:val="0"/>
              <w:widowControl w:val="0"/>
              <w:kinsoku/>
              <w:wordWrap/>
              <w:overflowPunct/>
              <w:topLinePunct w:val="0"/>
              <w:autoSpaceDE/>
              <w:autoSpaceDN/>
              <w:bidi w:val="0"/>
              <w:adjustRightInd/>
              <w:snapToGrid/>
              <w:spacing w:before="208" w:line="220" w:lineRule="auto"/>
              <w:ind w:left="360"/>
              <w:textAlignment w:val="auto"/>
              <w:rPr>
                <w:color w:val="auto"/>
                <w:highlight w:val="none"/>
              </w:rPr>
            </w:pPr>
            <w:r>
              <w:rPr>
                <w:color w:val="auto"/>
                <w:spacing w:val="-4"/>
                <w:highlight w:val="none"/>
              </w:rPr>
              <w:t>不符合扣</w:t>
            </w:r>
            <w:r>
              <w:rPr>
                <w:color w:val="auto"/>
                <w:spacing w:val="-33"/>
                <w:highlight w:val="none"/>
              </w:rPr>
              <w:t xml:space="preserve"> </w:t>
            </w:r>
            <w:r>
              <w:rPr>
                <w:color w:val="auto"/>
                <w:spacing w:val="-4"/>
                <w:highlight w:val="none"/>
              </w:rPr>
              <w:t>5</w:t>
            </w:r>
            <w:r>
              <w:rPr>
                <w:color w:val="auto"/>
                <w:spacing w:val="-34"/>
                <w:highlight w:val="none"/>
              </w:rPr>
              <w:t xml:space="preserve"> </w:t>
            </w:r>
            <w:r>
              <w:rPr>
                <w:color w:val="auto"/>
                <w:spacing w:val="-4"/>
                <w:highlight w:val="none"/>
              </w:rPr>
              <w:t>分</w:t>
            </w:r>
          </w:p>
        </w:tc>
        <w:tc>
          <w:tcPr>
            <w:tcW w:w="679" w:type="dxa"/>
            <w:vAlign w:val="top"/>
          </w:tcPr>
          <w:p w14:paraId="0253EF7A">
            <w:pPr>
              <w:keepNext w:val="0"/>
              <w:keepLines/>
              <w:pageBreakBefore w:val="0"/>
              <w:widowControl w:val="0"/>
              <w:kinsoku/>
              <w:wordWrap/>
              <w:overflowPunct/>
              <w:topLinePunct w:val="0"/>
              <w:autoSpaceDE/>
              <w:autoSpaceDN/>
              <w:bidi w:val="0"/>
              <w:adjustRightInd/>
              <w:snapToGrid/>
              <w:textAlignment w:val="auto"/>
              <w:rPr>
                <w:rFonts w:ascii="Arial"/>
                <w:color w:val="auto"/>
                <w:sz w:val="21"/>
                <w:highlight w:val="none"/>
              </w:rPr>
            </w:pPr>
          </w:p>
        </w:tc>
      </w:tr>
      <w:tr w14:paraId="1E6CF2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848" w:type="dxa"/>
            <w:vMerge w:val="continue"/>
            <w:tcBorders>
              <w:top w:val="nil"/>
              <w:bottom w:val="nil"/>
            </w:tcBorders>
            <w:vAlign w:val="center"/>
          </w:tcPr>
          <w:p w14:paraId="1E1DAB5F">
            <w:pPr>
              <w:keepNext w:val="0"/>
              <w:keepLines/>
              <w:pageBreakBefore w:val="0"/>
              <w:widowControl w:val="0"/>
              <w:kinsoku/>
              <w:wordWrap/>
              <w:overflowPunct/>
              <w:topLinePunct w:val="0"/>
              <w:autoSpaceDE/>
              <w:autoSpaceDN/>
              <w:bidi w:val="0"/>
              <w:adjustRightInd/>
              <w:snapToGrid/>
              <w:jc w:val="center"/>
              <w:textAlignment w:val="auto"/>
              <w:rPr>
                <w:rFonts w:ascii="Arial"/>
                <w:color w:val="auto"/>
                <w:sz w:val="21"/>
                <w:highlight w:val="none"/>
              </w:rPr>
            </w:pPr>
          </w:p>
        </w:tc>
        <w:tc>
          <w:tcPr>
            <w:tcW w:w="667" w:type="dxa"/>
            <w:vMerge w:val="continue"/>
            <w:tcBorders>
              <w:top w:val="nil"/>
              <w:bottom w:val="nil"/>
            </w:tcBorders>
            <w:vAlign w:val="center"/>
          </w:tcPr>
          <w:p w14:paraId="37652762">
            <w:pPr>
              <w:keepNext w:val="0"/>
              <w:keepLines/>
              <w:pageBreakBefore w:val="0"/>
              <w:widowControl w:val="0"/>
              <w:kinsoku/>
              <w:wordWrap/>
              <w:overflowPunct/>
              <w:topLinePunct w:val="0"/>
              <w:autoSpaceDE/>
              <w:autoSpaceDN/>
              <w:bidi w:val="0"/>
              <w:adjustRightInd/>
              <w:snapToGrid/>
              <w:jc w:val="center"/>
              <w:textAlignment w:val="auto"/>
              <w:rPr>
                <w:rFonts w:ascii="Arial"/>
                <w:color w:val="auto"/>
                <w:sz w:val="21"/>
                <w:highlight w:val="none"/>
              </w:rPr>
            </w:pPr>
          </w:p>
        </w:tc>
        <w:tc>
          <w:tcPr>
            <w:tcW w:w="4829" w:type="dxa"/>
            <w:vAlign w:val="top"/>
          </w:tcPr>
          <w:p w14:paraId="3172D893">
            <w:pPr>
              <w:pStyle w:val="157"/>
              <w:keepNext w:val="0"/>
              <w:keepLines/>
              <w:pageBreakBefore w:val="0"/>
              <w:widowControl w:val="0"/>
              <w:kinsoku/>
              <w:wordWrap/>
              <w:overflowPunct/>
              <w:topLinePunct w:val="0"/>
              <w:autoSpaceDE/>
              <w:autoSpaceDN/>
              <w:bidi w:val="0"/>
              <w:adjustRightInd/>
              <w:snapToGrid/>
              <w:spacing w:before="149" w:line="220" w:lineRule="auto"/>
              <w:ind w:left="24"/>
              <w:textAlignment w:val="auto"/>
              <w:rPr>
                <w:color w:val="auto"/>
                <w:highlight w:val="none"/>
              </w:rPr>
            </w:pPr>
            <w:r>
              <w:rPr>
                <w:color w:val="auto"/>
                <w:spacing w:val="-1"/>
                <w:highlight w:val="none"/>
              </w:rPr>
              <w:t>公共楼梯、扶栏、电梯内外等部位卫生清洁</w:t>
            </w:r>
          </w:p>
        </w:tc>
        <w:tc>
          <w:tcPr>
            <w:tcW w:w="815" w:type="dxa"/>
            <w:vAlign w:val="top"/>
          </w:tcPr>
          <w:p w14:paraId="08086ECA">
            <w:pPr>
              <w:pStyle w:val="157"/>
              <w:keepNext w:val="0"/>
              <w:keepLines/>
              <w:pageBreakBefore w:val="0"/>
              <w:widowControl w:val="0"/>
              <w:kinsoku/>
              <w:wordWrap/>
              <w:overflowPunct/>
              <w:topLinePunct w:val="0"/>
              <w:autoSpaceDE/>
              <w:autoSpaceDN/>
              <w:bidi w:val="0"/>
              <w:adjustRightInd/>
              <w:snapToGrid/>
              <w:spacing w:before="149"/>
              <w:ind w:left="449"/>
              <w:textAlignment w:val="auto"/>
              <w:rPr>
                <w:color w:val="auto"/>
                <w:highlight w:val="none"/>
              </w:rPr>
            </w:pPr>
            <w:r>
              <w:rPr>
                <w:color w:val="auto"/>
                <w:highlight w:val="none"/>
              </w:rPr>
              <w:t>5</w:t>
            </w:r>
          </w:p>
        </w:tc>
        <w:tc>
          <w:tcPr>
            <w:tcW w:w="1803" w:type="dxa"/>
            <w:vAlign w:val="top"/>
          </w:tcPr>
          <w:p w14:paraId="7DF0D549">
            <w:pPr>
              <w:pStyle w:val="157"/>
              <w:keepNext w:val="0"/>
              <w:keepLines/>
              <w:pageBreakBefore w:val="0"/>
              <w:widowControl w:val="0"/>
              <w:kinsoku/>
              <w:wordWrap/>
              <w:overflowPunct/>
              <w:topLinePunct w:val="0"/>
              <w:autoSpaceDE/>
              <w:autoSpaceDN/>
              <w:bidi w:val="0"/>
              <w:adjustRightInd/>
              <w:snapToGrid/>
              <w:spacing w:before="149" w:line="220" w:lineRule="auto"/>
              <w:ind w:left="360"/>
              <w:textAlignment w:val="auto"/>
              <w:rPr>
                <w:color w:val="auto"/>
                <w:highlight w:val="none"/>
              </w:rPr>
            </w:pPr>
            <w:r>
              <w:rPr>
                <w:color w:val="auto"/>
                <w:spacing w:val="-4"/>
                <w:highlight w:val="none"/>
              </w:rPr>
              <w:t>不符合扣</w:t>
            </w:r>
            <w:r>
              <w:rPr>
                <w:color w:val="auto"/>
                <w:spacing w:val="-33"/>
                <w:highlight w:val="none"/>
              </w:rPr>
              <w:t xml:space="preserve"> </w:t>
            </w:r>
            <w:r>
              <w:rPr>
                <w:color w:val="auto"/>
                <w:spacing w:val="-4"/>
                <w:highlight w:val="none"/>
              </w:rPr>
              <w:t>5</w:t>
            </w:r>
            <w:r>
              <w:rPr>
                <w:color w:val="auto"/>
                <w:spacing w:val="-34"/>
                <w:highlight w:val="none"/>
              </w:rPr>
              <w:t xml:space="preserve"> </w:t>
            </w:r>
            <w:r>
              <w:rPr>
                <w:color w:val="auto"/>
                <w:spacing w:val="-4"/>
                <w:highlight w:val="none"/>
              </w:rPr>
              <w:t>分</w:t>
            </w:r>
          </w:p>
        </w:tc>
        <w:tc>
          <w:tcPr>
            <w:tcW w:w="679" w:type="dxa"/>
            <w:vAlign w:val="top"/>
          </w:tcPr>
          <w:p w14:paraId="54B491CD">
            <w:pPr>
              <w:keepNext w:val="0"/>
              <w:keepLines/>
              <w:pageBreakBefore w:val="0"/>
              <w:widowControl w:val="0"/>
              <w:kinsoku/>
              <w:wordWrap/>
              <w:overflowPunct/>
              <w:topLinePunct w:val="0"/>
              <w:autoSpaceDE/>
              <w:autoSpaceDN/>
              <w:bidi w:val="0"/>
              <w:adjustRightInd/>
              <w:snapToGrid/>
              <w:textAlignment w:val="auto"/>
              <w:rPr>
                <w:rFonts w:ascii="Arial"/>
                <w:color w:val="auto"/>
                <w:sz w:val="21"/>
                <w:highlight w:val="none"/>
              </w:rPr>
            </w:pPr>
          </w:p>
        </w:tc>
      </w:tr>
      <w:tr w14:paraId="290EC9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848" w:type="dxa"/>
            <w:vMerge w:val="continue"/>
            <w:tcBorders>
              <w:top w:val="nil"/>
              <w:bottom w:val="nil"/>
            </w:tcBorders>
            <w:vAlign w:val="center"/>
          </w:tcPr>
          <w:p w14:paraId="28E5FA5C">
            <w:pPr>
              <w:keepNext w:val="0"/>
              <w:keepLines/>
              <w:pageBreakBefore w:val="0"/>
              <w:widowControl w:val="0"/>
              <w:kinsoku/>
              <w:wordWrap/>
              <w:overflowPunct/>
              <w:topLinePunct w:val="0"/>
              <w:autoSpaceDE/>
              <w:autoSpaceDN/>
              <w:bidi w:val="0"/>
              <w:adjustRightInd/>
              <w:snapToGrid/>
              <w:jc w:val="center"/>
              <w:textAlignment w:val="auto"/>
              <w:rPr>
                <w:rFonts w:ascii="Arial"/>
                <w:color w:val="auto"/>
                <w:sz w:val="21"/>
                <w:highlight w:val="none"/>
              </w:rPr>
            </w:pPr>
          </w:p>
        </w:tc>
        <w:tc>
          <w:tcPr>
            <w:tcW w:w="667" w:type="dxa"/>
            <w:vMerge w:val="continue"/>
            <w:tcBorders>
              <w:top w:val="nil"/>
              <w:bottom w:val="nil"/>
            </w:tcBorders>
            <w:vAlign w:val="center"/>
          </w:tcPr>
          <w:p w14:paraId="1076A2CC">
            <w:pPr>
              <w:keepNext w:val="0"/>
              <w:keepLines/>
              <w:pageBreakBefore w:val="0"/>
              <w:widowControl w:val="0"/>
              <w:kinsoku/>
              <w:wordWrap/>
              <w:overflowPunct/>
              <w:topLinePunct w:val="0"/>
              <w:autoSpaceDE/>
              <w:autoSpaceDN/>
              <w:bidi w:val="0"/>
              <w:adjustRightInd/>
              <w:snapToGrid/>
              <w:jc w:val="center"/>
              <w:textAlignment w:val="auto"/>
              <w:rPr>
                <w:rFonts w:ascii="Arial"/>
                <w:color w:val="auto"/>
                <w:sz w:val="21"/>
                <w:highlight w:val="none"/>
              </w:rPr>
            </w:pPr>
          </w:p>
        </w:tc>
        <w:tc>
          <w:tcPr>
            <w:tcW w:w="4829" w:type="dxa"/>
            <w:vAlign w:val="top"/>
          </w:tcPr>
          <w:p w14:paraId="52774ECD">
            <w:pPr>
              <w:pStyle w:val="157"/>
              <w:keepNext w:val="0"/>
              <w:keepLines/>
              <w:pageBreakBefore w:val="0"/>
              <w:widowControl w:val="0"/>
              <w:kinsoku/>
              <w:wordWrap/>
              <w:overflowPunct/>
              <w:topLinePunct w:val="0"/>
              <w:autoSpaceDE/>
              <w:autoSpaceDN/>
              <w:bidi w:val="0"/>
              <w:adjustRightInd/>
              <w:snapToGrid/>
              <w:spacing w:before="134" w:line="220" w:lineRule="auto"/>
              <w:ind w:left="24"/>
              <w:textAlignment w:val="auto"/>
              <w:rPr>
                <w:color w:val="auto"/>
                <w:highlight w:val="none"/>
              </w:rPr>
            </w:pPr>
            <w:r>
              <w:rPr>
                <w:color w:val="auto"/>
                <w:spacing w:val="-1"/>
                <w:highlight w:val="none"/>
              </w:rPr>
              <w:t>公共绿地、车位、场地无乱堆放杂物现象</w:t>
            </w:r>
          </w:p>
        </w:tc>
        <w:tc>
          <w:tcPr>
            <w:tcW w:w="815" w:type="dxa"/>
            <w:vAlign w:val="top"/>
          </w:tcPr>
          <w:p w14:paraId="196CBC03">
            <w:pPr>
              <w:pStyle w:val="157"/>
              <w:keepNext w:val="0"/>
              <w:keepLines/>
              <w:pageBreakBefore w:val="0"/>
              <w:widowControl w:val="0"/>
              <w:kinsoku/>
              <w:wordWrap/>
              <w:overflowPunct/>
              <w:topLinePunct w:val="0"/>
              <w:autoSpaceDE/>
              <w:autoSpaceDN/>
              <w:bidi w:val="0"/>
              <w:adjustRightInd/>
              <w:snapToGrid/>
              <w:spacing w:before="134"/>
              <w:ind w:left="449"/>
              <w:textAlignment w:val="auto"/>
              <w:rPr>
                <w:color w:val="auto"/>
                <w:highlight w:val="none"/>
              </w:rPr>
            </w:pPr>
            <w:r>
              <w:rPr>
                <w:color w:val="auto"/>
                <w:highlight w:val="none"/>
              </w:rPr>
              <w:t>3</w:t>
            </w:r>
          </w:p>
        </w:tc>
        <w:tc>
          <w:tcPr>
            <w:tcW w:w="1803" w:type="dxa"/>
            <w:vAlign w:val="top"/>
          </w:tcPr>
          <w:p w14:paraId="76D78237">
            <w:pPr>
              <w:pStyle w:val="157"/>
              <w:keepNext w:val="0"/>
              <w:keepLines/>
              <w:pageBreakBefore w:val="0"/>
              <w:widowControl w:val="0"/>
              <w:kinsoku/>
              <w:wordWrap/>
              <w:overflowPunct/>
              <w:topLinePunct w:val="0"/>
              <w:autoSpaceDE/>
              <w:autoSpaceDN/>
              <w:bidi w:val="0"/>
              <w:adjustRightInd/>
              <w:snapToGrid/>
              <w:spacing w:before="134" w:line="220" w:lineRule="auto"/>
              <w:ind w:left="360"/>
              <w:textAlignment w:val="auto"/>
              <w:rPr>
                <w:color w:val="auto"/>
                <w:highlight w:val="none"/>
              </w:rPr>
            </w:pPr>
            <w:r>
              <w:rPr>
                <w:color w:val="auto"/>
                <w:spacing w:val="-4"/>
                <w:highlight w:val="none"/>
              </w:rPr>
              <w:t>不符合扣</w:t>
            </w:r>
            <w:r>
              <w:rPr>
                <w:color w:val="auto"/>
                <w:spacing w:val="-33"/>
                <w:highlight w:val="none"/>
              </w:rPr>
              <w:t xml:space="preserve"> </w:t>
            </w:r>
            <w:r>
              <w:rPr>
                <w:color w:val="auto"/>
                <w:spacing w:val="-4"/>
                <w:highlight w:val="none"/>
              </w:rPr>
              <w:t>3</w:t>
            </w:r>
            <w:r>
              <w:rPr>
                <w:color w:val="auto"/>
                <w:spacing w:val="-34"/>
                <w:highlight w:val="none"/>
              </w:rPr>
              <w:t xml:space="preserve"> </w:t>
            </w:r>
            <w:r>
              <w:rPr>
                <w:color w:val="auto"/>
                <w:spacing w:val="-4"/>
                <w:highlight w:val="none"/>
              </w:rPr>
              <w:t>分</w:t>
            </w:r>
          </w:p>
        </w:tc>
        <w:tc>
          <w:tcPr>
            <w:tcW w:w="679" w:type="dxa"/>
            <w:vAlign w:val="top"/>
          </w:tcPr>
          <w:p w14:paraId="479831EB">
            <w:pPr>
              <w:keepNext w:val="0"/>
              <w:keepLines/>
              <w:pageBreakBefore w:val="0"/>
              <w:widowControl w:val="0"/>
              <w:kinsoku/>
              <w:wordWrap/>
              <w:overflowPunct/>
              <w:topLinePunct w:val="0"/>
              <w:autoSpaceDE/>
              <w:autoSpaceDN/>
              <w:bidi w:val="0"/>
              <w:adjustRightInd/>
              <w:snapToGrid/>
              <w:textAlignment w:val="auto"/>
              <w:rPr>
                <w:rFonts w:ascii="Arial"/>
                <w:color w:val="auto"/>
                <w:sz w:val="21"/>
                <w:highlight w:val="none"/>
              </w:rPr>
            </w:pPr>
          </w:p>
        </w:tc>
      </w:tr>
      <w:tr w14:paraId="0E512E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9" w:hRule="atLeast"/>
        </w:trPr>
        <w:tc>
          <w:tcPr>
            <w:tcW w:w="848" w:type="dxa"/>
            <w:vMerge w:val="continue"/>
            <w:tcBorders>
              <w:top w:val="nil"/>
              <w:bottom w:val="nil"/>
            </w:tcBorders>
            <w:vAlign w:val="center"/>
          </w:tcPr>
          <w:p w14:paraId="5C47C478">
            <w:pPr>
              <w:keepNext w:val="0"/>
              <w:keepLines/>
              <w:pageBreakBefore w:val="0"/>
              <w:widowControl w:val="0"/>
              <w:kinsoku/>
              <w:wordWrap/>
              <w:overflowPunct/>
              <w:topLinePunct w:val="0"/>
              <w:autoSpaceDE/>
              <w:autoSpaceDN/>
              <w:bidi w:val="0"/>
              <w:adjustRightInd/>
              <w:snapToGrid/>
              <w:jc w:val="center"/>
              <w:textAlignment w:val="auto"/>
              <w:rPr>
                <w:rFonts w:ascii="Arial"/>
                <w:color w:val="auto"/>
                <w:sz w:val="21"/>
                <w:highlight w:val="none"/>
              </w:rPr>
            </w:pPr>
          </w:p>
        </w:tc>
        <w:tc>
          <w:tcPr>
            <w:tcW w:w="667" w:type="dxa"/>
            <w:vMerge w:val="continue"/>
            <w:tcBorders>
              <w:top w:val="nil"/>
              <w:bottom w:val="nil"/>
            </w:tcBorders>
            <w:vAlign w:val="center"/>
          </w:tcPr>
          <w:p w14:paraId="289BFB29">
            <w:pPr>
              <w:keepNext w:val="0"/>
              <w:keepLines/>
              <w:pageBreakBefore w:val="0"/>
              <w:widowControl w:val="0"/>
              <w:kinsoku/>
              <w:wordWrap/>
              <w:overflowPunct/>
              <w:topLinePunct w:val="0"/>
              <w:autoSpaceDE/>
              <w:autoSpaceDN/>
              <w:bidi w:val="0"/>
              <w:adjustRightInd/>
              <w:snapToGrid/>
              <w:jc w:val="center"/>
              <w:textAlignment w:val="auto"/>
              <w:rPr>
                <w:rFonts w:ascii="Arial"/>
                <w:color w:val="auto"/>
                <w:sz w:val="21"/>
                <w:highlight w:val="none"/>
              </w:rPr>
            </w:pPr>
          </w:p>
        </w:tc>
        <w:tc>
          <w:tcPr>
            <w:tcW w:w="4829" w:type="dxa"/>
            <w:vAlign w:val="top"/>
          </w:tcPr>
          <w:p w14:paraId="2DC0427E">
            <w:pPr>
              <w:pStyle w:val="157"/>
              <w:keepNext w:val="0"/>
              <w:keepLines/>
              <w:pageBreakBefore w:val="0"/>
              <w:widowControl w:val="0"/>
              <w:kinsoku/>
              <w:wordWrap/>
              <w:overflowPunct/>
              <w:topLinePunct w:val="0"/>
              <w:autoSpaceDE/>
              <w:autoSpaceDN/>
              <w:bidi w:val="0"/>
              <w:adjustRightInd/>
              <w:snapToGrid/>
              <w:spacing w:before="59" w:line="259" w:lineRule="auto"/>
              <w:ind w:left="51" w:hanging="33"/>
              <w:textAlignment w:val="auto"/>
              <w:rPr>
                <w:color w:val="auto"/>
                <w:highlight w:val="none"/>
              </w:rPr>
            </w:pPr>
            <w:r>
              <w:rPr>
                <w:color w:val="auto"/>
                <w:spacing w:val="-4"/>
                <w:highlight w:val="none"/>
              </w:rPr>
              <w:t>房屋共用部位保持清洁，无乱贴乱画，无乱</w:t>
            </w:r>
            <w:r>
              <w:rPr>
                <w:color w:val="auto"/>
                <w:spacing w:val="-5"/>
                <w:highlight w:val="none"/>
              </w:rPr>
              <w:t>堆乱放和</w:t>
            </w:r>
            <w:r>
              <w:rPr>
                <w:color w:val="auto"/>
                <w:spacing w:val="-8"/>
                <w:highlight w:val="none"/>
              </w:rPr>
              <w:t>占用现象</w:t>
            </w:r>
          </w:p>
        </w:tc>
        <w:tc>
          <w:tcPr>
            <w:tcW w:w="815" w:type="dxa"/>
            <w:vAlign w:val="top"/>
          </w:tcPr>
          <w:p w14:paraId="6975CBC1">
            <w:pPr>
              <w:pStyle w:val="157"/>
              <w:keepNext w:val="0"/>
              <w:keepLines/>
              <w:pageBreakBefore w:val="0"/>
              <w:widowControl w:val="0"/>
              <w:kinsoku/>
              <w:wordWrap/>
              <w:overflowPunct/>
              <w:topLinePunct w:val="0"/>
              <w:autoSpaceDE/>
              <w:autoSpaceDN/>
              <w:bidi w:val="0"/>
              <w:adjustRightInd/>
              <w:snapToGrid/>
              <w:spacing w:before="210" w:line="241" w:lineRule="auto"/>
              <w:ind w:left="447"/>
              <w:textAlignment w:val="auto"/>
              <w:rPr>
                <w:color w:val="auto"/>
                <w:highlight w:val="none"/>
              </w:rPr>
            </w:pPr>
            <w:r>
              <w:rPr>
                <w:color w:val="auto"/>
                <w:highlight w:val="none"/>
              </w:rPr>
              <w:t>2</w:t>
            </w:r>
          </w:p>
        </w:tc>
        <w:tc>
          <w:tcPr>
            <w:tcW w:w="1803" w:type="dxa"/>
            <w:vAlign w:val="top"/>
          </w:tcPr>
          <w:p w14:paraId="03D3EF5B">
            <w:pPr>
              <w:pStyle w:val="157"/>
              <w:keepNext w:val="0"/>
              <w:keepLines/>
              <w:pageBreakBefore w:val="0"/>
              <w:widowControl w:val="0"/>
              <w:kinsoku/>
              <w:wordWrap/>
              <w:overflowPunct/>
              <w:topLinePunct w:val="0"/>
              <w:autoSpaceDE/>
              <w:autoSpaceDN/>
              <w:bidi w:val="0"/>
              <w:adjustRightInd/>
              <w:snapToGrid/>
              <w:spacing w:before="210" w:line="220" w:lineRule="auto"/>
              <w:ind w:left="255"/>
              <w:textAlignment w:val="auto"/>
              <w:rPr>
                <w:color w:val="auto"/>
                <w:highlight w:val="none"/>
              </w:rPr>
            </w:pPr>
            <w:r>
              <w:rPr>
                <w:color w:val="auto"/>
                <w:spacing w:val="-3"/>
                <w:highlight w:val="none"/>
              </w:rPr>
              <w:t>发现一处扣</w:t>
            </w:r>
            <w:r>
              <w:rPr>
                <w:color w:val="auto"/>
                <w:spacing w:val="-35"/>
                <w:highlight w:val="none"/>
              </w:rPr>
              <w:t xml:space="preserve"> </w:t>
            </w:r>
            <w:r>
              <w:rPr>
                <w:color w:val="auto"/>
                <w:spacing w:val="-3"/>
                <w:highlight w:val="none"/>
              </w:rPr>
              <w:t>2</w:t>
            </w:r>
            <w:r>
              <w:rPr>
                <w:color w:val="auto"/>
                <w:spacing w:val="-35"/>
                <w:highlight w:val="none"/>
              </w:rPr>
              <w:t xml:space="preserve"> </w:t>
            </w:r>
            <w:r>
              <w:rPr>
                <w:color w:val="auto"/>
                <w:spacing w:val="-3"/>
                <w:highlight w:val="none"/>
              </w:rPr>
              <w:t>分</w:t>
            </w:r>
          </w:p>
        </w:tc>
        <w:tc>
          <w:tcPr>
            <w:tcW w:w="679" w:type="dxa"/>
            <w:vAlign w:val="top"/>
          </w:tcPr>
          <w:p w14:paraId="40365926">
            <w:pPr>
              <w:keepNext w:val="0"/>
              <w:keepLines/>
              <w:pageBreakBefore w:val="0"/>
              <w:widowControl w:val="0"/>
              <w:kinsoku/>
              <w:wordWrap/>
              <w:overflowPunct/>
              <w:topLinePunct w:val="0"/>
              <w:autoSpaceDE/>
              <w:autoSpaceDN/>
              <w:bidi w:val="0"/>
              <w:adjustRightInd/>
              <w:snapToGrid/>
              <w:textAlignment w:val="auto"/>
              <w:rPr>
                <w:rFonts w:ascii="Arial"/>
                <w:color w:val="auto"/>
                <w:sz w:val="21"/>
                <w:highlight w:val="none"/>
              </w:rPr>
            </w:pPr>
          </w:p>
        </w:tc>
      </w:tr>
      <w:tr w14:paraId="31F3DA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5" w:hRule="atLeast"/>
        </w:trPr>
        <w:tc>
          <w:tcPr>
            <w:tcW w:w="848" w:type="dxa"/>
            <w:vMerge w:val="continue"/>
            <w:tcBorders>
              <w:top w:val="nil"/>
            </w:tcBorders>
            <w:vAlign w:val="center"/>
          </w:tcPr>
          <w:p w14:paraId="2849E3FC">
            <w:pPr>
              <w:keepNext w:val="0"/>
              <w:keepLines/>
              <w:pageBreakBefore w:val="0"/>
              <w:widowControl w:val="0"/>
              <w:kinsoku/>
              <w:wordWrap/>
              <w:overflowPunct/>
              <w:topLinePunct w:val="0"/>
              <w:autoSpaceDE/>
              <w:autoSpaceDN/>
              <w:bidi w:val="0"/>
              <w:adjustRightInd/>
              <w:snapToGrid/>
              <w:jc w:val="center"/>
              <w:textAlignment w:val="auto"/>
              <w:rPr>
                <w:rFonts w:ascii="Arial"/>
                <w:color w:val="auto"/>
                <w:sz w:val="21"/>
                <w:highlight w:val="none"/>
              </w:rPr>
            </w:pPr>
          </w:p>
        </w:tc>
        <w:tc>
          <w:tcPr>
            <w:tcW w:w="667" w:type="dxa"/>
            <w:vMerge w:val="continue"/>
            <w:tcBorders>
              <w:top w:val="nil"/>
            </w:tcBorders>
            <w:vAlign w:val="center"/>
          </w:tcPr>
          <w:p w14:paraId="632B8911">
            <w:pPr>
              <w:keepNext w:val="0"/>
              <w:keepLines/>
              <w:pageBreakBefore w:val="0"/>
              <w:widowControl w:val="0"/>
              <w:kinsoku/>
              <w:wordWrap/>
              <w:overflowPunct/>
              <w:topLinePunct w:val="0"/>
              <w:autoSpaceDE/>
              <w:autoSpaceDN/>
              <w:bidi w:val="0"/>
              <w:adjustRightInd/>
              <w:snapToGrid/>
              <w:jc w:val="center"/>
              <w:textAlignment w:val="auto"/>
              <w:rPr>
                <w:rFonts w:ascii="Arial"/>
                <w:color w:val="auto"/>
                <w:sz w:val="21"/>
                <w:highlight w:val="none"/>
              </w:rPr>
            </w:pPr>
          </w:p>
        </w:tc>
        <w:tc>
          <w:tcPr>
            <w:tcW w:w="4829" w:type="dxa"/>
            <w:vAlign w:val="top"/>
          </w:tcPr>
          <w:p w14:paraId="0935EBA5">
            <w:pPr>
              <w:pStyle w:val="157"/>
              <w:keepNext w:val="0"/>
              <w:keepLines/>
              <w:pageBreakBefore w:val="0"/>
              <w:widowControl w:val="0"/>
              <w:kinsoku/>
              <w:wordWrap/>
              <w:overflowPunct/>
              <w:topLinePunct w:val="0"/>
              <w:autoSpaceDE/>
              <w:autoSpaceDN/>
              <w:bidi w:val="0"/>
              <w:adjustRightInd/>
              <w:snapToGrid/>
              <w:spacing w:before="48" w:line="258" w:lineRule="auto"/>
              <w:ind w:left="18" w:firstLine="3"/>
              <w:textAlignment w:val="auto"/>
              <w:rPr>
                <w:color w:val="auto"/>
                <w:highlight w:val="none"/>
              </w:rPr>
            </w:pPr>
            <w:r>
              <w:rPr>
                <w:color w:val="auto"/>
                <w:spacing w:val="-13"/>
                <w:highlight w:val="none"/>
              </w:rPr>
              <w:t>天台、共用玻璃窗、纱窗等保持洁净共用场地无纸屑、</w:t>
            </w:r>
            <w:r>
              <w:rPr>
                <w:color w:val="auto"/>
                <w:spacing w:val="-3"/>
                <w:highlight w:val="none"/>
              </w:rPr>
              <w:t>烟头、积水等废弃物</w:t>
            </w:r>
          </w:p>
        </w:tc>
        <w:tc>
          <w:tcPr>
            <w:tcW w:w="815" w:type="dxa"/>
            <w:vAlign w:val="top"/>
          </w:tcPr>
          <w:p w14:paraId="3D88E28D">
            <w:pPr>
              <w:pStyle w:val="157"/>
              <w:keepNext w:val="0"/>
              <w:keepLines/>
              <w:pageBreakBefore w:val="0"/>
              <w:widowControl w:val="0"/>
              <w:kinsoku/>
              <w:wordWrap/>
              <w:overflowPunct/>
              <w:topLinePunct w:val="0"/>
              <w:autoSpaceDE/>
              <w:autoSpaceDN/>
              <w:bidi w:val="0"/>
              <w:adjustRightInd/>
              <w:snapToGrid/>
              <w:spacing w:before="211"/>
              <w:ind w:left="449"/>
              <w:textAlignment w:val="auto"/>
              <w:rPr>
                <w:color w:val="auto"/>
                <w:highlight w:val="none"/>
              </w:rPr>
            </w:pPr>
            <w:r>
              <w:rPr>
                <w:color w:val="auto"/>
                <w:highlight w:val="none"/>
              </w:rPr>
              <w:t>5</w:t>
            </w:r>
          </w:p>
        </w:tc>
        <w:tc>
          <w:tcPr>
            <w:tcW w:w="1803" w:type="dxa"/>
            <w:vAlign w:val="top"/>
          </w:tcPr>
          <w:p w14:paraId="2C91C127">
            <w:pPr>
              <w:pStyle w:val="157"/>
              <w:keepNext w:val="0"/>
              <w:keepLines/>
              <w:pageBreakBefore w:val="0"/>
              <w:widowControl w:val="0"/>
              <w:kinsoku/>
              <w:wordWrap/>
              <w:overflowPunct/>
              <w:topLinePunct w:val="0"/>
              <w:autoSpaceDE/>
              <w:autoSpaceDN/>
              <w:bidi w:val="0"/>
              <w:adjustRightInd/>
              <w:snapToGrid/>
              <w:spacing w:before="211" w:line="220" w:lineRule="auto"/>
              <w:ind w:left="360"/>
              <w:textAlignment w:val="auto"/>
              <w:rPr>
                <w:color w:val="auto"/>
                <w:highlight w:val="none"/>
              </w:rPr>
            </w:pPr>
            <w:r>
              <w:rPr>
                <w:color w:val="auto"/>
                <w:spacing w:val="-4"/>
                <w:highlight w:val="none"/>
              </w:rPr>
              <w:t>不符合扣</w:t>
            </w:r>
            <w:r>
              <w:rPr>
                <w:color w:val="auto"/>
                <w:spacing w:val="-33"/>
                <w:highlight w:val="none"/>
              </w:rPr>
              <w:t xml:space="preserve"> </w:t>
            </w:r>
            <w:r>
              <w:rPr>
                <w:color w:val="auto"/>
                <w:spacing w:val="-4"/>
                <w:highlight w:val="none"/>
              </w:rPr>
              <w:t>5</w:t>
            </w:r>
            <w:r>
              <w:rPr>
                <w:color w:val="auto"/>
                <w:spacing w:val="-34"/>
                <w:highlight w:val="none"/>
              </w:rPr>
              <w:t xml:space="preserve"> </w:t>
            </w:r>
            <w:r>
              <w:rPr>
                <w:color w:val="auto"/>
                <w:spacing w:val="-4"/>
                <w:highlight w:val="none"/>
              </w:rPr>
              <w:t>分</w:t>
            </w:r>
          </w:p>
        </w:tc>
        <w:tc>
          <w:tcPr>
            <w:tcW w:w="679" w:type="dxa"/>
            <w:vAlign w:val="top"/>
          </w:tcPr>
          <w:p w14:paraId="6934E420">
            <w:pPr>
              <w:keepNext w:val="0"/>
              <w:keepLines/>
              <w:pageBreakBefore w:val="0"/>
              <w:widowControl w:val="0"/>
              <w:kinsoku/>
              <w:wordWrap/>
              <w:overflowPunct/>
              <w:topLinePunct w:val="0"/>
              <w:autoSpaceDE/>
              <w:autoSpaceDN/>
              <w:bidi w:val="0"/>
              <w:adjustRightInd/>
              <w:snapToGrid/>
              <w:textAlignment w:val="auto"/>
              <w:rPr>
                <w:rFonts w:ascii="Arial"/>
                <w:color w:val="auto"/>
                <w:sz w:val="21"/>
                <w:highlight w:val="none"/>
              </w:rPr>
            </w:pPr>
          </w:p>
        </w:tc>
      </w:tr>
      <w:tr w14:paraId="6B62A4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848" w:type="dxa"/>
            <w:vMerge w:val="restart"/>
            <w:tcBorders>
              <w:bottom w:val="nil"/>
            </w:tcBorders>
            <w:vAlign w:val="center"/>
          </w:tcPr>
          <w:p w14:paraId="2A546C1B">
            <w:pPr>
              <w:pStyle w:val="157"/>
              <w:keepNext w:val="0"/>
              <w:keepLines/>
              <w:pageBreakBefore w:val="0"/>
              <w:widowControl w:val="0"/>
              <w:kinsoku/>
              <w:wordWrap/>
              <w:overflowPunct/>
              <w:topLinePunct w:val="0"/>
              <w:autoSpaceDE/>
              <w:autoSpaceDN/>
              <w:bidi w:val="0"/>
              <w:adjustRightInd/>
              <w:snapToGrid/>
              <w:spacing w:before="69" w:line="221" w:lineRule="auto"/>
              <w:jc w:val="center"/>
              <w:textAlignment w:val="auto"/>
              <w:rPr>
                <w:color w:val="auto"/>
                <w:highlight w:val="none"/>
              </w:rPr>
            </w:pPr>
            <w:r>
              <w:rPr>
                <w:color w:val="auto"/>
                <w:spacing w:val="-2"/>
                <w:highlight w:val="none"/>
              </w:rPr>
              <w:t>设施设备</w:t>
            </w:r>
          </w:p>
          <w:p w14:paraId="508B3486">
            <w:pPr>
              <w:pStyle w:val="157"/>
              <w:keepNext w:val="0"/>
              <w:keepLines/>
              <w:pageBreakBefore w:val="0"/>
              <w:widowControl w:val="0"/>
              <w:kinsoku/>
              <w:wordWrap/>
              <w:overflowPunct/>
              <w:topLinePunct w:val="0"/>
              <w:autoSpaceDE/>
              <w:autoSpaceDN/>
              <w:bidi w:val="0"/>
              <w:adjustRightInd/>
              <w:snapToGrid/>
              <w:spacing w:before="63" w:line="220" w:lineRule="auto"/>
              <w:jc w:val="center"/>
              <w:textAlignment w:val="auto"/>
              <w:rPr>
                <w:color w:val="auto"/>
                <w:highlight w:val="none"/>
              </w:rPr>
            </w:pPr>
            <w:r>
              <w:rPr>
                <w:color w:val="auto"/>
                <w:spacing w:val="-4"/>
                <w:highlight w:val="none"/>
              </w:rPr>
              <w:t>管理</w:t>
            </w:r>
          </w:p>
        </w:tc>
        <w:tc>
          <w:tcPr>
            <w:tcW w:w="667" w:type="dxa"/>
            <w:vMerge w:val="restart"/>
            <w:tcBorders>
              <w:bottom w:val="nil"/>
            </w:tcBorders>
            <w:vAlign w:val="center"/>
          </w:tcPr>
          <w:p w14:paraId="42E02F9E">
            <w:pPr>
              <w:pStyle w:val="157"/>
              <w:keepNext w:val="0"/>
              <w:keepLines/>
              <w:pageBreakBefore w:val="0"/>
              <w:widowControl w:val="0"/>
              <w:kinsoku/>
              <w:wordWrap/>
              <w:overflowPunct/>
              <w:topLinePunct w:val="0"/>
              <w:autoSpaceDE/>
              <w:autoSpaceDN/>
              <w:bidi w:val="0"/>
              <w:adjustRightInd/>
              <w:snapToGrid/>
              <w:spacing w:before="68"/>
              <w:jc w:val="center"/>
              <w:textAlignment w:val="auto"/>
              <w:rPr>
                <w:color w:val="auto"/>
                <w:highlight w:val="none"/>
              </w:rPr>
            </w:pPr>
            <w:r>
              <w:rPr>
                <w:color w:val="auto"/>
                <w:spacing w:val="-6"/>
                <w:highlight w:val="none"/>
              </w:rPr>
              <w:t>10</w:t>
            </w:r>
            <w:r>
              <w:rPr>
                <w:color w:val="auto"/>
                <w:spacing w:val="-4"/>
                <w:highlight w:val="none"/>
              </w:rPr>
              <w:t>分</w:t>
            </w:r>
          </w:p>
        </w:tc>
        <w:tc>
          <w:tcPr>
            <w:tcW w:w="4829" w:type="dxa"/>
            <w:vAlign w:val="top"/>
          </w:tcPr>
          <w:p w14:paraId="2A85BFAE">
            <w:pPr>
              <w:pStyle w:val="157"/>
              <w:keepNext w:val="0"/>
              <w:keepLines/>
              <w:pageBreakBefore w:val="0"/>
              <w:widowControl w:val="0"/>
              <w:kinsoku/>
              <w:wordWrap/>
              <w:overflowPunct/>
              <w:topLinePunct w:val="0"/>
              <w:autoSpaceDE/>
              <w:autoSpaceDN/>
              <w:bidi w:val="0"/>
              <w:adjustRightInd/>
              <w:snapToGrid/>
              <w:spacing w:before="151" w:line="220" w:lineRule="auto"/>
              <w:ind w:left="24"/>
              <w:textAlignment w:val="auto"/>
              <w:rPr>
                <w:color w:val="auto"/>
                <w:highlight w:val="none"/>
              </w:rPr>
            </w:pPr>
            <w:r>
              <w:rPr>
                <w:color w:val="auto"/>
                <w:spacing w:val="-1"/>
                <w:highlight w:val="none"/>
              </w:rPr>
              <w:t>公用设施设备档案资料齐全、存放有序，查阅方便</w:t>
            </w:r>
          </w:p>
        </w:tc>
        <w:tc>
          <w:tcPr>
            <w:tcW w:w="815" w:type="dxa"/>
            <w:vAlign w:val="top"/>
          </w:tcPr>
          <w:p w14:paraId="271E4D15">
            <w:pPr>
              <w:pStyle w:val="157"/>
              <w:keepNext w:val="0"/>
              <w:keepLines/>
              <w:pageBreakBefore w:val="0"/>
              <w:widowControl w:val="0"/>
              <w:kinsoku/>
              <w:wordWrap/>
              <w:overflowPunct/>
              <w:topLinePunct w:val="0"/>
              <w:autoSpaceDE/>
              <w:autoSpaceDN/>
              <w:bidi w:val="0"/>
              <w:adjustRightInd/>
              <w:snapToGrid/>
              <w:spacing w:before="152" w:line="241" w:lineRule="auto"/>
              <w:ind w:left="460"/>
              <w:textAlignment w:val="auto"/>
              <w:rPr>
                <w:color w:val="auto"/>
                <w:highlight w:val="none"/>
              </w:rPr>
            </w:pPr>
            <w:r>
              <w:rPr>
                <w:color w:val="auto"/>
                <w:highlight w:val="none"/>
              </w:rPr>
              <w:t>1</w:t>
            </w:r>
          </w:p>
        </w:tc>
        <w:tc>
          <w:tcPr>
            <w:tcW w:w="1803" w:type="dxa"/>
            <w:vAlign w:val="top"/>
          </w:tcPr>
          <w:p w14:paraId="49315291">
            <w:pPr>
              <w:pStyle w:val="157"/>
              <w:keepNext w:val="0"/>
              <w:keepLines/>
              <w:pageBreakBefore w:val="0"/>
              <w:widowControl w:val="0"/>
              <w:kinsoku/>
              <w:wordWrap/>
              <w:overflowPunct/>
              <w:topLinePunct w:val="0"/>
              <w:autoSpaceDE/>
              <w:autoSpaceDN/>
              <w:bidi w:val="0"/>
              <w:adjustRightInd/>
              <w:snapToGrid/>
              <w:spacing w:before="151" w:line="220" w:lineRule="auto"/>
              <w:ind w:left="360"/>
              <w:textAlignment w:val="auto"/>
              <w:rPr>
                <w:color w:val="auto"/>
                <w:highlight w:val="none"/>
              </w:rPr>
            </w:pPr>
            <w:r>
              <w:rPr>
                <w:color w:val="auto"/>
                <w:spacing w:val="-6"/>
                <w:highlight w:val="none"/>
              </w:rPr>
              <w:t>不符合扣</w:t>
            </w:r>
            <w:r>
              <w:rPr>
                <w:color w:val="auto"/>
                <w:spacing w:val="-21"/>
                <w:highlight w:val="none"/>
              </w:rPr>
              <w:t xml:space="preserve"> </w:t>
            </w:r>
            <w:r>
              <w:rPr>
                <w:color w:val="auto"/>
                <w:spacing w:val="-6"/>
                <w:highlight w:val="none"/>
              </w:rPr>
              <w:t>1</w:t>
            </w:r>
            <w:r>
              <w:rPr>
                <w:color w:val="auto"/>
                <w:spacing w:val="-34"/>
                <w:highlight w:val="none"/>
              </w:rPr>
              <w:t xml:space="preserve"> </w:t>
            </w:r>
            <w:r>
              <w:rPr>
                <w:color w:val="auto"/>
                <w:spacing w:val="-6"/>
                <w:highlight w:val="none"/>
              </w:rPr>
              <w:t>分</w:t>
            </w:r>
          </w:p>
        </w:tc>
        <w:tc>
          <w:tcPr>
            <w:tcW w:w="679" w:type="dxa"/>
            <w:vAlign w:val="top"/>
          </w:tcPr>
          <w:p w14:paraId="7502BD37">
            <w:pPr>
              <w:keepNext w:val="0"/>
              <w:keepLines/>
              <w:pageBreakBefore w:val="0"/>
              <w:widowControl w:val="0"/>
              <w:kinsoku/>
              <w:wordWrap/>
              <w:overflowPunct/>
              <w:topLinePunct w:val="0"/>
              <w:autoSpaceDE/>
              <w:autoSpaceDN/>
              <w:bidi w:val="0"/>
              <w:adjustRightInd/>
              <w:snapToGrid/>
              <w:textAlignment w:val="auto"/>
              <w:rPr>
                <w:rFonts w:ascii="Arial"/>
                <w:color w:val="auto"/>
                <w:sz w:val="21"/>
                <w:highlight w:val="none"/>
              </w:rPr>
            </w:pPr>
          </w:p>
        </w:tc>
      </w:tr>
      <w:tr w14:paraId="46708C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5" w:hRule="atLeast"/>
        </w:trPr>
        <w:tc>
          <w:tcPr>
            <w:tcW w:w="848" w:type="dxa"/>
            <w:vMerge w:val="continue"/>
            <w:tcBorders>
              <w:top w:val="nil"/>
              <w:bottom w:val="nil"/>
            </w:tcBorders>
            <w:vAlign w:val="center"/>
          </w:tcPr>
          <w:p w14:paraId="3E395CF0">
            <w:pPr>
              <w:keepNext w:val="0"/>
              <w:keepLines/>
              <w:pageBreakBefore w:val="0"/>
              <w:widowControl w:val="0"/>
              <w:kinsoku/>
              <w:wordWrap/>
              <w:overflowPunct/>
              <w:topLinePunct w:val="0"/>
              <w:autoSpaceDE/>
              <w:autoSpaceDN/>
              <w:bidi w:val="0"/>
              <w:adjustRightInd/>
              <w:snapToGrid/>
              <w:jc w:val="center"/>
              <w:textAlignment w:val="auto"/>
              <w:rPr>
                <w:rFonts w:ascii="Arial"/>
                <w:color w:val="auto"/>
                <w:sz w:val="21"/>
                <w:highlight w:val="none"/>
              </w:rPr>
            </w:pPr>
          </w:p>
        </w:tc>
        <w:tc>
          <w:tcPr>
            <w:tcW w:w="667" w:type="dxa"/>
            <w:vMerge w:val="continue"/>
            <w:tcBorders>
              <w:top w:val="nil"/>
              <w:bottom w:val="nil"/>
            </w:tcBorders>
            <w:vAlign w:val="center"/>
          </w:tcPr>
          <w:p w14:paraId="1D5FC5C1">
            <w:pPr>
              <w:keepNext w:val="0"/>
              <w:keepLines/>
              <w:pageBreakBefore w:val="0"/>
              <w:widowControl w:val="0"/>
              <w:kinsoku/>
              <w:wordWrap/>
              <w:overflowPunct/>
              <w:topLinePunct w:val="0"/>
              <w:autoSpaceDE/>
              <w:autoSpaceDN/>
              <w:bidi w:val="0"/>
              <w:adjustRightInd/>
              <w:snapToGrid/>
              <w:jc w:val="center"/>
              <w:textAlignment w:val="auto"/>
              <w:rPr>
                <w:rFonts w:ascii="Arial"/>
                <w:color w:val="auto"/>
                <w:sz w:val="21"/>
                <w:highlight w:val="none"/>
              </w:rPr>
            </w:pPr>
          </w:p>
        </w:tc>
        <w:tc>
          <w:tcPr>
            <w:tcW w:w="4829" w:type="dxa"/>
            <w:vAlign w:val="top"/>
          </w:tcPr>
          <w:p w14:paraId="2E47F6E9">
            <w:pPr>
              <w:pStyle w:val="157"/>
              <w:keepNext w:val="0"/>
              <w:keepLines/>
              <w:pageBreakBefore w:val="0"/>
              <w:widowControl w:val="0"/>
              <w:kinsoku/>
              <w:wordWrap/>
              <w:overflowPunct/>
              <w:topLinePunct w:val="0"/>
              <w:autoSpaceDE/>
              <w:autoSpaceDN/>
              <w:bidi w:val="0"/>
              <w:adjustRightInd/>
              <w:snapToGrid/>
              <w:spacing w:before="48" w:line="258" w:lineRule="auto"/>
              <w:ind w:left="18" w:firstLine="1"/>
              <w:textAlignment w:val="auto"/>
              <w:rPr>
                <w:color w:val="auto"/>
                <w:highlight w:val="none"/>
              </w:rPr>
            </w:pPr>
            <w:r>
              <w:rPr>
                <w:color w:val="auto"/>
                <w:spacing w:val="-10"/>
                <w:highlight w:val="none"/>
              </w:rPr>
              <w:t>各</w:t>
            </w:r>
            <w:r>
              <w:rPr>
                <w:color w:val="auto"/>
                <w:spacing w:val="-9"/>
                <w:highlight w:val="none"/>
              </w:rPr>
              <w:t>种设备保持完好无损、运行正常， 无事故隐患，</w:t>
            </w:r>
            <w:r>
              <w:rPr>
                <w:color w:val="auto"/>
                <w:spacing w:val="-8"/>
                <w:highlight w:val="none"/>
              </w:rPr>
              <w:t>保</w:t>
            </w:r>
            <w:r>
              <w:rPr>
                <w:color w:val="auto"/>
                <w:spacing w:val="-3"/>
                <w:highlight w:val="none"/>
              </w:rPr>
              <w:t>养、检测记录完整</w:t>
            </w:r>
          </w:p>
        </w:tc>
        <w:tc>
          <w:tcPr>
            <w:tcW w:w="815" w:type="dxa"/>
            <w:vAlign w:val="top"/>
          </w:tcPr>
          <w:p w14:paraId="68D522A0">
            <w:pPr>
              <w:pStyle w:val="157"/>
              <w:keepNext w:val="0"/>
              <w:keepLines/>
              <w:pageBreakBefore w:val="0"/>
              <w:widowControl w:val="0"/>
              <w:kinsoku/>
              <w:wordWrap/>
              <w:overflowPunct/>
              <w:topLinePunct w:val="0"/>
              <w:autoSpaceDE/>
              <w:autoSpaceDN/>
              <w:bidi w:val="0"/>
              <w:adjustRightInd/>
              <w:snapToGrid/>
              <w:spacing w:before="213" w:line="241" w:lineRule="auto"/>
              <w:ind w:left="460"/>
              <w:textAlignment w:val="auto"/>
              <w:rPr>
                <w:color w:val="auto"/>
                <w:highlight w:val="none"/>
              </w:rPr>
            </w:pPr>
            <w:r>
              <w:rPr>
                <w:color w:val="auto"/>
                <w:highlight w:val="none"/>
              </w:rPr>
              <w:t>1</w:t>
            </w:r>
          </w:p>
        </w:tc>
        <w:tc>
          <w:tcPr>
            <w:tcW w:w="1803" w:type="dxa"/>
            <w:vAlign w:val="top"/>
          </w:tcPr>
          <w:p w14:paraId="49F5E9F2">
            <w:pPr>
              <w:pStyle w:val="157"/>
              <w:keepNext w:val="0"/>
              <w:keepLines/>
              <w:pageBreakBefore w:val="0"/>
              <w:widowControl w:val="0"/>
              <w:kinsoku/>
              <w:wordWrap/>
              <w:overflowPunct/>
              <w:topLinePunct w:val="0"/>
              <w:autoSpaceDE/>
              <w:autoSpaceDN/>
              <w:bidi w:val="0"/>
              <w:adjustRightInd/>
              <w:snapToGrid/>
              <w:spacing w:before="212" w:line="220" w:lineRule="auto"/>
              <w:ind w:left="150"/>
              <w:textAlignment w:val="auto"/>
              <w:rPr>
                <w:color w:val="auto"/>
                <w:highlight w:val="none"/>
              </w:rPr>
            </w:pPr>
            <w:r>
              <w:rPr>
                <w:color w:val="auto"/>
                <w:spacing w:val="-5"/>
                <w:highlight w:val="none"/>
              </w:rPr>
              <w:t>一项不符合扣</w:t>
            </w:r>
            <w:r>
              <w:rPr>
                <w:color w:val="auto"/>
                <w:spacing w:val="-16"/>
                <w:highlight w:val="none"/>
              </w:rPr>
              <w:t xml:space="preserve"> </w:t>
            </w:r>
            <w:r>
              <w:rPr>
                <w:color w:val="auto"/>
                <w:spacing w:val="-5"/>
                <w:highlight w:val="none"/>
              </w:rPr>
              <w:t>1</w:t>
            </w:r>
            <w:r>
              <w:rPr>
                <w:color w:val="auto"/>
                <w:spacing w:val="-35"/>
                <w:highlight w:val="none"/>
              </w:rPr>
              <w:t xml:space="preserve"> </w:t>
            </w:r>
            <w:r>
              <w:rPr>
                <w:color w:val="auto"/>
                <w:spacing w:val="-5"/>
                <w:highlight w:val="none"/>
              </w:rPr>
              <w:t>分</w:t>
            </w:r>
          </w:p>
        </w:tc>
        <w:tc>
          <w:tcPr>
            <w:tcW w:w="679" w:type="dxa"/>
            <w:vAlign w:val="top"/>
          </w:tcPr>
          <w:p w14:paraId="7DB85E3F">
            <w:pPr>
              <w:keepNext w:val="0"/>
              <w:keepLines/>
              <w:pageBreakBefore w:val="0"/>
              <w:widowControl w:val="0"/>
              <w:kinsoku/>
              <w:wordWrap/>
              <w:overflowPunct/>
              <w:topLinePunct w:val="0"/>
              <w:autoSpaceDE/>
              <w:autoSpaceDN/>
              <w:bidi w:val="0"/>
              <w:adjustRightInd/>
              <w:snapToGrid/>
              <w:textAlignment w:val="auto"/>
              <w:rPr>
                <w:rFonts w:ascii="Arial"/>
                <w:color w:val="auto"/>
                <w:sz w:val="21"/>
                <w:highlight w:val="none"/>
              </w:rPr>
            </w:pPr>
          </w:p>
        </w:tc>
      </w:tr>
      <w:tr w14:paraId="1E1C31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5" w:hRule="atLeast"/>
        </w:trPr>
        <w:tc>
          <w:tcPr>
            <w:tcW w:w="848" w:type="dxa"/>
            <w:vMerge w:val="continue"/>
            <w:tcBorders>
              <w:top w:val="nil"/>
              <w:bottom w:val="nil"/>
            </w:tcBorders>
            <w:vAlign w:val="center"/>
          </w:tcPr>
          <w:p w14:paraId="2F622B73">
            <w:pPr>
              <w:keepNext w:val="0"/>
              <w:keepLines/>
              <w:pageBreakBefore w:val="0"/>
              <w:widowControl w:val="0"/>
              <w:kinsoku/>
              <w:wordWrap/>
              <w:overflowPunct/>
              <w:topLinePunct w:val="0"/>
              <w:autoSpaceDE/>
              <w:autoSpaceDN/>
              <w:bidi w:val="0"/>
              <w:adjustRightInd/>
              <w:snapToGrid/>
              <w:jc w:val="center"/>
              <w:textAlignment w:val="auto"/>
              <w:rPr>
                <w:rFonts w:ascii="Arial"/>
                <w:color w:val="auto"/>
                <w:sz w:val="21"/>
                <w:highlight w:val="none"/>
              </w:rPr>
            </w:pPr>
          </w:p>
        </w:tc>
        <w:tc>
          <w:tcPr>
            <w:tcW w:w="667" w:type="dxa"/>
            <w:vMerge w:val="continue"/>
            <w:tcBorders>
              <w:top w:val="nil"/>
              <w:bottom w:val="nil"/>
            </w:tcBorders>
            <w:vAlign w:val="center"/>
          </w:tcPr>
          <w:p w14:paraId="4F2DAE12">
            <w:pPr>
              <w:keepNext w:val="0"/>
              <w:keepLines/>
              <w:pageBreakBefore w:val="0"/>
              <w:widowControl w:val="0"/>
              <w:kinsoku/>
              <w:wordWrap/>
              <w:overflowPunct/>
              <w:topLinePunct w:val="0"/>
              <w:autoSpaceDE/>
              <w:autoSpaceDN/>
              <w:bidi w:val="0"/>
              <w:adjustRightInd/>
              <w:snapToGrid/>
              <w:jc w:val="center"/>
              <w:textAlignment w:val="auto"/>
              <w:rPr>
                <w:rFonts w:ascii="Arial"/>
                <w:color w:val="auto"/>
                <w:sz w:val="21"/>
                <w:highlight w:val="none"/>
              </w:rPr>
            </w:pPr>
          </w:p>
        </w:tc>
        <w:tc>
          <w:tcPr>
            <w:tcW w:w="4829" w:type="dxa"/>
            <w:vAlign w:val="top"/>
          </w:tcPr>
          <w:p w14:paraId="098E90AB">
            <w:pPr>
              <w:pStyle w:val="157"/>
              <w:keepNext w:val="0"/>
              <w:keepLines/>
              <w:pageBreakBefore w:val="0"/>
              <w:widowControl w:val="0"/>
              <w:kinsoku/>
              <w:wordWrap/>
              <w:overflowPunct/>
              <w:topLinePunct w:val="0"/>
              <w:autoSpaceDE/>
              <w:autoSpaceDN/>
              <w:bidi w:val="0"/>
              <w:adjustRightInd/>
              <w:snapToGrid/>
              <w:spacing w:before="48" w:line="258" w:lineRule="auto"/>
              <w:ind w:left="18" w:firstLine="23"/>
              <w:textAlignment w:val="auto"/>
              <w:rPr>
                <w:color w:val="auto"/>
                <w:highlight w:val="none"/>
              </w:rPr>
            </w:pPr>
            <w:r>
              <w:rPr>
                <w:color w:val="auto"/>
                <w:spacing w:val="-6"/>
                <w:highlight w:val="none"/>
              </w:rPr>
              <w:t>电梯有专业技术人员管理、消防管理有应急预案、有</w:t>
            </w:r>
            <w:r>
              <w:rPr>
                <w:color w:val="auto"/>
                <w:spacing w:val="-2"/>
                <w:highlight w:val="none"/>
              </w:rPr>
              <w:t>演练记录</w:t>
            </w:r>
          </w:p>
        </w:tc>
        <w:tc>
          <w:tcPr>
            <w:tcW w:w="815" w:type="dxa"/>
            <w:vAlign w:val="top"/>
          </w:tcPr>
          <w:p w14:paraId="54F95C55">
            <w:pPr>
              <w:pStyle w:val="157"/>
              <w:keepNext w:val="0"/>
              <w:keepLines/>
              <w:pageBreakBefore w:val="0"/>
              <w:widowControl w:val="0"/>
              <w:kinsoku/>
              <w:wordWrap/>
              <w:overflowPunct/>
              <w:topLinePunct w:val="0"/>
              <w:autoSpaceDE/>
              <w:autoSpaceDN/>
              <w:bidi w:val="0"/>
              <w:adjustRightInd/>
              <w:snapToGrid/>
              <w:spacing w:before="213" w:line="241" w:lineRule="auto"/>
              <w:ind w:left="447"/>
              <w:textAlignment w:val="auto"/>
              <w:rPr>
                <w:color w:val="auto"/>
                <w:highlight w:val="none"/>
              </w:rPr>
            </w:pPr>
            <w:r>
              <w:rPr>
                <w:color w:val="auto"/>
                <w:highlight w:val="none"/>
              </w:rPr>
              <w:t>2</w:t>
            </w:r>
          </w:p>
        </w:tc>
        <w:tc>
          <w:tcPr>
            <w:tcW w:w="1803" w:type="dxa"/>
            <w:vAlign w:val="top"/>
          </w:tcPr>
          <w:p w14:paraId="539055DC">
            <w:pPr>
              <w:pStyle w:val="157"/>
              <w:keepNext w:val="0"/>
              <w:keepLines/>
              <w:pageBreakBefore w:val="0"/>
              <w:widowControl w:val="0"/>
              <w:kinsoku/>
              <w:wordWrap/>
              <w:overflowPunct/>
              <w:topLinePunct w:val="0"/>
              <w:autoSpaceDE/>
              <w:autoSpaceDN/>
              <w:bidi w:val="0"/>
              <w:adjustRightInd/>
              <w:snapToGrid/>
              <w:spacing w:before="213" w:line="220" w:lineRule="auto"/>
              <w:ind w:left="251"/>
              <w:textAlignment w:val="auto"/>
              <w:rPr>
                <w:color w:val="auto"/>
                <w:highlight w:val="none"/>
              </w:rPr>
            </w:pPr>
            <w:r>
              <w:rPr>
                <w:color w:val="auto"/>
                <w:spacing w:val="-3"/>
                <w:highlight w:val="none"/>
              </w:rPr>
              <w:t>达不到的扣</w:t>
            </w:r>
            <w:r>
              <w:rPr>
                <w:color w:val="auto"/>
                <w:spacing w:val="-31"/>
                <w:highlight w:val="none"/>
              </w:rPr>
              <w:t xml:space="preserve"> </w:t>
            </w:r>
            <w:r>
              <w:rPr>
                <w:color w:val="auto"/>
                <w:spacing w:val="-3"/>
                <w:highlight w:val="none"/>
              </w:rPr>
              <w:t>2</w:t>
            </w:r>
            <w:r>
              <w:rPr>
                <w:color w:val="auto"/>
                <w:spacing w:val="-35"/>
                <w:highlight w:val="none"/>
              </w:rPr>
              <w:t xml:space="preserve"> </w:t>
            </w:r>
            <w:r>
              <w:rPr>
                <w:color w:val="auto"/>
                <w:spacing w:val="-3"/>
                <w:highlight w:val="none"/>
              </w:rPr>
              <w:t>分</w:t>
            </w:r>
          </w:p>
        </w:tc>
        <w:tc>
          <w:tcPr>
            <w:tcW w:w="679" w:type="dxa"/>
            <w:vAlign w:val="top"/>
          </w:tcPr>
          <w:p w14:paraId="3E9F852B">
            <w:pPr>
              <w:keepNext w:val="0"/>
              <w:keepLines/>
              <w:pageBreakBefore w:val="0"/>
              <w:widowControl w:val="0"/>
              <w:kinsoku/>
              <w:wordWrap/>
              <w:overflowPunct/>
              <w:topLinePunct w:val="0"/>
              <w:autoSpaceDE/>
              <w:autoSpaceDN/>
              <w:bidi w:val="0"/>
              <w:adjustRightInd/>
              <w:snapToGrid/>
              <w:textAlignment w:val="auto"/>
              <w:rPr>
                <w:rFonts w:ascii="Arial"/>
                <w:color w:val="auto"/>
                <w:sz w:val="21"/>
                <w:highlight w:val="none"/>
              </w:rPr>
            </w:pPr>
          </w:p>
        </w:tc>
      </w:tr>
      <w:tr w14:paraId="41762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5" w:hRule="atLeast"/>
        </w:trPr>
        <w:tc>
          <w:tcPr>
            <w:tcW w:w="848" w:type="dxa"/>
            <w:vMerge w:val="continue"/>
            <w:tcBorders>
              <w:top w:val="nil"/>
              <w:bottom w:val="nil"/>
            </w:tcBorders>
            <w:vAlign w:val="center"/>
          </w:tcPr>
          <w:p w14:paraId="57E34815">
            <w:pPr>
              <w:keepNext w:val="0"/>
              <w:keepLines/>
              <w:pageBreakBefore w:val="0"/>
              <w:widowControl w:val="0"/>
              <w:kinsoku/>
              <w:wordWrap/>
              <w:overflowPunct/>
              <w:topLinePunct w:val="0"/>
              <w:autoSpaceDE/>
              <w:autoSpaceDN/>
              <w:bidi w:val="0"/>
              <w:adjustRightInd/>
              <w:snapToGrid/>
              <w:jc w:val="center"/>
              <w:textAlignment w:val="auto"/>
              <w:rPr>
                <w:rFonts w:ascii="Arial"/>
                <w:color w:val="auto"/>
                <w:sz w:val="21"/>
                <w:highlight w:val="none"/>
              </w:rPr>
            </w:pPr>
          </w:p>
        </w:tc>
        <w:tc>
          <w:tcPr>
            <w:tcW w:w="667" w:type="dxa"/>
            <w:vMerge w:val="continue"/>
            <w:tcBorders>
              <w:top w:val="nil"/>
              <w:bottom w:val="nil"/>
            </w:tcBorders>
            <w:vAlign w:val="center"/>
          </w:tcPr>
          <w:p w14:paraId="33DD8F33">
            <w:pPr>
              <w:keepNext w:val="0"/>
              <w:keepLines/>
              <w:pageBreakBefore w:val="0"/>
              <w:widowControl w:val="0"/>
              <w:kinsoku/>
              <w:wordWrap/>
              <w:overflowPunct/>
              <w:topLinePunct w:val="0"/>
              <w:autoSpaceDE/>
              <w:autoSpaceDN/>
              <w:bidi w:val="0"/>
              <w:adjustRightInd/>
              <w:snapToGrid/>
              <w:jc w:val="center"/>
              <w:textAlignment w:val="auto"/>
              <w:rPr>
                <w:rFonts w:ascii="Arial"/>
                <w:color w:val="auto"/>
                <w:sz w:val="21"/>
                <w:highlight w:val="none"/>
              </w:rPr>
            </w:pPr>
          </w:p>
        </w:tc>
        <w:tc>
          <w:tcPr>
            <w:tcW w:w="4829" w:type="dxa"/>
            <w:vAlign w:val="top"/>
          </w:tcPr>
          <w:p w14:paraId="381C7AD9">
            <w:pPr>
              <w:pStyle w:val="157"/>
              <w:keepNext w:val="0"/>
              <w:keepLines/>
              <w:pageBreakBefore w:val="0"/>
              <w:widowControl w:val="0"/>
              <w:kinsoku/>
              <w:wordWrap/>
              <w:overflowPunct/>
              <w:topLinePunct w:val="0"/>
              <w:autoSpaceDE/>
              <w:autoSpaceDN/>
              <w:bidi w:val="0"/>
              <w:adjustRightInd/>
              <w:snapToGrid/>
              <w:spacing w:before="63" w:line="251" w:lineRule="auto"/>
              <w:ind w:left="16" w:firstLine="4"/>
              <w:textAlignment w:val="auto"/>
              <w:rPr>
                <w:color w:val="auto"/>
                <w:highlight w:val="none"/>
              </w:rPr>
            </w:pPr>
            <w:r>
              <w:rPr>
                <w:color w:val="auto"/>
                <w:spacing w:val="-5"/>
                <w:highlight w:val="none"/>
              </w:rPr>
              <w:t>设备运行、日常维修及时有记录，管理人员严格遵守</w:t>
            </w:r>
            <w:r>
              <w:rPr>
                <w:color w:val="auto"/>
                <w:spacing w:val="-1"/>
                <w:highlight w:val="none"/>
              </w:rPr>
              <w:t>操作程序及保养规范</w:t>
            </w:r>
          </w:p>
        </w:tc>
        <w:tc>
          <w:tcPr>
            <w:tcW w:w="815" w:type="dxa"/>
            <w:vAlign w:val="top"/>
          </w:tcPr>
          <w:p w14:paraId="7D7CBDEF">
            <w:pPr>
              <w:pStyle w:val="157"/>
              <w:keepNext w:val="0"/>
              <w:keepLines/>
              <w:pageBreakBefore w:val="0"/>
              <w:widowControl w:val="0"/>
              <w:kinsoku/>
              <w:wordWrap/>
              <w:overflowPunct/>
              <w:topLinePunct w:val="0"/>
              <w:autoSpaceDE/>
              <w:autoSpaceDN/>
              <w:bidi w:val="0"/>
              <w:adjustRightInd/>
              <w:snapToGrid/>
              <w:spacing w:before="214" w:line="241" w:lineRule="auto"/>
              <w:ind w:left="447"/>
              <w:textAlignment w:val="auto"/>
              <w:rPr>
                <w:color w:val="auto"/>
                <w:highlight w:val="none"/>
              </w:rPr>
            </w:pPr>
            <w:r>
              <w:rPr>
                <w:color w:val="auto"/>
                <w:highlight w:val="none"/>
              </w:rPr>
              <w:t>2</w:t>
            </w:r>
          </w:p>
        </w:tc>
        <w:tc>
          <w:tcPr>
            <w:tcW w:w="1803" w:type="dxa"/>
            <w:vAlign w:val="top"/>
          </w:tcPr>
          <w:p w14:paraId="4197D89E">
            <w:pPr>
              <w:pStyle w:val="157"/>
              <w:keepNext w:val="0"/>
              <w:keepLines/>
              <w:pageBreakBefore w:val="0"/>
              <w:widowControl w:val="0"/>
              <w:kinsoku/>
              <w:wordWrap/>
              <w:overflowPunct/>
              <w:topLinePunct w:val="0"/>
              <w:autoSpaceDE/>
              <w:autoSpaceDN/>
              <w:bidi w:val="0"/>
              <w:adjustRightInd/>
              <w:snapToGrid/>
              <w:spacing w:before="214" w:line="220" w:lineRule="auto"/>
              <w:ind w:left="251"/>
              <w:textAlignment w:val="auto"/>
              <w:rPr>
                <w:color w:val="auto"/>
                <w:highlight w:val="none"/>
              </w:rPr>
            </w:pPr>
            <w:r>
              <w:rPr>
                <w:color w:val="auto"/>
                <w:spacing w:val="-3"/>
                <w:highlight w:val="none"/>
              </w:rPr>
              <w:t>达不到的扣</w:t>
            </w:r>
            <w:r>
              <w:rPr>
                <w:color w:val="auto"/>
                <w:spacing w:val="-31"/>
                <w:highlight w:val="none"/>
              </w:rPr>
              <w:t xml:space="preserve"> </w:t>
            </w:r>
            <w:r>
              <w:rPr>
                <w:color w:val="auto"/>
                <w:spacing w:val="-3"/>
                <w:highlight w:val="none"/>
              </w:rPr>
              <w:t>2</w:t>
            </w:r>
            <w:r>
              <w:rPr>
                <w:color w:val="auto"/>
                <w:spacing w:val="-35"/>
                <w:highlight w:val="none"/>
              </w:rPr>
              <w:t xml:space="preserve"> </w:t>
            </w:r>
            <w:r>
              <w:rPr>
                <w:color w:val="auto"/>
                <w:spacing w:val="-3"/>
                <w:highlight w:val="none"/>
              </w:rPr>
              <w:t>分</w:t>
            </w:r>
          </w:p>
        </w:tc>
        <w:tc>
          <w:tcPr>
            <w:tcW w:w="679" w:type="dxa"/>
            <w:vAlign w:val="top"/>
          </w:tcPr>
          <w:p w14:paraId="2FBF1F7D">
            <w:pPr>
              <w:keepNext w:val="0"/>
              <w:keepLines/>
              <w:pageBreakBefore w:val="0"/>
              <w:widowControl w:val="0"/>
              <w:kinsoku/>
              <w:wordWrap/>
              <w:overflowPunct/>
              <w:topLinePunct w:val="0"/>
              <w:autoSpaceDE/>
              <w:autoSpaceDN/>
              <w:bidi w:val="0"/>
              <w:adjustRightInd/>
              <w:snapToGrid/>
              <w:textAlignment w:val="auto"/>
              <w:rPr>
                <w:rFonts w:ascii="Arial"/>
                <w:color w:val="auto"/>
                <w:sz w:val="21"/>
                <w:highlight w:val="none"/>
              </w:rPr>
            </w:pPr>
          </w:p>
        </w:tc>
      </w:tr>
      <w:tr w14:paraId="6651A2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848" w:type="dxa"/>
            <w:vMerge w:val="continue"/>
            <w:tcBorders>
              <w:top w:val="nil"/>
              <w:bottom w:val="nil"/>
            </w:tcBorders>
            <w:vAlign w:val="center"/>
          </w:tcPr>
          <w:p w14:paraId="23596C50">
            <w:pPr>
              <w:keepNext w:val="0"/>
              <w:keepLines/>
              <w:pageBreakBefore w:val="0"/>
              <w:widowControl w:val="0"/>
              <w:kinsoku/>
              <w:wordWrap/>
              <w:overflowPunct/>
              <w:topLinePunct w:val="0"/>
              <w:autoSpaceDE/>
              <w:autoSpaceDN/>
              <w:bidi w:val="0"/>
              <w:adjustRightInd/>
              <w:snapToGrid/>
              <w:jc w:val="center"/>
              <w:textAlignment w:val="auto"/>
              <w:rPr>
                <w:rFonts w:ascii="Arial"/>
                <w:color w:val="auto"/>
                <w:sz w:val="21"/>
                <w:highlight w:val="none"/>
              </w:rPr>
            </w:pPr>
          </w:p>
        </w:tc>
        <w:tc>
          <w:tcPr>
            <w:tcW w:w="667" w:type="dxa"/>
            <w:vMerge w:val="continue"/>
            <w:tcBorders>
              <w:top w:val="nil"/>
              <w:bottom w:val="nil"/>
            </w:tcBorders>
            <w:vAlign w:val="center"/>
          </w:tcPr>
          <w:p w14:paraId="0BEE3787">
            <w:pPr>
              <w:keepNext w:val="0"/>
              <w:keepLines/>
              <w:pageBreakBefore w:val="0"/>
              <w:widowControl w:val="0"/>
              <w:kinsoku/>
              <w:wordWrap/>
              <w:overflowPunct/>
              <w:topLinePunct w:val="0"/>
              <w:autoSpaceDE/>
              <w:autoSpaceDN/>
              <w:bidi w:val="0"/>
              <w:adjustRightInd/>
              <w:snapToGrid/>
              <w:jc w:val="center"/>
              <w:textAlignment w:val="auto"/>
              <w:rPr>
                <w:rFonts w:ascii="Arial"/>
                <w:color w:val="auto"/>
                <w:sz w:val="21"/>
                <w:highlight w:val="none"/>
              </w:rPr>
            </w:pPr>
          </w:p>
        </w:tc>
        <w:tc>
          <w:tcPr>
            <w:tcW w:w="4829" w:type="dxa"/>
            <w:vAlign w:val="top"/>
          </w:tcPr>
          <w:p w14:paraId="62B6788B">
            <w:pPr>
              <w:pStyle w:val="157"/>
              <w:keepNext w:val="0"/>
              <w:keepLines/>
              <w:pageBreakBefore w:val="0"/>
              <w:widowControl w:val="0"/>
              <w:kinsoku/>
              <w:wordWrap/>
              <w:overflowPunct/>
              <w:topLinePunct w:val="0"/>
              <w:autoSpaceDE/>
              <w:autoSpaceDN/>
              <w:bidi w:val="0"/>
              <w:adjustRightInd/>
              <w:snapToGrid/>
              <w:spacing w:before="154" w:line="220" w:lineRule="auto"/>
              <w:ind w:left="24"/>
              <w:textAlignment w:val="auto"/>
              <w:rPr>
                <w:color w:val="auto"/>
                <w:highlight w:val="none"/>
              </w:rPr>
            </w:pPr>
            <w:r>
              <w:rPr>
                <w:color w:val="auto"/>
                <w:spacing w:val="-1"/>
                <w:highlight w:val="none"/>
              </w:rPr>
              <w:t>公共照明等设施完好，工作正常</w:t>
            </w:r>
          </w:p>
        </w:tc>
        <w:tc>
          <w:tcPr>
            <w:tcW w:w="815" w:type="dxa"/>
            <w:vAlign w:val="top"/>
          </w:tcPr>
          <w:p w14:paraId="1B3F734E">
            <w:pPr>
              <w:pStyle w:val="157"/>
              <w:keepNext w:val="0"/>
              <w:keepLines/>
              <w:pageBreakBefore w:val="0"/>
              <w:widowControl w:val="0"/>
              <w:kinsoku/>
              <w:wordWrap/>
              <w:overflowPunct/>
              <w:topLinePunct w:val="0"/>
              <w:autoSpaceDE/>
              <w:autoSpaceDN/>
              <w:bidi w:val="0"/>
              <w:adjustRightInd/>
              <w:snapToGrid/>
              <w:spacing w:before="154" w:line="241" w:lineRule="auto"/>
              <w:ind w:left="460"/>
              <w:textAlignment w:val="auto"/>
              <w:rPr>
                <w:color w:val="auto"/>
                <w:highlight w:val="none"/>
              </w:rPr>
            </w:pPr>
            <w:r>
              <w:rPr>
                <w:color w:val="auto"/>
                <w:highlight w:val="none"/>
              </w:rPr>
              <w:t>1</w:t>
            </w:r>
          </w:p>
        </w:tc>
        <w:tc>
          <w:tcPr>
            <w:tcW w:w="1803" w:type="dxa"/>
            <w:vAlign w:val="top"/>
          </w:tcPr>
          <w:p w14:paraId="557C8F70">
            <w:pPr>
              <w:pStyle w:val="157"/>
              <w:keepNext w:val="0"/>
              <w:keepLines/>
              <w:pageBreakBefore w:val="0"/>
              <w:widowControl w:val="0"/>
              <w:kinsoku/>
              <w:wordWrap/>
              <w:overflowPunct/>
              <w:topLinePunct w:val="0"/>
              <w:autoSpaceDE/>
              <w:autoSpaceDN/>
              <w:bidi w:val="0"/>
              <w:adjustRightInd/>
              <w:snapToGrid/>
              <w:spacing w:before="154" w:line="220" w:lineRule="auto"/>
              <w:ind w:left="251"/>
              <w:textAlignment w:val="auto"/>
              <w:rPr>
                <w:color w:val="auto"/>
                <w:highlight w:val="none"/>
              </w:rPr>
            </w:pPr>
            <w:r>
              <w:rPr>
                <w:color w:val="auto"/>
                <w:spacing w:val="-5"/>
                <w:highlight w:val="none"/>
              </w:rPr>
              <w:t>达不到的扣</w:t>
            </w:r>
            <w:r>
              <w:rPr>
                <w:color w:val="auto"/>
                <w:spacing w:val="-17"/>
                <w:highlight w:val="none"/>
              </w:rPr>
              <w:t xml:space="preserve"> </w:t>
            </w:r>
            <w:r>
              <w:rPr>
                <w:color w:val="auto"/>
                <w:spacing w:val="-5"/>
                <w:highlight w:val="none"/>
              </w:rPr>
              <w:t>1</w:t>
            </w:r>
            <w:r>
              <w:rPr>
                <w:color w:val="auto"/>
                <w:spacing w:val="-35"/>
                <w:highlight w:val="none"/>
              </w:rPr>
              <w:t xml:space="preserve"> </w:t>
            </w:r>
            <w:r>
              <w:rPr>
                <w:color w:val="auto"/>
                <w:spacing w:val="-5"/>
                <w:highlight w:val="none"/>
              </w:rPr>
              <w:t>分</w:t>
            </w:r>
          </w:p>
        </w:tc>
        <w:tc>
          <w:tcPr>
            <w:tcW w:w="679" w:type="dxa"/>
            <w:vAlign w:val="top"/>
          </w:tcPr>
          <w:p w14:paraId="7824E3E7">
            <w:pPr>
              <w:keepNext w:val="0"/>
              <w:keepLines/>
              <w:pageBreakBefore w:val="0"/>
              <w:widowControl w:val="0"/>
              <w:kinsoku/>
              <w:wordWrap/>
              <w:overflowPunct/>
              <w:topLinePunct w:val="0"/>
              <w:autoSpaceDE/>
              <w:autoSpaceDN/>
              <w:bidi w:val="0"/>
              <w:adjustRightInd/>
              <w:snapToGrid/>
              <w:textAlignment w:val="auto"/>
              <w:rPr>
                <w:rFonts w:ascii="Arial"/>
                <w:color w:val="auto"/>
                <w:sz w:val="21"/>
                <w:highlight w:val="none"/>
              </w:rPr>
            </w:pPr>
          </w:p>
        </w:tc>
      </w:tr>
      <w:tr w14:paraId="42F737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5" w:hRule="atLeast"/>
        </w:trPr>
        <w:tc>
          <w:tcPr>
            <w:tcW w:w="848" w:type="dxa"/>
            <w:vMerge w:val="continue"/>
            <w:tcBorders>
              <w:top w:val="nil"/>
              <w:bottom w:val="nil"/>
            </w:tcBorders>
            <w:vAlign w:val="center"/>
          </w:tcPr>
          <w:p w14:paraId="283D548A">
            <w:pPr>
              <w:keepNext w:val="0"/>
              <w:keepLines/>
              <w:pageBreakBefore w:val="0"/>
              <w:widowControl w:val="0"/>
              <w:kinsoku/>
              <w:wordWrap/>
              <w:overflowPunct/>
              <w:topLinePunct w:val="0"/>
              <w:autoSpaceDE/>
              <w:autoSpaceDN/>
              <w:bidi w:val="0"/>
              <w:adjustRightInd/>
              <w:snapToGrid/>
              <w:jc w:val="center"/>
              <w:textAlignment w:val="auto"/>
              <w:rPr>
                <w:rFonts w:ascii="Arial"/>
                <w:color w:val="auto"/>
                <w:sz w:val="21"/>
                <w:highlight w:val="none"/>
              </w:rPr>
            </w:pPr>
          </w:p>
        </w:tc>
        <w:tc>
          <w:tcPr>
            <w:tcW w:w="667" w:type="dxa"/>
            <w:vMerge w:val="continue"/>
            <w:tcBorders>
              <w:top w:val="nil"/>
              <w:bottom w:val="nil"/>
            </w:tcBorders>
            <w:vAlign w:val="center"/>
          </w:tcPr>
          <w:p w14:paraId="435BD4CB">
            <w:pPr>
              <w:keepNext w:val="0"/>
              <w:keepLines/>
              <w:pageBreakBefore w:val="0"/>
              <w:widowControl w:val="0"/>
              <w:kinsoku/>
              <w:wordWrap/>
              <w:overflowPunct/>
              <w:topLinePunct w:val="0"/>
              <w:autoSpaceDE/>
              <w:autoSpaceDN/>
              <w:bidi w:val="0"/>
              <w:adjustRightInd/>
              <w:snapToGrid/>
              <w:jc w:val="center"/>
              <w:textAlignment w:val="auto"/>
              <w:rPr>
                <w:rFonts w:ascii="Arial"/>
                <w:color w:val="auto"/>
                <w:sz w:val="21"/>
                <w:highlight w:val="none"/>
              </w:rPr>
            </w:pPr>
          </w:p>
        </w:tc>
        <w:tc>
          <w:tcPr>
            <w:tcW w:w="4829" w:type="dxa"/>
            <w:vAlign w:val="top"/>
          </w:tcPr>
          <w:p w14:paraId="09EA928E">
            <w:pPr>
              <w:pStyle w:val="157"/>
              <w:keepNext w:val="0"/>
              <w:keepLines/>
              <w:pageBreakBefore w:val="0"/>
              <w:widowControl w:val="0"/>
              <w:kinsoku/>
              <w:wordWrap/>
              <w:overflowPunct/>
              <w:topLinePunct w:val="0"/>
              <w:autoSpaceDE/>
              <w:autoSpaceDN/>
              <w:bidi w:val="0"/>
              <w:adjustRightInd/>
              <w:snapToGrid/>
              <w:spacing w:before="63" w:line="251" w:lineRule="auto"/>
              <w:ind w:left="16"/>
              <w:textAlignment w:val="auto"/>
              <w:rPr>
                <w:color w:val="auto"/>
                <w:highlight w:val="none"/>
              </w:rPr>
            </w:pPr>
            <w:r>
              <w:rPr>
                <w:color w:val="auto"/>
                <w:spacing w:val="-13"/>
                <w:highlight w:val="none"/>
              </w:rPr>
              <w:t>道路畅通，路面平坦整洁，排水、排污管线设施完好，</w:t>
            </w:r>
            <w:r>
              <w:rPr>
                <w:color w:val="auto"/>
                <w:spacing w:val="-4"/>
                <w:highlight w:val="none"/>
              </w:rPr>
              <w:t>排放畅通</w:t>
            </w:r>
          </w:p>
        </w:tc>
        <w:tc>
          <w:tcPr>
            <w:tcW w:w="815" w:type="dxa"/>
            <w:vAlign w:val="top"/>
          </w:tcPr>
          <w:p w14:paraId="139272E4">
            <w:pPr>
              <w:pStyle w:val="157"/>
              <w:keepNext w:val="0"/>
              <w:keepLines/>
              <w:pageBreakBefore w:val="0"/>
              <w:widowControl w:val="0"/>
              <w:kinsoku/>
              <w:wordWrap/>
              <w:overflowPunct/>
              <w:topLinePunct w:val="0"/>
              <w:autoSpaceDE/>
              <w:autoSpaceDN/>
              <w:bidi w:val="0"/>
              <w:adjustRightInd/>
              <w:snapToGrid/>
              <w:spacing w:before="215" w:line="241" w:lineRule="auto"/>
              <w:ind w:left="460"/>
              <w:textAlignment w:val="auto"/>
              <w:rPr>
                <w:color w:val="auto"/>
                <w:highlight w:val="none"/>
              </w:rPr>
            </w:pPr>
            <w:r>
              <w:rPr>
                <w:color w:val="auto"/>
                <w:highlight w:val="none"/>
              </w:rPr>
              <w:t>1</w:t>
            </w:r>
          </w:p>
        </w:tc>
        <w:tc>
          <w:tcPr>
            <w:tcW w:w="1803" w:type="dxa"/>
            <w:vAlign w:val="top"/>
          </w:tcPr>
          <w:p w14:paraId="09A96AD0">
            <w:pPr>
              <w:pStyle w:val="157"/>
              <w:keepNext w:val="0"/>
              <w:keepLines/>
              <w:pageBreakBefore w:val="0"/>
              <w:widowControl w:val="0"/>
              <w:kinsoku/>
              <w:wordWrap/>
              <w:overflowPunct/>
              <w:topLinePunct w:val="0"/>
              <w:autoSpaceDE/>
              <w:autoSpaceDN/>
              <w:bidi w:val="0"/>
              <w:adjustRightInd/>
              <w:snapToGrid/>
              <w:spacing w:before="215" w:line="220" w:lineRule="auto"/>
              <w:ind w:left="251"/>
              <w:textAlignment w:val="auto"/>
              <w:rPr>
                <w:color w:val="auto"/>
                <w:highlight w:val="none"/>
              </w:rPr>
            </w:pPr>
            <w:r>
              <w:rPr>
                <w:color w:val="auto"/>
                <w:spacing w:val="-5"/>
                <w:highlight w:val="none"/>
              </w:rPr>
              <w:t>达不到的扣</w:t>
            </w:r>
            <w:r>
              <w:rPr>
                <w:color w:val="auto"/>
                <w:spacing w:val="-17"/>
                <w:highlight w:val="none"/>
              </w:rPr>
              <w:t xml:space="preserve"> </w:t>
            </w:r>
            <w:r>
              <w:rPr>
                <w:color w:val="auto"/>
                <w:spacing w:val="-5"/>
                <w:highlight w:val="none"/>
              </w:rPr>
              <w:t>1</w:t>
            </w:r>
            <w:r>
              <w:rPr>
                <w:color w:val="auto"/>
                <w:spacing w:val="-35"/>
                <w:highlight w:val="none"/>
              </w:rPr>
              <w:t xml:space="preserve"> </w:t>
            </w:r>
            <w:r>
              <w:rPr>
                <w:color w:val="auto"/>
                <w:spacing w:val="-5"/>
                <w:highlight w:val="none"/>
              </w:rPr>
              <w:t>分</w:t>
            </w:r>
          </w:p>
        </w:tc>
        <w:tc>
          <w:tcPr>
            <w:tcW w:w="679" w:type="dxa"/>
            <w:vAlign w:val="top"/>
          </w:tcPr>
          <w:p w14:paraId="3A39B6EB">
            <w:pPr>
              <w:keepNext w:val="0"/>
              <w:keepLines/>
              <w:pageBreakBefore w:val="0"/>
              <w:widowControl w:val="0"/>
              <w:kinsoku/>
              <w:wordWrap/>
              <w:overflowPunct/>
              <w:topLinePunct w:val="0"/>
              <w:autoSpaceDE/>
              <w:autoSpaceDN/>
              <w:bidi w:val="0"/>
              <w:adjustRightInd/>
              <w:snapToGrid/>
              <w:textAlignment w:val="auto"/>
              <w:rPr>
                <w:rFonts w:ascii="Arial"/>
                <w:color w:val="auto"/>
                <w:sz w:val="21"/>
                <w:highlight w:val="none"/>
              </w:rPr>
            </w:pPr>
          </w:p>
        </w:tc>
      </w:tr>
      <w:tr w14:paraId="275106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848" w:type="dxa"/>
            <w:vMerge w:val="continue"/>
            <w:tcBorders>
              <w:top w:val="nil"/>
            </w:tcBorders>
            <w:vAlign w:val="center"/>
          </w:tcPr>
          <w:p w14:paraId="784AE56C">
            <w:pPr>
              <w:keepNext w:val="0"/>
              <w:keepLines/>
              <w:pageBreakBefore w:val="0"/>
              <w:widowControl w:val="0"/>
              <w:kinsoku/>
              <w:wordWrap/>
              <w:overflowPunct/>
              <w:topLinePunct w:val="0"/>
              <w:autoSpaceDE/>
              <w:autoSpaceDN/>
              <w:bidi w:val="0"/>
              <w:adjustRightInd/>
              <w:snapToGrid/>
              <w:jc w:val="center"/>
              <w:textAlignment w:val="auto"/>
              <w:rPr>
                <w:rFonts w:ascii="Arial"/>
                <w:color w:val="auto"/>
                <w:sz w:val="21"/>
                <w:highlight w:val="none"/>
              </w:rPr>
            </w:pPr>
          </w:p>
        </w:tc>
        <w:tc>
          <w:tcPr>
            <w:tcW w:w="667" w:type="dxa"/>
            <w:vMerge w:val="continue"/>
            <w:tcBorders>
              <w:top w:val="nil"/>
            </w:tcBorders>
            <w:vAlign w:val="center"/>
          </w:tcPr>
          <w:p w14:paraId="3F40BA89">
            <w:pPr>
              <w:keepNext w:val="0"/>
              <w:keepLines/>
              <w:pageBreakBefore w:val="0"/>
              <w:widowControl w:val="0"/>
              <w:kinsoku/>
              <w:wordWrap/>
              <w:overflowPunct/>
              <w:topLinePunct w:val="0"/>
              <w:autoSpaceDE/>
              <w:autoSpaceDN/>
              <w:bidi w:val="0"/>
              <w:adjustRightInd/>
              <w:snapToGrid/>
              <w:jc w:val="center"/>
              <w:textAlignment w:val="auto"/>
              <w:rPr>
                <w:rFonts w:ascii="Arial"/>
                <w:color w:val="auto"/>
                <w:sz w:val="21"/>
                <w:highlight w:val="none"/>
              </w:rPr>
            </w:pPr>
          </w:p>
        </w:tc>
        <w:tc>
          <w:tcPr>
            <w:tcW w:w="4829" w:type="dxa"/>
            <w:vAlign w:val="top"/>
          </w:tcPr>
          <w:p w14:paraId="6A385849">
            <w:pPr>
              <w:pStyle w:val="157"/>
              <w:keepNext w:val="0"/>
              <w:keepLines/>
              <w:pageBreakBefore w:val="0"/>
              <w:widowControl w:val="0"/>
              <w:kinsoku/>
              <w:wordWrap/>
              <w:overflowPunct/>
              <w:topLinePunct w:val="0"/>
              <w:autoSpaceDE/>
              <w:autoSpaceDN/>
              <w:bidi w:val="0"/>
              <w:adjustRightInd/>
              <w:snapToGrid/>
              <w:spacing w:before="155" w:line="220" w:lineRule="auto"/>
              <w:ind w:left="20"/>
              <w:textAlignment w:val="auto"/>
              <w:rPr>
                <w:color w:val="auto"/>
                <w:highlight w:val="none"/>
              </w:rPr>
            </w:pPr>
            <w:r>
              <w:rPr>
                <w:color w:val="auto"/>
                <w:highlight w:val="none"/>
              </w:rPr>
              <w:t>危险、隐患部位设置安全防范警示标志或维护</w:t>
            </w:r>
            <w:r>
              <w:rPr>
                <w:color w:val="auto"/>
                <w:spacing w:val="-1"/>
                <w:highlight w:val="none"/>
              </w:rPr>
              <w:t>设施</w:t>
            </w:r>
          </w:p>
        </w:tc>
        <w:tc>
          <w:tcPr>
            <w:tcW w:w="815" w:type="dxa"/>
            <w:vAlign w:val="top"/>
          </w:tcPr>
          <w:p w14:paraId="0DD6DB89">
            <w:pPr>
              <w:pStyle w:val="157"/>
              <w:keepNext w:val="0"/>
              <w:keepLines/>
              <w:pageBreakBefore w:val="0"/>
              <w:widowControl w:val="0"/>
              <w:kinsoku/>
              <w:wordWrap/>
              <w:overflowPunct/>
              <w:topLinePunct w:val="0"/>
              <w:autoSpaceDE/>
              <w:autoSpaceDN/>
              <w:bidi w:val="0"/>
              <w:adjustRightInd/>
              <w:snapToGrid/>
              <w:spacing w:before="156" w:line="241" w:lineRule="auto"/>
              <w:ind w:left="447"/>
              <w:textAlignment w:val="auto"/>
              <w:rPr>
                <w:color w:val="auto"/>
                <w:highlight w:val="none"/>
              </w:rPr>
            </w:pPr>
            <w:r>
              <w:rPr>
                <w:color w:val="auto"/>
                <w:highlight w:val="none"/>
              </w:rPr>
              <w:t>2</w:t>
            </w:r>
          </w:p>
        </w:tc>
        <w:tc>
          <w:tcPr>
            <w:tcW w:w="1803" w:type="dxa"/>
            <w:vAlign w:val="top"/>
          </w:tcPr>
          <w:p w14:paraId="35ECC271">
            <w:pPr>
              <w:pStyle w:val="157"/>
              <w:keepNext w:val="0"/>
              <w:keepLines/>
              <w:pageBreakBefore w:val="0"/>
              <w:widowControl w:val="0"/>
              <w:kinsoku/>
              <w:wordWrap/>
              <w:overflowPunct/>
              <w:topLinePunct w:val="0"/>
              <w:autoSpaceDE/>
              <w:autoSpaceDN/>
              <w:bidi w:val="0"/>
              <w:adjustRightInd/>
              <w:snapToGrid/>
              <w:spacing w:before="156" w:line="220" w:lineRule="auto"/>
              <w:ind w:left="251"/>
              <w:textAlignment w:val="auto"/>
              <w:rPr>
                <w:color w:val="auto"/>
                <w:highlight w:val="none"/>
              </w:rPr>
            </w:pPr>
            <w:r>
              <w:rPr>
                <w:color w:val="auto"/>
                <w:spacing w:val="-3"/>
                <w:highlight w:val="none"/>
              </w:rPr>
              <w:t>达不到的扣</w:t>
            </w:r>
            <w:r>
              <w:rPr>
                <w:color w:val="auto"/>
                <w:spacing w:val="-31"/>
                <w:highlight w:val="none"/>
              </w:rPr>
              <w:t xml:space="preserve"> </w:t>
            </w:r>
            <w:r>
              <w:rPr>
                <w:color w:val="auto"/>
                <w:spacing w:val="-3"/>
                <w:highlight w:val="none"/>
              </w:rPr>
              <w:t>2</w:t>
            </w:r>
            <w:r>
              <w:rPr>
                <w:color w:val="auto"/>
                <w:spacing w:val="-35"/>
                <w:highlight w:val="none"/>
              </w:rPr>
              <w:t xml:space="preserve"> </w:t>
            </w:r>
            <w:r>
              <w:rPr>
                <w:color w:val="auto"/>
                <w:spacing w:val="-3"/>
                <w:highlight w:val="none"/>
              </w:rPr>
              <w:t>分</w:t>
            </w:r>
          </w:p>
        </w:tc>
        <w:tc>
          <w:tcPr>
            <w:tcW w:w="679" w:type="dxa"/>
            <w:vAlign w:val="top"/>
          </w:tcPr>
          <w:p w14:paraId="0E87E9AF">
            <w:pPr>
              <w:keepNext w:val="0"/>
              <w:keepLines/>
              <w:pageBreakBefore w:val="0"/>
              <w:widowControl w:val="0"/>
              <w:kinsoku/>
              <w:wordWrap/>
              <w:overflowPunct/>
              <w:topLinePunct w:val="0"/>
              <w:autoSpaceDE/>
              <w:autoSpaceDN/>
              <w:bidi w:val="0"/>
              <w:adjustRightInd/>
              <w:snapToGrid/>
              <w:textAlignment w:val="auto"/>
              <w:rPr>
                <w:rFonts w:ascii="Arial"/>
                <w:color w:val="auto"/>
                <w:sz w:val="21"/>
                <w:highlight w:val="none"/>
              </w:rPr>
            </w:pPr>
          </w:p>
        </w:tc>
      </w:tr>
      <w:tr w14:paraId="5A4B33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848" w:type="dxa"/>
            <w:vMerge w:val="restart"/>
            <w:vAlign w:val="center"/>
          </w:tcPr>
          <w:p w14:paraId="777C092B">
            <w:pPr>
              <w:pStyle w:val="157"/>
              <w:keepNext w:val="0"/>
              <w:keepLines/>
              <w:pageBreakBefore w:val="0"/>
              <w:widowControl w:val="0"/>
              <w:kinsoku/>
              <w:wordWrap/>
              <w:overflowPunct/>
              <w:topLinePunct w:val="0"/>
              <w:autoSpaceDE/>
              <w:autoSpaceDN/>
              <w:bidi w:val="0"/>
              <w:adjustRightInd/>
              <w:snapToGrid/>
              <w:spacing w:before="68" w:line="220" w:lineRule="auto"/>
              <w:jc w:val="center"/>
              <w:textAlignment w:val="auto"/>
              <w:rPr>
                <w:color w:val="auto"/>
                <w:highlight w:val="none"/>
              </w:rPr>
            </w:pPr>
            <w:r>
              <w:rPr>
                <w:color w:val="auto"/>
                <w:spacing w:val="-2"/>
                <w:highlight w:val="none"/>
              </w:rPr>
              <w:t>绿化管理</w:t>
            </w:r>
          </w:p>
        </w:tc>
        <w:tc>
          <w:tcPr>
            <w:tcW w:w="667" w:type="dxa"/>
            <w:vMerge w:val="restart"/>
            <w:vAlign w:val="center"/>
          </w:tcPr>
          <w:p w14:paraId="332EEAB6">
            <w:pPr>
              <w:pStyle w:val="157"/>
              <w:keepNext w:val="0"/>
              <w:keepLines/>
              <w:pageBreakBefore w:val="0"/>
              <w:widowControl w:val="0"/>
              <w:kinsoku/>
              <w:wordWrap/>
              <w:overflowPunct/>
              <w:topLinePunct w:val="0"/>
              <w:autoSpaceDE/>
              <w:autoSpaceDN/>
              <w:bidi w:val="0"/>
              <w:adjustRightInd/>
              <w:snapToGrid/>
              <w:spacing w:before="69" w:line="220" w:lineRule="auto"/>
              <w:jc w:val="center"/>
              <w:textAlignment w:val="auto"/>
              <w:rPr>
                <w:color w:val="auto"/>
                <w:highlight w:val="none"/>
              </w:rPr>
            </w:pPr>
            <w:r>
              <w:rPr>
                <w:color w:val="auto"/>
                <w:spacing w:val="-4"/>
                <w:highlight w:val="none"/>
              </w:rPr>
              <w:t>20</w:t>
            </w:r>
            <w:r>
              <w:rPr>
                <w:color w:val="auto"/>
                <w:spacing w:val="-34"/>
                <w:highlight w:val="none"/>
              </w:rPr>
              <w:t xml:space="preserve"> </w:t>
            </w:r>
            <w:r>
              <w:rPr>
                <w:color w:val="auto"/>
                <w:spacing w:val="-4"/>
                <w:highlight w:val="none"/>
              </w:rPr>
              <w:t>分</w:t>
            </w:r>
          </w:p>
        </w:tc>
        <w:tc>
          <w:tcPr>
            <w:tcW w:w="4829" w:type="dxa"/>
            <w:vAlign w:val="top"/>
          </w:tcPr>
          <w:p w14:paraId="508CCA26">
            <w:pPr>
              <w:pStyle w:val="157"/>
              <w:keepNext w:val="0"/>
              <w:keepLines/>
              <w:pageBreakBefore w:val="0"/>
              <w:widowControl w:val="0"/>
              <w:kinsoku/>
              <w:wordWrap/>
              <w:overflowPunct/>
              <w:topLinePunct w:val="0"/>
              <w:autoSpaceDE/>
              <w:autoSpaceDN/>
              <w:bidi w:val="0"/>
              <w:adjustRightInd/>
              <w:snapToGrid/>
              <w:spacing w:before="155" w:line="220" w:lineRule="auto"/>
              <w:ind w:left="19"/>
              <w:textAlignment w:val="auto"/>
              <w:rPr>
                <w:color w:val="auto"/>
                <w:highlight w:val="none"/>
              </w:rPr>
            </w:pPr>
            <w:r>
              <w:rPr>
                <w:color w:val="auto"/>
                <w:spacing w:val="-1"/>
                <w:highlight w:val="none"/>
              </w:rPr>
              <w:t>绿地上无纸屑、烟头、石块等杂物</w:t>
            </w:r>
          </w:p>
        </w:tc>
        <w:tc>
          <w:tcPr>
            <w:tcW w:w="815" w:type="dxa"/>
            <w:vAlign w:val="top"/>
          </w:tcPr>
          <w:p w14:paraId="7AC2AFD4">
            <w:pPr>
              <w:pStyle w:val="157"/>
              <w:keepNext w:val="0"/>
              <w:keepLines/>
              <w:pageBreakBefore w:val="0"/>
              <w:widowControl w:val="0"/>
              <w:kinsoku/>
              <w:wordWrap/>
              <w:overflowPunct/>
              <w:topLinePunct w:val="0"/>
              <w:autoSpaceDE/>
              <w:autoSpaceDN/>
              <w:bidi w:val="0"/>
              <w:adjustRightInd/>
              <w:snapToGrid/>
              <w:spacing w:before="155"/>
              <w:ind w:left="449"/>
              <w:textAlignment w:val="auto"/>
              <w:rPr>
                <w:color w:val="auto"/>
                <w:highlight w:val="none"/>
              </w:rPr>
            </w:pPr>
            <w:r>
              <w:rPr>
                <w:color w:val="auto"/>
                <w:highlight w:val="none"/>
              </w:rPr>
              <w:t>3</w:t>
            </w:r>
          </w:p>
        </w:tc>
        <w:tc>
          <w:tcPr>
            <w:tcW w:w="1803" w:type="dxa"/>
            <w:vAlign w:val="top"/>
          </w:tcPr>
          <w:p w14:paraId="188EDF28">
            <w:pPr>
              <w:pStyle w:val="157"/>
              <w:keepNext w:val="0"/>
              <w:keepLines/>
              <w:pageBreakBefore w:val="0"/>
              <w:widowControl w:val="0"/>
              <w:kinsoku/>
              <w:wordWrap/>
              <w:overflowPunct/>
              <w:topLinePunct w:val="0"/>
              <w:autoSpaceDE/>
              <w:autoSpaceDN/>
              <w:bidi w:val="0"/>
              <w:adjustRightInd/>
              <w:snapToGrid/>
              <w:spacing w:before="156" w:line="220" w:lineRule="auto"/>
              <w:ind w:left="251"/>
              <w:textAlignment w:val="auto"/>
              <w:rPr>
                <w:color w:val="auto"/>
                <w:highlight w:val="none"/>
              </w:rPr>
            </w:pPr>
            <w:r>
              <w:rPr>
                <w:color w:val="auto"/>
                <w:spacing w:val="-3"/>
                <w:highlight w:val="none"/>
              </w:rPr>
              <w:t>达不到的扣</w:t>
            </w:r>
            <w:r>
              <w:rPr>
                <w:color w:val="auto"/>
                <w:spacing w:val="-31"/>
                <w:highlight w:val="none"/>
              </w:rPr>
              <w:t xml:space="preserve"> </w:t>
            </w:r>
            <w:r>
              <w:rPr>
                <w:color w:val="auto"/>
                <w:spacing w:val="-3"/>
                <w:highlight w:val="none"/>
              </w:rPr>
              <w:t>3</w:t>
            </w:r>
            <w:r>
              <w:rPr>
                <w:color w:val="auto"/>
                <w:spacing w:val="-35"/>
                <w:highlight w:val="none"/>
              </w:rPr>
              <w:t xml:space="preserve"> </w:t>
            </w:r>
            <w:r>
              <w:rPr>
                <w:color w:val="auto"/>
                <w:spacing w:val="-3"/>
                <w:highlight w:val="none"/>
              </w:rPr>
              <w:t>分</w:t>
            </w:r>
          </w:p>
        </w:tc>
        <w:tc>
          <w:tcPr>
            <w:tcW w:w="679" w:type="dxa"/>
            <w:vAlign w:val="top"/>
          </w:tcPr>
          <w:p w14:paraId="623E777B">
            <w:pPr>
              <w:keepNext w:val="0"/>
              <w:keepLines/>
              <w:pageBreakBefore w:val="0"/>
              <w:widowControl w:val="0"/>
              <w:kinsoku/>
              <w:wordWrap/>
              <w:overflowPunct/>
              <w:topLinePunct w:val="0"/>
              <w:autoSpaceDE/>
              <w:autoSpaceDN/>
              <w:bidi w:val="0"/>
              <w:adjustRightInd/>
              <w:snapToGrid/>
              <w:textAlignment w:val="auto"/>
              <w:rPr>
                <w:rFonts w:ascii="Arial"/>
                <w:color w:val="auto"/>
                <w:sz w:val="21"/>
                <w:highlight w:val="none"/>
              </w:rPr>
            </w:pPr>
          </w:p>
        </w:tc>
      </w:tr>
      <w:tr w14:paraId="510757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848" w:type="dxa"/>
            <w:vMerge w:val="continue"/>
            <w:vAlign w:val="top"/>
          </w:tcPr>
          <w:p w14:paraId="516C178B">
            <w:pPr>
              <w:keepNext w:val="0"/>
              <w:keepLines/>
              <w:pageBreakBefore w:val="0"/>
              <w:widowControl w:val="0"/>
              <w:kinsoku/>
              <w:wordWrap/>
              <w:overflowPunct/>
              <w:topLinePunct w:val="0"/>
              <w:autoSpaceDE/>
              <w:autoSpaceDN/>
              <w:bidi w:val="0"/>
              <w:adjustRightInd/>
              <w:snapToGrid/>
              <w:textAlignment w:val="auto"/>
              <w:rPr>
                <w:rFonts w:ascii="Arial"/>
                <w:color w:val="auto"/>
                <w:sz w:val="21"/>
                <w:highlight w:val="none"/>
              </w:rPr>
            </w:pPr>
          </w:p>
        </w:tc>
        <w:tc>
          <w:tcPr>
            <w:tcW w:w="667" w:type="dxa"/>
            <w:vMerge w:val="continue"/>
            <w:vAlign w:val="top"/>
          </w:tcPr>
          <w:p w14:paraId="46C4FDC0">
            <w:pPr>
              <w:keepNext w:val="0"/>
              <w:keepLines/>
              <w:pageBreakBefore w:val="0"/>
              <w:widowControl w:val="0"/>
              <w:kinsoku/>
              <w:wordWrap/>
              <w:overflowPunct/>
              <w:topLinePunct w:val="0"/>
              <w:autoSpaceDE/>
              <w:autoSpaceDN/>
              <w:bidi w:val="0"/>
              <w:adjustRightInd/>
              <w:snapToGrid/>
              <w:textAlignment w:val="auto"/>
              <w:rPr>
                <w:rFonts w:ascii="Arial"/>
                <w:color w:val="auto"/>
                <w:sz w:val="21"/>
                <w:highlight w:val="none"/>
              </w:rPr>
            </w:pPr>
          </w:p>
        </w:tc>
        <w:tc>
          <w:tcPr>
            <w:tcW w:w="4829" w:type="dxa"/>
            <w:vAlign w:val="top"/>
          </w:tcPr>
          <w:p w14:paraId="79E00622">
            <w:pPr>
              <w:pStyle w:val="157"/>
              <w:keepNext w:val="0"/>
              <w:keepLines/>
              <w:pageBreakBefore w:val="0"/>
              <w:widowControl w:val="0"/>
              <w:kinsoku/>
              <w:wordWrap/>
              <w:overflowPunct/>
              <w:topLinePunct w:val="0"/>
              <w:autoSpaceDE/>
              <w:autoSpaceDN/>
              <w:bidi w:val="0"/>
              <w:adjustRightInd/>
              <w:snapToGrid/>
              <w:spacing w:before="141" w:line="220" w:lineRule="auto"/>
              <w:ind w:left="19"/>
              <w:textAlignment w:val="auto"/>
              <w:rPr>
                <w:color w:val="auto"/>
                <w:highlight w:val="none"/>
              </w:rPr>
            </w:pPr>
            <w:r>
              <w:rPr>
                <w:color w:val="auto"/>
                <w:spacing w:val="-1"/>
                <w:highlight w:val="none"/>
              </w:rPr>
              <w:t>绿地上无杂草丛生，制定病虫害防治计划</w:t>
            </w:r>
          </w:p>
        </w:tc>
        <w:tc>
          <w:tcPr>
            <w:tcW w:w="815" w:type="dxa"/>
            <w:vAlign w:val="top"/>
          </w:tcPr>
          <w:p w14:paraId="0EDD8171">
            <w:pPr>
              <w:pStyle w:val="157"/>
              <w:keepNext w:val="0"/>
              <w:keepLines/>
              <w:pageBreakBefore w:val="0"/>
              <w:widowControl w:val="0"/>
              <w:kinsoku/>
              <w:wordWrap/>
              <w:overflowPunct/>
              <w:topLinePunct w:val="0"/>
              <w:autoSpaceDE/>
              <w:autoSpaceDN/>
              <w:bidi w:val="0"/>
              <w:adjustRightInd/>
              <w:snapToGrid/>
              <w:spacing w:before="141" w:line="241" w:lineRule="auto"/>
              <w:ind w:left="444"/>
              <w:textAlignment w:val="auto"/>
              <w:rPr>
                <w:color w:val="auto"/>
                <w:highlight w:val="none"/>
              </w:rPr>
            </w:pPr>
            <w:r>
              <w:rPr>
                <w:color w:val="auto"/>
                <w:highlight w:val="none"/>
              </w:rPr>
              <w:t>4</w:t>
            </w:r>
          </w:p>
        </w:tc>
        <w:tc>
          <w:tcPr>
            <w:tcW w:w="1803" w:type="dxa"/>
            <w:vAlign w:val="top"/>
          </w:tcPr>
          <w:p w14:paraId="54B59F78">
            <w:pPr>
              <w:pStyle w:val="157"/>
              <w:keepNext w:val="0"/>
              <w:keepLines/>
              <w:pageBreakBefore w:val="0"/>
              <w:widowControl w:val="0"/>
              <w:kinsoku/>
              <w:wordWrap/>
              <w:overflowPunct/>
              <w:topLinePunct w:val="0"/>
              <w:autoSpaceDE/>
              <w:autoSpaceDN/>
              <w:bidi w:val="0"/>
              <w:adjustRightInd/>
              <w:snapToGrid/>
              <w:spacing w:before="141" w:line="220" w:lineRule="auto"/>
              <w:ind w:left="251"/>
              <w:textAlignment w:val="auto"/>
              <w:rPr>
                <w:color w:val="auto"/>
                <w:highlight w:val="none"/>
              </w:rPr>
            </w:pPr>
            <w:r>
              <w:rPr>
                <w:color w:val="auto"/>
                <w:spacing w:val="-2"/>
                <w:highlight w:val="none"/>
              </w:rPr>
              <w:t>达不到的扣</w:t>
            </w:r>
            <w:r>
              <w:rPr>
                <w:color w:val="auto"/>
                <w:spacing w:val="-38"/>
                <w:highlight w:val="none"/>
              </w:rPr>
              <w:t xml:space="preserve"> </w:t>
            </w:r>
            <w:r>
              <w:rPr>
                <w:color w:val="auto"/>
                <w:spacing w:val="-2"/>
                <w:highlight w:val="none"/>
              </w:rPr>
              <w:t>4</w:t>
            </w:r>
            <w:r>
              <w:rPr>
                <w:color w:val="auto"/>
                <w:spacing w:val="-35"/>
                <w:highlight w:val="none"/>
              </w:rPr>
              <w:t xml:space="preserve"> </w:t>
            </w:r>
            <w:r>
              <w:rPr>
                <w:color w:val="auto"/>
                <w:spacing w:val="-2"/>
                <w:highlight w:val="none"/>
              </w:rPr>
              <w:t>分</w:t>
            </w:r>
          </w:p>
        </w:tc>
        <w:tc>
          <w:tcPr>
            <w:tcW w:w="679" w:type="dxa"/>
            <w:vAlign w:val="top"/>
          </w:tcPr>
          <w:p w14:paraId="07C41FCE">
            <w:pPr>
              <w:keepNext w:val="0"/>
              <w:keepLines/>
              <w:pageBreakBefore w:val="0"/>
              <w:widowControl w:val="0"/>
              <w:kinsoku/>
              <w:wordWrap/>
              <w:overflowPunct/>
              <w:topLinePunct w:val="0"/>
              <w:autoSpaceDE/>
              <w:autoSpaceDN/>
              <w:bidi w:val="0"/>
              <w:adjustRightInd/>
              <w:snapToGrid/>
              <w:textAlignment w:val="auto"/>
              <w:rPr>
                <w:rFonts w:ascii="Arial"/>
                <w:color w:val="auto"/>
                <w:sz w:val="21"/>
                <w:highlight w:val="none"/>
              </w:rPr>
            </w:pPr>
          </w:p>
        </w:tc>
      </w:tr>
      <w:tr w14:paraId="1ECC01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848" w:type="dxa"/>
            <w:vMerge w:val="continue"/>
            <w:vAlign w:val="top"/>
          </w:tcPr>
          <w:p w14:paraId="16F3CC64">
            <w:pPr>
              <w:keepNext w:val="0"/>
              <w:keepLines/>
              <w:pageBreakBefore w:val="0"/>
              <w:widowControl w:val="0"/>
              <w:kinsoku/>
              <w:wordWrap/>
              <w:overflowPunct/>
              <w:topLinePunct w:val="0"/>
              <w:autoSpaceDE/>
              <w:autoSpaceDN/>
              <w:bidi w:val="0"/>
              <w:adjustRightInd/>
              <w:snapToGrid/>
              <w:textAlignment w:val="auto"/>
              <w:rPr>
                <w:rFonts w:ascii="Arial"/>
                <w:color w:val="auto"/>
                <w:sz w:val="21"/>
                <w:highlight w:val="none"/>
              </w:rPr>
            </w:pPr>
          </w:p>
        </w:tc>
        <w:tc>
          <w:tcPr>
            <w:tcW w:w="667" w:type="dxa"/>
            <w:vMerge w:val="continue"/>
            <w:vAlign w:val="top"/>
          </w:tcPr>
          <w:p w14:paraId="45590CEB">
            <w:pPr>
              <w:keepNext w:val="0"/>
              <w:keepLines/>
              <w:pageBreakBefore w:val="0"/>
              <w:widowControl w:val="0"/>
              <w:kinsoku/>
              <w:wordWrap/>
              <w:overflowPunct/>
              <w:topLinePunct w:val="0"/>
              <w:autoSpaceDE/>
              <w:autoSpaceDN/>
              <w:bidi w:val="0"/>
              <w:adjustRightInd/>
              <w:snapToGrid/>
              <w:textAlignment w:val="auto"/>
              <w:rPr>
                <w:rFonts w:ascii="Arial"/>
                <w:color w:val="auto"/>
                <w:sz w:val="21"/>
                <w:highlight w:val="none"/>
              </w:rPr>
            </w:pPr>
          </w:p>
        </w:tc>
        <w:tc>
          <w:tcPr>
            <w:tcW w:w="4829" w:type="dxa"/>
            <w:vAlign w:val="top"/>
          </w:tcPr>
          <w:p w14:paraId="367BC21A">
            <w:pPr>
              <w:pStyle w:val="157"/>
              <w:keepNext w:val="0"/>
              <w:keepLines/>
              <w:pageBreakBefore w:val="0"/>
              <w:widowControl w:val="0"/>
              <w:kinsoku/>
              <w:wordWrap/>
              <w:overflowPunct/>
              <w:topLinePunct w:val="0"/>
              <w:autoSpaceDE/>
              <w:autoSpaceDN/>
              <w:bidi w:val="0"/>
              <w:adjustRightInd/>
              <w:snapToGrid/>
              <w:spacing w:before="156" w:line="220" w:lineRule="auto"/>
              <w:ind w:left="19"/>
              <w:textAlignment w:val="auto"/>
              <w:rPr>
                <w:color w:val="auto"/>
                <w:highlight w:val="none"/>
              </w:rPr>
            </w:pPr>
            <w:r>
              <w:rPr>
                <w:color w:val="auto"/>
                <w:spacing w:val="-1"/>
                <w:highlight w:val="none"/>
              </w:rPr>
              <w:t>绿化要保持完整，无大面积枯萎现象</w:t>
            </w:r>
          </w:p>
        </w:tc>
        <w:tc>
          <w:tcPr>
            <w:tcW w:w="815" w:type="dxa"/>
            <w:vAlign w:val="top"/>
          </w:tcPr>
          <w:p w14:paraId="0FCCE2CF">
            <w:pPr>
              <w:pStyle w:val="157"/>
              <w:keepNext w:val="0"/>
              <w:keepLines/>
              <w:pageBreakBefore w:val="0"/>
              <w:widowControl w:val="0"/>
              <w:kinsoku/>
              <w:wordWrap/>
              <w:overflowPunct/>
              <w:topLinePunct w:val="0"/>
              <w:autoSpaceDE/>
              <w:autoSpaceDN/>
              <w:bidi w:val="0"/>
              <w:adjustRightInd/>
              <w:snapToGrid/>
              <w:spacing w:before="156"/>
              <w:ind w:left="449"/>
              <w:textAlignment w:val="auto"/>
              <w:rPr>
                <w:color w:val="auto"/>
                <w:highlight w:val="none"/>
              </w:rPr>
            </w:pPr>
            <w:r>
              <w:rPr>
                <w:color w:val="auto"/>
                <w:highlight w:val="none"/>
              </w:rPr>
              <w:t>5</w:t>
            </w:r>
          </w:p>
        </w:tc>
        <w:tc>
          <w:tcPr>
            <w:tcW w:w="1803" w:type="dxa"/>
            <w:vAlign w:val="top"/>
          </w:tcPr>
          <w:p w14:paraId="546347F0">
            <w:pPr>
              <w:pStyle w:val="157"/>
              <w:keepNext w:val="0"/>
              <w:keepLines/>
              <w:pageBreakBefore w:val="0"/>
              <w:widowControl w:val="0"/>
              <w:kinsoku/>
              <w:wordWrap/>
              <w:overflowPunct/>
              <w:topLinePunct w:val="0"/>
              <w:autoSpaceDE/>
              <w:autoSpaceDN/>
              <w:bidi w:val="0"/>
              <w:adjustRightInd/>
              <w:snapToGrid/>
              <w:spacing w:before="157" w:line="220" w:lineRule="auto"/>
              <w:ind w:left="251"/>
              <w:textAlignment w:val="auto"/>
              <w:rPr>
                <w:color w:val="auto"/>
                <w:highlight w:val="none"/>
              </w:rPr>
            </w:pPr>
            <w:r>
              <w:rPr>
                <w:color w:val="auto"/>
                <w:spacing w:val="-3"/>
                <w:highlight w:val="none"/>
              </w:rPr>
              <w:t>达不到的扣</w:t>
            </w:r>
            <w:r>
              <w:rPr>
                <w:color w:val="auto"/>
                <w:spacing w:val="-31"/>
                <w:highlight w:val="none"/>
              </w:rPr>
              <w:t xml:space="preserve"> </w:t>
            </w:r>
            <w:r>
              <w:rPr>
                <w:color w:val="auto"/>
                <w:spacing w:val="-3"/>
                <w:highlight w:val="none"/>
              </w:rPr>
              <w:t>5</w:t>
            </w:r>
            <w:r>
              <w:rPr>
                <w:color w:val="auto"/>
                <w:spacing w:val="-35"/>
                <w:highlight w:val="none"/>
              </w:rPr>
              <w:t xml:space="preserve"> </w:t>
            </w:r>
            <w:r>
              <w:rPr>
                <w:color w:val="auto"/>
                <w:spacing w:val="-3"/>
                <w:highlight w:val="none"/>
              </w:rPr>
              <w:t>分</w:t>
            </w:r>
          </w:p>
        </w:tc>
        <w:tc>
          <w:tcPr>
            <w:tcW w:w="679" w:type="dxa"/>
            <w:vAlign w:val="top"/>
          </w:tcPr>
          <w:p w14:paraId="5BCD7A30">
            <w:pPr>
              <w:keepNext w:val="0"/>
              <w:keepLines/>
              <w:pageBreakBefore w:val="0"/>
              <w:widowControl w:val="0"/>
              <w:kinsoku/>
              <w:wordWrap/>
              <w:overflowPunct/>
              <w:topLinePunct w:val="0"/>
              <w:autoSpaceDE/>
              <w:autoSpaceDN/>
              <w:bidi w:val="0"/>
              <w:adjustRightInd/>
              <w:snapToGrid/>
              <w:textAlignment w:val="auto"/>
              <w:rPr>
                <w:rFonts w:ascii="Arial"/>
                <w:color w:val="auto"/>
                <w:sz w:val="21"/>
                <w:highlight w:val="none"/>
              </w:rPr>
            </w:pPr>
          </w:p>
        </w:tc>
      </w:tr>
      <w:tr w14:paraId="247825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848" w:type="dxa"/>
            <w:vMerge w:val="continue"/>
            <w:vAlign w:val="top"/>
          </w:tcPr>
          <w:p w14:paraId="434146FA">
            <w:pPr>
              <w:keepNext w:val="0"/>
              <w:keepLines/>
              <w:pageBreakBefore w:val="0"/>
              <w:widowControl w:val="0"/>
              <w:kinsoku/>
              <w:wordWrap/>
              <w:overflowPunct/>
              <w:topLinePunct w:val="0"/>
              <w:autoSpaceDE/>
              <w:autoSpaceDN/>
              <w:bidi w:val="0"/>
              <w:adjustRightInd/>
              <w:snapToGrid/>
              <w:textAlignment w:val="auto"/>
              <w:rPr>
                <w:rFonts w:ascii="Arial"/>
                <w:color w:val="auto"/>
                <w:sz w:val="21"/>
                <w:highlight w:val="none"/>
              </w:rPr>
            </w:pPr>
          </w:p>
        </w:tc>
        <w:tc>
          <w:tcPr>
            <w:tcW w:w="667" w:type="dxa"/>
            <w:vMerge w:val="continue"/>
            <w:vAlign w:val="top"/>
          </w:tcPr>
          <w:p w14:paraId="7CD891A3">
            <w:pPr>
              <w:keepNext w:val="0"/>
              <w:keepLines/>
              <w:pageBreakBefore w:val="0"/>
              <w:widowControl w:val="0"/>
              <w:kinsoku/>
              <w:wordWrap/>
              <w:overflowPunct/>
              <w:topLinePunct w:val="0"/>
              <w:autoSpaceDE/>
              <w:autoSpaceDN/>
              <w:bidi w:val="0"/>
              <w:adjustRightInd/>
              <w:snapToGrid/>
              <w:textAlignment w:val="auto"/>
              <w:rPr>
                <w:rFonts w:ascii="Arial"/>
                <w:color w:val="auto"/>
                <w:sz w:val="21"/>
                <w:highlight w:val="none"/>
              </w:rPr>
            </w:pPr>
          </w:p>
        </w:tc>
        <w:tc>
          <w:tcPr>
            <w:tcW w:w="4829" w:type="dxa"/>
            <w:vAlign w:val="top"/>
          </w:tcPr>
          <w:p w14:paraId="458C1C39">
            <w:pPr>
              <w:pStyle w:val="157"/>
              <w:spacing w:before="149" w:line="220" w:lineRule="auto"/>
              <w:ind w:left="19" w:leftChars="0"/>
              <w:rPr>
                <w:color w:val="auto"/>
                <w:spacing w:val="-1"/>
                <w:highlight w:val="none"/>
              </w:rPr>
            </w:pPr>
            <w:r>
              <w:rPr>
                <w:color w:val="auto"/>
                <w:spacing w:val="-1"/>
                <w:highlight w:val="none"/>
              </w:rPr>
              <w:t>绿地上有温馨提示，无人行践踏痕迹</w:t>
            </w:r>
          </w:p>
        </w:tc>
        <w:tc>
          <w:tcPr>
            <w:tcW w:w="815" w:type="dxa"/>
            <w:vAlign w:val="top"/>
          </w:tcPr>
          <w:p w14:paraId="1FB36B4A">
            <w:pPr>
              <w:pStyle w:val="157"/>
              <w:spacing w:before="149"/>
              <w:ind w:left="449" w:leftChars="0"/>
              <w:rPr>
                <w:color w:val="auto"/>
                <w:highlight w:val="none"/>
              </w:rPr>
            </w:pPr>
            <w:r>
              <w:rPr>
                <w:color w:val="auto"/>
                <w:highlight w:val="none"/>
              </w:rPr>
              <w:t>3</w:t>
            </w:r>
          </w:p>
        </w:tc>
        <w:tc>
          <w:tcPr>
            <w:tcW w:w="1803" w:type="dxa"/>
            <w:vAlign w:val="top"/>
          </w:tcPr>
          <w:p w14:paraId="176EC7FD">
            <w:pPr>
              <w:pStyle w:val="157"/>
              <w:spacing w:before="149" w:line="220" w:lineRule="auto"/>
              <w:ind w:left="251" w:leftChars="0"/>
              <w:rPr>
                <w:color w:val="auto"/>
                <w:spacing w:val="-3"/>
                <w:highlight w:val="none"/>
              </w:rPr>
            </w:pPr>
            <w:r>
              <w:rPr>
                <w:color w:val="auto"/>
                <w:spacing w:val="-3"/>
                <w:highlight w:val="none"/>
              </w:rPr>
              <w:t>达不到的扣</w:t>
            </w:r>
            <w:r>
              <w:rPr>
                <w:color w:val="auto"/>
                <w:spacing w:val="-31"/>
                <w:highlight w:val="none"/>
              </w:rPr>
              <w:t xml:space="preserve"> </w:t>
            </w:r>
            <w:r>
              <w:rPr>
                <w:color w:val="auto"/>
                <w:spacing w:val="-3"/>
                <w:highlight w:val="none"/>
              </w:rPr>
              <w:t>3</w:t>
            </w:r>
            <w:r>
              <w:rPr>
                <w:color w:val="auto"/>
                <w:spacing w:val="-35"/>
                <w:highlight w:val="none"/>
              </w:rPr>
              <w:t xml:space="preserve"> </w:t>
            </w:r>
            <w:r>
              <w:rPr>
                <w:color w:val="auto"/>
                <w:spacing w:val="-3"/>
                <w:highlight w:val="none"/>
              </w:rPr>
              <w:t>分</w:t>
            </w:r>
          </w:p>
        </w:tc>
        <w:tc>
          <w:tcPr>
            <w:tcW w:w="679" w:type="dxa"/>
            <w:vAlign w:val="top"/>
          </w:tcPr>
          <w:p w14:paraId="4FD6BB8F">
            <w:pPr>
              <w:keepNext w:val="0"/>
              <w:keepLines/>
              <w:pageBreakBefore w:val="0"/>
              <w:widowControl w:val="0"/>
              <w:kinsoku/>
              <w:wordWrap/>
              <w:overflowPunct/>
              <w:topLinePunct w:val="0"/>
              <w:autoSpaceDE/>
              <w:autoSpaceDN/>
              <w:bidi w:val="0"/>
              <w:adjustRightInd/>
              <w:snapToGrid/>
              <w:textAlignment w:val="auto"/>
              <w:rPr>
                <w:rFonts w:ascii="Arial"/>
                <w:color w:val="auto"/>
                <w:sz w:val="21"/>
                <w:highlight w:val="none"/>
              </w:rPr>
            </w:pPr>
          </w:p>
        </w:tc>
      </w:tr>
      <w:tr w14:paraId="24BF9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848" w:type="dxa"/>
            <w:vMerge w:val="continue"/>
            <w:vAlign w:val="top"/>
          </w:tcPr>
          <w:p w14:paraId="16039E07">
            <w:pPr>
              <w:keepNext w:val="0"/>
              <w:keepLines/>
              <w:pageBreakBefore w:val="0"/>
              <w:widowControl w:val="0"/>
              <w:kinsoku/>
              <w:wordWrap/>
              <w:overflowPunct/>
              <w:topLinePunct w:val="0"/>
              <w:autoSpaceDE/>
              <w:autoSpaceDN/>
              <w:bidi w:val="0"/>
              <w:adjustRightInd/>
              <w:snapToGrid/>
              <w:textAlignment w:val="auto"/>
              <w:rPr>
                <w:rFonts w:ascii="Arial"/>
                <w:color w:val="auto"/>
                <w:sz w:val="21"/>
                <w:highlight w:val="none"/>
              </w:rPr>
            </w:pPr>
          </w:p>
        </w:tc>
        <w:tc>
          <w:tcPr>
            <w:tcW w:w="667" w:type="dxa"/>
            <w:vMerge w:val="continue"/>
            <w:vAlign w:val="top"/>
          </w:tcPr>
          <w:p w14:paraId="05A8419F">
            <w:pPr>
              <w:keepNext w:val="0"/>
              <w:keepLines/>
              <w:pageBreakBefore w:val="0"/>
              <w:widowControl w:val="0"/>
              <w:kinsoku/>
              <w:wordWrap/>
              <w:overflowPunct/>
              <w:topLinePunct w:val="0"/>
              <w:autoSpaceDE/>
              <w:autoSpaceDN/>
              <w:bidi w:val="0"/>
              <w:adjustRightInd/>
              <w:snapToGrid/>
              <w:textAlignment w:val="auto"/>
              <w:rPr>
                <w:rFonts w:ascii="Arial"/>
                <w:color w:val="auto"/>
                <w:sz w:val="21"/>
                <w:highlight w:val="none"/>
              </w:rPr>
            </w:pPr>
          </w:p>
        </w:tc>
        <w:tc>
          <w:tcPr>
            <w:tcW w:w="4829" w:type="dxa"/>
            <w:vAlign w:val="top"/>
          </w:tcPr>
          <w:p w14:paraId="4BF34B55">
            <w:pPr>
              <w:pStyle w:val="157"/>
              <w:spacing w:before="142" w:line="220" w:lineRule="auto"/>
              <w:ind w:left="19" w:leftChars="0"/>
              <w:rPr>
                <w:color w:val="auto"/>
                <w:spacing w:val="-1"/>
                <w:highlight w:val="none"/>
              </w:rPr>
            </w:pPr>
            <w:r>
              <w:rPr>
                <w:color w:val="auto"/>
                <w:spacing w:val="-1"/>
                <w:highlight w:val="none"/>
              </w:rPr>
              <w:t>绿化修剪及时并有计划有记录</w:t>
            </w:r>
          </w:p>
        </w:tc>
        <w:tc>
          <w:tcPr>
            <w:tcW w:w="815" w:type="dxa"/>
            <w:vAlign w:val="top"/>
          </w:tcPr>
          <w:p w14:paraId="15099025">
            <w:pPr>
              <w:pStyle w:val="157"/>
              <w:spacing w:before="142"/>
              <w:ind w:left="449" w:leftChars="0"/>
              <w:rPr>
                <w:color w:val="auto"/>
                <w:highlight w:val="none"/>
              </w:rPr>
            </w:pPr>
            <w:r>
              <w:rPr>
                <w:color w:val="auto"/>
                <w:highlight w:val="none"/>
              </w:rPr>
              <w:t>5</w:t>
            </w:r>
          </w:p>
        </w:tc>
        <w:tc>
          <w:tcPr>
            <w:tcW w:w="1803" w:type="dxa"/>
            <w:vAlign w:val="top"/>
          </w:tcPr>
          <w:p w14:paraId="7CAA4CAD">
            <w:pPr>
              <w:pStyle w:val="157"/>
              <w:spacing w:before="143" w:line="220" w:lineRule="auto"/>
              <w:ind w:left="251" w:leftChars="0"/>
              <w:rPr>
                <w:color w:val="auto"/>
                <w:spacing w:val="-3"/>
                <w:highlight w:val="none"/>
              </w:rPr>
            </w:pPr>
            <w:r>
              <w:rPr>
                <w:color w:val="auto"/>
                <w:spacing w:val="-3"/>
                <w:highlight w:val="none"/>
              </w:rPr>
              <w:t>达不到的扣</w:t>
            </w:r>
            <w:r>
              <w:rPr>
                <w:color w:val="auto"/>
                <w:spacing w:val="-31"/>
                <w:highlight w:val="none"/>
              </w:rPr>
              <w:t xml:space="preserve"> </w:t>
            </w:r>
            <w:r>
              <w:rPr>
                <w:color w:val="auto"/>
                <w:spacing w:val="-3"/>
                <w:highlight w:val="none"/>
              </w:rPr>
              <w:t>5</w:t>
            </w:r>
            <w:r>
              <w:rPr>
                <w:color w:val="auto"/>
                <w:spacing w:val="-35"/>
                <w:highlight w:val="none"/>
              </w:rPr>
              <w:t xml:space="preserve"> </w:t>
            </w:r>
            <w:r>
              <w:rPr>
                <w:color w:val="auto"/>
                <w:spacing w:val="-3"/>
                <w:highlight w:val="none"/>
              </w:rPr>
              <w:t>分</w:t>
            </w:r>
          </w:p>
        </w:tc>
        <w:tc>
          <w:tcPr>
            <w:tcW w:w="679" w:type="dxa"/>
            <w:vAlign w:val="top"/>
          </w:tcPr>
          <w:p w14:paraId="205632B9">
            <w:pPr>
              <w:keepNext w:val="0"/>
              <w:keepLines/>
              <w:pageBreakBefore w:val="0"/>
              <w:widowControl w:val="0"/>
              <w:kinsoku/>
              <w:wordWrap/>
              <w:overflowPunct/>
              <w:topLinePunct w:val="0"/>
              <w:autoSpaceDE/>
              <w:autoSpaceDN/>
              <w:bidi w:val="0"/>
              <w:adjustRightInd/>
              <w:snapToGrid/>
              <w:textAlignment w:val="auto"/>
              <w:rPr>
                <w:rFonts w:ascii="Arial"/>
                <w:color w:val="auto"/>
                <w:sz w:val="21"/>
                <w:highlight w:val="none"/>
              </w:rPr>
            </w:pPr>
          </w:p>
        </w:tc>
      </w:tr>
    </w:tbl>
    <w:p w14:paraId="77E68B0D">
      <w:pPr>
        <w:spacing w:line="102" w:lineRule="auto"/>
        <w:rPr>
          <w:rFonts w:ascii="Arial"/>
          <w:color w:val="auto"/>
          <w:sz w:val="2"/>
          <w:highlight w:val="none"/>
        </w:rPr>
      </w:pPr>
    </w:p>
    <w:tbl>
      <w:tblPr>
        <w:tblStyle w:val="137"/>
        <w:tblW w:w="965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48"/>
        <w:gridCol w:w="667"/>
        <w:gridCol w:w="4829"/>
        <w:gridCol w:w="827"/>
        <w:gridCol w:w="1791"/>
        <w:gridCol w:w="692"/>
      </w:tblGrid>
      <w:tr w14:paraId="07B847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0" w:hRule="atLeast"/>
        </w:trPr>
        <w:tc>
          <w:tcPr>
            <w:tcW w:w="848" w:type="dxa"/>
            <w:vMerge w:val="restart"/>
            <w:tcBorders>
              <w:bottom w:val="nil"/>
            </w:tcBorders>
            <w:vAlign w:val="center"/>
          </w:tcPr>
          <w:p w14:paraId="5CF8C9C6">
            <w:pPr>
              <w:pStyle w:val="157"/>
              <w:spacing w:before="68" w:line="220" w:lineRule="auto"/>
              <w:jc w:val="center"/>
              <w:rPr>
                <w:color w:val="auto"/>
                <w:highlight w:val="none"/>
              </w:rPr>
            </w:pPr>
            <w:r>
              <w:rPr>
                <w:color w:val="auto"/>
                <w:spacing w:val="-3"/>
                <w:highlight w:val="none"/>
              </w:rPr>
              <w:t>其他</w:t>
            </w:r>
          </w:p>
        </w:tc>
        <w:tc>
          <w:tcPr>
            <w:tcW w:w="667" w:type="dxa"/>
            <w:vMerge w:val="restart"/>
            <w:tcBorders>
              <w:bottom w:val="nil"/>
            </w:tcBorders>
            <w:vAlign w:val="center"/>
          </w:tcPr>
          <w:p w14:paraId="502AC26C">
            <w:pPr>
              <w:pStyle w:val="157"/>
              <w:spacing w:before="68" w:line="220" w:lineRule="auto"/>
              <w:jc w:val="center"/>
              <w:rPr>
                <w:color w:val="auto"/>
                <w:highlight w:val="none"/>
              </w:rPr>
            </w:pPr>
            <w:r>
              <w:rPr>
                <w:color w:val="auto"/>
                <w:spacing w:val="-4"/>
                <w:highlight w:val="none"/>
              </w:rPr>
              <w:t>20</w:t>
            </w:r>
            <w:r>
              <w:rPr>
                <w:color w:val="auto"/>
                <w:spacing w:val="-34"/>
                <w:highlight w:val="none"/>
              </w:rPr>
              <w:t xml:space="preserve"> </w:t>
            </w:r>
            <w:r>
              <w:rPr>
                <w:color w:val="auto"/>
                <w:spacing w:val="-4"/>
                <w:highlight w:val="none"/>
              </w:rPr>
              <w:t>分</w:t>
            </w:r>
          </w:p>
        </w:tc>
        <w:tc>
          <w:tcPr>
            <w:tcW w:w="4829" w:type="dxa"/>
            <w:vAlign w:val="top"/>
          </w:tcPr>
          <w:p w14:paraId="130C133E">
            <w:pPr>
              <w:pStyle w:val="157"/>
              <w:spacing w:before="62" w:line="260" w:lineRule="auto"/>
              <w:ind w:left="18" w:hanging="2"/>
              <w:jc w:val="both"/>
              <w:rPr>
                <w:color w:val="auto"/>
                <w:highlight w:val="none"/>
              </w:rPr>
            </w:pPr>
            <w:r>
              <w:rPr>
                <w:color w:val="auto"/>
                <w:spacing w:val="-4"/>
                <w:highlight w:val="none"/>
              </w:rPr>
              <w:t>接到会议安排，提前半小时对会议室卫生进行清</w:t>
            </w:r>
            <w:r>
              <w:rPr>
                <w:color w:val="auto"/>
                <w:spacing w:val="-5"/>
                <w:highlight w:val="none"/>
              </w:rPr>
              <w:t>扫，</w:t>
            </w:r>
            <w:r>
              <w:rPr>
                <w:color w:val="auto"/>
                <w:spacing w:val="-6"/>
                <w:highlight w:val="none"/>
              </w:rPr>
              <w:t>桌椅摆放、准备茶水、检查空调和音响系统，安</w:t>
            </w:r>
            <w:r>
              <w:rPr>
                <w:color w:val="auto"/>
                <w:spacing w:val="-7"/>
                <w:highlight w:val="none"/>
              </w:rPr>
              <w:t>排会</w:t>
            </w:r>
            <w:r>
              <w:rPr>
                <w:color w:val="auto"/>
                <w:spacing w:val="-3"/>
                <w:highlight w:val="none"/>
              </w:rPr>
              <w:t>务人员做好会议期间的各项服务工作</w:t>
            </w:r>
          </w:p>
        </w:tc>
        <w:tc>
          <w:tcPr>
            <w:tcW w:w="827" w:type="dxa"/>
            <w:vAlign w:val="top"/>
          </w:tcPr>
          <w:p w14:paraId="2B483230">
            <w:pPr>
              <w:spacing w:line="308" w:lineRule="auto"/>
              <w:rPr>
                <w:rFonts w:ascii="Arial"/>
                <w:color w:val="auto"/>
                <w:sz w:val="21"/>
                <w:highlight w:val="none"/>
              </w:rPr>
            </w:pPr>
          </w:p>
          <w:p w14:paraId="7BD70953">
            <w:pPr>
              <w:pStyle w:val="157"/>
              <w:spacing w:before="68" w:line="241" w:lineRule="auto"/>
              <w:ind w:left="447"/>
              <w:rPr>
                <w:color w:val="auto"/>
                <w:highlight w:val="none"/>
              </w:rPr>
            </w:pPr>
            <w:r>
              <w:rPr>
                <w:color w:val="auto"/>
                <w:highlight w:val="none"/>
              </w:rPr>
              <w:t>2</w:t>
            </w:r>
          </w:p>
        </w:tc>
        <w:tc>
          <w:tcPr>
            <w:tcW w:w="1791" w:type="dxa"/>
            <w:vAlign w:val="top"/>
          </w:tcPr>
          <w:p w14:paraId="7ED20672">
            <w:pPr>
              <w:spacing w:line="307" w:lineRule="auto"/>
              <w:rPr>
                <w:rFonts w:ascii="Arial"/>
                <w:color w:val="auto"/>
                <w:sz w:val="21"/>
                <w:highlight w:val="none"/>
              </w:rPr>
            </w:pPr>
          </w:p>
          <w:p w14:paraId="26D3479D">
            <w:pPr>
              <w:pStyle w:val="157"/>
              <w:spacing w:before="68" w:line="220" w:lineRule="auto"/>
              <w:ind w:left="150"/>
              <w:rPr>
                <w:color w:val="auto"/>
                <w:highlight w:val="none"/>
              </w:rPr>
            </w:pPr>
            <w:r>
              <w:rPr>
                <w:color w:val="auto"/>
                <w:spacing w:val="-5"/>
                <w:highlight w:val="none"/>
              </w:rPr>
              <w:t>一项做不到扣</w:t>
            </w:r>
            <w:r>
              <w:rPr>
                <w:color w:val="auto"/>
                <w:spacing w:val="-16"/>
                <w:highlight w:val="none"/>
              </w:rPr>
              <w:t xml:space="preserve"> </w:t>
            </w:r>
            <w:r>
              <w:rPr>
                <w:color w:val="auto"/>
                <w:spacing w:val="-5"/>
                <w:highlight w:val="none"/>
              </w:rPr>
              <w:t>1</w:t>
            </w:r>
            <w:r>
              <w:rPr>
                <w:color w:val="auto"/>
                <w:spacing w:val="-35"/>
                <w:highlight w:val="none"/>
              </w:rPr>
              <w:t xml:space="preserve"> </w:t>
            </w:r>
            <w:r>
              <w:rPr>
                <w:color w:val="auto"/>
                <w:spacing w:val="-5"/>
                <w:highlight w:val="none"/>
              </w:rPr>
              <w:t>分</w:t>
            </w:r>
          </w:p>
        </w:tc>
        <w:tc>
          <w:tcPr>
            <w:tcW w:w="692" w:type="dxa"/>
            <w:vAlign w:val="top"/>
          </w:tcPr>
          <w:p w14:paraId="36D80042">
            <w:pPr>
              <w:rPr>
                <w:rFonts w:ascii="Arial"/>
                <w:color w:val="auto"/>
                <w:sz w:val="21"/>
                <w:highlight w:val="none"/>
              </w:rPr>
            </w:pPr>
          </w:p>
        </w:tc>
      </w:tr>
      <w:tr w14:paraId="0F5AFF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0" w:hRule="atLeast"/>
        </w:trPr>
        <w:tc>
          <w:tcPr>
            <w:tcW w:w="848" w:type="dxa"/>
            <w:vMerge w:val="continue"/>
            <w:tcBorders>
              <w:top w:val="nil"/>
              <w:bottom w:val="nil"/>
            </w:tcBorders>
            <w:vAlign w:val="top"/>
          </w:tcPr>
          <w:p w14:paraId="6D9631E7">
            <w:pPr>
              <w:rPr>
                <w:rFonts w:ascii="Arial"/>
                <w:color w:val="auto"/>
                <w:sz w:val="21"/>
                <w:highlight w:val="none"/>
              </w:rPr>
            </w:pPr>
          </w:p>
        </w:tc>
        <w:tc>
          <w:tcPr>
            <w:tcW w:w="667" w:type="dxa"/>
            <w:vMerge w:val="continue"/>
            <w:tcBorders>
              <w:top w:val="nil"/>
              <w:bottom w:val="nil"/>
            </w:tcBorders>
            <w:vAlign w:val="top"/>
          </w:tcPr>
          <w:p w14:paraId="267CC40C">
            <w:pPr>
              <w:rPr>
                <w:rFonts w:ascii="Arial"/>
                <w:color w:val="auto"/>
                <w:sz w:val="21"/>
                <w:highlight w:val="none"/>
              </w:rPr>
            </w:pPr>
          </w:p>
        </w:tc>
        <w:tc>
          <w:tcPr>
            <w:tcW w:w="4829" w:type="dxa"/>
            <w:vAlign w:val="top"/>
          </w:tcPr>
          <w:p w14:paraId="238A6790">
            <w:pPr>
              <w:pStyle w:val="157"/>
              <w:spacing w:before="65" w:line="257" w:lineRule="auto"/>
              <w:ind w:left="17"/>
              <w:rPr>
                <w:color w:val="auto"/>
                <w:highlight w:val="none"/>
              </w:rPr>
            </w:pPr>
            <w:r>
              <w:rPr>
                <w:color w:val="auto"/>
                <w:spacing w:val="-4"/>
                <w:highlight w:val="none"/>
              </w:rPr>
              <w:t>认真巡视各区域人员及交通情况，严禁任何有</w:t>
            </w:r>
            <w:r>
              <w:rPr>
                <w:color w:val="auto"/>
                <w:spacing w:val="-5"/>
                <w:highlight w:val="none"/>
              </w:rPr>
              <w:t>碍公共</w:t>
            </w:r>
            <w:r>
              <w:rPr>
                <w:color w:val="auto"/>
                <w:spacing w:val="-1"/>
                <w:highlight w:val="none"/>
              </w:rPr>
              <w:t>秩序的活动和行为</w:t>
            </w:r>
          </w:p>
        </w:tc>
        <w:tc>
          <w:tcPr>
            <w:tcW w:w="827" w:type="dxa"/>
            <w:vAlign w:val="top"/>
          </w:tcPr>
          <w:p w14:paraId="74DC7A21">
            <w:pPr>
              <w:pStyle w:val="157"/>
              <w:spacing w:before="214" w:line="241" w:lineRule="auto"/>
              <w:ind w:left="447"/>
              <w:rPr>
                <w:color w:val="auto"/>
                <w:highlight w:val="none"/>
              </w:rPr>
            </w:pPr>
            <w:r>
              <w:rPr>
                <w:color w:val="auto"/>
                <w:highlight w:val="none"/>
              </w:rPr>
              <w:t>2</w:t>
            </w:r>
          </w:p>
        </w:tc>
        <w:tc>
          <w:tcPr>
            <w:tcW w:w="1791" w:type="dxa"/>
            <w:vAlign w:val="top"/>
          </w:tcPr>
          <w:p w14:paraId="48E18477">
            <w:pPr>
              <w:pStyle w:val="157"/>
              <w:spacing w:before="213" w:line="220" w:lineRule="auto"/>
              <w:ind w:left="255"/>
              <w:rPr>
                <w:color w:val="auto"/>
                <w:highlight w:val="none"/>
              </w:rPr>
            </w:pPr>
            <w:r>
              <w:rPr>
                <w:color w:val="auto"/>
                <w:spacing w:val="-3"/>
                <w:highlight w:val="none"/>
              </w:rPr>
              <w:t>发生一次扣</w:t>
            </w:r>
            <w:r>
              <w:rPr>
                <w:color w:val="auto"/>
                <w:spacing w:val="-35"/>
                <w:highlight w:val="none"/>
              </w:rPr>
              <w:t xml:space="preserve"> </w:t>
            </w:r>
            <w:r>
              <w:rPr>
                <w:color w:val="auto"/>
                <w:spacing w:val="-3"/>
                <w:highlight w:val="none"/>
              </w:rPr>
              <w:t>2</w:t>
            </w:r>
            <w:r>
              <w:rPr>
                <w:color w:val="auto"/>
                <w:spacing w:val="-35"/>
                <w:highlight w:val="none"/>
              </w:rPr>
              <w:t xml:space="preserve"> </w:t>
            </w:r>
            <w:r>
              <w:rPr>
                <w:color w:val="auto"/>
                <w:spacing w:val="-3"/>
                <w:highlight w:val="none"/>
              </w:rPr>
              <w:t>分</w:t>
            </w:r>
          </w:p>
        </w:tc>
        <w:tc>
          <w:tcPr>
            <w:tcW w:w="692" w:type="dxa"/>
            <w:vAlign w:val="top"/>
          </w:tcPr>
          <w:p w14:paraId="62631699">
            <w:pPr>
              <w:rPr>
                <w:rFonts w:ascii="Arial"/>
                <w:color w:val="auto"/>
                <w:sz w:val="21"/>
                <w:highlight w:val="none"/>
              </w:rPr>
            </w:pPr>
          </w:p>
        </w:tc>
      </w:tr>
      <w:tr w14:paraId="4C0F2B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5" w:hRule="atLeast"/>
        </w:trPr>
        <w:tc>
          <w:tcPr>
            <w:tcW w:w="848" w:type="dxa"/>
            <w:vMerge w:val="continue"/>
            <w:tcBorders>
              <w:top w:val="nil"/>
              <w:bottom w:val="nil"/>
            </w:tcBorders>
            <w:vAlign w:val="top"/>
          </w:tcPr>
          <w:p w14:paraId="6287F4D2">
            <w:pPr>
              <w:rPr>
                <w:rFonts w:ascii="Arial"/>
                <w:color w:val="auto"/>
                <w:sz w:val="21"/>
                <w:highlight w:val="none"/>
              </w:rPr>
            </w:pPr>
          </w:p>
        </w:tc>
        <w:tc>
          <w:tcPr>
            <w:tcW w:w="667" w:type="dxa"/>
            <w:vMerge w:val="continue"/>
            <w:tcBorders>
              <w:top w:val="nil"/>
              <w:bottom w:val="nil"/>
            </w:tcBorders>
            <w:vAlign w:val="top"/>
          </w:tcPr>
          <w:p w14:paraId="7CABE2FF">
            <w:pPr>
              <w:rPr>
                <w:rFonts w:ascii="Arial"/>
                <w:color w:val="auto"/>
                <w:sz w:val="21"/>
                <w:highlight w:val="none"/>
              </w:rPr>
            </w:pPr>
          </w:p>
        </w:tc>
        <w:tc>
          <w:tcPr>
            <w:tcW w:w="4829" w:type="dxa"/>
            <w:vAlign w:val="top"/>
          </w:tcPr>
          <w:p w14:paraId="3195C42D">
            <w:pPr>
              <w:pStyle w:val="157"/>
              <w:spacing w:before="50" w:line="257" w:lineRule="auto"/>
              <w:ind w:left="21"/>
              <w:rPr>
                <w:color w:val="auto"/>
                <w:highlight w:val="none"/>
              </w:rPr>
            </w:pPr>
            <w:r>
              <w:rPr>
                <w:color w:val="auto"/>
                <w:spacing w:val="-5"/>
                <w:highlight w:val="none"/>
              </w:rPr>
              <w:t>发生盗抢案件要保护现场，快速报案，协助、配合公</w:t>
            </w:r>
            <w:r>
              <w:rPr>
                <w:color w:val="auto"/>
                <w:spacing w:val="-2"/>
                <w:highlight w:val="none"/>
              </w:rPr>
              <w:t>安机关破案</w:t>
            </w:r>
          </w:p>
        </w:tc>
        <w:tc>
          <w:tcPr>
            <w:tcW w:w="827" w:type="dxa"/>
            <w:vAlign w:val="top"/>
          </w:tcPr>
          <w:p w14:paraId="31149D5D">
            <w:pPr>
              <w:pStyle w:val="157"/>
              <w:spacing w:before="215" w:line="241" w:lineRule="auto"/>
              <w:ind w:left="447"/>
              <w:rPr>
                <w:color w:val="auto"/>
                <w:highlight w:val="none"/>
              </w:rPr>
            </w:pPr>
            <w:r>
              <w:rPr>
                <w:color w:val="auto"/>
                <w:highlight w:val="none"/>
              </w:rPr>
              <w:t>2</w:t>
            </w:r>
          </w:p>
        </w:tc>
        <w:tc>
          <w:tcPr>
            <w:tcW w:w="1791" w:type="dxa"/>
            <w:vAlign w:val="top"/>
          </w:tcPr>
          <w:p w14:paraId="668F01B6">
            <w:pPr>
              <w:pStyle w:val="157"/>
              <w:spacing w:before="214" w:line="220" w:lineRule="auto"/>
              <w:ind w:left="150"/>
              <w:rPr>
                <w:color w:val="auto"/>
                <w:highlight w:val="none"/>
              </w:rPr>
            </w:pPr>
            <w:r>
              <w:rPr>
                <w:color w:val="auto"/>
                <w:spacing w:val="-3"/>
                <w:highlight w:val="none"/>
              </w:rPr>
              <w:t>一次做不到扣</w:t>
            </w:r>
            <w:r>
              <w:rPr>
                <w:color w:val="auto"/>
                <w:spacing w:val="-32"/>
                <w:highlight w:val="none"/>
              </w:rPr>
              <w:t xml:space="preserve"> </w:t>
            </w:r>
            <w:r>
              <w:rPr>
                <w:color w:val="auto"/>
                <w:spacing w:val="-3"/>
                <w:highlight w:val="none"/>
              </w:rPr>
              <w:t>2</w:t>
            </w:r>
            <w:r>
              <w:rPr>
                <w:color w:val="auto"/>
                <w:spacing w:val="-35"/>
                <w:highlight w:val="none"/>
              </w:rPr>
              <w:t xml:space="preserve"> </w:t>
            </w:r>
            <w:r>
              <w:rPr>
                <w:color w:val="auto"/>
                <w:spacing w:val="-3"/>
                <w:highlight w:val="none"/>
              </w:rPr>
              <w:t>分</w:t>
            </w:r>
          </w:p>
        </w:tc>
        <w:tc>
          <w:tcPr>
            <w:tcW w:w="692" w:type="dxa"/>
            <w:vAlign w:val="top"/>
          </w:tcPr>
          <w:p w14:paraId="3100F699">
            <w:pPr>
              <w:rPr>
                <w:rFonts w:ascii="Arial"/>
                <w:color w:val="auto"/>
                <w:sz w:val="21"/>
                <w:highlight w:val="none"/>
              </w:rPr>
            </w:pPr>
          </w:p>
        </w:tc>
      </w:tr>
      <w:tr w14:paraId="4521F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6" w:hRule="atLeast"/>
        </w:trPr>
        <w:tc>
          <w:tcPr>
            <w:tcW w:w="848" w:type="dxa"/>
            <w:vMerge w:val="continue"/>
            <w:tcBorders>
              <w:top w:val="nil"/>
              <w:bottom w:val="nil"/>
            </w:tcBorders>
            <w:vAlign w:val="top"/>
          </w:tcPr>
          <w:p w14:paraId="54DB3276">
            <w:pPr>
              <w:rPr>
                <w:rFonts w:ascii="Arial"/>
                <w:color w:val="auto"/>
                <w:sz w:val="21"/>
                <w:highlight w:val="none"/>
              </w:rPr>
            </w:pPr>
          </w:p>
        </w:tc>
        <w:tc>
          <w:tcPr>
            <w:tcW w:w="667" w:type="dxa"/>
            <w:vMerge w:val="continue"/>
            <w:tcBorders>
              <w:top w:val="nil"/>
              <w:bottom w:val="nil"/>
            </w:tcBorders>
            <w:vAlign w:val="top"/>
          </w:tcPr>
          <w:p w14:paraId="45372526">
            <w:pPr>
              <w:rPr>
                <w:rFonts w:ascii="Arial"/>
                <w:color w:val="auto"/>
                <w:sz w:val="21"/>
                <w:highlight w:val="none"/>
              </w:rPr>
            </w:pPr>
          </w:p>
        </w:tc>
        <w:tc>
          <w:tcPr>
            <w:tcW w:w="4829" w:type="dxa"/>
            <w:vAlign w:val="top"/>
          </w:tcPr>
          <w:p w14:paraId="0FCB3C7B">
            <w:pPr>
              <w:pStyle w:val="157"/>
              <w:spacing w:before="64" w:line="251" w:lineRule="auto"/>
              <w:ind w:left="18"/>
              <w:rPr>
                <w:color w:val="auto"/>
                <w:highlight w:val="none"/>
              </w:rPr>
            </w:pPr>
            <w:r>
              <w:rPr>
                <w:color w:val="auto"/>
                <w:spacing w:val="-4"/>
                <w:highlight w:val="none"/>
              </w:rPr>
              <w:t>有大型活动时，积极配合有关部门，按要求</w:t>
            </w:r>
            <w:r>
              <w:rPr>
                <w:color w:val="auto"/>
                <w:spacing w:val="-5"/>
                <w:highlight w:val="none"/>
              </w:rPr>
              <w:t>作好交通</w:t>
            </w:r>
            <w:r>
              <w:rPr>
                <w:color w:val="auto"/>
                <w:spacing w:val="-1"/>
                <w:highlight w:val="none"/>
              </w:rPr>
              <w:t>疏导、维护秩序等工作</w:t>
            </w:r>
          </w:p>
        </w:tc>
        <w:tc>
          <w:tcPr>
            <w:tcW w:w="827" w:type="dxa"/>
            <w:vAlign w:val="top"/>
          </w:tcPr>
          <w:p w14:paraId="327DF5B9">
            <w:pPr>
              <w:pStyle w:val="157"/>
              <w:spacing w:before="215" w:line="241" w:lineRule="auto"/>
              <w:ind w:left="447"/>
              <w:rPr>
                <w:color w:val="auto"/>
                <w:highlight w:val="none"/>
              </w:rPr>
            </w:pPr>
            <w:r>
              <w:rPr>
                <w:color w:val="auto"/>
                <w:highlight w:val="none"/>
              </w:rPr>
              <w:t>2</w:t>
            </w:r>
          </w:p>
        </w:tc>
        <w:tc>
          <w:tcPr>
            <w:tcW w:w="1791" w:type="dxa"/>
            <w:vAlign w:val="top"/>
          </w:tcPr>
          <w:p w14:paraId="20B50295">
            <w:pPr>
              <w:pStyle w:val="157"/>
              <w:spacing w:before="214" w:line="220" w:lineRule="auto"/>
              <w:ind w:left="252"/>
              <w:rPr>
                <w:color w:val="auto"/>
                <w:highlight w:val="none"/>
              </w:rPr>
            </w:pPr>
            <w:r>
              <w:rPr>
                <w:color w:val="auto"/>
                <w:spacing w:val="-3"/>
                <w:highlight w:val="none"/>
              </w:rPr>
              <w:t>做不到的扣</w:t>
            </w:r>
            <w:r>
              <w:rPr>
                <w:color w:val="auto"/>
                <w:spacing w:val="-32"/>
                <w:highlight w:val="none"/>
              </w:rPr>
              <w:t xml:space="preserve"> </w:t>
            </w:r>
            <w:r>
              <w:rPr>
                <w:color w:val="auto"/>
                <w:spacing w:val="-3"/>
                <w:highlight w:val="none"/>
              </w:rPr>
              <w:t>2</w:t>
            </w:r>
            <w:r>
              <w:rPr>
                <w:color w:val="auto"/>
                <w:spacing w:val="-34"/>
                <w:highlight w:val="none"/>
              </w:rPr>
              <w:t xml:space="preserve"> </w:t>
            </w:r>
            <w:r>
              <w:rPr>
                <w:color w:val="auto"/>
                <w:spacing w:val="-3"/>
                <w:highlight w:val="none"/>
              </w:rPr>
              <w:t>分</w:t>
            </w:r>
          </w:p>
        </w:tc>
        <w:tc>
          <w:tcPr>
            <w:tcW w:w="692" w:type="dxa"/>
            <w:vAlign w:val="top"/>
          </w:tcPr>
          <w:p w14:paraId="2AD97A33">
            <w:pPr>
              <w:rPr>
                <w:rFonts w:ascii="Arial"/>
                <w:color w:val="auto"/>
                <w:sz w:val="21"/>
                <w:highlight w:val="none"/>
              </w:rPr>
            </w:pPr>
          </w:p>
        </w:tc>
      </w:tr>
      <w:tr w14:paraId="374C05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5" w:hRule="atLeast"/>
        </w:trPr>
        <w:tc>
          <w:tcPr>
            <w:tcW w:w="848" w:type="dxa"/>
            <w:vMerge w:val="continue"/>
            <w:tcBorders>
              <w:top w:val="nil"/>
              <w:bottom w:val="nil"/>
            </w:tcBorders>
            <w:vAlign w:val="top"/>
          </w:tcPr>
          <w:p w14:paraId="152E1A3E">
            <w:pPr>
              <w:rPr>
                <w:rFonts w:ascii="Arial"/>
                <w:color w:val="auto"/>
                <w:sz w:val="21"/>
                <w:highlight w:val="none"/>
              </w:rPr>
            </w:pPr>
          </w:p>
        </w:tc>
        <w:tc>
          <w:tcPr>
            <w:tcW w:w="667" w:type="dxa"/>
            <w:vMerge w:val="continue"/>
            <w:tcBorders>
              <w:top w:val="nil"/>
              <w:bottom w:val="nil"/>
            </w:tcBorders>
            <w:vAlign w:val="top"/>
          </w:tcPr>
          <w:p w14:paraId="3395F051">
            <w:pPr>
              <w:rPr>
                <w:rFonts w:ascii="Arial"/>
                <w:color w:val="auto"/>
                <w:sz w:val="21"/>
                <w:highlight w:val="none"/>
              </w:rPr>
            </w:pPr>
          </w:p>
        </w:tc>
        <w:tc>
          <w:tcPr>
            <w:tcW w:w="4829" w:type="dxa"/>
            <w:vAlign w:val="top"/>
          </w:tcPr>
          <w:p w14:paraId="5968562B">
            <w:pPr>
              <w:pStyle w:val="157"/>
              <w:spacing w:before="63" w:line="251" w:lineRule="auto"/>
              <w:ind w:left="23" w:hanging="7"/>
              <w:rPr>
                <w:color w:val="auto"/>
                <w:highlight w:val="none"/>
              </w:rPr>
            </w:pPr>
            <w:r>
              <w:rPr>
                <w:color w:val="auto"/>
                <w:spacing w:val="-4"/>
                <w:highlight w:val="none"/>
              </w:rPr>
              <w:t>业主单位在日常巡查中发现存在有服务不到位现</w:t>
            </w:r>
            <w:r>
              <w:rPr>
                <w:color w:val="auto"/>
                <w:spacing w:val="-5"/>
                <w:highlight w:val="none"/>
              </w:rPr>
              <w:t>象，</w:t>
            </w:r>
            <w:r>
              <w:rPr>
                <w:color w:val="auto"/>
                <w:spacing w:val="-4"/>
                <w:highlight w:val="none"/>
              </w:rPr>
              <w:t>下发整改通知的</w:t>
            </w:r>
          </w:p>
        </w:tc>
        <w:tc>
          <w:tcPr>
            <w:tcW w:w="827" w:type="dxa"/>
            <w:vAlign w:val="top"/>
          </w:tcPr>
          <w:p w14:paraId="14021517">
            <w:pPr>
              <w:pStyle w:val="157"/>
              <w:spacing w:before="214"/>
              <w:ind w:left="449"/>
              <w:rPr>
                <w:color w:val="auto"/>
                <w:highlight w:val="none"/>
              </w:rPr>
            </w:pPr>
            <w:r>
              <w:rPr>
                <w:color w:val="auto"/>
                <w:highlight w:val="none"/>
              </w:rPr>
              <w:t>3</w:t>
            </w:r>
          </w:p>
        </w:tc>
        <w:tc>
          <w:tcPr>
            <w:tcW w:w="1791" w:type="dxa"/>
            <w:vAlign w:val="top"/>
          </w:tcPr>
          <w:p w14:paraId="162A9660">
            <w:pPr>
              <w:pStyle w:val="157"/>
              <w:spacing w:before="214" w:line="220" w:lineRule="auto"/>
              <w:ind w:left="255"/>
              <w:rPr>
                <w:color w:val="auto"/>
                <w:highlight w:val="none"/>
              </w:rPr>
            </w:pPr>
            <w:r>
              <w:rPr>
                <w:color w:val="auto"/>
                <w:spacing w:val="-4"/>
                <w:highlight w:val="none"/>
              </w:rPr>
              <w:t>发生一次扣</w:t>
            </w:r>
            <w:r>
              <w:rPr>
                <w:color w:val="auto"/>
                <w:spacing w:val="-28"/>
                <w:highlight w:val="none"/>
              </w:rPr>
              <w:t xml:space="preserve"> </w:t>
            </w:r>
            <w:r>
              <w:rPr>
                <w:color w:val="auto"/>
                <w:spacing w:val="-4"/>
                <w:highlight w:val="none"/>
              </w:rPr>
              <w:t>3</w:t>
            </w:r>
            <w:r>
              <w:rPr>
                <w:color w:val="auto"/>
                <w:spacing w:val="-35"/>
                <w:highlight w:val="none"/>
              </w:rPr>
              <w:t xml:space="preserve"> </w:t>
            </w:r>
            <w:r>
              <w:rPr>
                <w:color w:val="auto"/>
                <w:spacing w:val="-4"/>
                <w:highlight w:val="none"/>
              </w:rPr>
              <w:t>分</w:t>
            </w:r>
          </w:p>
        </w:tc>
        <w:tc>
          <w:tcPr>
            <w:tcW w:w="692" w:type="dxa"/>
            <w:vAlign w:val="top"/>
          </w:tcPr>
          <w:p w14:paraId="53FF79FC">
            <w:pPr>
              <w:rPr>
                <w:rFonts w:ascii="Arial"/>
                <w:color w:val="auto"/>
                <w:sz w:val="21"/>
                <w:highlight w:val="none"/>
              </w:rPr>
            </w:pPr>
          </w:p>
        </w:tc>
      </w:tr>
      <w:tr w14:paraId="645F55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0" w:hRule="atLeast"/>
        </w:trPr>
        <w:tc>
          <w:tcPr>
            <w:tcW w:w="848" w:type="dxa"/>
            <w:vMerge w:val="continue"/>
            <w:tcBorders>
              <w:top w:val="nil"/>
              <w:bottom w:val="nil"/>
            </w:tcBorders>
            <w:vAlign w:val="top"/>
          </w:tcPr>
          <w:p w14:paraId="41B28404">
            <w:pPr>
              <w:rPr>
                <w:rFonts w:ascii="Arial"/>
                <w:color w:val="auto"/>
                <w:sz w:val="21"/>
                <w:highlight w:val="none"/>
              </w:rPr>
            </w:pPr>
          </w:p>
        </w:tc>
        <w:tc>
          <w:tcPr>
            <w:tcW w:w="667" w:type="dxa"/>
            <w:vMerge w:val="continue"/>
            <w:tcBorders>
              <w:top w:val="nil"/>
              <w:bottom w:val="nil"/>
            </w:tcBorders>
            <w:vAlign w:val="top"/>
          </w:tcPr>
          <w:p w14:paraId="0E2ABF4D">
            <w:pPr>
              <w:rPr>
                <w:rFonts w:ascii="Arial"/>
                <w:color w:val="auto"/>
                <w:sz w:val="21"/>
                <w:highlight w:val="none"/>
              </w:rPr>
            </w:pPr>
          </w:p>
        </w:tc>
        <w:tc>
          <w:tcPr>
            <w:tcW w:w="4829" w:type="dxa"/>
            <w:vAlign w:val="top"/>
          </w:tcPr>
          <w:p w14:paraId="0494FE2C">
            <w:pPr>
              <w:pStyle w:val="157"/>
              <w:spacing w:before="170" w:line="220" w:lineRule="auto"/>
              <w:jc w:val="both"/>
              <w:rPr>
                <w:color w:val="auto"/>
                <w:highlight w:val="none"/>
              </w:rPr>
            </w:pPr>
            <w:r>
              <w:rPr>
                <w:color w:val="auto"/>
                <w:spacing w:val="-5"/>
                <w:highlight w:val="none"/>
              </w:rPr>
              <w:t>冬季下雪天，及时清理路面积雪，保证区内交通顺畅</w:t>
            </w:r>
          </w:p>
        </w:tc>
        <w:tc>
          <w:tcPr>
            <w:tcW w:w="827" w:type="dxa"/>
            <w:vAlign w:val="top"/>
          </w:tcPr>
          <w:p w14:paraId="3664740B">
            <w:pPr>
              <w:pStyle w:val="157"/>
              <w:spacing w:before="170" w:line="241" w:lineRule="auto"/>
              <w:ind w:left="447"/>
              <w:rPr>
                <w:color w:val="auto"/>
                <w:highlight w:val="none"/>
              </w:rPr>
            </w:pPr>
            <w:r>
              <w:rPr>
                <w:color w:val="auto"/>
                <w:highlight w:val="none"/>
              </w:rPr>
              <w:t>2</w:t>
            </w:r>
          </w:p>
        </w:tc>
        <w:tc>
          <w:tcPr>
            <w:tcW w:w="1791" w:type="dxa"/>
            <w:vAlign w:val="top"/>
          </w:tcPr>
          <w:p w14:paraId="561DC6BA">
            <w:pPr>
              <w:pStyle w:val="157"/>
              <w:spacing w:before="170" w:line="220" w:lineRule="auto"/>
              <w:ind w:left="150"/>
              <w:rPr>
                <w:color w:val="auto"/>
                <w:highlight w:val="none"/>
              </w:rPr>
            </w:pPr>
            <w:r>
              <w:rPr>
                <w:color w:val="auto"/>
                <w:spacing w:val="-3"/>
                <w:highlight w:val="none"/>
              </w:rPr>
              <w:t>一次做不到扣</w:t>
            </w:r>
            <w:r>
              <w:rPr>
                <w:color w:val="auto"/>
                <w:spacing w:val="-32"/>
                <w:highlight w:val="none"/>
              </w:rPr>
              <w:t xml:space="preserve"> </w:t>
            </w:r>
            <w:r>
              <w:rPr>
                <w:color w:val="auto"/>
                <w:spacing w:val="-3"/>
                <w:highlight w:val="none"/>
              </w:rPr>
              <w:t>2</w:t>
            </w:r>
            <w:r>
              <w:rPr>
                <w:color w:val="auto"/>
                <w:spacing w:val="-35"/>
                <w:highlight w:val="none"/>
              </w:rPr>
              <w:t xml:space="preserve"> </w:t>
            </w:r>
            <w:r>
              <w:rPr>
                <w:color w:val="auto"/>
                <w:spacing w:val="-3"/>
                <w:highlight w:val="none"/>
              </w:rPr>
              <w:t>分</w:t>
            </w:r>
          </w:p>
        </w:tc>
        <w:tc>
          <w:tcPr>
            <w:tcW w:w="692" w:type="dxa"/>
            <w:vAlign w:val="top"/>
          </w:tcPr>
          <w:p w14:paraId="4918D027">
            <w:pPr>
              <w:rPr>
                <w:rFonts w:ascii="Arial"/>
                <w:color w:val="auto"/>
                <w:sz w:val="21"/>
                <w:highlight w:val="none"/>
              </w:rPr>
            </w:pPr>
          </w:p>
        </w:tc>
      </w:tr>
      <w:tr w14:paraId="0FAABC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0" w:hRule="atLeast"/>
        </w:trPr>
        <w:tc>
          <w:tcPr>
            <w:tcW w:w="848" w:type="dxa"/>
            <w:vMerge w:val="continue"/>
            <w:tcBorders>
              <w:top w:val="nil"/>
            </w:tcBorders>
            <w:vAlign w:val="top"/>
          </w:tcPr>
          <w:p w14:paraId="33A6ADBE">
            <w:pPr>
              <w:rPr>
                <w:rFonts w:ascii="Arial"/>
                <w:color w:val="auto"/>
                <w:sz w:val="21"/>
                <w:highlight w:val="none"/>
              </w:rPr>
            </w:pPr>
          </w:p>
        </w:tc>
        <w:tc>
          <w:tcPr>
            <w:tcW w:w="667" w:type="dxa"/>
            <w:vMerge w:val="continue"/>
            <w:tcBorders>
              <w:top w:val="nil"/>
            </w:tcBorders>
            <w:vAlign w:val="top"/>
          </w:tcPr>
          <w:p w14:paraId="03489E89">
            <w:pPr>
              <w:rPr>
                <w:rFonts w:ascii="Arial"/>
                <w:color w:val="auto"/>
                <w:sz w:val="21"/>
                <w:highlight w:val="none"/>
              </w:rPr>
            </w:pPr>
          </w:p>
        </w:tc>
        <w:tc>
          <w:tcPr>
            <w:tcW w:w="4829" w:type="dxa"/>
            <w:vAlign w:val="top"/>
          </w:tcPr>
          <w:p w14:paraId="4835301A">
            <w:pPr>
              <w:pStyle w:val="157"/>
              <w:spacing w:before="155" w:line="220" w:lineRule="auto"/>
              <w:ind w:left="19"/>
              <w:rPr>
                <w:color w:val="auto"/>
                <w:highlight w:val="none"/>
              </w:rPr>
            </w:pPr>
            <w:r>
              <w:rPr>
                <w:color w:val="auto"/>
                <w:spacing w:val="-1"/>
                <w:highlight w:val="none"/>
              </w:rPr>
              <w:t>完成业主临时交办的其他任务</w:t>
            </w:r>
          </w:p>
        </w:tc>
        <w:tc>
          <w:tcPr>
            <w:tcW w:w="827" w:type="dxa"/>
            <w:vAlign w:val="top"/>
          </w:tcPr>
          <w:p w14:paraId="57546362">
            <w:pPr>
              <w:pStyle w:val="157"/>
              <w:spacing w:before="155"/>
              <w:ind w:left="450"/>
              <w:rPr>
                <w:color w:val="auto"/>
                <w:highlight w:val="none"/>
              </w:rPr>
            </w:pPr>
            <w:r>
              <w:rPr>
                <w:color w:val="auto"/>
                <w:highlight w:val="none"/>
              </w:rPr>
              <w:t>7</w:t>
            </w:r>
          </w:p>
        </w:tc>
        <w:tc>
          <w:tcPr>
            <w:tcW w:w="1791" w:type="dxa"/>
            <w:vAlign w:val="top"/>
          </w:tcPr>
          <w:p w14:paraId="24D26D24">
            <w:pPr>
              <w:pStyle w:val="157"/>
              <w:spacing w:before="155" w:line="220" w:lineRule="auto"/>
              <w:ind w:left="150"/>
              <w:rPr>
                <w:color w:val="auto"/>
                <w:highlight w:val="none"/>
              </w:rPr>
            </w:pPr>
            <w:r>
              <w:rPr>
                <w:color w:val="auto"/>
                <w:spacing w:val="-3"/>
                <w:highlight w:val="none"/>
              </w:rPr>
              <w:t>一次做不到扣</w:t>
            </w:r>
            <w:r>
              <w:rPr>
                <w:color w:val="auto"/>
                <w:spacing w:val="-32"/>
                <w:highlight w:val="none"/>
              </w:rPr>
              <w:t xml:space="preserve"> </w:t>
            </w:r>
            <w:r>
              <w:rPr>
                <w:color w:val="auto"/>
                <w:spacing w:val="-3"/>
                <w:highlight w:val="none"/>
              </w:rPr>
              <w:t>7</w:t>
            </w:r>
            <w:r>
              <w:rPr>
                <w:color w:val="auto"/>
                <w:spacing w:val="-35"/>
                <w:highlight w:val="none"/>
              </w:rPr>
              <w:t xml:space="preserve"> </w:t>
            </w:r>
            <w:r>
              <w:rPr>
                <w:color w:val="auto"/>
                <w:spacing w:val="-3"/>
                <w:highlight w:val="none"/>
              </w:rPr>
              <w:t>分</w:t>
            </w:r>
          </w:p>
        </w:tc>
        <w:tc>
          <w:tcPr>
            <w:tcW w:w="692" w:type="dxa"/>
            <w:vAlign w:val="top"/>
          </w:tcPr>
          <w:p w14:paraId="58C602E7">
            <w:pPr>
              <w:rPr>
                <w:rFonts w:ascii="Arial"/>
                <w:color w:val="auto"/>
                <w:sz w:val="21"/>
                <w:highlight w:val="none"/>
              </w:rPr>
            </w:pPr>
          </w:p>
        </w:tc>
      </w:tr>
      <w:tr w14:paraId="72A8AF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2" w:hRule="atLeast"/>
        </w:trPr>
        <w:tc>
          <w:tcPr>
            <w:tcW w:w="1515" w:type="dxa"/>
            <w:gridSpan w:val="2"/>
            <w:vAlign w:val="top"/>
          </w:tcPr>
          <w:p w14:paraId="77A3CA4D">
            <w:pPr>
              <w:pStyle w:val="157"/>
              <w:spacing w:before="166" w:line="221" w:lineRule="auto"/>
              <w:ind w:left="700"/>
              <w:rPr>
                <w:color w:val="auto"/>
                <w:highlight w:val="none"/>
              </w:rPr>
            </w:pPr>
            <w:r>
              <w:rPr>
                <w:color w:val="auto"/>
                <w:spacing w:val="-3"/>
                <w:highlight w:val="none"/>
              </w:rPr>
              <w:t>合计</w:t>
            </w:r>
          </w:p>
        </w:tc>
        <w:tc>
          <w:tcPr>
            <w:tcW w:w="4829" w:type="dxa"/>
            <w:vAlign w:val="top"/>
          </w:tcPr>
          <w:p w14:paraId="3434A9FE">
            <w:pPr>
              <w:rPr>
                <w:rFonts w:ascii="Arial"/>
                <w:color w:val="auto"/>
                <w:sz w:val="21"/>
                <w:highlight w:val="none"/>
              </w:rPr>
            </w:pPr>
          </w:p>
        </w:tc>
        <w:tc>
          <w:tcPr>
            <w:tcW w:w="827" w:type="dxa"/>
            <w:vAlign w:val="top"/>
          </w:tcPr>
          <w:p w14:paraId="4499538A">
            <w:pPr>
              <w:pStyle w:val="157"/>
              <w:spacing w:before="166"/>
              <w:ind w:left="355"/>
              <w:rPr>
                <w:color w:val="auto"/>
                <w:highlight w:val="none"/>
              </w:rPr>
            </w:pPr>
            <w:r>
              <w:rPr>
                <w:color w:val="auto"/>
                <w:spacing w:val="-6"/>
                <w:highlight w:val="none"/>
              </w:rPr>
              <w:t>100</w:t>
            </w:r>
          </w:p>
        </w:tc>
        <w:tc>
          <w:tcPr>
            <w:tcW w:w="1791" w:type="dxa"/>
            <w:vAlign w:val="top"/>
          </w:tcPr>
          <w:p w14:paraId="01CD43C3">
            <w:pPr>
              <w:rPr>
                <w:rFonts w:ascii="Arial"/>
                <w:color w:val="auto"/>
                <w:sz w:val="21"/>
                <w:highlight w:val="none"/>
              </w:rPr>
            </w:pPr>
          </w:p>
        </w:tc>
        <w:tc>
          <w:tcPr>
            <w:tcW w:w="692" w:type="dxa"/>
            <w:vAlign w:val="top"/>
          </w:tcPr>
          <w:p w14:paraId="1292C5F2">
            <w:pPr>
              <w:rPr>
                <w:rFonts w:ascii="Arial"/>
                <w:color w:val="auto"/>
                <w:sz w:val="21"/>
                <w:highlight w:val="none"/>
              </w:rPr>
            </w:pPr>
          </w:p>
        </w:tc>
      </w:tr>
    </w:tbl>
    <w:p w14:paraId="5BF916BD">
      <w:pPr>
        <w:spacing w:before="134" w:line="220" w:lineRule="auto"/>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说明：1、按照以上考核标准考核</w:t>
      </w:r>
      <w:r>
        <w:rPr>
          <w:rFonts w:hint="eastAsia" w:ascii="宋体" w:hAnsi="宋体" w:cs="宋体"/>
          <w:color w:val="auto"/>
          <w:spacing w:val="-1"/>
          <w:sz w:val="21"/>
          <w:szCs w:val="21"/>
          <w:highlight w:val="none"/>
          <w:lang w:val="en-US" w:eastAsia="zh-CN"/>
        </w:rPr>
        <w:t>乙方</w:t>
      </w:r>
      <w:r>
        <w:rPr>
          <w:rFonts w:ascii="宋体" w:hAnsi="宋体" w:eastAsia="宋体" w:cs="宋体"/>
          <w:color w:val="auto"/>
          <w:spacing w:val="-2"/>
          <w:sz w:val="21"/>
          <w:szCs w:val="21"/>
          <w:highlight w:val="none"/>
        </w:rPr>
        <w:t>。</w:t>
      </w:r>
    </w:p>
    <w:p w14:paraId="14A23F6B">
      <w:pPr>
        <w:pStyle w:val="17"/>
        <w:spacing w:before="302" w:line="228" w:lineRule="auto"/>
        <w:ind w:left="698"/>
        <w:rPr>
          <w:color w:val="auto"/>
          <w:sz w:val="20"/>
          <w:szCs w:val="20"/>
          <w:highlight w:val="none"/>
        </w:rPr>
      </w:pPr>
      <w:r>
        <w:rPr>
          <w:rFonts w:ascii="宋体" w:hAnsi="宋体" w:eastAsia="宋体" w:cs="宋体"/>
          <w:color w:val="auto"/>
          <w:spacing w:val="-1"/>
          <w:sz w:val="21"/>
          <w:szCs w:val="21"/>
          <w:highlight w:val="none"/>
        </w:rPr>
        <w:t>2、因消防设施维护不到位，此部分产生消防水费全部由</w:t>
      </w:r>
      <w:r>
        <w:rPr>
          <w:rFonts w:hint="eastAsia" w:ascii="宋体" w:hAnsi="宋体" w:cs="宋体"/>
          <w:color w:val="auto"/>
          <w:spacing w:val="-1"/>
          <w:sz w:val="21"/>
          <w:szCs w:val="21"/>
          <w:highlight w:val="none"/>
          <w:lang w:val="en-US" w:eastAsia="zh-CN"/>
        </w:rPr>
        <w:t>乙方</w:t>
      </w:r>
      <w:r>
        <w:rPr>
          <w:rFonts w:ascii="宋体" w:hAnsi="宋体" w:eastAsia="宋体" w:cs="宋体"/>
          <w:color w:val="auto"/>
          <w:spacing w:val="-1"/>
          <w:sz w:val="21"/>
          <w:szCs w:val="21"/>
          <w:highlight w:val="none"/>
        </w:rPr>
        <w:t>支付。</w:t>
      </w:r>
    </w:p>
    <w:p w14:paraId="44CB3AEF">
      <w:pPr>
        <w:spacing w:line="228" w:lineRule="auto"/>
        <w:rPr>
          <w:color w:val="auto"/>
          <w:sz w:val="20"/>
          <w:szCs w:val="20"/>
          <w:highlight w:val="none"/>
        </w:rPr>
        <w:sectPr>
          <w:footerReference r:id="rId5" w:type="default"/>
          <w:pgSz w:w="11906" w:h="16839"/>
          <w:pgMar w:top="1416" w:right="1752" w:bottom="1170" w:left="1206" w:header="850" w:footer="956" w:gutter="0"/>
          <w:pgNumType w:fmt="decimal" w:start="1"/>
          <w:cols w:space="720" w:num="1"/>
        </w:sectPr>
      </w:pPr>
    </w:p>
    <w:p w14:paraId="00BB8CFC">
      <w:pPr>
        <w:pStyle w:val="5"/>
        <w:tabs>
          <w:tab w:val="left" w:pos="0"/>
          <w:tab w:val="left" w:pos="3165"/>
          <w:tab w:val="center" w:pos="4153"/>
        </w:tabs>
        <w:autoSpaceDE w:val="0"/>
        <w:autoSpaceDN w:val="0"/>
        <w:adjustRightInd w:val="0"/>
        <w:spacing w:before="0" w:after="0" w:line="240" w:lineRule="auto"/>
        <w:rPr>
          <w:rFonts w:hint="eastAsia" w:ascii="华文中宋" w:hAnsi="华文中宋" w:eastAsia="华文中宋"/>
          <w:color w:val="auto"/>
          <w:highlight w:val="none"/>
        </w:rPr>
      </w:pPr>
      <w:bookmarkStart w:id="110" w:name="_Toc449028948"/>
      <w:bookmarkStart w:id="111" w:name="_Toc8628"/>
      <w:r>
        <w:rPr>
          <w:rFonts w:hint="eastAsia" w:ascii="华文中宋" w:hAnsi="华文中宋" w:eastAsia="华文中宋"/>
          <w:color w:val="auto"/>
          <w:highlight w:val="none"/>
        </w:rPr>
        <w:t>第</w:t>
      </w:r>
      <w:r>
        <w:rPr>
          <w:rFonts w:hint="eastAsia" w:ascii="华文中宋" w:hAnsi="华文中宋" w:eastAsia="华文中宋"/>
          <w:color w:val="auto"/>
          <w:highlight w:val="none"/>
          <w:lang w:val="en-US" w:eastAsia="zh-CN"/>
        </w:rPr>
        <w:t>七</w:t>
      </w:r>
      <w:r>
        <w:rPr>
          <w:rFonts w:hint="eastAsia" w:ascii="华文中宋" w:hAnsi="华文中宋" w:eastAsia="华文中宋"/>
          <w:color w:val="auto"/>
          <w:highlight w:val="none"/>
        </w:rPr>
        <w:t>章  投标文件格式</w:t>
      </w:r>
      <w:bookmarkEnd w:id="110"/>
      <w:bookmarkEnd w:id="111"/>
    </w:p>
    <w:p w14:paraId="134563AE">
      <w:pPr>
        <w:jc w:val="center"/>
        <w:outlineLvl w:val="1"/>
        <w:rPr>
          <w:rFonts w:hint="eastAsia" w:ascii="宋体" w:hAnsi="宋体"/>
          <w:b/>
          <w:color w:val="auto"/>
          <w:sz w:val="28"/>
          <w:szCs w:val="28"/>
          <w:highlight w:val="none"/>
          <w:bdr w:val="single" w:color="auto" w:sz="4" w:space="0"/>
        </w:rPr>
      </w:pPr>
      <w:r>
        <w:rPr>
          <w:rFonts w:hint="eastAsia" w:ascii="宋体" w:hAnsi="宋体"/>
          <w:b/>
          <w:color w:val="auto"/>
          <w:sz w:val="28"/>
          <w:szCs w:val="28"/>
          <w:highlight w:val="none"/>
        </w:rPr>
        <w:t>一、资信证明格式文件</w:t>
      </w:r>
    </w:p>
    <w:p w14:paraId="566ECF43">
      <w:pPr>
        <w:jc w:val="center"/>
        <w:rPr>
          <w:rFonts w:hint="eastAsia" w:eastAsia="黑体"/>
          <w:color w:val="auto"/>
          <w:sz w:val="20"/>
          <w:highlight w:val="none"/>
        </w:rPr>
      </w:pPr>
    </w:p>
    <w:p w14:paraId="01411376">
      <w:pPr>
        <w:rPr>
          <w:rFonts w:hint="eastAsia" w:eastAsia="黑体"/>
          <w:color w:val="auto"/>
          <w:sz w:val="20"/>
          <w:highlight w:val="none"/>
        </w:rPr>
      </w:pPr>
    </w:p>
    <w:p w14:paraId="718886C6">
      <w:pPr>
        <w:jc w:val="center"/>
        <w:outlineLvl w:val="2"/>
        <w:rPr>
          <w:rFonts w:hint="eastAsia" w:ascii="宋体"/>
          <w:b/>
          <w:color w:val="auto"/>
          <w:sz w:val="44"/>
          <w:szCs w:val="44"/>
          <w:highlight w:val="none"/>
        </w:rPr>
      </w:pPr>
      <w:bookmarkStart w:id="112" w:name="_Toc449028949"/>
      <w:bookmarkStart w:id="113" w:name="_Toc350698753"/>
      <w:r>
        <w:rPr>
          <w:rFonts w:hint="eastAsia" w:ascii="宋体"/>
          <w:b/>
          <w:color w:val="auto"/>
          <w:sz w:val="44"/>
          <w:szCs w:val="44"/>
          <w:highlight w:val="none"/>
        </w:rPr>
        <w:t>资信证明文件</w:t>
      </w:r>
      <w:bookmarkEnd w:id="112"/>
      <w:bookmarkEnd w:id="113"/>
    </w:p>
    <w:p w14:paraId="23FB7F32">
      <w:pPr>
        <w:jc w:val="center"/>
        <w:rPr>
          <w:rFonts w:hint="eastAsia" w:ascii="宋体"/>
          <w:color w:val="auto"/>
          <w:sz w:val="32"/>
          <w:szCs w:val="32"/>
          <w:highlight w:val="none"/>
        </w:rPr>
      </w:pPr>
      <w:r>
        <w:rPr>
          <w:rFonts w:hint="eastAsia" w:ascii="宋体"/>
          <w:color w:val="auto"/>
          <w:sz w:val="32"/>
          <w:szCs w:val="32"/>
          <w:highlight w:val="none"/>
        </w:rPr>
        <w:t>（投标文件一）</w:t>
      </w:r>
    </w:p>
    <w:p w14:paraId="5C59F460">
      <w:pPr>
        <w:jc w:val="center"/>
        <w:rPr>
          <w:rFonts w:hint="eastAsia" w:eastAsia="黑体"/>
          <w:color w:val="auto"/>
          <w:sz w:val="44"/>
          <w:szCs w:val="44"/>
          <w:highlight w:val="none"/>
        </w:rPr>
      </w:pPr>
    </w:p>
    <w:p w14:paraId="225DBE31">
      <w:pPr>
        <w:jc w:val="center"/>
        <w:rPr>
          <w:rFonts w:hint="eastAsia"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p>
    <w:p w14:paraId="25080814">
      <w:pPr>
        <w:jc w:val="center"/>
        <w:rPr>
          <w:rFonts w:hint="eastAsia" w:ascii="宋体"/>
          <w:color w:val="auto"/>
          <w:sz w:val="44"/>
          <w:szCs w:val="44"/>
          <w:highlight w:val="none"/>
        </w:rPr>
      </w:pPr>
      <w:r>
        <w:rPr>
          <w:rFonts w:hint="eastAsia" w:ascii="宋体"/>
          <w:color w:val="auto"/>
          <w:sz w:val="28"/>
          <w:szCs w:val="28"/>
          <w:highlight w:val="none"/>
        </w:rPr>
        <w:t>项目编号：</w:t>
      </w:r>
      <w:r>
        <w:rPr>
          <w:rFonts w:hint="eastAsia" w:ascii="宋体"/>
          <w:color w:val="auto"/>
          <w:sz w:val="28"/>
          <w:szCs w:val="28"/>
          <w:highlight w:val="none"/>
          <w:u w:val="single"/>
        </w:rPr>
        <w:t xml:space="preserve">     </w:t>
      </w:r>
    </w:p>
    <w:p w14:paraId="22394209">
      <w:pPr>
        <w:rPr>
          <w:rFonts w:hint="eastAsia" w:ascii="宋体"/>
          <w:color w:val="auto"/>
          <w:sz w:val="28"/>
          <w:szCs w:val="28"/>
          <w:highlight w:val="none"/>
        </w:rPr>
      </w:pPr>
    </w:p>
    <w:p w14:paraId="0799BC03">
      <w:pPr>
        <w:rPr>
          <w:rFonts w:hint="eastAsia" w:ascii="宋体"/>
          <w:color w:val="auto"/>
          <w:sz w:val="28"/>
          <w:szCs w:val="28"/>
          <w:highlight w:val="none"/>
        </w:rPr>
      </w:pPr>
    </w:p>
    <w:p w14:paraId="3CE74951">
      <w:pPr>
        <w:rPr>
          <w:rFonts w:hint="eastAsia" w:ascii="宋体"/>
          <w:color w:val="auto"/>
          <w:sz w:val="28"/>
          <w:szCs w:val="28"/>
          <w:highlight w:val="none"/>
        </w:rPr>
      </w:pPr>
    </w:p>
    <w:p w14:paraId="3DB0F348">
      <w:pPr>
        <w:rPr>
          <w:rFonts w:hint="eastAsia" w:ascii="宋体"/>
          <w:color w:val="auto"/>
          <w:sz w:val="28"/>
          <w:szCs w:val="28"/>
          <w:highlight w:val="none"/>
        </w:rPr>
      </w:pPr>
    </w:p>
    <w:p w14:paraId="1B698C4B">
      <w:pPr>
        <w:rPr>
          <w:rFonts w:hint="eastAsia" w:ascii="宋体"/>
          <w:color w:val="auto"/>
          <w:sz w:val="28"/>
          <w:szCs w:val="28"/>
          <w:highlight w:val="none"/>
        </w:rPr>
      </w:pPr>
    </w:p>
    <w:p w14:paraId="51B9E144">
      <w:pPr>
        <w:pStyle w:val="2"/>
        <w:rPr>
          <w:rFonts w:hint="eastAsia" w:ascii="宋体"/>
          <w:color w:val="auto"/>
          <w:sz w:val="28"/>
          <w:szCs w:val="28"/>
          <w:highlight w:val="none"/>
        </w:rPr>
      </w:pPr>
    </w:p>
    <w:p w14:paraId="477B3CD2">
      <w:pPr>
        <w:rPr>
          <w:rFonts w:hint="eastAsia" w:ascii="宋体"/>
          <w:color w:val="auto"/>
          <w:sz w:val="28"/>
          <w:szCs w:val="28"/>
          <w:highlight w:val="none"/>
        </w:rPr>
      </w:pPr>
    </w:p>
    <w:p w14:paraId="6C01BBF8">
      <w:pPr>
        <w:pStyle w:val="2"/>
        <w:rPr>
          <w:rFonts w:hint="eastAsia"/>
          <w:color w:val="auto"/>
          <w:highlight w:val="none"/>
        </w:rPr>
      </w:pPr>
    </w:p>
    <w:p w14:paraId="3D13A983">
      <w:pPr>
        <w:rPr>
          <w:rFonts w:hint="eastAsia" w:ascii="宋体"/>
          <w:color w:val="auto"/>
          <w:sz w:val="28"/>
          <w:szCs w:val="28"/>
          <w:highlight w:val="none"/>
        </w:rPr>
      </w:pPr>
    </w:p>
    <w:p w14:paraId="345BA538">
      <w:pPr>
        <w:rPr>
          <w:rFonts w:hint="eastAsia" w:ascii="宋体"/>
          <w:color w:val="auto"/>
          <w:sz w:val="28"/>
          <w:szCs w:val="28"/>
          <w:highlight w:val="none"/>
        </w:rPr>
      </w:pPr>
    </w:p>
    <w:p w14:paraId="159F5C7F">
      <w:pPr>
        <w:jc w:val="center"/>
        <w:rPr>
          <w:rFonts w:hint="eastAsia" w:ascii="宋体"/>
          <w:color w:val="auto"/>
          <w:sz w:val="28"/>
          <w:szCs w:val="28"/>
          <w:highlight w:val="none"/>
          <w:u w:val="single"/>
        </w:rPr>
      </w:pPr>
      <w:r>
        <w:rPr>
          <w:rFonts w:hint="eastAsia" w:ascii="宋体"/>
          <w:color w:val="auto"/>
          <w:sz w:val="28"/>
          <w:szCs w:val="28"/>
          <w:highlight w:val="none"/>
        </w:rPr>
        <w:t>投标人：</w:t>
      </w:r>
      <w:r>
        <w:rPr>
          <w:rFonts w:hint="eastAsia" w:ascii="宋体"/>
          <w:color w:val="auto"/>
          <w:sz w:val="28"/>
          <w:szCs w:val="28"/>
          <w:highlight w:val="none"/>
          <w:u w:val="single"/>
        </w:rPr>
        <w:t xml:space="preserve">                              </w:t>
      </w:r>
      <w:r>
        <w:rPr>
          <w:rFonts w:hint="eastAsia" w:ascii="宋体"/>
          <w:color w:val="auto"/>
          <w:sz w:val="28"/>
          <w:szCs w:val="28"/>
          <w:highlight w:val="none"/>
        </w:rPr>
        <w:t>（</w:t>
      </w:r>
      <w:r>
        <w:rPr>
          <w:rFonts w:hint="eastAsia" w:ascii="宋体"/>
          <w:color w:val="auto"/>
          <w:sz w:val="28"/>
          <w:szCs w:val="28"/>
          <w:highlight w:val="none"/>
          <w:lang w:val="en-US" w:eastAsia="zh-CN"/>
        </w:rPr>
        <w:t>签章</w:t>
      </w:r>
      <w:r>
        <w:rPr>
          <w:rFonts w:hint="eastAsia" w:ascii="宋体"/>
          <w:color w:val="auto"/>
          <w:sz w:val="28"/>
          <w:szCs w:val="28"/>
          <w:highlight w:val="none"/>
        </w:rPr>
        <w:t>）</w:t>
      </w:r>
    </w:p>
    <w:p w14:paraId="6CD864BA">
      <w:pPr>
        <w:ind w:firstLine="560" w:firstLineChars="200"/>
        <w:rPr>
          <w:rFonts w:hint="eastAsia" w:ascii="宋体"/>
          <w:color w:val="auto"/>
          <w:sz w:val="28"/>
          <w:szCs w:val="28"/>
          <w:highlight w:val="none"/>
        </w:rPr>
      </w:pPr>
      <w:r>
        <w:rPr>
          <w:rFonts w:hint="eastAsia" w:ascii="宋体"/>
          <w:color w:val="auto"/>
          <w:sz w:val="28"/>
          <w:szCs w:val="28"/>
          <w:highlight w:val="none"/>
        </w:rPr>
        <w:t>法定代表人：</w:t>
      </w:r>
      <w:r>
        <w:rPr>
          <w:rFonts w:hint="eastAsia" w:ascii="宋体"/>
          <w:color w:val="auto"/>
          <w:sz w:val="28"/>
          <w:szCs w:val="28"/>
          <w:highlight w:val="none"/>
          <w:u w:val="single"/>
        </w:rPr>
        <w:t xml:space="preserve">                       </w:t>
      </w:r>
      <w:r>
        <w:rPr>
          <w:rFonts w:hint="eastAsia" w:ascii="宋体"/>
          <w:color w:val="auto"/>
          <w:sz w:val="28"/>
          <w:szCs w:val="28"/>
          <w:highlight w:val="none"/>
          <w:u w:val="single"/>
          <w:lang w:val="en-US" w:eastAsia="zh-CN"/>
        </w:rPr>
        <w:t xml:space="preserve"> </w:t>
      </w:r>
      <w:r>
        <w:rPr>
          <w:rFonts w:hint="eastAsia" w:ascii="宋体"/>
          <w:color w:val="auto"/>
          <w:sz w:val="28"/>
          <w:szCs w:val="28"/>
          <w:highlight w:val="none"/>
          <w:u w:val="single"/>
        </w:rPr>
        <w:t xml:space="preserve">       </w:t>
      </w:r>
      <w:r>
        <w:rPr>
          <w:rFonts w:hint="eastAsia" w:ascii="宋体"/>
          <w:color w:val="auto"/>
          <w:sz w:val="28"/>
          <w:szCs w:val="28"/>
          <w:highlight w:val="none"/>
        </w:rPr>
        <w:t>（签章）</w:t>
      </w:r>
    </w:p>
    <w:p w14:paraId="27A1C299">
      <w:pPr>
        <w:jc w:val="center"/>
        <w:rPr>
          <w:rFonts w:hint="eastAsia" w:ascii="宋体"/>
          <w:color w:val="auto"/>
          <w:sz w:val="28"/>
          <w:szCs w:val="28"/>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36C67FEE">
      <w:pPr>
        <w:spacing w:line="720" w:lineRule="auto"/>
        <w:jc w:val="center"/>
        <w:rPr>
          <w:rFonts w:hint="eastAsia" w:ascii="宋体"/>
          <w:b/>
          <w:color w:val="auto"/>
          <w:sz w:val="36"/>
          <w:szCs w:val="36"/>
          <w:highlight w:val="none"/>
        </w:rPr>
      </w:pPr>
    </w:p>
    <w:p w14:paraId="0782A5E2">
      <w:pPr>
        <w:spacing w:line="400" w:lineRule="exact"/>
        <w:ind w:firstLine="4130" w:firstLineChars="935"/>
        <w:rPr>
          <w:rFonts w:hint="eastAsia"/>
          <w:b/>
          <w:color w:val="auto"/>
          <w:sz w:val="44"/>
          <w:szCs w:val="44"/>
          <w:highlight w:val="none"/>
        </w:rPr>
      </w:pPr>
    </w:p>
    <w:p w14:paraId="130B625F">
      <w:pPr>
        <w:jc w:val="center"/>
        <w:rPr>
          <w:rFonts w:hint="eastAsia"/>
          <w:b/>
          <w:color w:val="auto"/>
          <w:sz w:val="44"/>
          <w:szCs w:val="44"/>
          <w:highlight w:val="none"/>
        </w:rPr>
      </w:pPr>
      <w:r>
        <w:rPr>
          <w:rFonts w:hint="eastAsia"/>
          <w:b/>
          <w:color w:val="auto"/>
          <w:sz w:val="36"/>
          <w:szCs w:val="36"/>
          <w:highlight w:val="none"/>
        </w:rPr>
        <w:t>目   录</w:t>
      </w:r>
    </w:p>
    <w:p w14:paraId="6B6DCB5F">
      <w:pPr>
        <w:spacing w:line="400" w:lineRule="exact"/>
        <w:ind w:firstLine="562" w:firstLineChars="200"/>
        <w:rPr>
          <w:rFonts w:hint="eastAsia"/>
          <w:b/>
          <w:color w:val="auto"/>
          <w:sz w:val="28"/>
          <w:szCs w:val="28"/>
          <w:highlight w:val="none"/>
        </w:rPr>
      </w:pPr>
    </w:p>
    <w:p w14:paraId="2082F3F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（1）法定代表人身份证明及其有效身份证（或法定代表人授权委托书及其有效身份证）（格式见附件）；</w:t>
      </w:r>
    </w:p>
    <w:p w14:paraId="725F512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（2）投标人有效的营业执照、税务登记证、组织机构代码证（或三合一证书）；</w:t>
      </w:r>
    </w:p>
    <w:p w14:paraId="0343522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（3）诚信投标承诺书（或《公共信用信息报告（无违法违规证明版或核查版）》）；</w:t>
      </w:r>
    </w:p>
    <w:p w14:paraId="6C3410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）服务承诺：是否响应招标文件要求的书面说明和服务承诺书（格式见附件）；</w:t>
      </w:r>
    </w:p>
    <w:p w14:paraId="4EC6E814">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招标文件中要求的资信标评审及其他支持资料。</w:t>
      </w:r>
    </w:p>
    <w:p w14:paraId="2D8756FF">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val="en-US" w:eastAsia="zh-CN"/>
        </w:rPr>
        <w:t>）其他资料（如有）。</w:t>
      </w:r>
    </w:p>
    <w:p w14:paraId="41494D8B">
      <w:pPr>
        <w:spacing w:line="360" w:lineRule="auto"/>
        <w:ind w:firstLine="420" w:firstLineChars="200"/>
        <w:rPr>
          <w:rFonts w:hint="eastAsia" w:ascii="宋体" w:hAnsi="宋体" w:eastAsia="宋体" w:cs="宋体"/>
          <w:color w:val="auto"/>
          <w:szCs w:val="21"/>
          <w:highlight w:val="none"/>
        </w:rPr>
      </w:pPr>
    </w:p>
    <w:p w14:paraId="68D51202">
      <w:pPr>
        <w:spacing w:line="400" w:lineRule="exact"/>
        <w:ind w:firstLine="562" w:firstLineChars="200"/>
        <w:rPr>
          <w:rFonts w:hint="eastAsia"/>
          <w:b/>
          <w:color w:val="auto"/>
          <w:sz w:val="28"/>
          <w:szCs w:val="28"/>
          <w:highlight w:val="none"/>
        </w:rPr>
      </w:pPr>
    </w:p>
    <w:p w14:paraId="68259B39">
      <w:pPr>
        <w:spacing w:line="400" w:lineRule="exact"/>
        <w:ind w:firstLine="562" w:firstLineChars="200"/>
        <w:rPr>
          <w:rFonts w:hint="eastAsia"/>
          <w:b/>
          <w:color w:val="auto"/>
          <w:sz w:val="28"/>
          <w:szCs w:val="28"/>
          <w:highlight w:val="none"/>
        </w:rPr>
      </w:pPr>
    </w:p>
    <w:p w14:paraId="493BF9A4">
      <w:pPr>
        <w:spacing w:line="400" w:lineRule="exact"/>
        <w:ind w:firstLine="562" w:firstLineChars="200"/>
        <w:rPr>
          <w:rFonts w:hint="eastAsia"/>
          <w:b/>
          <w:color w:val="auto"/>
          <w:sz w:val="28"/>
          <w:szCs w:val="28"/>
          <w:highlight w:val="none"/>
        </w:rPr>
      </w:pPr>
    </w:p>
    <w:p w14:paraId="7B8B952D">
      <w:pPr>
        <w:spacing w:line="400" w:lineRule="exact"/>
        <w:rPr>
          <w:b/>
          <w:color w:val="auto"/>
          <w:sz w:val="28"/>
          <w:szCs w:val="28"/>
          <w:highlight w:val="none"/>
        </w:rPr>
        <w:sectPr>
          <w:footerReference r:id="rId6" w:type="default"/>
          <w:pgSz w:w="11906" w:h="16838"/>
          <w:pgMar w:top="1417" w:right="1361" w:bottom="1417" w:left="1474"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599332CF">
      <w:pPr>
        <w:spacing w:line="360" w:lineRule="auto"/>
        <w:rPr>
          <w:rFonts w:hint="eastAsia"/>
          <w:b/>
          <w:color w:val="auto"/>
          <w:sz w:val="28"/>
          <w:szCs w:val="28"/>
          <w:highlight w:val="none"/>
        </w:rPr>
      </w:pPr>
      <w:r>
        <w:rPr>
          <w:rFonts w:hint="eastAsia"/>
          <w:b/>
          <w:color w:val="auto"/>
          <w:sz w:val="28"/>
          <w:szCs w:val="28"/>
          <w:highlight w:val="none"/>
        </w:rPr>
        <w:t>附件1</w:t>
      </w:r>
    </w:p>
    <w:p w14:paraId="57DF1FA0">
      <w:pPr>
        <w:spacing w:line="360" w:lineRule="auto"/>
        <w:ind w:left="720"/>
        <w:jc w:val="center"/>
        <w:rPr>
          <w:rFonts w:hint="eastAsia" w:ascii="宋体"/>
          <w:b/>
          <w:color w:val="auto"/>
          <w:sz w:val="28"/>
          <w:szCs w:val="28"/>
          <w:highlight w:val="none"/>
        </w:rPr>
      </w:pPr>
      <w:r>
        <w:rPr>
          <w:rFonts w:hint="eastAsia"/>
          <w:b/>
          <w:color w:val="auto"/>
          <w:sz w:val="28"/>
          <w:szCs w:val="28"/>
          <w:highlight w:val="none"/>
        </w:rPr>
        <w:t>法定代表人身份证明或授权委托书</w:t>
      </w:r>
    </w:p>
    <w:p w14:paraId="181C7EC7">
      <w:pPr>
        <w:pStyle w:val="105"/>
        <w:spacing w:before="312" w:beforeLines="100" w:after="312" w:afterLines="100" w:line="480" w:lineRule="exact"/>
        <w:ind w:firstLine="180" w:firstLineChars="75"/>
        <w:outlineLvl w:val="2"/>
        <w:rPr>
          <w:rFonts w:hint="eastAsia" w:ascii="宋体"/>
          <w:b/>
          <w:color w:val="auto"/>
          <w:sz w:val="24"/>
          <w:szCs w:val="24"/>
          <w:highlight w:val="none"/>
        </w:rPr>
      </w:pPr>
      <w:r>
        <w:rPr>
          <w:rFonts w:hint="eastAsia" w:ascii="宋体"/>
          <w:color w:val="auto"/>
          <w:sz w:val="24"/>
          <w:szCs w:val="24"/>
          <w:highlight w:val="none"/>
        </w:rPr>
        <w:t>1.法定代表人身份证明</w:t>
      </w:r>
    </w:p>
    <w:p w14:paraId="2FE83659">
      <w:pPr>
        <w:spacing w:line="480" w:lineRule="exact"/>
        <w:ind w:firstLine="480" w:firstLineChars="200"/>
        <w:rPr>
          <w:rFonts w:hint="eastAsia" w:ascii="宋体"/>
          <w:color w:val="auto"/>
          <w:sz w:val="24"/>
          <w:highlight w:val="none"/>
        </w:rPr>
      </w:pPr>
      <w:r>
        <w:rPr>
          <w:rFonts w:hint="eastAsia" w:ascii="宋体"/>
          <w:color w:val="auto"/>
          <w:sz w:val="24"/>
          <w:highlight w:val="none"/>
        </w:rPr>
        <w:t>投标人名称：</w:t>
      </w:r>
      <w:r>
        <w:rPr>
          <w:rFonts w:hint="eastAsia" w:ascii="宋体"/>
          <w:color w:val="auto"/>
          <w:sz w:val="24"/>
          <w:highlight w:val="none"/>
          <w:u w:val="single"/>
        </w:rPr>
        <w:t xml:space="preserve">                                </w:t>
      </w:r>
      <w:r>
        <w:rPr>
          <w:rFonts w:hint="eastAsia" w:ascii="宋体"/>
          <w:color w:val="auto"/>
          <w:sz w:val="24"/>
          <w:highlight w:val="none"/>
        </w:rPr>
        <w:t xml:space="preserve"> </w:t>
      </w:r>
    </w:p>
    <w:p w14:paraId="517DEC74">
      <w:pPr>
        <w:spacing w:line="480" w:lineRule="exact"/>
        <w:ind w:firstLine="480" w:firstLineChars="200"/>
        <w:rPr>
          <w:rFonts w:hint="eastAsia" w:ascii="宋体"/>
          <w:color w:val="auto"/>
          <w:sz w:val="24"/>
          <w:highlight w:val="none"/>
        </w:rPr>
      </w:pPr>
      <w:r>
        <w:rPr>
          <w:rFonts w:hint="eastAsia" w:ascii="宋体"/>
          <w:color w:val="auto"/>
          <w:sz w:val="24"/>
          <w:highlight w:val="none"/>
        </w:rPr>
        <w:t xml:space="preserve">单位性质： </w:t>
      </w:r>
      <w:r>
        <w:rPr>
          <w:rFonts w:hint="eastAsia" w:ascii="宋体"/>
          <w:color w:val="auto"/>
          <w:sz w:val="24"/>
          <w:highlight w:val="none"/>
          <w:u w:val="single"/>
        </w:rPr>
        <w:t xml:space="preserve">                                  </w:t>
      </w:r>
      <w:r>
        <w:rPr>
          <w:rFonts w:hint="eastAsia" w:ascii="宋体"/>
          <w:color w:val="auto"/>
          <w:sz w:val="24"/>
          <w:highlight w:val="none"/>
        </w:rPr>
        <w:t xml:space="preserve"> </w:t>
      </w:r>
    </w:p>
    <w:p w14:paraId="32B0714D">
      <w:pPr>
        <w:spacing w:line="480" w:lineRule="exact"/>
        <w:ind w:firstLine="480" w:firstLineChars="200"/>
        <w:rPr>
          <w:rFonts w:hint="eastAsia" w:ascii="宋体"/>
          <w:color w:val="auto"/>
          <w:sz w:val="24"/>
          <w:highlight w:val="none"/>
        </w:rPr>
      </w:pPr>
      <w:r>
        <w:rPr>
          <w:rFonts w:hint="eastAsia" w:ascii="宋体"/>
          <w:color w:val="auto"/>
          <w:sz w:val="24"/>
          <w:highlight w:val="none"/>
        </w:rPr>
        <w:t>地    址：</w:t>
      </w:r>
      <w:r>
        <w:rPr>
          <w:rFonts w:hint="eastAsia" w:ascii="宋体"/>
          <w:color w:val="auto"/>
          <w:sz w:val="24"/>
          <w:highlight w:val="none"/>
          <w:u w:val="single"/>
        </w:rPr>
        <w:t xml:space="preserve">                                   </w:t>
      </w:r>
      <w:r>
        <w:rPr>
          <w:rFonts w:hint="eastAsia" w:ascii="宋体"/>
          <w:color w:val="auto"/>
          <w:sz w:val="24"/>
          <w:highlight w:val="none"/>
        </w:rPr>
        <w:t xml:space="preserve"> </w:t>
      </w:r>
    </w:p>
    <w:p w14:paraId="093B48FE">
      <w:pPr>
        <w:spacing w:line="480" w:lineRule="exact"/>
        <w:ind w:firstLine="480" w:firstLineChars="200"/>
        <w:rPr>
          <w:rFonts w:hint="eastAsia" w:ascii="宋体"/>
          <w:color w:val="auto"/>
          <w:sz w:val="24"/>
          <w:highlight w:val="none"/>
        </w:rPr>
      </w:pPr>
      <w:r>
        <w:rPr>
          <w:rFonts w:hint="eastAsia" w:ascii="宋体"/>
          <w:color w:val="auto"/>
          <w:sz w:val="24"/>
          <w:highlight w:val="none"/>
        </w:rPr>
        <w:t>成立时间：</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01C55C55">
      <w:pPr>
        <w:spacing w:line="480" w:lineRule="exact"/>
        <w:ind w:firstLine="480" w:firstLineChars="200"/>
        <w:rPr>
          <w:rFonts w:hint="eastAsia" w:ascii="宋体"/>
          <w:color w:val="auto"/>
          <w:sz w:val="24"/>
          <w:highlight w:val="none"/>
        </w:rPr>
      </w:pPr>
      <w:r>
        <w:rPr>
          <w:rFonts w:hint="eastAsia" w:ascii="宋体"/>
          <w:color w:val="auto"/>
          <w:sz w:val="24"/>
          <w:highlight w:val="none"/>
        </w:rPr>
        <w:t>经营期限：</w:t>
      </w:r>
      <w:r>
        <w:rPr>
          <w:rFonts w:hint="eastAsia" w:ascii="宋体"/>
          <w:color w:val="auto"/>
          <w:sz w:val="24"/>
          <w:highlight w:val="none"/>
          <w:u w:val="single"/>
        </w:rPr>
        <w:t xml:space="preserve">                                </w:t>
      </w:r>
      <w:r>
        <w:rPr>
          <w:rFonts w:hint="eastAsia" w:ascii="宋体"/>
          <w:color w:val="auto"/>
          <w:sz w:val="24"/>
          <w:highlight w:val="none"/>
        </w:rPr>
        <w:t xml:space="preserve"> </w:t>
      </w:r>
    </w:p>
    <w:p w14:paraId="09978DB9">
      <w:pPr>
        <w:spacing w:line="480" w:lineRule="exact"/>
        <w:ind w:firstLine="1440" w:firstLineChars="200"/>
        <w:rPr>
          <w:rFonts w:hint="eastAsia" w:ascii="宋体"/>
          <w:color w:val="auto"/>
          <w:sz w:val="24"/>
          <w:highlight w:val="none"/>
        </w:rPr>
      </w:pPr>
      <w:r>
        <w:rPr>
          <w:rFonts w:hint="eastAsia" w:ascii="宋体"/>
          <w:color w:val="auto"/>
          <w:spacing w:val="240"/>
          <w:sz w:val="24"/>
          <w:highlight w:val="none"/>
        </w:rPr>
        <w:t>姓</w:t>
      </w:r>
      <w:r>
        <w:rPr>
          <w:rFonts w:hint="eastAsia" w:ascii="宋体"/>
          <w:color w:val="auto"/>
          <w:sz w:val="24"/>
          <w:highlight w:val="none"/>
        </w:rPr>
        <w:t>名：</w:t>
      </w:r>
      <w:r>
        <w:rPr>
          <w:rFonts w:hint="eastAsia" w:ascii="宋体"/>
          <w:color w:val="auto"/>
          <w:sz w:val="24"/>
          <w:highlight w:val="none"/>
          <w:u w:val="single"/>
        </w:rPr>
        <w:t xml:space="preserve">          </w:t>
      </w:r>
      <w:r>
        <w:rPr>
          <w:rFonts w:hint="eastAsia" w:ascii="宋体"/>
          <w:color w:val="auto"/>
          <w:sz w:val="24"/>
          <w:highlight w:val="none"/>
        </w:rPr>
        <w:t>性别：</w:t>
      </w:r>
      <w:r>
        <w:rPr>
          <w:rFonts w:hint="eastAsia" w:ascii="宋体"/>
          <w:color w:val="auto"/>
          <w:sz w:val="24"/>
          <w:highlight w:val="none"/>
          <w:u w:val="single"/>
        </w:rPr>
        <w:t xml:space="preserve">        </w:t>
      </w:r>
      <w:r>
        <w:rPr>
          <w:rFonts w:hint="eastAsia" w:ascii="宋体"/>
          <w:color w:val="auto"/>
          <w:sz w:val="24"/>
          <w:highlight w:val="none"/>
        </w:rPr>
        <w:t>年龄：</w:t>
      </w:r>
      <w:r>
        <w:rPr>
          <w:rFonts w:hint="eastAsia" w:ascii="宋体"/>
          <w:color w:val="auto"/>
          <w:sz w:val="24"/>
          <w:highlight w:val="none"/>
          <w:u w:val="single"/>
        </w:rPr>
        <w:t xml:space="preserve">       </w:t>
      </w:r>
      <w:r>
        <w:rPr>
          <w:rFonts w:hint="eastAsia" w:ascii="宋体"/>
          <w:color w:val="auto"/>
          <w:sz w:val="24"/>
          <w:highlight w:val="none"/>
        </w:rPr>
        <w:t>职务：</w:t>
      </w:r>
      <w:r>
        <w:rPr>
          <w:rFonts w:hint="eastAsia" w:ascii="宋体"/>
          <w:color w:val="auto"/>
          <w:sz w:val="24"/>
          <w:highlight w:val="none"/>
          <w:u w:val="single"/>
        </w:rPr>
        <w:t xml:space="preserve">       </w:t>
      </w:r>
      <w:r>
        <w:rPr>
          <w:rFonts w:hint="eastAsia" w:ascii="宋体"/>
          <w:color w:val="auto"/>
          <w:sz w:val="24"/>
          <w:highlight w:val="none"/>
        </w:rPr>
        <w:t>_</w:t>
      </w:r>
    </w:p>
    <w:p w14:paraId="2EF6CE87">
      <w:pPr>
        <w:spacing w:line="480" w:lineRule="exact"/>
        <w:ind w:firstLine="480" w:firstLineChars="200"/>
        <w:rPr>
          <w:rFonts w:hint="eastAsia" w:ascii="宋体"/>
          <w:color w:val="auto"/>
          <w:sz w:val="24"/>
          <w:highlight w:val="none"/>
        </w:rPr>
      </w:pPr>
      <w:r>
        <w:rPr>
          <w:rFonts w:hint="eastAsia" w:ascii="宋体"/>
          <w:color w:val="auto"/>
          <w:sz w:val="24"/>
          <w:highlight w:val="none"/>
        </w:rPr>
        <w:t>系</w:t>
      </w:r>
      <w:r>
        <w:rPr>
          <w:rFonts w:hint="eastAsia" w:ascii="宋体"/>
          <w:color w:val="auto"/>
          <w:sz w:val="24"/>
          <w:highlight w:val="none"/>
          <w:u w:val="single"/>
        </w:rPr>
        <w:t xml:space="preserve">                                </w:t>
      </w:r>
      <w:r>
        <w:rPr>
          <w:rFonts w:hint="eastAsia" w:ascii="宋体"/>
          <w:color w:val="auto"/>
          <w:sz w:val="24"/>
          <w:highlight w:val="none"/>
        </w:rPr>
        <w:t>（投标人名称）的法定代表人。</w:t>
      </w:r>
    </w:p>
    <w:p w14:paraId="6E659ECC">
      <w:pPr>
        <w:spacing w:line="480" w:lineRule="exact"/>
        <w:ind w:firstLine="960" w:firstLineChars="400"/>
        <w:rPr>
          <w:rFonts w:hint="eastAsia" w:ascii="宋体"/>
          <w:color w:val="auto"/>
          <w:sz w:val="24"/>
          <w:highlight w:val="none"/>
        </w:rPr>
      </w:pPr>
      <w:r>
        <w:rPr>
          <w:rFonts w:hint="eastAsia" w:ascii="宋体"/>
          <w:color w:val="auto"/>
          <w:sz w:val="24"/>
          <w:highlight w:val="none"/>
        </w:rPr>
        <w:t>特此证明。</w:t>
      </w:r>
    </w:p>
    <w:p w14:paraId="0FB5D0E7">
      <w:pPr>
        <w:spacing w:line="360" w:lineRule="auto"/>
        <w:ind w:firstLine="3480" w:firstLineChars="1450"/>
        <w:rPr>
          <w:rFonts w:hint="eastAsia" w:ascii="宋体"/>
          <w:color w:val="auto"/>
          <w:sz w:val="24"/>
          <w:highlight w:val="none"/>
        </w:rPr>
      </w:pPr>
      <w:r>
        <w:rPr>
          <w:rFonts w:hint="eastAsia" w:ascii="宋体"/>
          <w:color w:val="auto"/>
          <w:sz w:val="24"/>
          <w:highlight w:val="none"/>
        </w:rPr>
        <w:t>投标人：</w:t>
      </w:r>
      <w:r>
        <w:rPr>
          <w:rFonts w:hint="eastAsia" w:ascii="宋体"/>
          <w:color w:val="auto"/>
          <w:sz w:val="24"/>
          <w:highlight w:val="none"/>
          <w:u w:val="single"/>
        </w:rPr>
        <w:t xml:space="preserve">                 </w:t>
      </w:r>
      <w:r>
        <w:rPr>
          <w:rFonts w:hint="eastAsia" w:ascii="宋体"/>
          <w:color w:val="auto"/>
          <w:sz w:val="24"/>
          <w:highlight w:val="none"/>
        </w:rPr>
        <w:t>（盖单位章）</w:t>
      </w:r>
    </w:p>
    <w:p w14:paraId="348C126C">
      <w:pPr>
        <w:wordWrap w:val="0"/>
        <w:spacing w:line="360" w:lineRule="auto"/>
        <w:jc w:val="right"/>
        <w:rPr>
          <w:rFonts w:hint="eastAsia"/>
          <w:color w:val="auto"/>
          <w:highlight w:val="none"/>
        </w:rPr>
      </w:pPr>
      <w:r>
        <w:rPr>
          <w:rFonts w:hint="eastAsia" w:ascii="宋体"/>
          <w:color w:val="auto"/>
          <w:sz w:val="24"/>
          <w:highlight w:val="none"/>
        </w:rPr>
        <w:t xml:space="preserve">                                        </w:t>
      </w:r>
      <w:r>
        <w:rPr>
          <w:rFonts w:hint="eastAsia" w:ascii="宋体"/>
          <w:color w:val="auto"/>
          <w:sz w:val="24"/>
          <w:highlight w:val="none"/>
          <w:u w:val="single"/>
        </w:rPr>
        <w:t xml:space="preserve">       </w:t>
      </w:r>
      <w:r>
        <w:rPr>
          <w:rFonts w:hint="eastAsia" w:ascii="宋体"/>
          <w:color w:val="auto"/>
          <w:sz w:val="24"/>
          <w:highlight w:val="none"/>
        </w:rPr>
        <w:t xml:space="preserve">年 </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 xml:space="preserve">日  </w:t>
      </w:r>
    </w:p>
    <w:p w14:paraId="0EF5A935">
      <w:pPr>
        <w:spacing w:before="312" w:beforeLines="100" w:after="312" w:afterLines="100" w:line="480" w:lineRule="exact"/>
        <w:ind w:firstLine="3654" w:firstLineChars="1305"/>
        <w:outlineLvl w:val="2"/>
        <w:rPr>
          <w:rFonts w:hint="eastAsia" w:ascii="宋体"/>
          <w:color w:val="auto"/>
          <w:sz w:val="28"/>
          <w:szCs w:val="28"/>
          <w:highlight w:val="none"/>
        </w:rPr>
      </w:pPr>
      <w:r>
        <w:rPr>
          <w:rFonts w:hint="eastAsia" w:ascii="宋体"/>
          <w:color w:val="auto"/>
          <w:sz w:val="28"/>
          <w:szCs w:val="28"/>
          <w:highlight w:val="none"/>
        </w:rPr>
        <w:t>2.授权委托书</w:t>
      </w:r>
    </w:p>
    <w:p w14:paraId="6AC9B623">
      <w:pPr>
        <w:spacing w:line="480" w:lineRule="exact"/>
        <w:ind w:firstLine="480" w:firstLineChars="200"/>
        <w:rPr>
          <w:rFonts w:hint="eastAsia" w:ascii="宋体"/>
          <w:color w:val="auto"/>
          <w:sz w:val="24"/>
          <w:highlight w:val="none"/>
        </w:rPr>
      </w:pPr>
      <w:r>
        <w:rPr>
          <w:rFonts w:hint="eastAsia" w:ascii="宋体"/>
          <w:color w:val="auto"/>
          <w:sz w:val="24"/>
          <w:highlight w:val="none"/>
        </w:rPr>
        <w:t xml:space="preserve">本人 </w:t>
      </w:r>
      <w:r>
        <w:rPr>
          <w:rFonts w:hint="eastAsia" w:ascii="宋体"/>
          <w:color w:val="auto"/>
          <w:sz w:val="24"/>
          <w:highlight w:val="none"/>
          <w:u w:val="single"/>
        </w:rPr>
        <w:t xml:space="preserve">    </w:t>
      </w:r>
      <w:r>
        <w:rPr>
          <w:rFonts w:hint="eastAsia" w:ascii="宋体"/>
          <w:color w:val="auto"/>
          <w:sz w:val="24"/>
          <w:highlight w:val="none"/>
        </w:rPr>
        <w:t>（姓名）系</w:t>
      </w:r>
      <w:r>
        <w:rPr>
          <w:rFonts w:hint="eastAsia" w:ascii="宋体"/>
          <w:color w:val="auto"/>
          <w:sz w:val="24"/>
          <w:highlight w:val="none"/>
          <w:u w:val="single"/>
        </w:rPr>
        <w:t xml:space="preserve">       </w:t>
      </w:r>
      <w:r>
        <w:rPr>
          <w:rFonts w:hint="eastAsia" w:ascii="宋体"/>
          <w:color w:val="auto"/>
          <w:sz w:val="24"/>
          <w:highlight w:val="none"/>
        </w:rPr>
        <w:t>（投标人）的法定代表人，现委托</w:t>
      </w:r>
      <w:r>
        <w:rPr>
          <w:rFonts w:hint="eastAsia" w:ascii="宋体"/>
          <w:color w:val="auto"/>
          <w:sz w:val="24"/>
          <w:highlight w:val="none"/>
          <w:u w:val="single"/>
        </w:rPr>
        <w:t xml:space="preserve">   </w:t>
      </w:r>
      <w:r>
        <w:rPr>
          <w:rFonts w:hint="eastAsia" w:ascii="宋体"/>
          <w:color w:val="auto"/>
          <w:sz w:val="24"/>
          <w:highlight w:val="none"/>
        </w:rPr>
        <w:t>（姓名）为我方代理人。代理人根据授权，以我方名义签署、澄清、说明、补正、递交、撤回、修改 “</w:t>
      </w:r>
      <w:r>
        <w:rPr>
          <w:rFonts w:hint="eastAsia" w:ascii="宋体"/>
          <w:color w:val="auto"/>
          <w:sz w:val="24"/>
          <w:highlight w:val="none"/>
          <w:u w:val="single"/>
        </w:rPr>
        <w:t xml:space="preserve">      </w:t>
      </w:r>
      <w:r>
        <w:rPr>
          <w:rFonts w:hint="eastAsia" w:ascii="宋体"/>
          <w:color w:val="auto"/>
          <w:sz w:val="24"/>
          <w:highlight w:val="none"/>
        </w:rPr>
        <w:t xml:space="preserve"> ”(项目名称、编号）投标文件，全权处理与该项目投标、评审答疑、签订合同以及与合同执行有关的一切事务，其法律后果由我方承担。</w:t>
      </w:r>
    </w:p>
    <w:p w14:paraId="25E9DD19">
      <w:pPr>
        <w:spacing w:line="480" w:lineRule="exact"/>
        <w:ind w:firstLine="480" w:firstLineChars="200"/>
        <w:rPr>
          <w:rFonts w:hint="eastAsia" w:ascii="宋体"/>
          <w:color w:val="auto"/>
          <w:sz w:val="24"/>
          <w:highlight w:val="none"/>
        </w:rPr>
      </w:pPr>
      <w:r>
        <w:rPr>
          <w:rFonts w:hint="eastAsia" w:ascii="宋体"/>
          <w:color w:val="auto"/>
          <w:sz w:val="24"/>
          <w:highlight w:val="none"/>
        </w:rPr>
        <w:t xml:space="preserve">委托期限：                                </w:t>
      </w:r>
    </w:p>
    <w:p w14:paraId="6D18AD96">
      <w:pPr>
        <w:spacing w:line="480" w:lineRule="exact"/>
        <w:ind w:firstLine="480" w:firstLineChars="200"/>
        <w:rPr>
          <w:rFonts w:hint="eastAsia" w:ascii="宋体"/>
          <w:color w:val="auto"/>
          <w:sz w:val="24"/>
          <w:highlight w:val="none"/>
        </w:rPr>
      </w:pPr>
      <w:r>
        <w:rPr>
          <w:rFonts w:hint="eastAsia" w:ascii="宋体"/>
          <w:color w:val="auto"/>
          <w:sz w:val="24"/>
          <w:highlight w:val="none"/>
        </w:rPr>
        <w:t>代理人无转委托权。</w:t>
      </w:r>
    </w:p>
    <w:p w14:paraId="283B5405">
      <w:pPr>
        <w:spacing w:line="480" w:lineRule="exact"/>
        <w:ind w:firstLine="480" w:firstLineChars="200"/>
        <w:rPr>
          <w:rFonts w:hint="eastAsia" w:ascii="宋体"/>
          <w:color w:val="auto"/>
          <w:sz w:val="24"/>
          <w:highlight w:val="none"/>
        </w:rPr>
      </w:pPr>
      <w:r>
        <w:rPr>
          <w:rFonts w:hint="eastAsia" w:ascii="宋体"/>
          <w:color w:val="auto"/>
          <w:sz w:val="24"/>
          <w:highlight w:val="none"/>
        </w:rPr>
        <w:t>附：授权委托人有效身份证及法定代表人有效身份证</w:t>
      </w:r>
    </w:p>
    <w:p w14:paraId="0778EF0D">
      <w:pPr>
        <w:spacing w:line="480" w:lineRule="exact"/>
        <w:rPr>
          <w:rFonts w:hint="eastAsia" w:ascii="宋体"/>
          <w:color w:val="auto"/>
          <w:sz w:val="24"/>
          <w:highlight w:val="none"/>
        </w:rPr>
      </w:pPr>
      <w:r>
        <w:rPr>
          <w:rFonts w:hint="eastAsia" w:ascii="宋体"/>
          <w:color w:val="auto"/>
          <w:sz w:val="24"/>
          <w:highlight w:val="none"/>
        </w:rPr>
        <w:t xml:space="preserve">                                     投标人：             （盖单位章）</w:t>
      </w:r>
    </w:p>
    <w:p w14:paraId="77C758F4">
      <w:pPr>
        <w:spacing w:line="480" w:lineRule="exact"/>
        <w:jc w:val="right"/>
        <w:rPr>
          <w:rFonts w:hint="eastAsia" w:ascii="宋体"/>
          <w:color w:val="auto"/>
          <w:sz w:val="24"/>
          <w:highlight w:val="none"/>
        </w:rPr>
      </w:pPr>
      <w:r>
        <w:rPr>
          <w:rFonts w:hint="eastAsia" w:ascii="宋体"/>
          <w:color w:val="auto"/>
          <w:sz w:val="24"/>
          <w:highlight w:val="none"/>
        </w:rPr>
        <w:t>法定代表人（身份证号码）：             （签章）</w:t>
      </w:r>
    </w:p>
    <w:p w14:paraId="0091C2C8">
      <w:pPr>
        <w:spacing w:line="480" w:lineRule="exact"/>
        <w:ind w:firstLine="2820" w:firstLineChars="1175"/>
        <w:rPr>
          <w:rFonts w:hint="eastAsia" w:ascii="宋体"/>
          <w:color w:val="auto"/>
          <w:sz w:val="24"/>
          <w:highlight w:val="none"/>
        </w:rPr>
      </w:pPr>
      <w:r>
        <w:rPr>
          <w:rFonts w:hint="eastAsia" w:ascii="宋体"/>
          <w:color w:val="auto"/>
          <w:sz w:val="24"/>
          <w:highlight w:val="none"/>
        </w:rPr>
        <w:t xml:space="preserve">              年    月    日</w:t>
      </w:r>
    </w:p>
    <w:p w14:paraId="54D84AC8">
      <w:pPr>
        <w:spacing w:line="360" w:lineRule="exact"/>
        <w:ind w:firstLine="413" w:firstLineChars="147"/>
        <w:rPr>
          <w:rFonts w:hint="eastAsia"/>
          <w:b/>
          <w:color w:val="auto"/>
          <w:sz w:val="28"/>
          <w:szCs w:val="28"/>
          <w:highlight w:val="none"/>
          <w:u w:val="single"/>
        </w:rPr>
      </w:pPr>
    </w:p>
    <w:p w14:paraId="6A664EB0">
      <w:pPr>
        <w:spacing w:line="360" w:lineRule="exact"/>
        <w:ind w:firstLine="413" w:firstLineChars="147"/>
        <w:rPr>
          <w:rFonts w:hint="eastAsia"/>
          <w:b/>
          <w:color w:val="auto"/>
          <w:sz w:val="28"/>
          <w:szCs w:val="28"/>
          <w:highlight w:val="none"/>
          <w:u w:val="single"/>
        </w:rPr>
      </w:pPr>
    </w:p>
    <w:p w14:paraId="4C6C395C">
      <w:pPr>
        <w:spacing w:line="360" w:lineRule="exact"/>
        <w:ind w:firstLine="443" w:firstLineChars="147"/>
        <w:outlineLvl w:val="3"/>
        <w:rPr>
          <w:rFonts w:hint="eastAsia" w:ascii="宋体"/>
          <w:b/>
          <w:color w:val="auto"/>
          <w:sz w:val="30"/>
          <w:szCs w:val="30"/>
          <w:highlight w:val="none"/>
        </w:rPr>
      </w:pPr>
      <w:r>
        <w:rPr>
          <w:rFonts w:hint="eastAsia" w:ascii="宋体"/>
          <w:b/>
          <w:color w:val="auto"/>
          <w:sz w:val="30"/>
          <w:szCs w:val="30"/>
          <w:highlight w:val="none"/>
        </w:rPr>
        <w:t>附件2</w:t>
      </w:r>
    </w:p>
    <w:p w14:paraId="25914BC4">
      <w:pPr>
        <w:spacing w:line="360" w:lineRule="exact"/>
        <w:ind w:firstLine="413" w:firstLineChars="147"/>
        <w:jc w:val="center"/>
        <w:outlineLvl w:val="3"/>
        <w:rPr>
          <w:rFonts w:hint="eastAsia"/>
          <w:b/>
          <w:color w:val="auto"/>
          <w:sz w:val="28"/>
          <w:szCs w:val="28"/>
          <w:highlight w:val="none"/>
        </w:rPr>
      </w:pPr>
      <w:r>
        <w:rPr>
          <w:rFonts w:hint="eastAsia"/>
          <w:b/>
          <w:color w:val="auto"/>
          <w:sz w:val="28"/>
          <w:szCs w:val="28"/>
          <w:highlight w:val="none"/>
        </w:rPr>
        <w:t>（2）诚信投标承诺书</w:t>
      </w:r>
    </w:p>
    <w:p w14:paraId="39F95862">
      <w:pPr>
        <w:adjustRightInd w:val="0"/>
        <w:snapToGrid w:val="0"/>
        <w:spacing w:line="560" w:lineRule="exact"/>
        <w:rPr>
          <w:rFonts w:hint="eastAsia" w:ascii="宋体" w:hAnsi="宋体"/>
          <w:color w:val="auto"/>
          <w:szCs w:val="21"/>
          <w:highlight w:val="none"/>
        </w:rPr>
      </w:pPr>
      <w:r>
        <w:rPr>
          <w:rFonts w:hint="eastAsia" w:ascii="宋体" w:hAnsi="宋体"/>
          <w:color w:val="auto"/>
          <w:szCs w:val="21"/>
          <w:highlight w:val="none"/>
        </w:rPr>
        <w:t>本人以企业法定代表人的身份郑重承诺：</w:t>
      </w:r>
    </w:p>
    <w:p w14:paraId="21D1043A">
      <w:pPr>
        <w:adjustRightInd w:val="0"/>
        <w:snapToGrid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一、将遵循公</w:t>
      </w:r>
      <w:bookmarkStart w:id="114" w:name="_Toc506107356"/>
      <w:bookmarkStart w:id="115" w:name="_Toc503196197"/>
      <w:bookmarkStart w:id="116" w:name="_Toc26598"/>
      <w:r>
        <w:rPr>
          <w:rFonts w:hint="eastAsia" w:ascii="宋体" w:hAnsi="宋体"/>
          <w:color w:val="auto"/>
          <w:szCs w:val="21"/>
          <w:highlight w:val="none"/>
        </w:rPr>
        <w:t>开、公正和诚实信用</w:t>
      </w:r>
      <w:bookmarkEnd w:id="114"/>
      <w:bookmarkEnd w:id="115"/>
      <w:r>
        <w:rPr>
          <w:rFonts w:hint="eastAsia" w:ascii="宋体" w:hAnsi="宋体"/>
          <w:color w:val="auto"/>
          <w:szCs w:val="21"/>
          <w:highlight w:val="none"/>
        </w:rPr>
        <w:t>的</w:t>
      </w:r>
      <w:bookmarkEnd w:id="116"/>
      <w:r>
        <w:rPr>
          <w:rFonts w:hint="eastAsia" w:ascii="宋体" w:hAnsi="宋体"/>
          <w:color w:val="auto"/>
          <w:szCs w:val="21"/>
          <w:highlight w:val="none"/>
        </w:rPr>
        <w:t>原则自愿参加</w:t>
      </w:r>
      <w:r>
        <w:rPr>
          <w:rFonts w:hint="eastAsia" w:ascii="宋体" w:hAnsi="宋体"/>
          <w:color w:val="auto"/>
          <w:szCs w:val="21"/>
          <w:highlight w:val="none"/>
          <w:u w:val="single"/>
        </w:rPr>
        <w:t xml:space="preserve">                     （项目名称）</w:t>
      </w:r>
      <w:r>
        <w:rPr>
          <w:rFonts w:hint="eastAsia" w:ascii="宋体" w:hAnsi="宋体"/>
          <w:color w:val="auto"/>
          <w:szCs w:val="21"/>
          <w:highlight w:val="none"/>
        </w:rPr>
        <w:t>项目的投标；</w:t>
      </w:r>
    </w:p>
    <w:p w14:paraId="51B068DB">
      <w:pPr>
        <w:adjustRightInd w:val="0"/>
        <w:snapToGrid w:val="0"/>
        <w:spacing w:line="560" w:lineRule="exact"/>
        <w:ind w:firstLine="420" w:firstLineChars="200"/>
        <w:outlineLvl w:val="1"/>
        <w:rPr>
          <w:rFonts w:ascii="宋体" w:hAnsi="宋体"/>
          <w:color w:val="auto"/>
          <w:szCs w:val="21"/>
          <w:highlight w:val="none"/>
        </w:rPr>
      </w:pPr>
      <w:r>
        <w:rPr>
          <w:rFonts w:hint="eastAsia" w:ascii="宋体" w:hAnsi="宋体"/>
          <w:color w:val="auto"/>
          <w:szCs w:val="21"/>
          <w:highlight w:val="none"/>
        </w:rPr>
        <w:t>二、所提供的一切材料都是真实、合法的；</w:t>
      </w:r>
    </w:p>
    <w:p w14:paraId="6EB96A1A">
      <w:pPr>
        <w:adjustRightInd w:val="0"/>
        <w:snapToGrid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5B010153">
      <w:pPr>
        <w:adjustRightInd w:val="0"/>
        <w:snapToGrid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四、不与其他投标人相互串通投标报价，不排挤其他投标人的公平竞争、损害招标人的合法权益；</w:t>
      </w:r>
    </w:p>
    <w:p w14:paraId="45FF53C4">
      <w:pPr>
        <w:adjustRightInd w:val="0"/>
        <w:snapToGrid w:val="0"/>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五、不与招标人、招标代理机构或其他投标人串通投标，损害国家利益、社会公共利益或者他人的合法权益；</w:t>
      </w:r>
    </w:p>
    <w:p w14:paraId="658FD4AB">
      <w:pPr>
        <w:adjustRightInd w:val="0"/>
        <w:snapToGrid w:val="0"/>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六、</w:t>
      </w:r>
      <w:r>
        <w:rPr>
          <w:rFonts w:hint="eastAsia" w:ascii="宋体" w:hAnsi="宋体"/>
          <w:color w:val="auto"/>
          <w:szCs w:val="21"/>
          <w:highlight w:val="none"/>
          <w:u w:val="single"/>
        </w:rPr>
        <w:t xml:space="preserve">                </w:t>
      </w:r>
      <w:r>
        <w:rPr>
          <w:rFonts w:hint="eastAsia" w:ascii="宋体" w:hAnsi="宋体"/>
          <w:color w:val="auto"/>
          <w:szCs w:val="21"/>
          <w:highlight w:val="none"/>
        </w:rPr>
        <w:t>没有下列情形：1、被人民法院列入失信被执行人的；2、我公司及其法定代表人、拟任项目经理（建造师）前三年有行贿犯罪行为的；3、被市场监督管理部门列入经营异常名录或者严重违法企业名单的，且未被移除的；4、被税务部门列入重大税收违法案件当事人的；5、在“信用中国”网站上披露仍在公示期的严重失信行为的；6、被滁州市县两级各行业主管部门及公管部门取消在一定期限内的投标资格且在取消期限内的；7、被人力资源社会保障主管部门列入拖欠农民工工资‘黑名单’或因拖欠农民工工资被县级及以上有关行政主管部门限制投标资格且在限制期限内的；8、</w:t>
      </w:r>
      <w:r>
        <w:rPr>
          <w:rFonts w:hint="eastAsia"/>
          <w:color w:val="auto"/>
          <w:szCs w:val="21"/>
          <w:highlight w:val="none"/>
          <w:lang w:eastAsia="zh-CN"/>
        </w:rPr>
        <w:t>被列入省级、市级农民工工资支付异常名录的施工企业，限制其参加全市范围内项目投标；列入县级异常名录的施工企业，限制其参加本行政区域内项目投标。</w:t>
      </w:r>
      <w:r>
        <w:rPr>
          <w:rFonts w:hint="eastAsia"/>
          <w:color w:val="auto"/>
          <w:szCs w:val="21"/>
          <w:highlight w:val="none"/>
        </w:rPr>
        <w:t>（若招标文件对投标人所属分公司、办事处等分支机构有上述1-8项信誉要求，在此一并承诺我公司所属分公司、办事处等分支机构没有上述1-8项情形）</w:t>
      </w:r>
    </w:p>
    <w:p w14:paraId="1C8C04B7">
      <w:pPr>
        <w:adjustRightInd w:val="0"/>
        <w:snapToGrid w:val="0"/>
        <w:spacing w:line="560" w:lineRule="exact"/>
        <w:ind w:firstLine="420" w:firstLineChars="200"/>
        <w:outlineLvl w:val="1"/>
        <w:rPr>
          <w:rFonts w:ascii="宋体" w:hAnsi="宋体"/>
          <w:color w:val="auto"/>
          <w:szCs w:val="21"/>
          <w:highlight w:val="none"/>
        </w:rPr>
      </w:pPr>
      <w:r>
        <w:rPr>
          <w:rFonts w:hint="eastAsia" w:ascii="宋体" w:hAnsi="宋体"/>
          <w:color w:val="auto"/>
          <w:szCs w:val="21"/>
          <w:highlight w:val="none"/>
        </w:rPr>
        <w:t>七、严格遵守开标纪律，服从监管人员管理；</w:t>
      </w:r>
    </w:p>
    <w:p w14:paraId="4D354C94">
      <w:pPr>
        <w:adjustRightInd w:val="0"/>
        <w:snapToGrid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八、保证中标后不转包及使用挂靠施工队伍，若有分包征得建设单位同意；</w:t>
      </w:r>
    </w:p>
    <w:p w14:paraId="7EA37103">
      <w:pPr>
        <w:adjustRightInd w:val="0"/>
        <w:snapToGrid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九、保证中标之后，按照投标文件承诺派驻管理人员及投入机械设备，如有违反，同意接受建设单位违约处罚；</w:t>
      </w:r>
    </w:p>
    <w:p w14:paraId="1386578A">
      <w:pPr>
        <w:adjustRightInd w:val="0"/>
        <w:snapToGrid w:val="0"/>
        <w:spacing w:line="560" w:lineRule="exact"/>
        <w:ind w:firstLine="420" w:firstLineChars="200"/>
        <w:outlineLvl w:val="1"/>
        <w:rPr>
          <w:rFonts w:ascii="宋体" w:hAnsi="宋体"/>
          <w:color w:val="auto"/>
          <w:szCs w:val="21"/>
          <w:highlight w:val="none"/>
        </w:rPr>
      </w:pPr>
      <w:r>
        <w:rPr>
          <w:rFonts w:hint="eastAsia" w:ascii="宋体" w:hAnsi="宋体"/>
          <w:color w:val="auto"/>
          <w:szCs w:val="21"/>
          <w:highlight w:val="none"/>
        </w:rPr>
        <w:t>十、保证企业及所属相关人员在本次投标中无行贿等犯罪行为；</w:t>
      </w:r>
    </w:p>
    <w:p w14:paraId="39B84C69">
      <w:pPr>
        <w:adjustRightInd w:val="0"/>
        <w:snapToGrid w:val="0"/>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十一、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p>
    <w:p w14:paraId="079D2CA6">
      <w:pPr>
        <w:adjustRightInd w:val="0"/>
        <w:snapToGrid w:val="0"/>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 以上内容我已仔细阅读，本公司若有违反承诺内容的行为，自愿接受取消投标或者中标资格、记入不良行为记录等有关处理，愿意承担法律责任，给招标人造成损失的，承担赔偿责任。</w:t>
      </w:r>
    </w:p>
    <w:p w14:paraId="6C2E963D">
      <w:pPr>
        <w:adjustRightInd w:val="0"/>
        <w:snapToGrid w:val="0"/>
        <w:spacing w:line="560" w:lineRule="exact"/>
        <w:ind w:firstLine="420" w:firstLineChars="200"/>
        <w:rPr>
          <w:rFonts w:hint="eastAsia" w:ascii="宋体" w:hAnsi="宋体"/>
          <w:color w:val="auto"/>
          <w:szCs w:val="21"/>
          <w:highlight w:val="none"/>
        </w:rPr>
      </w:pPr>
    </w:p>
    <w:p w14:paraId="3199A60C">
      <w:pPr>
        <w:adjustRightInd w:val="0"/>
        <w:snapToGrid w:val="0"/>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w:t>
      </w:r>
    </w:p>
    <w:p w14:paraId="6928EC3F">
      <w:pPr>
        <w:adjustRightInd w:val="0"/>
        <w:snapToGrid w:val="0"/>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开户银行：                          基本账户：</w:t>
      </w:r>
    </w:p>
    <w:p w14:paraId="05760E4F">
      <w:pPr>
        <w:adjustRightInd w:val="0"/>
        <w:snapToGrid w:val="0"/>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投标单位（签章或盖章）：          法定代表人（签字或签章）：</w:t>
      </w:r>
    </w:p>
    <w:p w14:paraId="41EA814F">
      <w:pPr>
        <w:spacing w:line="360" w:lineRule="exact"/>
        <w:ind w:firstLine="420" w:firstLineChars="200"/>
        <w:rPr>
          <w:rFonts w:hint="eastAsia" w:ascii="宋体" w:hAnsi="宋体"/>
          <w:color w:val="auto"/>
          <w:szCs w:val="21"/>
          <w:highlight w:val="none"/>
        </w:rPr>
      </w:pPr>
    </w:p>
    <w:p w14:paraId="7F58E927">
      <w:pPr>
        <w:spacing w:line="360" w:lineRule="exact"/>
        <w:jc w:val="right"/>
        <w:rPr>
          <w:rFonts w:hint="eastAsia" w:ascii="仿宋_GB2312" w:eastAsia="仿宋_GB2312"/>
          <w:color w:val="auto"/>
          <w:sz w:val="32"/>
          <w:szCs w:val="32"/>
          <w:highlight w:val="none"/>
        </w:rPr>
      </w:pPr>
      <w:r>
        <w:rPr>
          <w:rFonts w:hint="eastAsia" w:ascii="宋体" w:hAnsi="宋体"/>
          <w:color w:val="auto"/>
          <w:szCs w:val="21"/>
          <w:highlight w:val="none"/>
        </w:rPr>
        <w:t>日期：</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日</w:t>
      </w:r>
    </w:p>
    <w:p w14:paraId="0EC375F3">
      <w:pPr>
        <w:spacing w:line="360" w:lineRule="exact"/>
        <w:ind w:firstLine="420" w:firstLineChars="200"/>
        <w:rPr>
          <w:rFonts w:hint="eastAsia" w:ascii="宋体" w:hAnsi="宋体"/>
          <w:color w:val="auto"/>
          <w:szCs w:val="21"/>
          <w:highlight w:val="none"/>
        </w:rPr>
      </w:pPr>
    </w:p>
    <w:p w14:paraId="11EECB83">
      <w:pPr>
        <w:adjustRightInd w:val="0"/>
        <w:snapToGrid w:val="0"/>
        <w:spacing w:line="560" w:lineRule="exact"/>
        <w:jc w:val="center"/>
        <w:rPr>
          <w:rFonts w:hint="eastAsia"/>
          <w:b/>
          <w:color w:val="auto"/>
          <w:sz w:val="28"/>
          <w:szCs w:val="28"/>
          <w:highlight w:val="none"/>
          <w:lang w:eastAsia="zh-CN"/>
        </w:rPr>
      </w:pPr>
    </w:p>
    <w:p w14:paraId="7C7AFE20">
      <w:pPr>
        <w:adjustRightInd w:val="0"/>
        <w:snapToGrid w:val="0"/>
        <w:spacing w:line="560" w:lineRule="exact"/>
        <w:jc w:val="center"/>
        <w:outlineLvl w:val="2"/>
        <w:rPr>
          <w:rFonts w:hint="eastAsia"/>
          <w:b/>
          <w:color w:val="auto"/>
          <w:sz w:val="28"/>
          <w:szCs w:val="28"/>
          <w:highlight w:val="none"/>
        </w:rPr>
      </w:pPr>
      <w:r>
        <w:rPr>
          <w:rFonts w:hint="eastAsia"/>
          <w:b/>
          <w:color w:val="auto"/>
          <w:sz w:val="28"/>
          <w:szCs w:val="28"/>
          <w:highlight w:val="none"/>
          <w:lang w:eastAsia="zh-CN"/>
        </w:rPr>
        <w:t>（</w:t>
      </w:r>
      <w:r>
        <w:rPr>
          <w:rFonts w:hint="eastAsia"/>
          <w:b/>
          <w:color w:val="auto"/>
          <w:sz w:val="28"/>
          <w:szCs w:val="28"/>
          <w:highlight w:val="none"/>
          <w:lang w:val="en-US" w:eastAsia="zh-CN"/>
        </w:rPr>
        <w:t>2）</w:t>
      </w:r>
      <w:r>
        <w:rPr>
          <w:rFonts w:hint="eastAsia"/>
          <w:b/>
          <w:color w:val="auto"/>
          <w:sz w:val="28"/>
          <w:szCs w:val="28"/>
          <w:highlight w:val="none"/>
        </w:rPr>
        <w:t>公共信用信息报告（无违法违规证明版或核查版））</w:t>
      </w:r>
    </w:p>
    <w:p w14:paraId="032315FE">
      <w:pPr>
        <w:adjustRightInd w:val="0"/>
        <w:snapToGrid w:val="0"/>
        <w:spacing w:line="56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符合条件的投标人可在信用中国（安徽）网站（网址</w:t>
      </w:r>
      <w:r>
        <w:rPr>
          <w:rFonts w:hint="eastAsia" w:ascii="宋体" w:hAnsi="宋体" w:eastAsia="宋体" w:cs="Times New Roman"/>
          <w:color w:val="auto"/>
          <w:szCs w:val="21"/>
          <w:highlight w:val="none"/>
        </w:rPr>
        <w:fldChar w:fldCharType="begin"/>
      </w:r>
      <w:r>
        <w:rPr>
          <w:rFonts w:hint="eastAsia" w:ascii="宋体" w:hAnsi="宋体" w:eastAsia="宋体" w:cs="Times New Roman"/>
          <w:color w:val="auto"/>
          <w:szCs w:val="21"/>
          <w:highlight w:val="none"/>
        </w:rPr>
        <w:instrText xml:space="preserve"> HYPERLINK "https://credit.ah.gov.cn/xinyongfuwu/index.html" </w:instrText>
      </w:r>
      <w:r>
        <w:rPr>
          <w:rFonts w:hint="eastAsia" w:ascii="宋体" w:hAnsi="宋体" w:eastAsia="宋体" w:cs="Times New Roman"/>
          <w:color w:val="auto"/>
          <w:szCs w:val="21"/>
          <w:highlight w:val="none"/>
        </w:rPr>
        <w:fldChar w:fldCharType="separate"/>
      </w:r>
      <w:r>
        <w:rPr>
          <w:rFonts w:hint="eastAsia" w:ascii="宋体" w:hAnsi="宋体" w:eastAsia="宋体" w:cs="Times New Roman"/>
          <w:color w:val="auto"/>
          <w:szCs w:val="21"/>
          <w:highlight w:val="none"/>
        </w:rPr>
        <w:t>https://credit.ah.gov.cn/xinyongfuwu/index.html</w:t>
      </w:r>
      <w:r>
        <w:rPr>
          <w:rFonts w:hint="eastAsia" w:ascii="宋体" w:hAnsi="宋体" w:eastAsia="宋体" w:cs="Times New Roman"/>
          <w:color w:val="auto"/>
          <w:szCs w:val="21"/>
          <w:highlight w:val="none"/>
        </w:rPr>
        <w:fldChar w:fldCharType="end"/>
      </w:r>
      <w:r>
        <w:rPr>
          <w:rFonts w:hint="eastAsia" w:ascii="宋体" w:hAnsi="宋体" w:eastAsia="宋体" w:cs="Times New Roman"/>
          <w:color w:val="auto"/>
          <w:szCs w:val="21"/>
          <w:highlight w:val="none"/>
        </w:rPr>
        <w:t>），获取信用报告（无违法违规证明版或核查版）并上传至投标文件中。</w:t>
      </w:r>
    </w:p>
    <w:p w14:paraId="2A951E1F">
      <w:pPr>
        <w:jc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br w:type="page"/>
      </w:r>
    </w:p>
    <w:p w14:paraId="48C551DA">
      <w:pPr>
        <w:spacing w:line="360" w:lineRule="exact"/>
        <w:ind w:firstLine="443" w:firstLineChars="147"/>
        <w:outlineLvl w:val="3"/>
        <w:rPr>
          <w:rFonts w:hint="default" w:ascii="宋体" w:hAnsi="Times New Roman" w:eastAsia="宋体" w:cs="Times New Roman"/>
          <w:b/>
          <w:color w:val="auto"/>
          <w:sz w:val="30"/>
          <w:szCs w:val="30"/>
          <w:highlight w:val="none"/>
          <w:lang w:val="en-US" w:eastAsia="zh-CN"/>
        </w:rPr>
      </w:pPr>
      <w:r>
        <w:rPr>
          <w:rFonts w:hint="eastAsia" w:ascii="宋体" w:hAnsi="Times New Roman" w:eastAsia="宋体" w:cs="Times New Roman"/>
          <w:b/>
          <w:color w:val="auto"/>
          <w:sz w:val="30"/>
          <w:szCs w:val="30"/>
          <w:highlight w:val="none"/>
          <w:lang w:val="en-US" w:eastAsia="zh-CN"/>
        </w:rPr>
        <w:t>附件3：</w:t>
      </w:r>
    </w:p>
    <w:p w14:paraId="5ACF74D6">
      <w:pPr>
        <w:jc w:val="center"/>
        <w:rPr>
          <w:rFonts w:hint="eastAsia" w:ascii="Times New Roman" w:hAnsi="Times New Roman" w:eastAsia="宋体" w:cs="Times New Roman"/>
          <w:b/>
          <w:color w:val="auto"/>
          <w:sz w:val="28"/>
          <w:szCs w:val="28"/>
          <w:highlight w:val="none"/>
        </w:rPr>
      </w:pPr>
      <w:r>
        <w:rPr>
          <w:rFonts w:hint="eastAsia" w:ascii="Times New Roman" w:hAnsi="Times New Roman" w:eastAsia="宋体" w:cs="Times New Roman"/>
          <w:b/>
          <w:color w:val="auto"/>
          <w:sz w:val="28"/>
          <w:szCs w:val="28"/>
          <w:highlight w:val="none"/>
          <w:lang w:val="en-US" w:eastAsia="zh-CN"/>
        </w:rPr>
        <w:t>（3）</w:t>
      </w:r>
      <w:r>
        <w:rPr>
          <w:rFonts w:hint="eastAsia" w:ascii="Times New Roman" w:hAnsi="Times New Roman" w:eastAsia="宋体" w:cs="Times New Roman"/>
          <w:b/>
          <w:color w:val="auto"/>
          <w:sz w:val="28"/>
          <w:szCs w:val="28"/>
          <w:highlight w:val="none"/>
        </w:rPr>
        <w:t>服务承诺书</w:t>
      </w:r>
    </w:p>
    <w:p w14:paraId="25DDD308">
      <w:pPr>
        <w:ind w:firstLine="480" w:firstLineChars="200"/>
        <w:rPr>
          <w:rFonts w:hint="eastAsia" w:ascii="宋体"/>
          <w:color w:val="auto"/>
          <w:sz w:val="24"/>
          <w:highlight w:val="none"/>
        </w:rPr>
      </w:pPr>
    </w:p>
    <w:p w14:paraId="769E26A0">
      <w:pPr>
        <w:spacing w:line="500" w:lineRule="exact"/>
        <w:ind w:firstLine="480" w:firstLineChars="200"/>
        <w:rPr>
          <w:rFonts w:hint="eastAsia" w:ascii="宋体"/>
          <w:b/>
          <w:color w:val="auto"/>
          <w:sz w:val="24"/>
          <w:highlight w:val="none"/>
        </w:rPr>
      </w:pPr>
      <w:r>
        <w:rPr>
          <w:rFonts w:hint="eastAsia" w:ascii="宋体"/>
          <w:color w:val="auto"/>
          <w:sz w:val="24"/>
          <w:highlight w:val="none"/>
        </w:rPr>
        <w:t>致：</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招标人</w:t>
      </w:r>
      <w:r>
        <w:rPr>
          <w:rFonts w:hint="eastAsia" w:ascii="宋体"/>
          <w:color w:val="auto"/>
          <w:sz w:val="24"/>
          <w:highlight w:val="none"/>
          <w:u w:val="single"/>
        </w:rPr>
        <w:t>）</w:t>
      </w:r>
      <w:r>
        <w:rPr>
          <w:rFonts w:hint="eastAsia" w:ascii="宋体"/>
          <w:color w:val="auto"/>
          <w:sz w:val="24"/>
          <w:highlight w:val="none"/>
        </w:rPr>
        <w:t>：</w:t>
      </w:r>
    </w:p>
    <w:p w14:paraId="7AC3E61D">
      <w:pPr>
        <w:spacing w:line="500" w:lineRule="exact"/>
        <w:ind w:firstLine="480" w:firstLineChars="200"/>
        <w:rPr>
          <w:rFonts w:hint="eastAsia" w:ascii="宋体"/>
          <w:color w:val="auto"/>
          <w:sz w:val="24"/>
          <w:highlight w:val="none"/>
        </w:rPr>
      </w:pPr>
      <w:r>
        <w:rPr>
          <w:rFonts w:hint="eastAsia" w:ascii="宋体"/>
          <w:color w:val="auto"/>
          <w:sz w:val="24"/>
          <w:highlight w:val="none"/>
        </w:rPr>
        <w:t>说明：本单位承诺对本招标文件的相关要求完全响应，配备人员不低于采购需求的要求。</w:t>
      </w:r>
      <w:r>
        <w:rPr>
          <w:rFonts w:hint="eastAsia" w:ascii="宋体" w:hAnsi="宋体"/>
          <w:color w:val="auto"/>
          <w:sz w:val="24"/>
          <w:highlight w:val="none"/>
        </w:rPr>
        <w:t>若有幸成为中标人将严格按照以上承诺进行服务。</w:t>
      </w:r>
    </w:p>
    <w:p w14:paraId="3EF21FB2">
      <w:pPr>
        <w:spacing w:line="500" w:lineRule="exact"/>
        <w:ind w:firstLine="480" w:firstLineChars="200"/>
        <w:rPr>
          <w:rFonts w:hint="eastAsia" w:ascii="宋体"/>
          <w:color w:val="auto"/>
          <w:sz w:val="24"/>
          <w:highlight w:val="none"/>
        </w:rPr>
      </w:pPr>
      <w:r>
        <w:rPr>
          <w:rFonts w:hint="eastAsia" w:ascii="宋体"/>
          <w:color w:val="auto"/>
          <w:sz w:val="24"/>
          <w:highlight w:val="none"/>
        </w:rPr>
        <w:t>特此声明。</w:t>
      </w:r>
    </w:p>
    <w:p w14:paraId="0AF07A8A">
      <w:pPr>
        <w:spacing w:line="500" w:lineRule="exact"/>
        <w:ind w:firstLine="480" w:firstLineChars="200"/>
        <w:rPr>
          <w:rFonts w:hint="eastAsia" w:ascii="宋体"/>
          <w:color w:val="auto"/>
          <w:sz w:val="24"/>
          <w:highlight w:val="none"/>
        </w:rPr>
      </w:pPr>
    </w:p>
    <w:p w14:paraId="799C03BE">
      <w:pPr>
        <w:spacing w:line="480" w:lineRule="auto"/>
        <w:ind w:firstLine="480" w:firstLineChars="200"/>
        <w:jc w:val="right"/>
        <w:rPr>
          <w:rFonts w:hint="eastAsia" w:ascii="宋体" w:hAnsi="宋体"/>
          <w:color w:val="auto"/>
          <w:sz w:val="24"/>
          <w:highlight w:val="none"/>
        </w:rPr>
      </w:pPr>
    </w:p>
    <w:p w14:paraId="5A815FC5">
      <w:pPr>
        <w:spacing w:line="480" w:lineRule="auto"/>
        <w:jc w:val="center"/>
        <w:rPr>
          <w:rFonts w:hint="eastAsia" w:ascii="宋体" w:hAnsi="宋体"/>
          <w:color w:val="auto"/>
          <w:sz w:val="24"/>
          <w:highlight w:val="none"/>
        </w:rPr>
      </w:pPr>
      <w:r>
        <w:rPr>
          <w:rFonts w:hint="eastAsia" w:ascii="宋体" w:hAnsi="宋体"/>
          <w:color w:val="auto"/>
          <w:sz w:val="24"/>
          <w:highlight w:val="none"/>
        </w:rPr>
        <w:t xml:space="preserve">      投标人：</w:t>
      </w:r>
    </w:p>
    <w:p w14:paraId="7472F17F">
      <w:pPr>
        <w:spacing w:line="480" w:lineRule="auto"/>
        <w:jc w:val="right"/>
        <w:rPr>
          <w:b/>
          <w:color w:val="auto"/>
          <w:sz w:val="36"/>
          <w:highlight w:val="none"/>
        </w:rPr>
      </w:pPr>
      <w:r>
        <w:rPr>
          <w:rFonts w:hint="eastAsia" w:ascii="宋体" w:hAnsi="宋体"/>
          <w:color w:val="auto"/>
          <w:sz w:val="24"/>
          <w:highlight w:val="none"/>
        </w:rPr>
        <w:t>日    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06DA1E0B">
      <w:pPr>
        <w:adjustRightInd w:val="0"/>
        <w:snapToGrid w:val="0"/>
        <w:spacing w:line="560" w:lineRule="exact"/>
        <w:ind w:firstLine="420" w:firstLineChars="200"/>
        <w:rPr>
          <w:rFonts w:hint="eastAsia" w:ascii="宋体" w:hAnsi="宋体" w:eastAsia="宋体" w:cs="Times New Roman"/>
          <w:color w:val="auto"/>
          <w:szCs w:val="21"/>
          <w:highlight w:val="none"/>
          <w:lang w:val="en-US" w:eastAsia="zh-CN"/>
        </w:rPr>
      </w:pPr>
    </w:p>
    <w:p w14:paraId="268A6254">
      <w:pPr>
        <w:rPr>
          <w:rFonts w:hint="eastAsia" w:ascii="宋体" w:hAnsi="宋体"/>
          <w:b/>
          <w:color w:val="auto"/>
          <w:sz w:val="28"/>
          <w:szCs w:val="28"/>
          <w:highlight w:val="none"/>
        </w:rPr>
      </w:pPr>
      <w:r>
        <w:rPr>
          <w:rFonts w:hint="eastAsia" w:ascii="宋体" w:hAnsi="宋体"/>
          <w:b/>
          <w:color w:val="auto"/>
          <w:sz w:val="28"/>
          <w:szCs w:val="28"/>
          <w:highlight w:val="none"/>
        </w:rPr>
        <w:br w:type="page"/>
      </w:r>
    </w:p>
    <w:p w14:paraId="2D6091B2">
      <w:pPr>
        <w:wordWrap w:val="0"/>
        <w:spacing w:before="100" w:beforeAutospacing="1" w:after="100" w:afterAutospacing="1"/>
        <w:jc w:val="center"/>
        <w:outlineLvl w:val="1"/>
        <w:rPr>
          <w:rFonts w:hint="eastAsia" w:ascii="宋体" w:hAnsi="宋体"/>
          <w:b/>
          <w:color w:val="auto"/>
          <w:sz w:val="28"/>
          <w:szCs w:val="28"/>
          <w:highlight w:val="none"/>
          <w:bdr w:val="single" w:color="auto" w:sz="4" w:space="0"/>
        </w:rPr>
      </w:pPr>
      <w:r>
        <w:rPr>
          <w:rFonts w:hint="eastAsia" w:ascii="宋体" w:hAnsi="宋体"/>
          <w:b/>
          <w:color w:val="auto"/>
          <w:sz w:val="28"/>
          <w:szCs w:val="28"/>
          <w:highlight w:val="none"/>
        </w:rPr>
        <w:t>二、技术标格式文件</w:t>
      </w:r>
    </w:p>
    <w:p w14:paraId="5222B23A">
      <w:pPr>
        <w:jc w:val="center"/>
        <w:rPr>
          <w:rFonts w:hint="eastAsia" w:ascii="宋体"/>
          <w:b/>
          <w:color w:val="auto"/>
          <w:sz w:val="44"/>
          <w:szCs w:val="44"/>
          <w:highlight w:val="none"/>
        </w:rPr>
      </w:pPr>
      <w:bookmarkStart w:id="117" w:name="_Toc387149626"/>
      <w:bookmarkStart w:id="118" w:name="_Toc449028953"/>
    </w:p>
    <w:p w14:paraId="44A2C3F5">
      <w:pPr>
        <w:jc w:val="center"/>
        <w:rPr>
          <w:rFonts w:hint="eastAsia" w:ascii="宋体"/>
          <w:b/>
          <w:color w:val="auto"/>
          <w:sz w:val="44"/>
          <w:szCs w:val="44"/>
          <w:highlight w:val="none"/>
        </w:rPr>
      </w:pPr>
      <w:r>
        <w:rPr>
          <w:rFonts w:hint="eastAsia" w:ascii="宋体"/>
          <w:b/>
          <w:color w:val="auto"/>
          <w:sz w:val="44"/>
          <w:szCs w:val="44"/>
          <w:highlight w:val="none"/>
        </w:rPr>
        <w:t>技术标</w:t>
      </w:r>
      <w:bookmarkEnd w:id="117"/>
      <w:bookmarkEnd w:id="118"/>
    </w:p>
    <w:p w14:paraId="4F352A56">
      <w:pPr>
        <w:jc w:val="center"/>
        <w:rPr>
          <w:rFonts w:hint="eastAsia" w:ascii="宋体"/>
          <w:color w:val="auto"/>
          <w:sz w:val="32"/>
          <w:szCs w:val="32"/>
          <w:highlight w:val="none"/>
        </w:rPr>
      </w:pPr>
      <w:r>
        <w:rPr>
          <w:rFonts w:hint="eastAsia" w:ascii="宋体"/>
          <w:color w:val="auto"/>
          <w:sz w:val="32"/>
          <w:szCs w:val="32"/>
          <w:highlight w:val="none"/>
        </w:rPr>
        <w:t>（投标文件二）</w:t>
      </w:r>
    </w:p>
    <w:p w14:paraId="55D09B65">
      <w:pPr>
        <w:jc w:val="center"/>
        <w:rPr>
          <w:rFonts w:hint="eastAsia" w:eastAsia="黑体"/>
          <w:color w:val="auto"/>
          <w:sz w:val="44"/>
          <w:szCs w:val="44"/>
          <w:highlight w:val="none"/>
        </w:rPr>
      </w:pPr>
    </w:p>
    <w:p w14:paraId="3D8AFA70">
      <w:pPr>
        <w:jc w:val="center"/>
        <w:rPr>
          <w:rFonts w:hint="eastAsia"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p>
    <w:p w14:paraId="2B1551F2">
      <w:pPr>
        <w:jc w:val="center"/>
        <w:rPr>
          <w:rFonts w:hint="eastAsia" w:ascii="宋体"/>
          <w:color w:val="auto"/>
          <w:sz w:val="28"/>
          <w:szCs w:val="28"/>
          <w:highlight w:val="none"/>
          <w:u w:val="single"/>
        </w:rPr>
      </w:pPr>
      <w:r>
        <w:rPr>
          <w:rFonts w:hint="eastAsia" w:ascii="宋体"/>
          <w:color w:val="auto"/>
          <w:sz w:val="28"/>
          <w:szCs w:val="28"/>
          <w:highlight w:val="none"/>
        </w:rPr>
        <w:t>项目编号</w:t>
      </w:r>
      <w:r>
        <w:rPr>
          <w:rFonts w:hint="eastAsia" w:ascii="宋体"/>
          <w:color w:val="auto"/>
          <w:sz w:val="28"/>
          <w:szCs w:val="28"/>
          <w:highlight w:val="none"/>
          <w:lang w:eastAsia="zh-CN"/>
        </w:rPr>
        <w:t>：</w:t>
      </w:r>
      <w:r>
        <w:rPr>
          <w:rFonts w:hint="eastAsia" w:ascii="宋体"/>
          <w:color w:val="auto"/>
          <w:sz w:val="28"/>
          <w:szCs w:val="28"/>
          <w:highlight w:val="none"/>
          <w:u w:val="single"/>
        </w:rPr>
        <w:t xml:space="preserve">      </w:t>
      </w:r>
    </w:p>
    <w:p w14:paraId="4EAC96E0">
      <w:pPr>
        <w:jc w:val="center"/>
        <w:rPr>
          <w:rFonts w:hint="eastAsia" w:ascii="宋体"/>
          <w:color w:val="auto"/>
          <w:sz w:val="28"/>
          <w:szCs w:val="28"/>
          <w:highlight w:val="none"/>
          <w:u w:val="single"/>
        </w:rPr>
      </w:pPr>
    </w:p>
    <w:p w14:paraId="4337AAF9">
      <w:pPr>
        <w:jc w:val="center"/>
        <w:rPr>
          <w:rFonts w:hint="eastAsia" w:ascii="宋体"/>
          <w:color w:val="auto"/>
          <w:sz w:val="28"/>
          <w:szCs w:val="28"/>
          <w:highlight w:val="none"/>
          <w:u w:val="single"/>
        </w:rPr>
      </w:pPr>
    </w:p>
    <w:p w14:paraId="4FFD799D">
      <w:pPr>
        <w:jc w:val="center"/>
        <w:rPr>
          <w:rFonts w:hint="eastAsia" w:ascii="宋体"/>
          <w:color w:val="auto"/>
          <w:sz w:val="28"/>
          <w:szCs w:val="28"/>
          <w:highlight w:val="none"/>
          <w:u w:val="single"/>
        </w:rPr>
      </w:pPr>
    </w:p>
    <w:p w14:paraId="3C008708">
      <w:pPr>
        <w:jc w:val="center"/>
        <w:rPr>
          <w:rFonts w:hint="eastAsia" w:ascii="宋体"/>
          <w:color w:val="auto"/>
          <w:sz w:val="28"/>
          <w:szCs w:val="28"/>
          <w:highlight w:val="none"/>
          <w:u w:val="single"/>
        </w:rPr>
      </w:pPr>
    </w:p>
    <w:p w14:paraId="70921C16">
      <w:pPr>
        <w:jc w:val="center"/>
        <w:rPr>
          <w:rFonts w:hint="eastAsia" w:ascii="宋体"/>
          <w:color w:val="auto"/>
          <w:sz w:val="28"/>
          <w:szCs w:val="28"/>
          <w:highlight w:val="none"/>
          <w:u w:val="single"/>
        </w:rPr>
      </w:pPr>
    </w:p>
    <w:p w14:paraId="2D2B44EC">
      <w:pPr>
        <w:jc w:val="center"/>
        <w:rPr>
          <w:rFonts w:hint="eastAsia" w:ascii="宋体"/>
          <w:color w:val="auto"/>
          <w:sz w:val="28"/>
          <w:szCs w:val="28"/>
          <w:highlight w:val="none"/>
          <w:u w:val="single"/>
        </w:rPr>
      </w:pPr>
    </w:p>
    <w:p w14:paraId="2B6F44B8">
      <w:pPr>
        <w:jc w:val="both"/>
        <w:rPr>
          <w:rFonts w:hint="eastAsia" w:ascii="宋体"/>
          <w:color w:val="auto"/>
          <w:sz w:val="28"/>
          <w:szCs w:val="28"/>
          <w:highlight w:val="none"/>
          <w:u w:val="single"/>
        </w:rPr>
      </w:pPr>
    </w:p>
    <w:p w14:paraId="12029229">
      <w:pPr>
        <w:jc w:val="center"/>
        <w:rPr>
          <w:rFonts w:hint="eastAsia" w:ascii="宋体"/>
          <w:color w:val="auto"/>
          <w:sz w:val="28"/>
          <w:szCs w:val="28"/>
          <w:highlight w:val="none"/>
          <w:u w:val="single"/>
        </w:rPr>
      </w:pPr>
    </w:p>
    <w:p w14:paraId="60BCA300">
      <w:pPr>
        <w:jc w:val="center"/>
        <w:rPr>
          <w:rFonts w:hint="eastAsia" w:ascii="宋体"/>
          <w:color w:val="auto"/>
          <w:sz w:val="28"/>
          <w:szCs w:val="28"/>
          <w:highlight w:val="none"/>
          <w:u w:val="single"/>
        </w:rPr>
      </w:pPr>
    </w:p>
    <w:p w14:paraId="370EABF6">
      <w:pPr>
        <w:jc w:val="center"/>
        <w:rPr>
          <w:rFonts w:hint="eastAsia" w:ascii="宋体"/>
          <w:color w:val="auto"/>
          <w:sz w:val="28"/>
          <w:szCs w:val="28"/>
          <w:highlight w:val="none"/>
          <w:u w:val="single"/>
        </w:rPr>
      </w:pPr>
    </w:p>
    <w:p w14:paraId="7F9658FA">
      <w:pPr>
        <w:jc w:val="center"/>
        <w:rPr>
          <w:rFonts w:hint="eastAsia" w:ascii="宋体"/>
          <w:color w:val="auto"/>
          <w:sz w:val="28"/>
          <w:szCs w:val="28"/>
          <w:highlight w:val="none"/>
          <w:u w:val="single"/>
        </w:rPr>
      </w:pPr>
    </w:p>
    <w:p w14:paraId="7F583A26">
      <w:pPr>
        <w:jc w:val="center"/>
        <w:rPr>
          <w:rFonts w:hint="eastAsia" w:ascii="宋体"/>
          <w:color w:val="auto"/>
          <w:sz w:val="28"/>
          <w:szCs w:val="28"/>
          <w:highlight w:val="none"/>
          <w:u w:val="single"/>
        </w:rPr>
      </w:pPr>
    </w:p>
    <w:p w14:paraId="21CC2BC0">
      <w:pPr>
        <w:jc w:val="center"/>
        <w:rPr>
          <w:rFonts w:hint="eastAsia" w:ascii="宋体"/>
          <w:color w:val="auto"/>
          <w:sz w:val="28"/>
          <w:szCs w:val="28"/>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56604619">
      <w:pPr>
        <w:pStyle w:val="2"/>
        <w:ind w:firstLine="560"/>
        <w:rPr>
          <w:rFonts w:hint="eastAsia" w:ascii="宋体"/>
          <w:color w:val="auto"/>
          <w:sz w:val="28"/>
          <w:szCs w:val="28"/>
          <w:highlight w:val="none"/>
        </w:rPr>
      </w:pPr>
    </w:p>
    <w:p w14:paraId="3CD989C2">
      <w:pPr>
        <w:rPr>
          <w:rFonts w:hint="eastAsia"/>
          <w:color w:val="auto"/>
          <w:highlight w:val="none"/>
        </w:rPr>
      </w:pPr>
    </w:p>
    <w:p w14:paraId="1B95989A">
      <w:pPr>
        <w:rPr>
          <w:rFonts w:hint="eastAsia" w:ascii="宋体"/>
          <w:color w:val="auto"/>
          <w:sz w:val="28"/>
          <w:szCs w:val="28"/>
          <w:highlight w:val="none"/>
        </w:rPr>
      </w:pPr>
    </w:p>
    <w:p w14:paraId="3D29B921">
      <w:pPr>
        <w:pStyle w:val="2"/>
        <w:ind w:firstLine="400"/>
        <w:rPr>
          <w:rFonts w:hint="eastAsia"/>
          <w:color w:val="auto"/>
          <w:highlight w:val="none"/>
        </w:rPr>
      </w:pPr>
    </w:p>
    <w:p w14:paraId="235F37AD">
      <w:pPr>
        <w:spacing w:line="400" w:lineRule="exact"/>
        <w:jc w:val="both"/>
        <w:rPr>
          <w:rFonts w:hint="eastAsia"/>
          <w:b/>
          <w:color w:val="auto"/>
          <w:sz w:val="36"/>
          <w:szCs w:val="36"/>
          <w:highlight w:val="none"/>
        </w:rPr>
      </w:pPr>
    </w:p>
    <w:p w14:paraId="59910E82">
      <w:pPr>
        <w:jc w:val="center"/>
        <w:rPr>
          <w:rFonts w:hint="eastAsia" w:ascii="Times New Roman" w:hAnsi="Times New Roman" w:cs="Times New Roman"/>
          <w:b/>
          <w:color w:val="auto"/>
          <w:sz w:val="36"/>
          <w:szCs w:val="36"/>
          <w:highlight w:val="none"/>
        </w:rPr>
      </w:pPr>
      <w:r>
        <w:rPr>
          <w:rFonts w:hint="eastAsia" w:ascii="Times New Roman" w:hAnsi="Times New Roman" w:cs="Times New Roman"/>
          <w:b/>
          <w:color w:val="auto"/>
          <w:sz w:val="36"/>
          <w:szCs w:val="36"/>
          <w:highlight w:val="none"/>
        </w:rPr>
        <w:t>目   录</w:t>
      </w:r>
    </w:p>
    <w:p w14:paraId="5FA89961">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（1）重大活动保障方案；</w:t>
      </w:r>
    </w:p>
    <w:p w14:paraId="4CFD3020">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kern w:val="2"/>
          <w:sz w:val="21"/>
          <w:szCs w:val="24"/>
          <w:highlight w:val="none"/>
          <w:lang w:val="en-US" w:eastAsia="zh-CN" w:bidi="ar-SA"/>
        </w:rPr>
        <w:t>进退场交接方案；</w:t>
      </w:r>
    </w:p>
    <w:p w14:paraId="4D30C438">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kern w:val="2"/>
          <w:sz w:val="21"/>
          <w:szCs w:val="24"/>
          <w:highlight w:val="none"/>
          <w:lang w:val="en-US" w:eastAsia="zh-CN" w:bidi="ar-SA"/>
        </w:rPr>
        <w:t>日常秩序维</w:t>
      </w:r>
      <w:r>
        <w:rPr>
          <w:rFonts w:hint="eastAsia" w:ascii="宋体" w:hAnsi="宋体" w:eastAsia="宋体" w:cs="宋体"/>
          <w:color w:val="auto"/>
          <w:szCs w:val="21"/>
          <w:highlight w:val="none"/>
          <w:lang w:val="en-US" w:eastAsia="zh-CN"/>
        </w:rPr>
        <w:t>护方案；</w:t>
      </w:r>
    </w:p>
    <w:p w14:paraId="63DB882D">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（4）日常保洁服务方案；</w:t>
      </w:r>
    </w:p>
    <w:p w14:paraId="11BDCD17">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（5）内部管理制度；</w:t>
      </w:r>
    </w:p>
    <w:p w14:paraId="7181DF24">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（6）人员培训与管理；</w:t>
      </w:r>
    </w:p>
    <w:p w14:paraId="369792A1">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（7）应急突发事件的处理；</w:t>
      </w:r>
    </w:p>
    <w:p w14:paraId="28DAB9A4">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（8）消防设施维护；</w:t>
      </w:r>
    </w:p>
    <w:p w14:paraId="661B9DCD">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b/>
          <w:color w:val="auto"/>
          <w:sz w:val="28"/>
          <w:szCs w:val="28"/>
          <w:highlight w:val="none"/>
        </w:rPr>
      </w:pPr>
      <w:r>
        <w:rPr>
          <w:rFonts w:hint="eastAsia" w:ascii="宋体" w:hAnsi="宋体" w:cs="宋体"/>
          <w:b/>
          <w:bCs/>
          <w:color w:val="auto"/>
          <w:sz w:val="24"/>
          <w:szCs w:val="24"/>
          <w:highlight w:val="none"/>
          <w:lang w:val="en-US" w:eastAsia="zh-CN"/>
        </w:rPr>
        <w:t>注：</w:t>
      </w:r>
      <w:r>
        <w:rPr>
          <w:rFonts w:hint="eastAsia" w:ascii="宋体" w:hAnsi="宋体" w:eastAsia="宋体" w:cs="宋体"/>
          <w:b/>
          <w:bCs/>
          <w:color w:val="auto"/>
          <w:sz w:val="24"/>
          <w:szCs w:val="24"/>
          <w:highlight w:val="none"/>
          <w:lang w:val="en-US" w:eastAsia="zh-CN"/>
        </w:rPr>
        <w:t>本项目采用横向暗标评审，请投标人结合技术标评审细则和系统内容在对应模块上传技术标评审内容。</w:t>
      </w:r>
      <w:r>
        <w:rPr>
          <w:rFonts w:hint="eastAsia" w:ascii="宋体" w:hAnsi="宋体"/>
          <w:b/>
          <w:color w:val="auto"/>
          <w:sz w:val="28"/>
          <w:szCs w:val="28"/>
          <w:highlight w:val="none"/>
        </w:rPr>
        <w:br w:type="page"/>
      </w:r>
    </w:p>
    <w:p w14:paraId="07CE96CE">
      <w:pPr>
        <w:jc w:val="center"/>
        <w:outlineLvl w:val="1"/>
        <w:rPr>
          <w:rFonts w:hint="eastAsia" w:ascii="宋体"/>
          <w:color w:val="auto"/>
          <w:sz w:val="24"/>
          <w:highlight w:val="none"/>
        </w:rPr>
      </w:pPr>
      <w:r>
        <w:rPr>
          <w:rFonts w:hint="eastAsia" w:ascii="宋体" w:hAnsi="宋体"/>
          <w:b/>
          <w:color w:val="auto"/>
          <w:sz w:val="28"/>
          <w:szCs w:val="28"/>
          <w:highlight w:val="none"/>
        </w:rPr>
        <w:t>三、商务标格式文件</w:t>
      </w:r>
    </w:p>
    <w:p w14:paraId="06CB3F24">
      <w:pPr>
        <w:jc w:val="center"/>
        <w:rPr>
          <w:rFonts w:hint="eastAsia" w:eastAsia="黑体"/>
          <w:color w:val="auto"/>
          <w:sz w:val="20"/>
          <w:highlight w:val="none"/>
        </w:rPr>
      </w:pPr>
    </w:p>
    <w:p w14:paraId="12C6F3F4">
      <w:pPr>
        <w:rPr>
          <w:rFonts w:hint="eastAsia" w:ascii="宋体"/>
          <w:color w:val="auto"/>
          <w:sz w:val="20"/>
          <w:highlight w:val="none"/>
        </w:rPr>
      </w:pPr>
    </w:p>
    <w:p w14:paraId="031261A8">
      <w:pPr>
        <w:pStyle w:val="2"/>
        <w:ind w:firstLine="400"/>
        <w:rPr>
          <w:rFonts w:hint="eastAsia"/>
          <w:color w:val="auto"/>
          <w:highlight w:val="none"/>
        </w:rPr>
      </w:pPr>
    </w:p>
    <w:p w14:paraId="05086BFA">
      <w:pPr>
        <w:jc w:val="center"/>
        <w:rPr>
          <w:rFonts w:hint="eastAsia" w:ascii="宋体"/>
          <w:b/>
          <w:color w:val="auto"/>
          <w:sz w:val="44"/>
          <w:szCs w:val="44"/>
          <w:highlight w:val="none"/>
        </w:rPr>
      </w:pPr>
      <w:bookmarkStart w:id="119" w:name="_Toc449028954"/>
      <w:r>
        <w:rPr>
          <w:rFonts w:hint="eastAsia" w:ascii="宋体"/>
          <w:b/>
          <w:color w:val="auto"/>
          <w:sz w:val="44"/>
          <w:szCs w:val="44"/>
          <w:highlight w:val="none"/>
        </w:rPr>
        <w:t>商务标</w:t>
      </w:r>
      <w:bookmarkEnd w:id="119"/>
    </w:p>
    <w:p w14:paraId="550CA294">
      <w:pPr>
        <w:jc w:val="center"/>
        <w:rPr>
          <w:rFonts w:hint="eastAsia" w:ascii="宋体"/>
          <w:color w:val="auto"/>
          <w:sz w:val="36"/>
          <w:szCs w:val="36"/>
          <w:highlight w:val="none"/>
        </w:rPr>
      </w:pPr>
      <w:r>
        <w:rPr>
          <w:rFonts w:hint="eastAsia" w:ascii="宋体"/>
          <w:color w:val="auto"/>
          <w:sz w:val="44"/>
          <w:szCs w:val="44"/>
          <w:highlight w:val="none"/>
        </w:rPr>
        <w:t>（</w:t>
      </w:r>
      <w:r>
        <w:rPr>
          <w:rFonts w:hint="eastAsia" w:ascii="宋体"/>
          <w:color w:val="auto"/>
          <w:sz w:val="36"/>
          <w:szCs w:val="36"/>
          <w:highlight w:val="none"/>
        </w:rPr>
        <w:t>投标文件三）</w:t>
      </w:r>
    </w:p>
    <w:p w14:paraId="2D28631A">
      <w:pPr>
        <w:jc w:val="center"/>
        <w:rPr>
          <w:rFonts w:hint="eastAsia" w:ascii="宋体"/>
          <w:color w:val="auto"/>
          <w:sz w:val="36"/>
          <w:szCs w:val="36"/>
          <w:highlight w:val="none"/>
        </w:rPr>
      </w:pPr>
    </w:p>
    <w:p w14:paraId="66E2D6CD">
      <w:pPr>
        <w:jc w:val="center"/>
        <w:outlineLvl w:val="2"/>
        <w:rPr>
          <w:rFonts w:hint="eastAsia"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p>
    <w:p w14:paraId="29C1ADE9">
      <w:pPr>
        <w:jc w:val="center"/>
        <w:rPr>
          <w:rFonts w:hint="eastAsia" w:ascii="宋体"/>
          <w:color w:val="auto"/>
          <w:sz w:val="44"/>
          <w:szCs w:val="44"/>
          <w:highlight w:val="none"/>
        </w:rPr>
      </w:pPr>
      <w:r>
        <w:rPr>
          <w:rFonts w:hint="eastAsia" w:ascii="宋体"/>
          <w:color w:val="auto"/>
          <w:sz w:val="28"/>
          <w:szCs w:val="28"/>
          <w:highlight w:val="none"/>
        </w:rPr>
        <w:t>项目编号</w:t>
      </w:r>
      <w:r>
        <w:rPr>
          <w:rFonts w:hint="eastAsia" w:ascii="宋体"/>
          <w:color w:val="auto"/>
          <w:sz w:val="28"/>
          <w:szCs w:val="28"/>
          <w:highlight w:val="none"/>
          <w:u w:val="single"/>
        </w:rPr>
        <w:t xml:space="preserve">  </w:t>
      </w:r>
    </w:p>
    <w:p w14:paraId="2D33026E">
      <w:pPr>
        <w:rPr>
          <w:rFonts w:hint="eastAsia" w:ascii="宋体"/>
          <w:color w:val="auto"/>
          <w:sz w:val="28"/>
          <w:szCs w:val="28"/>
          <w:highlight w:val="none"/>
        </w:rPr>
      </w:pPr>
    </w:p>
    <w:p w14:paraId="2DA01A1C">
      <w:pPr>
        <w:rPr>
          <w:rFonts w:hint="eastAsia" w:ascii="宋体"/>
          <w:color w:val="auto"/>
          <w:sz w:val="28"/>
          <w:szCs w:val="28"/>
          <w:highlight w:val="none"/>
        </w:rPr>
      </w:pPr>
    </w:p>
    <w:p w14:paraId="53A81B0C">
      <w:pPr>
        <w:rPr>
          <w:rFonts w:hint="eastAsia" w:ascii="宋体"/>
          <w:color w:val="auto"/>
          <w:sz w:val="28"/>
          <w:szCs w:val="28"/>
          <w:highlight w:val="none"/>
        </w:rPr>
      </w:pPr>
    </w:p>
    <w:p w14:paraId="6AEEB076">
      <w:pPr>
        <w:rPr>
          <w:rFonts w:hint="eastAsia" w:ascii="宋体"/>
          <w:color w:val="auto"/>
          <w:sz w:val="28"/>
          <w:szCs w:val="28"/>
          <w:highlight w:val="none"/>
        </w:rPr>
      </w:pPr>
    </w:p>
    <w:p w14:paraId="15F1CF36">
      <w:pPr>
        <w:rPr>
          <w:rFonts w:hint="eastAsia" w:ascii="宋体"/>
          <w:color w:val="auto"/>
          <w:sz w:val="28"/>
          <w:szCs w:val="28"/>
          <w:highlight w:val="none"/>
        </w:rPr>
      </w:pPr>
    </w:p>
    <w:p w14:paraId="523DA255">
      <w:pPr>
        <w:rPr>
          <w:rFonts w:hint="eastAsia" w:ascii="宋体"/>
          <w:color w:val="auto"/>
          <w:sz w:val="28"/>
          <w:szCs w:val="28"/>
          <w:highlight w:val="none"/>
        </w:rPr>
      </w:pPr>
    </w:p>
    <w:p w14:paraId="4D88DE8E">
      <w:pPr>
        <w:rPr>
          <w:rFonts w:hint="eastAsia" w:ascii="宋体"/>
          <w:color w:val="auto"/>
          <w:sz w:val="28"/>
          <w:szCs w:val="28"/>
          <w:highlight w:val="none"/>
        </w:rPr>
      </w:pPr>
    </w:p>
    <w:p w14:paraId="1572BB7D">
      <w:pPr>
        <w:jc w:val="center"/>
        <w:rPr>
          <w:rFonts w:hint="eastAsia" w:ascii="宋体"/>
          <w:color w:val="auto"/>
          <w:sz w:val="28"/>
          <w:szCs w:val="28"/>
          <w:highlight w:val="none"/>
          <w:u w:val="single"/>
        </w:rPr>
      </w:pPr>
      <w:r>
        <w:rPr>
          <w:rFonts w:hint="eastAsia" w:ascii="宋体"/>
          <w:color w:val="auto"/>
          <w:sz w:val="28"/>
          <w:szCs w:val="28"/>
          <w:highlight w:val="none"/>
        </w:rPr>
        <w:t>投标人：</w:t>
      </w:r>
      <w:r>
        <w:rPr>
          <w:rFonts w:hint="eastAsia" w:ascii="宋体"/>
          <w:color w:val="auto"/>
          <w:sz w:val="28"/>
          <w:szCs w:val="28"/>
          <w:highlight w:val="none"/>
          <w:u w:val="single"/>
        </w:rPr>
        <w:t xml:space="preserve">                              </w:t>
      </w:r>
      <w:r>
        <w:rPr>
          <w:rFonts w:hint="eastAsia" w:ascii="宋体"/>
          <w:color w:val="auto"/>
          <w:sz w:val="28"/>
          <w:szCs w:val="28"/>
          <w:highlight w:val="none"/>
        </w:rPr>
        <w:t>（盖单位章）</w:t>
      </w:r>
    </w:p>
    <w:p w14:paraId="117DA71D">
      <w:pPr>
        <w:ind w:firstLine="700" w:firstLineChars="250"/>
        <w:rPr>
          <w:rFonts w:hint="eastAsia" w:ascii="宋体"/>
          <w:color w:val="auto"/>
          <w:sz w:val="28"/>
          <w:szCs w:val="28"/>
          <w:highlight w:val="none"/>
        </w:rPr>
      </w:pPr>
      <w:r>
        <w:rPr>
          <w:rFonts w:hint="eastAsia" w:ascii="宋体"/>
          <w:color w:val="auto"/>
          <w:sz w:val="28"/>
          <w:szCs w:val="28"/>
          <w:highlight w:val="none"/>
        </w:rPr>
        <w:t>法定代表人：</w:t>
      </w:r>
      <w:r>
        <w:rPr>
          <w:rFonts w:hint="eastAsia" w:ascii="宋体"/>
          <w:color w:val="auto"/>
          <w:sz w:val="28"/>
          <w:szCs w:val="28"/>
          <w:highlight w:val="none"/>
          <w:u w:val="single"/>
        </w:rPr>
        <w:t xml:space="preserve">                             </w:t>
      </w:r>
      <w:r>
        <w:rPr>
          <w:rFonts w:hint="eastAsia" w:ascii="宋体"/>
          <w:color w:val="auto"/>
          <w:sz w:val="28"/>
          <w:szCs w:val="28"/>
          <w:highlight w:val="none"/>
        </w:rPr>
        <w:t>（签章）</w:t>
      </w:r>
    </w:p>
    <w:p w14:paraId="5B3F5240">
      <w:pPr>
        <w:jc w:val="center"/>
        <w:rPr>
          <w:rFonts w:hint="eastAsia" w:ascii="宋体"/>
          <w:color w:val="auto"/>
          <w:sz w:val="28"/>
          <w:szCs w:val="28"/>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773CAFAF">
      <w:pPr>
        <w:spacing w:line="720" w:lineRule="auto"/>
        <w:jc w:val="center"/>
        <w:rPr>
          <w:rFonts w:hint="eastAsia" w:ascii="宋体"/>
          <w:b/>
          <w:color w:val="auto"/>
          <w:sz w:val="36"/>
          <w:szCs w:val="36"/>
          <w:highlight w:val="none"/>
        </w:rPr>
      </w:pPr>
    </w:p>
    <w:p w14:paraId="3F729950">
      <w:pPr>
        <w:spacing w:line="400" w:lineRule="exact"/>
        <w:ind w:firstLine="562" w:firstLineChars="200"/>
        <w:rPr>
          <w:rFonts w:hint="eastAsia"/>
          <w:b/>
          <w:color w:val="auto"/>
          <w:sz w:val="28"/>
          <w:szCs w:val="28"/>
          <w:highlight w:val="none"/>
        </w:rPr>
      </w:pPr>
    </w:p>
    <w:p w14:paraId="237953FD">
      <w:pPr>
        <w:spacing w:line="400" w:lineRule="exact"/>
        <w:jc w:val="center"/>
        <w:rPr>
          <w:rFonts w:hint="eastAsia"/>
          <w:b/>
          <w:color w:val="auto"/>
          <w:sz w:val="36"/>
          <w:szCs w:val="36"/>
          <w:highlight w:val="none"/>
        </w:rPr>
      </w:pPr>
      <w:r>
        <w:rPr>
          <w:b/>
          <w:color w:val="auto"/>
          <w:sz w:val="36"/>
          <w:szCs w:val="36"/>
          <w:highlight w:val="none"/>
        </w:rPr>
        <w:br w:type="page"/>
      </w:r>
      <w:r>
        <w:rPr>
          <w:rFonts w:hint="eastAsia"/>
          <w:b/>
          <w:color w:val="auto"/>
          <w:sz w:val="36"/>
          <w:szCs w:val="36"/>
          <w:highlight w:val="none"/>
        </w:rPr>
        <w:t>目   录</w:t>
      </w:r>
    </w:p>
    <w:p w14:paraId="4FAB169F">
      <w:pPr>
        <w:spacing w:line="400" w:lineRule="exact"/>
        <w:ind w:firstLine="4130" w:firstLineChars="935"/>
        <w:rPr>
          <w:rFonts w:hint="eastAsia"/>
          <w:b/>
          <w:color w:val="auto"/>
          <w:sz w:val="44"/>
          <w:szCs w:val="44"/>
          <w:highlight w:val="none"/>
        </w:rPr>
      </w:pPr>
    </w:p>
    <w:p w14:paraId="379B5FAA">
      <w:pPr>
        <w:spacing w:line="440" w:lineRule="exact"/>
        <w:ind w:left="420"/>
        <w:jc w:val="left"/>
        <w:rPr>
          <w:rFonts w:hint="eastAsia" w:ascii="宋体"/>
          <w:color w:val="auto"/>
          <w:szCs w:val="21"/>
          <w:highlight w:val="none"/>
        </w:rPr>
      </w:pPr>
      <w:r>
        <w:rPr>
          <w:rFonts w:hint="eastAsia" w:ascii="宋体"/>
          <w:color w:val="auto"/>
          <w:szCs w:val="21"/>
          <w:highlight w:val="none"/>
        </w:rPr>
        <w:t>（1）开标一览表（格式见附件）；</w:t>
      </w:r>
    </w:p>
    <w:p w14:paraId="24ED7E13">
      <w:pPr>
        <w:spacing w:line="440" w:lineRule="exact"/>
        <w:ind w:left="420"/>
        <w:jc w:val="left"/>
        <w:rPr>
          <w:rFonts w:hint="eastAsia" w:ascii="宋体"/>
          <w:color w:val="auto"/>
          <w:szCs w:val="21"/>
          <w:highlight w:val="none"/>
        </w:rPr>
      </w:pPr>
      <w:r>
        <w:rPr>
          <w:rFonts w:hint="eastAsia" w:ascii="宋体"/>
          <w:color w:val="auto"/>
          <w:szCs w:val="21"/>
          <w:highlight w:val="none"/>
        </w:rPr>
        <w:t>（2）投标函（格式见附件）；</w:t>
      </w:r>
    </w:p>
    <w:p w14:paraId="582FA220">
      <w:pPr>
        <w:spacing w:line="440" w:lineRule="exact"/>
        <w:ind w:firstLine="424" w:firstLineChars="202"/>
        <w:jc w:val="left"/>
        <w:rPr>
          <w:rFonts w:hint="default" w:ascii="宋体"/>
          <w:color w:val="auto"/>
          <w:szCs w:val="21"/>
          <w:highlight w:val="none"/>
          <w:lang w:val="en-US" w:eastAsia="zh-CN"/>
        </w:rPr>
      </w:pPr>
      <w:r>
        <w:rPr>
          <w:rFonts w:hint="eastAsia" w:ascii="宋体"/>
          <w:color w:val="auto"/>
          <w:szCs w:val="21"/>
          <w:highlight w:val="none"/>
          <w:lang w:eastAsia="zh-CN"/>
        </w:rPr>
        <w:t>（</w:t>
      </w:r>
      <w:r>
        <w:rPr>
          <w:rFonts w:hint="eastAsia" w:ascii="宋体"/>
          <w:color w:val="auto"/>
          <w:szCs w:val="21"/>
          <w:highlight w:val="none"/>
          <w:lang w:val="en-US" w:eastAsia="zh-CN"/>
        </w:rPr>
        <w:t>3）分项报价清单（格式见附件）；</w:t>
      </w:r>
    </w:p>
    <w:p w14:paraId="3F313CCB">
      <w:pPr>
        <w:spacing w:line="440" w:lineRule="exact"/>
        <w:ind w:firstLine="424" w:firstLineChars="202"/>
        <w:jc w:val="left"/>
        <w:rPr>
          <w:rFonts w:hint="eastAsia" w:ascii="宋体"/>
          <w:color w:val="auto"/>
          <w:szCs w:val="21"/>
          <w:highlight w:val="none"/>
        </w:rPr>
      </w:pPr>
      <w:r>
        <w:rPr>
          <w:rFonts w:hint="eastAsia" w:ascii="宋体"/>
          <w:color w:val="auto"/>
          <w:szCs w:val="21"/>
          <w:highlight w:val="none"/>
        </w:rPr>
        <w:t>（</w:t>
      </w:r>
      <w:r>
        <w:rPr>
          <w:rFonts w:hint="eastAsia" w:ascii="宋体"/>
          <w:color w:val="auto"/>
          <w:szCs w:val="21"/>
          <w:highlight w:val="none"/>
          <w:lang w:val="en-US" w:eastAsia="zh-CN"/>
        </w:rPr>
        <w:t>4</w:t>
      </w:r>
      <w:r>
        <w:rPr>
          <w:rFonts w:hint="eastAsia" w:ascii="宋体"/>
          <w:color w:val="auto"/>
          <w:szCs w:val="21"/>
          <w:highlight w:val="none"/>
        </w:rPr>
        <w:t>）投标人认为需要提供的其他材料。</w:t>
      </w:r>
    </w:p>
    <w:p w14:paraId="41D89D1A">
      <w:pPr>
        <w:jc w:val="center"/>
        <w:rPr>
          <w:rFonts w:hint="eastAsia" w:ascii="宋体"/>
          <w:b/>
          <w:color w:val="auto"/>
          <w:sz w:val="28"/>
          <w:szCs w:val="28"/>
          <w:highlight w:val="none"/>
        </w:rPr>
      </w:pPr>
    </w:p>
    <w:p w14:paraId="2F8359EA">
      <w:pPr>
        <w:snapToGrid w:val="0"/>
        <w:spacing w:line="460" w:lineRule="exact"/>
        <w:ind w:left="2940" w:leftChars="1400" w:firstLine="964" w:firstLineChars="300"/>
        <w:rPr>
          <w:rFonts w:hint="eastAsia" w:ascii="宋体"/>
          <w:b/>
          <w:color w:val="auto"/>
          <w:sz w:val="32"/>
          <w:szCs w:val="32"/>
          <w:highlight w:val="none"/>
        </w:rPr>
      </w:pPr>
    </w:p>
    <w:p w14:paraId="082BF226">
      <w:pPr>
        <w:snapToGrid w:val="0"/>
        <w:spacing w:line="460" w:lineRule="exact"/>
        <w:ind w:left="2940" w:leftChars="1400" w:firstLine="964" w:firstLineChars="300"/>
        <w:rPr>
          <w:rFonts w:hint="eastAsia" w:ascii="宋体"/>
          <w:b/>
          <w:color w:val="auto"/>
          <w:sz w:val="32"/>
          <w:szCs w:val="32"/>
          <w:highlight w:val="none"/>
        </w:rPr>
      </w:pPr>
    </w:p>
    <w:p w14:paraId="0C864022">
      <w:pPr>
        <w:snapToGrid w:val="0"/>
        <w:spacing w:line="460" w:lineRule="exact"/>
        <w:ind w:left="2940" w:leftChars="1400" w:firstLine="964" w:firstLineChars="300"/>
        <w:rPr>
          <w:rFonts w:hint="eastAsia" w:ascii="宋体"/>
          <w:b/>
          <w:color w:val="auto"/>
          <w:sz w:val="32"/>
          <w:szCs w:val="32"/>
          <w:highlight w:val="none"/>
        </w:rPr>
      </w:pPr>
    </w:p>
    <w:p w14:paraId="590CD22E">
      <w:pPr>
        <w:snapToGrid w:val="0"/>
        <w:spacing w:line="460" w:lineRule="exact"/>
        <w:ind w:left="2940" w:leftChars="1400" w:firstLine="964" w:firstLineChars="300"/>
        <w:rPr>
          <w:rFonts w:hint="eastAsia" w:ascii="宋体"/>
          <w:b/>
          <w:color w:val="auto"/>
          <w:sz w:val="32"/>
          <w:szCs w:val="32"/>
          <w:highlight w:val="none"/>
        </w:rPr>
      </w:pPr>
    </w:p>
    <w:p w14:paraId="5E701B79">
      <w:pPr>
        <w:snapToGrid w:val="0"/>
        <w:spacing w:line="460" w:lineRule="exact"/>
        <w:ind w:left="2940" w:leftChars="1400" w:firstLine="964" w:firstLineChars="300"/>
        <w:rPr>
          <w:rFonts w:hint="eastAsia" w:ascii="宋体"/>
          <w:b/>
          <w:color w:val="auto"/>
          <w:sz w:val="32"/>
          <w:szCs w:val="32"/>
          <w:highlight w:val="none"/>
        </w:rPr>
      </w:pPr>
    </w:p>
    <w:p w14:paraId="06CF5FAF">
      <w:pPr>
        <w:snapToGrid w:val="0"/>
        <w:spacing w:line="460" w:lineRule="exact"/>
        <w:ind w:left="2940" w:leftChars="1400" w:firstLine="964" w:firstLineChars="300"/>
        <w:rPr>
          <w:rFonts w:hint="eastAsia" w:ascii="宋体"/>
          <w:b/>
          <w:color w:val="auto"/>
          <w:sz w:val="32"/>
          <w:szCs w:val="32"/>
          <w:highlight w:val="none"/>
        </w:rPr>
      </w:pPr>
    </w:p>
    <w:p w14:paraId="2008F609">
      <w:pPr>
        <w:spacing w:line="360" w:lineRule="exact"/>
        <w:rPr>
          <w:rFonts w:hint="eastAsia" w:ascii="宋体" w:hAnsi="宋体"/>
          <w:b/>
          <w:color w:val="auto"/>
          <w:sz w:val="30"/>
          <w:szCs w:val="30"/>
          <w:highlight w:val="none"/>
        </w:rPr>
      </w:pPr>
      <w:r>
        <w:rPr>
          <w:rFonts w:ascii="宋体" w:hAnsi="宋体"/>
          <w:b/>
          <w:color w:val="auto"/>
          <w:sz w:val="30"/>
          <w:szCs w:val="30"/>
          <w:highlight w:val="none"/>
        </w:rPr>
        <w:br w:type="page"/>
      </w:r>
      <w:r>
        <w:rPr>
          <w:rFonts w:hint="eastAsia" w:ascii="宋体" w:hAnsi="宋体"/>
          <w:b/>
          <w:color w:val="auto"/>
          <w:sz w:val="30"/>
          <w:szCs w:val="30"/>
          <w:highlight w:val="none"/>
        </w:rPr>
        <w:t>附件1</w:t>
      </w:r>
    </w:p>
    <w:p w14:paraId="1F66BD67">
      <w:pPr>
        <w:spacing w:line="360" w:lineRule="exact"/>
        <w:ind w:firstLine="472" w:firstLineChars="147"/>
        <w:jc w:val="center"/>
        <w:rPr>
          <w:rFonts w:hint="eastAsia" w:ascii="宋体"/>
          <w:b/>
          <w:color w:val="auto"/>
          <w:sz w:val="32"/>
          <w:szCs w:val="32"/>
          <w:highlight w:val="none"/>
        </w:rPr>
      </w:pPr>
    </w:p>
    <w:p w14:paraId="2A85CAFC">
      <w:pPr>
        <w:spacing w:line="360" w:lineRule="exact"/>
        <w:ind w:firstLine="531" w:firstLineChars="147"/>
        <w:jc w:val="center"/>
        <w:rPr>
          <w:rFonts w:hint="eastAsia" w:ascii="宋体"/>
          <w:b/>
          <w:color w:val="auto"/>
          <w:sz w:val="36"/>
          <w:szCs w:val="36"/>
          <w:highlight w:val="none"/>
        </w:rPr>
      </w:pPr>
      <w:r>
        <w:rPr>
          <w:rFonts w:hint="eastAsia" w:ascii="宋体"/>
          <w:b/>
          <w:color w:val="auto"/>
          <w:sz w:val="36"/>
          <w:szCs w:val="36"/>
          <w:highlight w:val="none"/>
        </w:rPr>
        <w:t>开标一览表</w:t>
      </w:r>
    </w:p>
    <w:tbl>
      <w:tblPr>
        <w:tblStyle w:val="35"/>
        <w:tblW w:w="875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6952"/>
      </w:tblGrid>
      <w:tr w14:paraId="506DB7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50" w:hRule="exact"/>
        </w:trPr>
        <w:tc>
          <w:tcPr>
            <w:tcW w:w="1803" w:type="dxa"/>
            <w:tcBorders>
              <w:top w:val="single" w:color="auto" w:sz="12" w:space="0"/>
              <w:bottom w:val="single" w:color="auto" w:sz="12" w:space="0"/>
              <w:right w:val="single" w:color="auto" w:sz="12" w:space="0"/>
            </w:tcBorders>
            <w:noWrap w:val="0"/>
            <w:vAlign w:val="center"/>
          </w:tcPr>
          <w:p w14:paraId="442382FC">
            <w:pPr>
              <w:spacing w:line="700" w:lineRule="exact"/>
              <w:jc w:val="center"/>
              <w:rPr>
                <w:rFonts w:hint="eastAsia" w:ascii="宋体"/>
                <w:color w:val="auto"/>
                <w:sz w:val="24"/>
                <w:highlight w:val="none"/>
              </w:rPr>
            </w:pPr>
            <w:r>
              <w:rPr>
                <w:rFonts w:hint="eastAsia" w:ascii="宋体"/>
                <w:color w:val="auto"/>
                <w:sz w:val="24"/>
                <w:highlight w:val="none"/>
              </w:rPr>
              <w:t>项目名称</w:t>
            </w:r>
          </w:p>
        </w:tc>
        <w:tc>
          <w:tcPr>
            <w:tcW w:w="6952" w:type="dxa"/>
            <w:tcBorders>
              <w:top w:val="single" w:color="auto" w:sz="12" w:space="0"/>
              <w:left w:val="single" w:color="auto" w:sz="12" w:space="0"/>
              <w:bottom w:val="single" w:color="auto" w:sz="12" w:space="0"/>
            </w:tcBorders>
            <w:noWrap w:val="0"/>
            <w:vAlign w:val="center"/>
          </w:tcPr>
          <w:p w14:paraId="12F66EE0">
            <w:pPr>
              <w:spacing w:line="700" w:lineRule="exact"/>
              <w:jc w:val="left"/>
              <w:rPr>
                <w:rFonts w:hint="eastAsia"/>
                <w:color w:val="auto"/>
                <w:sz w:val="24"/>
                <w:highlight w:val="none"/>
              </w:rPr>
            </w:pPr>
            <w:r>
              <w:rPr>
                <w:rFonts w:hint="eastAsia"/>
                <w:color w:val="auto"/>
                <w:sz w:val="24"/>
                <w:highlight w:val="none"/>
              </w:rPr>
              <w:t xml:space="preserve">         </w:t>
            </w:r>
          </w:p>
        </w:tc>
      </w:tr>
      <w:tr w14:paraId="6A5C6E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22" w:hRule="exact"/>
        </w:trPr>
        <w:tc>
          <w:tcPr>
            <w:tcW w:w="1803" w:type="dxa"/>
            <w:tcBorders>
              <w:top w:val="single" w:color="auto" w:sz="12" w:space="0"/>
              <w:right w:val="single" w:color="auto" w:sz="12" w:space="0"/>
            </w:tcBorders>
            <w:noWrap w:val="0"/>
            <w:vAlign w:val="center"/>
          </w:tcPr>
          <w:p w14:paraId="4411DFA9">
            <w:pPr>
              <w:spacing w:line="700" w:lineRule="exact"/>
              <w:jc w:val="center"/>
              <w:rPr>
                <w:rFonts w:hint="eastAsia" w:ascii="宋体"/>
                <w:color w:val="auto"/>
                <w:sz w:val="24"/>
                <w:highlight w:val="none"/>
              </w:rPr>
            </w:pPr>
            <w:r>
              <w:rPr>
                <w:rFonts w:hint="eastAsia" w:ascii="宋体"/>
                <w:color w:val="auto"/>
                <w:sz w:val="24"/>
                <w:highlight w:val="none"/>
              </w:rPr>
              <w:t>项目编号</w:t>
            </w:r>
          </w:p>
        </w:tc>
        <w:tc>
          <w:tcPr>
            <w:tcW w:w="6952" w:type="dxa"/>
            <w:tcBorders>
              <w:top w:val="single" w:color="auto" w:sz="12" w:space="0"/>
              <w:left w:val="single" w:color="auto" w:sz="12" w:space="0"/>
            </w:tcBorders>
            <w:noWrap w:val="0"/>
            <w:vAlign w:val="center"/>
          </w:tcPr>
          <w:p w14:paraId="7D9CDE6A">
            <w:pPr>
              <w:spacing w:line="700" w:lineRule="exact"/>
              <w:rPr>
                <w:rFonts w:hint="eastAsia" w:ascii="宋体"/>
                <w:color w:val="auto"/>
                <w:sz w:val="24"/>
                <w:highlight w:val="none"/>
              </w:rPr>
            </w:pPr>
          </w:p>
        </w:tc>
      </w:tr>
      <w:tr w14:paraId="0CDBBD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18" w:hRule="exact"/>
        </w:trPr>
        <w:tc>
          <w:tcPr>
            <w:tcW w:w="1803" w:type="dxa"/>
            <w:tcBorders>
              <w:right w:val="single" w:color="auto" w:sz="12" w:space="0"/>
            </w:tcBorders>
            <w:noWrap w:val="0"/>
            <w:vAlign w:val="center"/>
          </w:tcPr>
          <w:p w14:paraId="5A304009">
            <w:pPr>
              <w:spacing w:line="700" w:lineRule="exact"/>
              <w:ind w:firstLine="120" w:firstLineChars="50"/>
              <w:rPr>
                <w:rFonts w:hint="eastAsia" w:ascii="宋体"/>
                <w:color w:val="auto"/>
                <w:sz w:val="24"/>
                <w:highlight w:val="none"/>
              </w:rPr>
            </w:pPr>
            <w:r>
              <w:rPr>
                <w:rFonts w:hint="eastAsia" w:ascii="宋体"/>
                <w:color w:val="auto"/>
                <w:sz w:val="24"/>
                <w:highlight w:val="none"/>
              </w:rPr>
              <w:t>投标人名称</w:t>
            </w:r>
          </w:p>
        </w:tc>
        <w:tc>
          <w:tcPr>
            <w:tcW w:w="6952" w:type="dxa"/>
            <w:tcBorders>
              <w:left w:val="single" w:color="auto" w:sz="12" w:space="0"/>
            </w:tcBorders>
            <w:noWrap w:val="0"/>
            <w:vAlign w:val="top"/>
          </w:tcPr>
          <w:p w14:paraId="1DF57252">
            <w:pPr>
              <w:pStyle w:val="20"/>
              <w:spacing w:line="700" w:lineRule="exact"/>
              <w:ind w:left="86" w:leftChars="41"/>
              <w:rPr>
                <w:rFonts w:hint="eastAsia" w:ascii="宋体" w:eastAsia="宋体"/>
                <w:color w:val="auto"/>
                <w:sz w:val="24"/>
                <w:szCs w:val="24"/>
                <w:highlight w:val="none"/>
              </w:rPr>
            </w:pPr>
          </w:p>
        </w:tc>
      </w:tr>
      <w:tr w14:paraId="3C8355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81" w:hRule="exact"/>
        </w:trPr>
        <w:tc>
          <w:tcPr>
            <w:tcW w:w="1803" w:type="dxa"/>
            <w:tcBorders>
              <w:right w:val="single" w:color="auto" w:sz="12" w:space="0"/>
            </w:tcBorders>
            <w:noWrap w:val="0"/>
            <w:vAlign w:val="center"/>
          </w:tcPr>
          <w:p w14:paraId="6DE62A49">
            <w:pPr>
              <w:spacing w:line="360" w:lineRule="auto"/>
              <w:jc w:val="center"/>
              <w:rPr>
                <w:rFonts w:ascii="宋体"/>
                <w:color w:val="auto"/>
                <w:sz w:val="24"/>
                <w:highlight w:val="none"/>
              </w:rPr>
            </w:pPr>
            <w:r>
              <w:rPr>
                <w:rFonts w:hint="eastAsia" w:ascii="宋体" w:hAnsi="宋体"/>
                <w:color w:val="auto"/>
                <w:sz w:val="24"/>
                <w:highlight w:val="none"/>
              </w:rPr>
              <w:t>投标报价\合同履行期限</w:t>
            </w:r>
          </w:p>
        </w:tc>
        <w:tc>
          <w:tcPr>
            <w:tcW w:w="6952" w:type="dxa"/>
            <w:tcBorders>
              <w:left w:val="single" w:color="auto" w:sz="12" w:space="0"/>
            </w:tcBorders>
            <w:noWrap w:val="0"/>
            <w:vAlign w:val="center"/>
          </w:tcPr>
          <w:p w14:paraId="25F1F076">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eastAsia" w:ascii="宋体" w:hAnsi="宋体"/>
                <w:color w:val="auto"/>
                <w:sz w:val="24"/>
                <w:highlight w:val="none"/>
              </w:rPr>
            </w:pPr>
            <w:r>
              <w:rPr>
                <w:rFonts w:hint="eastAsia" w:ascii="宋体" w:hAnsi="宋体"/>
                <w:color w:val="auto"/>
                <w:sz w:val="24"/>
                <w:highlight w:val="none"/>
              </w:rPr>
              <w:t>投标报价</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三年）</w:t>
            </w:r>
            <w:r>
              <w:rPr>
                <w:rFonts w:hint="eastAsia" w:ascii="宋体" w:hAnsi="宋体"/>
                <w:color w:val="auto"/>
                <w:sz w:val="24"/>
                <w:highlight w:val="none"/>
              </w:rPr>
              <w:t>：</w:t>
            </w:r>
          </w:p>
          <w:p w14:paraId="29E0F1BA">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eastAsia" w:ascii="宋体" w:hAnsi="宋体"/>
                <w:color w:val="auto"/>
                <w:sz w:val="24"/>
                <w:highlight w:val="none"/>
              </w:rPr>
            </w:pPr>
            <w:r>
              <w:rPr>
                <w:rFonts w:hint="eastAsia" w:ascii="宋体" w:hAnsi="宋体"/>
                <w:color w:val="auto"/>
                <w:sz w:val="24"/>
                <w:highlight w:val="none"/>
              </w:rPr>
              <w:t>（大写）：</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元。  </w:t>
            </w:r>
          </w:p>
          <w:p w14:paraId="58DB2647">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eastAsia" w:ascii="宋体" w:hAnsi="宋体"/>
                <w:color w:val="auto"/>
                <w:sz w:val="24"/>
                <w:highlight w:val="none"/>
              </w:rPr>
            </w:pPr>
            <w:r>
              <w:rPr>
                <w:rFonts w:hint="eastAsia" w:ascii="宋体" w:hAnsi="宋体"/>
                <w:color w:val="auto"/>
                <w:sz w:val="24"/>
                <w:highlight w:val="none"/>
              </w:rPr>
              <w:t>(小写) ：</w:t>
            </w:r>
            <w:r>
              <w:rPr>
                <w:rFonts w:hint="eastAsia" w:ascii="宋体" w:hAnsi="宋体"/>
                <w:color w:val="auto"/>
                <w:sz w:val="24"/>
                <w:highlight w:val="none"/>
                <w:u w:val="single"/>
              </w:rPr>
              <w:t xml:space="preserve">                      </w:t>
            </w:r>
            <w:r>
              <w:rPr>
                <w:rFonts w:hint="eastAsia" w:ascii="宋体" w:hAnsi="宋体"/>
                <w:color w:val="auto"/>
                <w:sz w:val="24"/>
                <w:highlight w:val="none"/>
              </w:rPr>
              <w:t>元</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其中每年</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lang w:val="en-US" w:eastAsia="zh-CN"/>
              </w:rPr>
              <w:t>元）</w:t>
            </w:r>
            <w:r>
              <w:rPr>
                <w:rFonts w:hint="eastAsia" w:ascii="宋体" w:hAnsi="宋体"/>
                <w:color w:val="auto"/>
                <w:sz w:val="24"/>
                <w:highlight w:val="none"/>
              </w:rPr>
              <w:t xml:space="preserve">。      </w:t>
            </w:r>
          </w:p>
          <w:p w14:paraId="078D52A6">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default" w:ascii="宋体" w:hAnsi="宋体"/>
                <w:color w:val="auto"/>
                <w:sz w:val="24"/>
                <w:highlight w:val="none"/>
                <w:u w:val="single"/>
                <w:lang w:val="en-US" w:eastAsia="zh-CN"/>
              </w:rPr>
            </w:pPr>
            <w:r>
              <w:rPr>
                <w:rFonts w:hint="eastAsia" w:ascii="宋体" w:hAnsi="宋体" w:eastAsia="宋体" w:cs="Times New Roman"/>
                <w:color w:val="auto"/>
                <w:sz w:val="24"/>
                <w:highlight w:val="none"/>
                <w:lang w:val="en-US" w:eastAsia="zh-CN"/>
              </w:rPr>
              <w:t>合同履行期限：</w:t>
            </w:r>
            <w:r>
              <w:rPr>
                <w:rFonts w:hint="eastAsia" w:ascii="宋体" w:hAnsi="宋体" w:cs="Times New Roman"/>
                <w:color w:val="auto"/>
                <w:sz w:val="24"/>
                <w:highlight w:val="none"/>
                <w:lang w:val="en-US" w:eastAsia="zh-CN"/>
              </w:rPr>
              <w:t xml:space="preserve"> </w:t>
            </w:r>
            <w:r>
              <w:rPr>
                <w:rFonts w:hint="eastAsia" w:ascii="宋体" w:hAnsi="宋体" w:cs="Times New Roman"/>
                <w:color w:val="auto"/>
                <w:sz w:val="24"/>
                <w:highlight w:val="none"/>
                <w:u w:val="single"/>
                <w:lang w:val="en-US" w:eastAsia="zh-CN"/>
              </w:rPr>
              <w:t xml:space="preserve">               。</w:t>
            </w:r>
          </w:p>
        </w:tc>
      </w:tr>
    </w:tbl>
    <w:p w14:paraId="79E90D7F">
      <w:pPr>
        <w:snapToGrid w:val="0"/>
        <w:spacing w:line="460" w:lineRule="exact"/>
        <w:ind w:left="2940" w:leftChars="1400" w:firstLine="723" w:firstLineChars="300"/>
        <w:rPr>
          <w:rFonts w:hint="eastAsia" w:ascii="宋体"/>
          <w:b/>
          <w:color w:val="auto"/>
          <w:sz w:val="24"/>
          <w:highlight w:val="none"/>
        </w:rPr>
      </w:pPr>
    </w:p>
    <w:p w14:paraId="5D3BC229">
      <w:pPr>
        <w:rPr>
          <w:rFonts w:hint="eastAsia" w:ascii="宋体"/>
          <w:color w:val="auto"/>
          <w:sz w:val="24"/>
          <w:highlight w:val="none"/>
        </w:rPr>
      </w:pPr>
      <w:r>
        <w:rPr>
          <w:rFonts w:hint="eastAsia" w:ascii="宋体"/>
          <w:color w:val="auto"/>
          <w:sz w:val="24"/>
          <w:highlight w:val="none"/>
        </w:rPr>
        <w:t>法定代表人（签章）：         投标人（盖单位章）：</w:t>
      </w:r>
    </w:p>
    <w:p w14:paraId="1FBDFEC5">
      <w:pPr>
        <w:snapToGrid w:val="0"/>
        <w:spacing w:before="312" w:beforeLines="100" w:after="312" w:afterLines="100" w:line="360" w:lineRule="auto"/>
        <w:jc w:val="center"/>
        <w:rPr>
          <w:rFonts w:cs="Arial"/>
          <w:b/>
          <w:bCs/>
          <w:color w:val="auto"/>
          <w:sz w:val="30"/>
          <w:szCs w:val="30"/>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color w:val="auto"/>
          <w:sz w:val="24"/>
          <w:highlight w:val="none"/>
        </w:rPr>
        <w:t xml:space="preserve">                                      日  期：</w:t>
      </w:r>
      <w:r>
        <w:rPr>
          <w:rFonts w:hint="eastAsia" w:ascii="宋体" w:hAnsi="宋体"/>
          <w:color w:val="auto"/>
          <w:sz w:val="24"/>
          <w:highlight w:val="none"/>
          <w:u w:val="single"/>
        </w:rPr>
        <w:t xml:space="preserve">      </w:t>
      </w:r>
      <w:r>
        <w:rPr>
          <w:rFonts w:hint="eastAsia" w:ascii="宋体"/>
          <w:color w:val="auto"/>
          <w:sz w:val="24"/>
          <w:highlight w:val="none"/>
        </w:rPr>
        <w:t>年</w:t>
      </w:r>
      <w:r>
        <w:rPr>
          <w:rFonts w:hint="eastAsia" w:ascii="宋体" w:hAnsi="宋体"/>
          <w:color w:val="auto"/>
          <w:sz w:val="24"/>
          <w:highlight w:val="none"/>
          <w:u w:val="single"/>
        </w:rPr>
        <w:t xml:space="preserve">   </w:t>
      </w:r>
      <w:r>
        <w:rPr>
          <w:rFonts w:hint="eastAsia" w:ascii="宋体"/>
          <w:color w:val="auto"/>
          <w:sz w:val="24"/>
          <w:highlight w:val="none"/>
        </w:rPr>
        <w:t>月</w:t>
      </w:r>
      <w:r>
        <w:rPr>
          <w:rFonts w:hint="eastAsia" w:ascii="宋体" w:hAnsi="宋体"/>
          <w:color w:val="auto"/>
          <w:sz w:val="24"/>
          <w:highlight w:val="none"/>
          <w:u w:val="single"/>
        </w:rPr>
        <w:t xml:space="preserve">   </w:t>
      </w:r>
      <w:r>
        <w:rPr>
          <w:rFonts w:hint="eastAsia" w:ascii="宋体"/>
          <w:color w:val="auto"/>
          <w:sz w:val="24"/>
          <w:highlight w:val="none"/>
        </w:rPr>
        <w:t xml:space="preserve">日 </w:t>
      </w:r>
    </w:p>
    <w:p w14:paraId="69F3F4E9">
      <w:pPr>
        <w:spacing w:line="360" w:lineRule="exact"/>
        <w:ind w:firstLine="443" w:firstLineChars="147"/>
        <w:rPr>
          <w:rFonts w:hint="eastAsia" w:ascii="宋体" w:hAnsi="宋体"/>
          <w:b/>
          <w:color w:val="auto"/>
          <w:sz w:val="30"/>
          <w:szCs w:val="30"/>
          <w:highlight w:val="none"/>
        </w:rPr>
      </w:pPr>
      <w:r>
        <w:rPr>
          <w:rFonts w:hint="eastAsia" w:ascii="宋体" w:hAnsi="宋体"/>
          <w:b/>
          <w:color w:val="auto"/>
          <w:sz w:val="30"/>
          <w:szCs w:val="30"/>
          <w:highlight w:val="none"/>
        </w:rPr>
        <w:t>附件2</w:t>
      </w:r>
    </w:p>
    <w:p w14:paraId="21B69924">
      <w:pPr>
        <w:spacing w:line="360" w:lineRule="exact"/>
        <w:ind w:firstLine="531" w:firstLineChars="147"/>
        <w:jc w:val="center"/>
        <w:rPr>
          <w:rFonts w:hint="eastAsia" w:ascii="宋体"/>
          <w:color w:val="auto"/>
          <w:sz w:val="24"/>
          <w:highlight w:val="none"/>
        </w:rPr>
      </w:pPr>
      <w:r>
        <w:rPr>
          <w:rFonts w:hint="eastAsia" w:ascii="宋体"/>
          <w:b/>
          <w:color w:val="auto"/>
          <w:sz w:val="36"/>
          <w:szCs w:val="36"/>
          <w:highlight w:val="none"/>
        </w:rPr>
        <w:t>投  标  函</w:t>
      </w:r>
    </w:p>
    <w:p w14:paraId="64CC36CB">
      <w:pPr>
        <w:spacing w:line="500" w:lineRule="exact"/>
        <w:jc w:val="left"/>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(招标人)       </w:t>
      </w:r>
      <w:r>
        <w:rPr>
          <w:rFonts w:hint="eastAsia" w:ascii="宋体" w:hAnsi="宋体" w:cs="宋体"/>
          <w:color w:val="auto"/>
          <w:sz w:val="24"/>
          <w:highlight w:val="none"/>
        </w:rPr>
        <w:t xml:space="preserve"> </w:t>
      </w:r>
    </w:p>
    <w:p w14:paraId="431BD5EA">
      <w:pPr>
        <w:spacing w:line="5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我们决定参加贵单位组织的“</w:t>
      </w:r>
      <w:r>
        <w:rPr>
          <w:rFonts w:hint="eastAsia" w:ascii="宋体" w:hAnsi="宋体" w:cs="宋体"/>
          <w:color w:val="auto"/>
          <w:sz w:val="24"/>
          <w:highlight w:val="none"/>
          <w:u w:val="single"/>
        </w:rPr>
        <w:t xml:space="preserve"> （项目名称）    </w:t>
      </w:r>
      <w:r>
        <w:rPr>
          <w:rFonts w:hint="eastAsia" w:ascii="宋体" w:hAnsi="宋体" w:cs="宋体"/>
          <w:color w:val="auto"/>
          <w:sz w:val="24"/>
          <w:highlight w:val="none"/>
        </w:rPr>
        <w:t>（编号：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）”的采购。我方授权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(姓名和职务)代表我方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（投标人的名称）全权处理本项目投标的有关事宜。</w:t>
      </w:r>
    </w:p>
    <w:p w14:paraId="1548DE19">
      <w:pPr>
        <w:spacing w:line="500" w:lineRule="exact"/>
        <w:ind w:firstLine="480" w:firstLineChars="200"/>
        <w:jc w:val="lef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我方愿意按照招标文件规定的各项要求，向招标人提供“</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（项目编号）”项目的服务，投标报价为</w:t>
      </w:r>
      <w:r>
        <w:rPr>
          <w:rFonts w:hint="eastAsia" w:ascii="宋体" w:hAnsi="宋体" w:cs="宋体"/>
          <w:color w:val="auto"/>
          <w:sz w:val="24"/>
          <w:highlight w:val="none"/>
          <w:lang w:val="en-US" w:eastAsia="zh-CN"/>
        </w:rPr>
        <w:t>三年</w:t>
      </w:r>
      <w:r>
        <w:rPr>
          <w:rFonts w:hint="eastAsia" w:ascii="宋体" w:hAnsi="宋体" w:cs="宋体"/>
          <w:color w:val="auto"/>
          <w:sz w:val="24"/>
          <w:highlight w:val="none"/>
          <w:u w:val="single"/>
        </w:rPr>
        <w:t>（大写）          （小写）       元</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其中每年       元）</w:t>
      </w:r>
      <w:r>
        <w:rPr>
          <w:rFonts w:hint="eastAsia" w:ascii="宋体" w:hAnsi="宋体" w:cs="宋体"/>
          <w:color w:val="auto"/>
          <w:sz w:val="24"/>
          <w:highlight w:val="none"/>
          <w:u w:val="single"/>
          <w:lang w:eastAsia="zh-CN"/>
        </w:rPr>
        <w:t>。</w:t>
      </w:r>
    </w:p>
    <w:p w14:paraId="00F76AEF">
      <w:pPr>
        <w:spacing w:line="5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一旦我方成为合同签字人，我方将严格履行合同规定的责任和义务。</w:t>
      </w:r>
    </w:p>
    <w:p w14:paraId="5A57B755">
      <w:pPr>
        <w:spacing w:line="5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若我方中标，愿意为本项目提交的纸质投标文件一式三份，其中正本一份、副本二份。</w:t>
      </w:r>
    </w:p>
    <w:p w14:paraId="50C75C66">
      <w:pPr>
        <w:spacing w:line="5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我方愿意提供可能另外要求的、与采购投标有关的文件资料，并保证我方已提供和将要提供的文件是真实的、准确的。</w:t>
      </w:r>
    </w:p>
    <w:p w14:paraId="2AA2566C">
      <w:pPr>
        <w:pStyle w:val="2"/>
        <w:spacing w:after="0" w:line="500" w:lineRule="exact"/>
        <w:ind w:left="0" w:leftChars="0" w:firstLine="480"/>
        <w:jc w:val="left"/>
        <w:outlineLvl w:val="2"/>
        <w:rPr>
          <w:rFonts w:hint="eastAsia" w:ascii="宋体" w:hAnsi="宋体" w:cs="宋体"/>
          <w:color w:val="auto"/>
          <w:sz w:val="24"/>
          <w:highlight w:val="none"/>
        </w:rPr>
      </w:pPr>
      <w:r>
        <w:rPr>
          <w:rFonts w:hint="eastAsia" w:ascii="宋体" w:hAnsi="宋体" w:cs="宋体"/>
          <w:color w:val="auto"/>
          <w:sz w:val="24"/>
          <w:highlight w:val="none"/>
        </w:rPr>
        <w:t>6</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投标有效期为</w:t>
      </w:r>
      <w:r>
        <w:rPr>
          <w:rFonts w:hint="eastAsia" w:ascii="宋体" w:hAnsi="宋体" w:cs="宋体"/>
          <w:color w:val="auto"/>
          <w:sz w:val="24"/>
          <w:highlight w:val="none"/>
          <w:u w:val="single"/>
        </w:rPr>
        <w:t xml:space="preserve"> 90  </w:t>
      </w:r>
      <w:r>
        <w:rPr>
          <w:rFonts w:hint="eastAsia" w:ascii="宋体" w:hAnsi="宋体" w:cs="宋体"/>
          <w:color w:val="auto"/>
          <w:sz w:val="24"/>
          <w:highlight w:val="none"/>
        </w:rPr>
        <w:t>日历天（从投标截止之日算起）。</w:t>
      </w:r>
    </w:p>
    <w:p w14:paraId="2EE9B492">
      <w:pPr>
        <w:spacing w:line="5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7</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 xml:space="preserve">我单位提供如下通讯地址：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电子邮箱（地址），确认本项目相关法律文书均通过提供的以上地址送达，相关文书只要发送至以上电子邮箱（地址）即视为送达，投标人愿意承担一切法律后果。</w:t>
      </w:r>
    </w:p>
    <w:p w14:paraId="3AC30B32">
      <w:pPr>
        <w:spacing w:line="500" w:lineRule="exact"/>
        <w:jc w:val="left"/>
        <w:rPr>
          <w:rFonts w:hint="eastAsia" w:ascii="宋体" w:hAnsi="宋体" w:cs="宋体"/>
          <w:color w:val="auto"/>
          <w:sz w:val="24"/>
          <w:highlight w:val="none"/>
        </w:rPr>
      </w:pPr>
      <w:r>
        <w:rPr>
          <w:rFonts w:hint="eastAsia" w:ascii="宋体" w:hAnsi="宋体" w:cs="宋体"/>
          <w:color w:val="auto"/>
          <w:sz w:val="24"/>
          <w:highlight w:val="none"/>
        </w:rPr>
        <w:t> </w:t>
      </w:r>
    </w:p>
    <w:p w14:paraId="0710FA0F">
      <w:pPr>
        <w:spacing w:line="500" w:lineRule="exact"/>
        <w:jc w:val="left"/>
        <w:rPr>
          <w:rFonts w:hint="eastAsia" w:ascii="宋体" w:hAnsi="宋体" w:cs="宋体"/>
          <w:color w:val="auto"/>
          <w:sz w:val="24"/>
          <w:highlight w:val="none"/>
        </w:rPr>
      </w:pPr>
      <w:r>
        <w:rPr>
          <w:rFonts w:hint="eastAsia" w:ascii="宋体" w:hAnsi="宋体" w:cs="宋体"/>
          <w:color w:val="auto"/>
          <w:sz w:val="24"/>
          <w:highlight w:val="none"/>
        </w:rPr>
        <w:t>投标人名称：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（盖单位章）</w:t>
      </w:r>
    </w:p>
    <w:p w14:paraId="7843FC21">
      <w:pPr>
        <w:spacing w:line="500" w:lineRule="exact"/>
        <w:jc w:val="left"/>
        <w:rPr>
          <w:rFonts w:hint="eastAsia" w:ascii="宋体" w:hAnsi="宋体" w:cs="宋体"/>
          <w:color w:val="auto"/>
          <w:sz w:val="24"/>
          <w:highlight w:val="none"/>
        </w:rPr>
      </w:pPr>
      <w:r>
        <w:rPr>
          <w:rFonts w:hint="eastAsia" w:ascii="宋体" w:hAnsi="宋体" w:cs="宋体"/>
          <w:color w:val="auto"/>
          <w:sz w:val="24"/>
          <w:highlight w:val="none"/>
        </w:rPr>
        <w:t>投标人法定代表人：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（签章）</w:t>
      </w:r>
    </w:p>
    <w:p w14:paraId="3CF18AFA">
      <w:pPr>
        <w:spacing w:line="500" w:lineRule="exact"/>
        <w:ind w:firstLine="3360" w:firstLineChars="1400"/>
        <w:jc w:val="left"/>
        <w:rPr>
          <w:rFonts w:hint="eastAsia" w:ascii="宋体" w:hAnsi="宋体" w:cs="宋体"/>
          <w:color w:val="auto"/>
          <w:sz w:val="24"/>
          <w:highlight w:val="non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p>
    <w:p w14:paraId="67624DA3">
      <w:pPr>
        <w:spacing w:line="500" w:lineRule="exact"/>
        <w:ind w:firstLine="3360" w:firstLineChars="1400"/>
        <w:jc w:val="left"/>
        <w:rPr>
          <w:rFonts w:hint="eastAsia" w:ascii="宋体" w:hAnsi="宋体" w:cs="宋体"/>
          <w:color w:val="auto"/>
          <w:sz w:val="24"/>
          <w:highlight w:val="none"/>
        </w:rPr>
      </w:pPr>
      <w:r>
        <w:rPr>
          <w:rFonts w:hint="eastAsia" w:ascii="宋体" w:hAnsi="宋体" w:cs="宋体"/>
          <w:color w:val="auto"/>
          <w:sz w:val="24"/>
          <w:highlight w:val="none"/>
        </w:rPr>
        <w:t>通讯地址：</w:t>
      </w:r>
      <w:r>
        <w:rPr>
          <w:rFonts w:hint="eastAsia" w:ascii="宋体" w:hAnsi="宋体" w:cs="宋体"/>
          <w:color w:val="auto"/>
          <w:sz w:val="24"/>
          <w:highlight w:val="none"/>
          <w:u w:val="single"/>
        </w:rPr>
        <w:t xml:space="preserve">                 </w:t>
      </w:r>
    </w:p>
    <w:p w14:paraId="38AF3785">
      <w:pPr>
        <w:spacing w:line="500" w:lineRule="exact"/>
        <w:ind w:firstLine="3360" w:firstLineChars="1400"/>
        <w:jc w:val="left"/>
        <w:rPr>
          <w:rFonts w:hint="eastAsia" w:ascii="宋体" w:hAnsi="宋体" w:cs="宋体"/>
          <w:color w:val="auto"/>
          <w:sz w:val="24"/>
          <w:highlight w:val="none"/>
        </w:rPr>
      </w:pPr>
      <w:r>
        <w:rPr>
          <w:rFonts w:hint="eastAsia" w:ascii="宋体" w:hAnsi="宋体" w:cs="宋体"/>
          <w:color w:val="auto"/>
          <w:sz w:val="24"/>
          <w:highlight w:val="none"/>
        </w:rPr>
        <w:t>电    话：</w:t>
      </w:r>
      <w:r>
        <w:rPr>
          <w:rFonts w:hint="eastAsia" w:ascii="宋体" w:hAnsi="宋体" w:cs="宋体"/>
          <w:color w:val="auto"/>
          <w:sz w:val="24"/>
          <w:highlight w:val="none"/>
          <w:u w:val="single"/>
        </w:rPr>
        <w:t xml:space="preserve">                 </w:t>
      </w:r>
    </w:p>
    <w:p w14:paraId="38FE641B">
      <w:pPr>
        <w:spacing w:line="500" w:lineRule="exact"/>
        <w:ind w:right="-178" w:rightChars="-85" w:firstLine="3360" w:firstLineChars="1400"/>
        <w:jc w:val="left"/>
        <w:rPr>
          <w:rFonts w:hint="eastAsia" w:ascii="宋体" w:hAnsi="宋体"/>
          <w:b/>
          <w:color w:val="auto"/>
          <w:sz w:val="30"/>
          <w:szCs w:val="30"/>
          <w:highlight w:val="none"/>
        </w:rPr>
      </w:pPr>
      <w:r>
        <w:rPr>
          <w:rFonts w:hint="eastAsia" w:ascii="宋体" w:hAnsi="宋体" w:cs="宋体"/>
          <w:color w:val="auto"/>
          <w:sz w:val="24"/>
          <w:highlight w:val="none"/>
        </w:rPr>
        <w:t>传    真：</w:t>
      </w:r>
      <w:r>
        <w:rPr>
          <w:rFonts w:hint="eastAsia" w:ascii="宋体" w:hAnsi="宋体" w:cs="宋体"/>
          <w:color w:val="auto"/>
          <w:sz w:val="24"/>
          <w:highlight w:val="none"/>
          <w:u w:val="single"/>
        </w:rPr>
        <w:t xml:space="preserve">  </w:t>
      </w:r>
      <w:r>
        <w:rPr>
          <w:rFonts w:hint="eastAsia" w:ascii="宋体"/>
          <w:color w:val="auto"/>
          <w:sz w:val="24"/>
          <w:highlight w:val="none"/>
          <w:u w:val="single"/>
        </w:rPr>
        <w:t xml:space="preserve">              </w:t>
      </w:r>
    </w:p>
    <w:p w14:paraId="1B8FFA92">
      <w:pPr>
        <w:rPr>
          <w:rFonts w:hint="eastAsia" w:ascii="宋体" w:hAnsi="宋体"/>
          <w:b/>
          <w:color w:val="auto"/>
          <w:sz w:val="30"/>
          <w:szCs w:val="30"/>
          <w:highlight w:val="none"/>
        </w:rPr>
      </w:pPr>
    </w:p>
    <w:p w14:paraId="444FC666">
      <w:pPr>
        <w:rPr>
          <w:rFonts w:hint="eastAsia" w:ascii="宋体" w:hAnsi="宋体"/>
          <w:b/>
          <w:color w:val="auto"/>
          <w:sz w:val="30"/>
          <w:szCs w:val="30"/>
          <w:highlight w:val="none"/>
        </w:rPr>
      </w:pPr>
    </w:p>
    <w:p w14:paraId="37FE8709">
      <w:pPr>
        <w:rPr>
          <w:rFonts w:hint="eastAsia" w:ascii="宋体" w:hAnsi="宋体"/>
          <w:b/>
          <w:color w:val="auto"/>
          <w:sz w:val="30"/>
          <w:szCs w:val="30"/>
          <w:highlight w:val="none"/>
        </w:rPr>
      </w:pPr>
      <w:r>
        <w:rPr>
          <w:rFonts w:hint="eastAsia" w:ascii="宋体" w:hAnsi="宋体"/>
          <w:b/>
          <w:color w:val="auto"/>
          <w:sz w:val="30"/>
          <w:szCs w:val="30"/>
          <w:highlight w:val="none"/>
        </w:rPr>
        <w:br w:type="page"/>
      </w:r>
    </w:p>
    <w:p w14:paraId="77CA78EA">
      <w:pPr>
        <w:outlineLvl w:val="3"/>
        <w:rPr>
          <w:rFonts w:hint="eastAsia" w:ascii="宋体" w:hAnsi="宋体"/>
          <w:b/>
          <w:color w:val="auto"/>
          <w:sz w:val="30"/>
          <w:szCs w:val="30"/>
          <w:highlight w:val="none"/>
          <w:lang w:val="en-US" w:eastAsia="zh-CN"/>
        </w:rPr>
      </w:pPr>
      <w:r>
        <w:rPr>
          <w:rFonts w:hint="eastAsia" w:ascii="宋体" w:hAnsi="宋体"/>
          <w:b/>
          <w:color w:val="auto"/>
          <w:sz w:val="30"/>
          <w:szCs w:val="30"/>
          <w:highlight w:val="none"/>
        </w:rPr>
        <w:t>附件</w:t>
      </w:r>
      <w:r>
        <w:rPr>
          <w:rFonts w:hint="eastAsia" w:ascii="宋体" w:hAnsi="宋体"/>
          <w:b/>
          <w:color w:val="auto"/>
          <w:sz w:val="30"/>
          <w:szCs w:val="30"/>
          <w:highlight w:val="none"/>
          <w:lang w:val="en-US" w:eastAsia="zh-CN"/>
        </w:rPr>
        <w:t>3</w:t>
      </w:r>
    </w:p>
    <w:p w14:paraId="41E60EC8">
      <w:pPr>
        <w:spacing w:line="360" w:lineRule="exact"/>
        <w:ind w:firstLine="531" w:firstLineChars="147"/>
        <w:jc w:val="center"/>
        <w:rPr>
          <w:rFonts w:hint="default" w:ascii="宋体"/>
          <w:b/>
          <w:color w:val="auto"/>
          <w:sz w:val="36"/>
          <w:szCs w:val="36"/>
          <w:highlight w:val="none"/>
          <w:lang w:val="en-US" w:eastAsia="zh-CN"/>
        </w:rPr>
      </w:pPr>
      <w:r>
        <w:rPr>
          <w:rFonts w:hint="eastAsia" w:ascii="宋体"/>
          <w:b/>
          <w:color w:val="auto"/>
          <w:sz w:val="36"/>
          <w:szCs w:val="36"/>
          <w:highlight w:val="none"/>
          <w:lang w:val="en-US" w:eastAsia="zh-CN"/>
        </w:rPr>
        <w:t>分项报价清单（格式仅供参考，内容自行填写）</w:t>
      </w:r>
    </w:p>
    <w:tbl>
      <w:tblPr>
        <w:tblStyle w:val="35"/>
        <w:tblW w:w="9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847"/>
        <w:gridCol w:w="768"/>
        <w:gridCol w:w="1309"/>
        <w:gridCol w:w="1540"/>
        <w:gridCol w:w="3398"/>
      </w:tblGrid>
      <w:tr w14:paraId="38AC6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02" w:type="dxa"/>
            <w:noWrap w:val="0"/>
            <w:vAlign w:val="center"/>
          </w:tcPr>
          <w:p w14:paraId="1EEE27AD">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847" w:type="dxa"/>
            <w:noWrap w:val="0"/>
            <w:vAlign w:val="center"/>
          </w:tcPr>
          <w:p w14:paraId="4F545E38">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p>
        </w:tc>
        <w:tc>
          <w:tcPr>
            <w:tcW w:w="768" w:type="dxa"/>
            <w:noWrap w:val="0"/>
            <w:vAlign w:val="center"/>
          </w:tcPr>
          <w:p w14:paraId="18018341">
            <w:pPr>
              <w:spacing w:line="44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数量</w:t>
            </w:r>
          </w:p>
        </w:tc>
        <w:tc>
          <w:tcPr>
            <w:tcW w:w="1309" w:type="dxa"/>
            <w:noWrap w:val="0"/>
            <w:vAlign w:val="center"/>
          </w:tcPr>
          <w:p w14:paraId="49E8AB34">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单价</w:t>
            </w:r>
          </w:p>
          <w:p w14:paraId="6BAD3D98">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（元/月）</w:t>
            </w:r>
          </w:p>
        </w:tc>
        <w:tc>
          <w:tcPr>
            <w:tcW w:w="1540" w:type="dxa"/>
            <w:noWrap w:val="0"/>
            <w:vAlign w:val="center"/>
          </w:tcPr>
          <w:p w14:paraId="3D012E2A">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合价（12个月）</w:t>
            </w:r>
          </w:p>
          <w:p w14:paraId="52823169">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（元/年）</w:t>
            </w:r>
          </w:p>
        </w:tc>
        <w:tc>
          <w:tcPr>
            <w:tcW w:w="3398" w:type="dxa"/>
            <w:noWrap w:val="0"/>
            <w:vAlign w:val="center"/>
          </w:tcPr>
          <w:p w14:paraId="09467A66">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345F4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702" w:type="dxa"/>
            <w:noWrap w:val="0"/>
            <w:vAlign w:val="center"/>
          </w:tcPr>
          <w:p w14:paraId="4A0024B1">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847" w:type="dxa"/>
            <w:noWrap w:val="0"/>
            <w:vAlign w:val="center"/>
          </w:tcPr>
          <w:p w14:paraId="2863561C">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人员工资</w:t>
            </w:r>
          </w:p>
        </w:tc>
        <w:tc>
          <w:tcPr>
            <w:tcW w:w="768" w:type="dxa"/>
            <w:noWrap w:val="0"/>
            <w:vAlign w:val="center"/>
          </w:tcPr>
          <w:p w14:paraId="464292EA">
            <w:pPr>
              <w:spacing w:line="3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人</w:t>
            </w:r>
          </w:p>
        </w:tc>
        <w:tc>
          <w:tcPr>
            <w:tcW w:w="1309" w:type="dxa"/>
            <w:noWrap w:val="0"/>
            <w:vAlign w:val="center"/>
          </w:tcPr>
          <w:p w14:paraId="3B87B28E">
            <w:pPr>
              <w:spacing w:line="340" w:lineRule="exact"/>
              <w:jc w:val="center"/>
              <w:rPr>
                <w:rFonts w:hint="eastAsia" w:ascii="宋体" w:hAnsi="宋体" w:eastAsia="宋体" w:cs="宋体"/>
                <w:color w:val="auto"/>
                <w:szCs w:val="21"/>
                <w:highlight w:val="none"/>
              </w:rPr>
            </w:pPr>
          </w:p>
        </w:tc>
        <w:tc>
          <w:tcPr>
            <w:tcW w:w="1540" w:type="dxa"/>
            <w:noWrap w:val="0"/>
            <w:vAlign w:val="center"/>
          </w:tcPr>
          <w:p w14:paraId="241E11DA">
            <w:pPr>
              <w:spacing w:line="340" w:lineRule="exact"/>
              <w:jc w:val="center"/>
              <w:rPr>
                <w:rFonts w:hint="eastAsia" w:ascii="宋体" w:hAnsi="宋体" w:eastAsia="宋体" w:cs="宋体"/>
                <w:color w:val="auto"/>
                <w:szCs w:val="21"/>
                <w:highlight w:val="none"/>
              </w:rPr>
            </w:pPr>
          </w:p>
        </w:tc>
        <w:tc>
          <w:tcPr>
            <w:tcW w:w="3398" w:type="dxa"/>
            <w:noWrap w:val="0"/>
            <w:vAlign w:val="center"/>
          </w:tcPr>
          <w:p w14:paraId="44598A97">
            <w:pPr>
              <w:spacing w:line="340" w:lineRule="exact"/>
              <w:rPr>
                <w:rFonts w:hint="eastAsia" w:ascii="宋体" w:hAnsi="宋体" w:eastAsia="宋体" w:cs="宋体"/>
                <w:color w:val="auto"/>
                <w:szCs w:val="21"/>
                <w:highlight w:val="none"/>
              </w:rPr>
            </w:pPr>
          </w:p>
        </w:tc>
      </w:tr>
      <w:tr w14:paraId="14558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702" w:type="dxa"/>
            <w:noWrap w:val="0"/>
            <w:vAlign w:val="center"/>
          </w:tcPr>
          <w:p w14:paraId="5626E86E">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847" w:type="dxa"/>
            <w:noWrap w:val="0"/>
            <w:vAlign w:val="center"/>
          </w:tcPr>
          <w:p w14:paraId="4E746119">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社会保险</w:t>
            </w:r>
          </w:p>
          <w:p w14:paraId="7ED50988">
            <w:pPr>
              <w:spacing w:line="34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企业部分</w:t>
            </w:r>
            <w:r>
              <w:rPr>
                <w:rFonts w:hint="eastAsia" w:ascii="宋体" w:hAnsi="宋体" w:eastAsia="宋体" w:cs="宋体"/>
                <w:color w:val="auto"/>
                <w:szCs w:val="21"/>
                <w:highlight w:val="none"/>
                <w:lang w:eastAsia="zh-CN"/>
              </w:rPr>
              <w:t>）</w:t>
            </w:r>
          </w:p>
        </w:tc>
        <w:tc>
          <w:tcPr>
            <w:tcW w:w="768" w:type="dxa"/>
            <w:noWrap w:val="0"/>
            <w:vAlign w:val="center"/>
          </w:tcPr>
          <w:p w14:paraId="63435388">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人</w:t>
            </w:r>
          </w:p>
        </w:tc>
        <w:tc>
          <w:tcPr>
            <w:tcW w:w="1309" w:type="dxa"/>
            <w:noWrap w:val="0"/>
            <w:vAlign w:val="center"/>
          </w:tcPr>
          <w:p w14:paraId="739E5D98">
            <w:pPr>
              <w:spacing w:line="340" w:lineRule="exact"/>
              <w:jc w:val="center"/>
              <w:rPr>
                <w:rFonts w:hint="eastAsia" w:ascii="宋体" w:hAnsi="宋体" w:eastAsia="宋体" w:cs="宋体"/>
                <w:color w:val="auto"/>
                <w:szCs w:val="21"/>
                <w:highlight w:val="none"/>
              </w:rPr>
            </w:pPr>
          </w:p>
        </w:tc>
        <w:tc>
          <w:tcPr>
            <w:tcW w:w="1540" w:type="dxa"/>
            <w:noWrap w:val="0"/>
            <w:vAlign w:val="center"/>
          </w:tcPr>
          <w:p w14:paraId="0AEE4566">
            <w:pPr>
              <w:spacing w:line="340" w:lineRule="exact"/>
              <w:jc w:val="center"/>
              <w:rPr>
                <w:rFonts w:hint="eastAsia" w:ascii="宋体" w:hAnsi="宋体" w:eastAsia="宋体" w:cs="宋体"/>
                <w:color w:val="auto"/>
                <w:szCs w:val="21"/>
                <w:highlight w:val="none"/>
              </w:rPr>
            </w:pPr>
          </w:p>
        </w:tc>
        <w:tc>
          <w:tcPr>
            <w:tcW w:w="3398" w:type="dxa"/>
            <w:noWrap w:val="0"/>
            <w:vAlign w:val="center"/>
          </w:tcPr>
          <w:p w14:paraId="198D5F14">
            <w:pPr>
              <w:spacing w:line="340" w:lineRule="exact"/>
              <w:rPr>
                <w:rFonts w:hint="eastAsia" w:ascii="宋体" w:hAnsi="宋体" w:eastAsia="宋体" w:cs="宋体"/>
                <w:color w:val="auto"/>
                <w:szCs w:val="21"/>
                <w:highlight w:val="none"/>
              </w:rPr>
            </w:pPr>
          </w:p>
        </w:tc>
      </w:tr>
      <w:tr w14:paraId="2E0A7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702" w:type="dxa"/>
            <w:noWrap w:val="0"/>
            <w:vAlign w:val="center"/>
          </w:tcPr>
          <w:p w14:paraId="51CA9657">
            <w:pPr>
              <w:spacing w:line="36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w:t>
            </w:r>
          </w:p>
        </w:tc>
        <w:tc>
          <w:tcPr>
            <w:tcW w:w="1847" w:type="dxa"/>
            <w:noWrap w:val="0"/>
            <w:vAlign w:val="center"/>
          </w:tcPr>
          <w:p w14:paraId="295B97D0">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社会保险</w:t>
            </w:r>
          </w:p>
          <w:p w14:paraId="5B0AD12B">
            <w:pPr>
              <w:spacing w:line="34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个人部分</w:t>
            </w:r>
            <w:r>
              <w:rPr>
                <w:rFonts w:hint="eastAsia" w:ascii="宋体" w:hAnsi="宋体" w:eastAsia="宋体" w:cs="宋体"/>
                <w:color w:val="auto"/>
                <w:szCs w:val="21"/>
                <w:highlight w:val="none"/>
                <w:lang w:eastAsia="zh-CN"/>
              </w:rPr>
              <w:t>）</w:t>
            </w:r>
          </w:p>
        </w:tc>
        <w:tc>
          <w:tcPr>
            <w:tcW w:w="768" w:type="dxa"/>
            <w:noWrap w:val="0"/>
            <w:vAlign w:val="center"/>
          </w:tcPr>
          <w:p w14:paraId="32276E74">
            <w:pPr>
              <w:spacing w:line="3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人</w:t>
            </w:r>
          </w:p>
        </w:tc>
        <w:tc>
          <w:tcPr>
            <w:tcW w:w="1309" w:type="dxa"/>
            <w:noWrap w:val="0"/>
            <w:vAlign w:val="center"/>
          </w:tcPr>
          <w:p w14:paraId="2889627D">
            <w:pPr>
              <w:spacing w:line="340" w:lineRule="exact"/>
              <w:jc w:val="center"/>
              <w:rPr>
                <w:rFonts w:hint="eastAsia" w:ascii="宋体" w:hAnsi="宋体" w:eastAsia="宋体" w:cs="宋体"/>
                <w:color w:val="auto"/>
                <w:szCs w:val="21"/>
                <w:highlight w:val="none"/>
              </w:rPr>
            </w:pPr>
          </w:p>
        </w:tc>
        <w:tc>
          <w:tcPr>
            <w:tcW w:w="1540" w:type="dxa"/>
            <w:noWrap w:val="0"/>
            <w:vAlign w:val="center"/>
          </w:tcPr>
          <w:p w14:paraId="7B3E5B68">
            <w:pPr>
              <w:spacing w:line="340" w:lineRule="exact"/>
              <w:jc w:val="center"/>
              <w:rPr>
                <w:rFonts w:hint="eastAsia" w:ascii="宋体" w:hAnsi="宋体" w:eastAsia="宋体" w:cs="宋体"/>
                <w:color w:val="auto"/>
                <w:szCs w:val="21"/>
                <w:highlight w:val="none"/>
              </w:rPr>
            </w:pPr>
          </w:p>
        </w:tc>
        <w:tc>
          <w:tcPr>
            <w:tcW w:w="3398" w:type="dxa"/>
            <w:noWrap w:val="0"/>
            <w:vAlign w:val="center"/>
          </w:tcPr>
          <w:p w14:paraId="60B6CA8E">
            <w:pPr>
              <w:spacing w:line="340" w:lineRule="exact"/>
              <w:rPr>
                <w:rFonts w:hint="eastAsia" w:ascii="宋体" w:hAnsi="宋体" w:eastAsia="宋体" w:cs="宋体"/>
                <w:color w:val="auto"/>
                <w:szCs w:val="21"/>
                <w:highlight w:val="none"/>
              </w:rPr>
            </w:pPr>
          </w:p>
        </w:tc>
      </w:tr>
      <w:tr w14:paraId="0F6F6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02" w:type="dxa"/>
            <w:noWrap w:val="0"/>
            <w:vAlign w:val="center"/>
          </w:tcPr>
          <w:p w14:paraId="3099CDF7">
            <w:pPr>
              <w:spacing w:line="34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p>
        </w:tc>
        <w:tc>
          <w:tcPr>
            <w:tcW w:w="1847" w:type="dxa"/>
            <w:noWrap w:val="0"/>
            <w:vAlign w:val="center"/>
          </w:tcPr>
          <w:p w14:paraId="7819D953">
            <w:pPr>
              <w:spacing w:line="340" w:lineRule="exact"/>
              <w:jc w:val="center"/>
              <w:rPr>
                <w:rFonts w:hint="eastAsia" w:ascii="宋体" w:hAnsi="宋体" w:eastAsia="宋体" w:cs="宋体"/>
                <w:color w:val="auto"/>
                <w:szCs w:val="21"/>
                <w:highlight w:val="none"/>
                <w:lang w:val="en-US" w:eastAsia="zh-CN"/>
              </w:rPr>
            </w:pPr>
            <w:r>
              <w:rPr>
                <w:rFonts w:hint="eastAsia" w:ascii="宋体" w:hAnsi="宋体"/>
                <w:color w:val="auto"/>
                <w:szCs w:val="21"/>
                <w:highlight w:val="none"/>
              </w:rPr>
              <w:t>...</w:t>
            </w:r>
          </w:p>
        </w:tc>
        <w:tc>
          <w:tcPr>
            <w:tcW w:w="768" w:type="dxa"/>
            <w:noWrap w:val="0"/>
            <w:vAlign w:val="center"/>
          </w:tcPr>
          <w:p w14:paraId="342EBFA9">
            <w:pPr>
              <w:spacing w:line="340" w:lineRule="exact"/>
              <w:jc w:val="center"/>
              <w:rPr>
                <w:rFonts w:hint="eastAsia" w:ascii="宋体" w:hAnsi="宋体" w:eastAsia="宋体" w:cs="宋体"/>
                <w:color w:val="auto"/>
                <w:szCs w:val="21"/>
                <w:highlight w:val="none"/>
                <w:lang w:val="en-US" w:eastAsia="zh-CN"/>
              </w:rPr>
            </w:pPr>
          </w:p>
        </w:tc>
        <w:tc>
          <w:tcPr>
            <w:tcW w:w="1309" w:type="dxa"/>
            <w:noWrap w:val="0"/>
            <w:vAlign w:val="center"/>
          </w:tcPr>
          <w:p w14:paraId="7B9B3EAA">
            <w:pPr>
              <w:spacing w:line="340" w:lineRule="exact"/>
              <w:jc w:val="center"/>
              <w:rPr>
                <w:rFonts w:hint="eastAsia" w:ascii="宋体" w:hAnsi="宋体" w:eastAsia="宋体" w:cs="宋体"/>
                <w:color w:val="auto"/>
                <w:szCs w:val="21"/>
                <w:highlight w:val="none"/>
              </w:rPr>
            </w:pPr>
          </w:p>
        </w:tc>
        <w:tc>
          <w:tcPr>
            <w:tcW w:w="1540" w:type="dxa"/>
            <w:noWrap w:val="0"/>
            <w:vAlign w:val="center"/>
          </w:tcPr>
          <w:p w14:paraId="2E1BDED0">
            <w:pPr>
              <w:spacing w:line="340" w:lineRule="exact"/>
              <w:jc w:val="center"/>
              <w:rPr>
                <w:rFonts w:hint="eastAsia" w:ascii="宋体" w:hAnsi="宋体" w:eastAsia="宋体" w:cs="宋体"/>
                <w:color w:val="auto"/>
                <w:szCs w:val="21"/>
                <w:highlight w:val="none"/>
              </w:rPr>
            </w:pPr>
          </w:p>
        </w:tc>
        <w:tc>
          <w:tcPr>
            <w:tcW w:w="3398" w:type="dxa"/>
            <w:noWrap w:val="0"/>
            <w:vAlign w:val="center"/>
          </w:tcPr>
          <w:p w14:paraId="66A89AB6">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投标人根据</w:t>
            </w:r>
            <w:r>
              <w:rPr>
                <w:rFonts w:hint="eastAsia" w:ascii="宋体" w:hAnsi="宋体" w:eastAsia="宋体" w:cs="宋体"/>
                <w:color w:val="auto"/>
                <w:szCs w:val="21"/>
                <w:highlight w:val="none"/>
                <w:lang w:eastAsia="zh-CN"/>
              </w:rPr>
              <w:t>招标文件</w:t>
            </w:r>
            <w:r>
              <w:rPr>
                <w:rFonts w:hint="eastAsia" w:ascii="宋体" w:hAnsi="宋体" w:eastAsia="宋体" w:cs="宋体"/>
                <w:color w:val="auto"/>
                <w:szCs w:val="21"/>
                <w:highlight w:val="none"/>
              </w:rPr>
              <w:t>的要求和实际需求自拟</w:t>
            </w:r>
          </w:p>
        </w:tc>
      </w:tr>
      <w:tr w14:paraId="4C9BB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02" w:type="dxa"/>
            <w:noWrap w:val="0"/>
            <w:vAlign w:val="center"/>
          </w:tcPr>
          <w:p w14:paraId="57D54396">
            <w:pPr>
              <w:spacing w:line="340" w:lineRule="exact"/>
              <w:jc w:val="center"/>
              <w:rPr>
                <w:rFonts w:hint="eastAsia" w:ascii="宋体" w:hAnsi="宋体" w:eastAsia="宋体" w:cs="宋体"/>
                <w:color w:val="auto"/>
                <w:szCs w:val="21"/>
                <w:highlight w:val="none"/>
                <w:lang w:val="en-US" w:eastAsia="zh-CN"/>
              </w:rPr>
            </w:pPr>
            <w:r>
              <w:rPr>
                <w:rFonts w:hint="eastAsia" w:ascii="宋体" w:hAnsi="宋体"/>
                <w:color w:val="auto"/>
                <w:szCs w:val="21"/>
                <w:highlight w:val="none"/>
              </w:rPr>
              <w:t>...</w:t>
            </w:r>
          </w:p>
        </w:tc>
        <w:tc>
          <w:tcPr>
            <w:tcW w:w="1847" w:type="dxa"/>
            <w:noWrap w:val="0"/>
            <w:vAlign w:val="center"/>
          </w:tcPr>
          <w:p w14:paraId="2E3379D6">
            <w:pPr>
              <w:spacing w:line="340" w:lineRule="exact"/>
              <w:jc w:val="center"/>
              <w:rPr>
                <w:rFonts w:hint="eastAsia" w:ascii="宋体" w:hAnsi="宋体"/>
                <w:color w:val="auto"/>
                <w:szCs w:val="21"/>
                <w:highlight w:val="none"/>
              </w:rPr>
            </w:pPr>
            <w:r>
              <w:rPr>
                <w:rFonts w:hint="eastAsia" w:ascii="宋体" w:hAnsi="宋体"/>
                <w:color w:val="auto"/>
                <w:szCs w:val="21"/>
                <w:highlight w:val="none"/>
              </w:rPr>
              <w:t>...</w:t>
            </w:r>
          </w:p>
        </w:tc>
        <w:tc>
          <w:tcPr>
            <w:tcW w:w="768" w:type="dxa"/>
            <w:noWrap w:val="0"/>
            <w:vAlign w:val="center"/>
          </w:tcPr>
          <w:p w14:paraId="48A0B64A">
            <w:pPr>
              <w:spacing w:line="340" w:lineRule="exact"/>
              <w:jc w:val="center"/>
              <w:rPr>
                <w:rFonts w:hint="eastAsia" w:ascii="宋体" w:hAnsi="宋体" w:eastAsia="宋体" w:cs="宋体"/>
                <w:color w:val="auto"/>
                <w:szCs w:val="21"/>
                <w:highlight w:val="none"/>
                <w:lang w:val="en-US" w:eastAsia="zh-CN"/>
              </w:rPr>
            </w:pPr>
          </w:p>
        </w:tc>
        <w:tc>
          <w:tcPr>
            <w:tcW w:w="1309" w:type="dxa"/>
            <w:noWrap w:val="0"/>
            <w:vAlign w:val="center"/>
          </w:tcPr>
          <w:p w14:paraId="4AEBE560">
            <w:pPr>
              <w:spacing w:line="340" w:lineRule="exact"/>
              <w:jc w:val="center"/>
              <w:rPr>
                <w:rFonts w:hint="eastAsia" w:ascii="宋体" w:hAnsi="宋体" w:eastAsia="宋体" w:cs="宋体"/>
                <w:color w:val="auto"/>
                <w:szCs w:val="21"/>
                <w:highlight w:val="none"/>
              </w:rPr>
            </w:pPr>
          </w:p>
        </w:tc>
        <w:tc>
          <w:tcPr>
            <w:tcW w:w="1540" w:type="dxa"/>
            <w:noWrap w:val="0"/>
            <w:vAlign w:val="center"/>
          </w:tcPr>
          <w:p w14:paraId="66C588A2">
            <w:pPr>
              <w:spacing w:line="340" w:lineRule="exact"/>
              <w:jc w:val="center"/>
              <w:rPr>
                <w:rFonts w:hint="eastAsia" w:ascii="宋体" w:hAnsi="宋体" w:eastAsia="宋体" w:cs="宋体"/>
                <w:color w:val="auto"/>
                <w:szCs w:val="21"/>
                <w:highlight w:val="none"/>
              </w:rPr>
            </w:pPr>
          </w:p>
        </w:tc>
        <w:tc>
          <w:tcPr>
            <w:tcW w:w="3398" w:type="dxa"/>
            <w:noWrap w:val="0"/>
            <w:vAlign w:val="center"/>
          </w:tcPr>
          <w:p w14:paraId="21E69DE1">
            <w:pPr>
              <w:spacing w:line="340" w:lineRule="exact"/>
              <w:jc w:val="center"/>
              <w:rPr>
                <w:rFonts w:hint="eastAsia" w:ascii="宋体" w:hAnsi="宋体" w:eastAsia="宋体" w:cs="宋体"/>
                <w:color w:val="auto"/>
                <w:szCs w:val="21"/>
                <w:highlight w:val="none"/>
              </w:rPr>
            </w:pPr>
          </w:p>
        </w:tc>
      </w:tr>
      <w:tr w14:paraId="5C4BC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702" w:type="dxa"/>
            <w:noWrap w:val="0"/>
            <w:vAlign w:val="center"/>
          </w:tcPr>
          <w:p w14:paraId="3FCD0AD6">
            <w:pPr>
              <w:spacing w:line="360" w:lineRule="exact"/>
              <w:jc w:val="center"/>
              <w:rPr>
                <w:rFonts w:hint="eastAsia" w:ascii="宋体" w:hAnsi="宋体" w:eastAsia="宋体" w:cs="宋体"/>
                <w:color w:val="auto"/>
                <w:szCs w:val="21"/>
                <w:highlight w:val="none"/>
                <w:lang w:eastAsia="zh-CN"/>
              </w:rPr>
            </w:pPr>
            <w:r>
              <w:rPr>
                <w:rFonts w:hint="eastAsia" w:ascii="宋体" w:hAnsi="宋体" w:eastAsia="宋体"/>
                <w:color w:val="auto"/>
                <w:szCs w:val="21"/>
                <w:highlight w:val="none"/>
                <w:lang w:val="en-US" w:eastAsia="zh-CN"/>
              </w:rPr>
              <w:t>N</w:t>
            </w:r>
          </w:p>
        </w:tc>
        <w:tc>
          <w:tcPr>
            <w:tcW w:w="1847" w:type="dxa"/>
            <w:noWrap w:val="0"/>
            <w:vAlign w:val="center"/>
          </w:tcPr>
          <w:p w14:paraId="188B3FBC">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税金</w:t>
            </w:r>
          </w:p>
        </w:tc>
        <w:tc>
          <w:tcPr>
            <w:tcW w:w="768" w:type="dxa"/>
            <w:noWrap w:val="0"/>
            <w:vAlign w:val="center"/>
          </w:tcPr>
          <w:p w14:paraId="12891D03">
            <w:pPr>
              <w:spacing w:line="340" w:lineRule="exact"/>
              <w:jc w:val="center"/>
              <w:rPr>
                <w:rFonts w:hint="eastAsia" w:ascii="宋体" w:hAnsi="宋体" w:eastAsia="宋体" w:cs="宋体"/>
                <w:color w:val="auto"/>
                <w:sz w:val="21"/>
                <w:szCs w:val="21"/>
                <w:highlight w:val="none"/>
                <w:u w:val="none" w:color="000000"/>
                <w:lang w:val="en-US" w:eastAsia="zh-CN" w:bidi="ar-SA"/>
              </w:rPr>
            </w:pPr>
            <w:r>
              <w:rPr>
                <w:rFonts w:hint="eastAsia" w:ascii="宋体" w:hAnsi="宋体" w:eastAsia="宋体" w:cs="宋体"/>
                <w:color w:val="auto"/>
                <w:szCs w:val="21"/>
                <w:highlight w:val="none"/>
              </w:rPr>
              <w:t>1项</w:t>
            </w:r>
          </w:p>
        </w:tc>
        <w:tc>
          <w:tcPr>
            <w:tcW w:w="1309" w:type="dxa"/>
            <w:noWrap w:val="0"/>
            <w:vAlign w:val="center"/>
          </w:tcPr>
          <w:p w14:paraId="03E797E5">
            <w:pPr>
              <w:spacing w:line="340" w:lineRule="exact"/>
              <w:jc w:val="center"/>
              <w:rPr>
                <w:rFonts w:hint="eastAsia" w:ascii="宋体" w:hAnsi="宋体" w:eastAsia="宋体" w:cs="宋体"/>
                <w:color w:val="auto"/>
                <w:szCs w:val="21"/>
                <w:highlight w:val="none"/>
              </w:rPr>
            </w:pPr>
          </w:p>
        </w:tc>
        <w:tc>
          <w:tcPr>
            <w:tcW w:w="1540" w:type="dxa"/>
            <w:noWrap w:val="0"/>
            <w:vAlign w:val="center"/>
          </w:tcPr>
          <w:p w14:paraId="23264501">
            <w:pPr>
              <w:spacing w:line="340" w:lineRule="exact"/>
              <w:jc w:val="center"/>
              <w:rPr>
                <w:rFonts w:hint="eastAsia" w:ascii="宋体" w:hAnsi="宋体" w:eastAsia="宋体" w:cs="宋体"/>
                <w:color w:val="auto"/>
                <w:szCs w:val="21"/>
                <w:highlight w:val="none"/>
              </w:rPr>
            </w:pPr>
          </w:p>
        </w:tc>
        <w:tc>
          <w:tcPr>
            <w:tcW w:w="3398" w:type="dxa"/>
            <w:noWrap w:val="0"/>
            <w:vAlign w:val="center"/>
          </w:tcPr>
          <w:p w14:paraId="00CADB1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投标人税金统一按物业企业一般纳税人核定标准计算（税率按6.72%计入）</w:t>
            </w:r>
          </w:p>
        </w:tc>
      </w:tr>
      <w:tr w14:paraId="3EF25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626" w:type="dxa"/>
            <w:gridSpan w:val="4"/>
            <w:noWrap w:val="0"/>
            <w:vAlign w:val="center"/>
          </w:tcPr>
          <w:p w14:paraId="166BB2C0">
            <w:pPr>
              <w:spacing w:line="3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一年的物业服务费用合计（1+2+3+</w:t>
            </w:r>
            <w:r>
              <w:rPr>
                <w:rFonts w:hint="eastAsia" w:ascii="宋体" w:hAnsi="宋体"/>
                <w:color w:val="auto"/>
                <w:szCs w:val="21"/>
                <w:highlight w:val="none"/>
              </w:rPr>
              <w:t>...</w:t>
            </w:r>
            <w:r>
              <w:rPr>
                <w:rFonts w:hint="eastAsia" w:ascii="宋体" w:hAnsi="宋体" w:eastAsia="宋体" w:cs="宋体"/>
                <w:color w:val="auto"/>
                <w:szCs w:val="21"/>
                <w:highlight w:val="none"/>
                <w:lang w:val="en-US" w:eastAsia="zh-CN"/>
              </w:rPr>
              <w:t>+N）（元）</w:t>
            </w:r>
          </w:p>
        </w:tc>
        <w:tc>
          <w:tcPr>
            <w:tcW w:w="4938" w:type="dxa"/>
            <w:gridSpan w:val="2"/>
            <w:noWrap w:val="0"/>
            <w:vAlign w:val="center"/>
          </w:tcPr>
          <w:p w14:paraId="701B13DC">
            <w:pPr>
              <w:spacing w:line="340" w:lineRule="exact"/>
              <w:ind w:firstLine="3990" w:firstLineChars="19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 </w:t>
            </w:r>
          </w:p>
        </w:tc>
      </w:tr>
      <w:tr w14:paraId="1C7D6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4626" w:type="dxa"/>
            <w:gridSpan w:val="4"/>
            <w:noWrap w:val="0"/>
            <w:vAlign w:val="center"/>
          </w:tcPr>
          <w:p w14:paraId="710805E2">
            <w:pPr>
              <w:spacing w:line="340" w:lineRule="exact"/>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投标总报价：三年的物业服务费用（一年费用*3）（元）</w:t>
            </w:r>
          </w:p>
        </w:tc>
        <w:tc>
          <w:tcPr>
            <w:tcW w:w="4938" w:type="dxa"/>
            <w:gridSpan w:val="2"/>
            <w:noWrap w:val="0"/>
            <w:vAlign w:val="center"/>
          </w:tcPr>
          <w:p w14:paraId="433B6C4C">
            <w:pPr>
              <w:spacing w:line="340" w:lineRule="exact"/>
              <w:rPr>
                <w:rFonts w:hint="eastAsia" w:ascii="宋体" w:hAnsi="宋体" w:eastAsia="宋体" w:cs="宋体"/>
                <w:color w:val="auto"/>
                <w:szCs w:val="21"/>
                <w:highlight w:val="none"/>
              </w:rPr>
            </w:pPr>
          </w:p>
        </w:tc>
      </w:tr>
    </w:tbl>
    <w:p w14:paraId="0CE03982">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b/>
          <w:color w:val="auto"/>
          <w:sz w:val="21"/>
          <w:szCs w:val="21"/>
          <w:highlight w:val="none"/>
          <w:lang w:val="en-US" w:eastAsia="zh-CN"/>
        </w:rPr>
      </w:pPr>
      <w:r>
        <w:rPr>
          <w:rFonts w:hint="eastAsia" w:ascii="宋体" w:hAnsi="宋体"/>
          <w:b/>
          <w:color w:val="auto"/>
          <w:sz w:val="21"/>
          <w:szCs w:val="21"/>
          <w:highlight w:val="none"/>
          <w:lang w:val="en-US" w:eastAsia="zh-CN"/>
        </w:rPr>
        <w:t>注：1.报价保留两位小数点，第三位四舍五入。</w:t>
      </w:r>
    </w:p>
    <w:p w14:paraId="5298370E">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2"/>
        <w:rPr>
          <w:rFonts w:hint="eastAsia" w:ascii="宋体" w:hAnsi="宋体" w:eastAsia="宋体" w:cs="Times New Roman"/>
          <w:b/>
          <w:color w:val="auto"/>
          <w:sz w:val="21"/>
          <w:szCs w:val="21"/>
          <w:highlight w:val="none"/>
          <w:lang w:val="en-US" w:eastAsia="zh-CN"/>
        </w:rPr>
      </w:pPr>
      <w:r>
        <w:rPr>
          <w:rFonts w:hint="eastAsia" w:ascii="宋体" w:hAnsi="宋体" w:eastAsia="宋体" w:cs="Times New Roman"/>
          <w:b/>
          <w:color w:val="auto"/>
          <w:sz w:val="21"/>
          <w:szCs w:val="21"/>
          <w:highlight w:val="none"/>
          <w:lang w:val="en-US" w:eastAsia="zh-CN"/>
        </w:rPr>
        <w:t>2.所有投标只能选择一种方案，单价和合价的报价只能是唯一。</w:t>
      </w:r>
    </w:p>
    <w:p w14:paraId="3F7C636A">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宋体" w:hAnsi="宋体" w:eastAsia="宋体" w:cs="Times New Roman"/>
          <w:b/>
          <w:color w:val="auto"/>
          <w:sz w:val="21"/>
          <w:szCs w:val="21"/>
          <w:highlight w:val="none"/>
          <w:lang w:val="en-US" w:eastAsia="zh-CN"/>
        </w:rPr>
      </w:pPr>
      <w:r>
        <w:rPr>
          <w:rFonts w:hint="eastAsia" w:ascii="宋体" w:hAnsi="宋体" w:eastAsia="宋体" w:cs="Times New Roman"/>
          <w:b/>
          <w:color w:val="auto"/>
          <w:sz w:val="21"/>
          <w:szCs w:val="21"/>
          <w:highlight w:val="none"/>
          <w:lang w:val="en-US" w:eastAsia="zh-CN"/>
        </w:rPr>
        <w:t>3.本项目投标最高限价：</w:t>
      </w:r>
      <w:r>
        <w:rPr>
          <w:rFonts w:hint="eastAsia" w:ascii="宋体" w:hAnsi="宋体" w:cs="Times New Roman"/>
          <w:b/>
          <w:color w:val="auto"/>
          <w:sz w:val="21"/>
          <w:szCs w:val="21"/>
          <w:highlight w:val="none"/>
          <w:lang w:val="en-US" w:eastAsia="zh-CN"/>
        </w:rPr>
        <w:t>52万</w:t>
      </w:r>
      <w:r>
        <w:rPr>
          <w:rFonts w:hint="eastAsia" w:ascii="宋体" w:hAnsi="宋体" w:eastAsia="宋体" w:cs="Times New Roman"/>
          <w:b/>
          <w:color w:val="auto"/>
          <w:sz w:val="21"/>
          <w:szCs w:val="21"/>
          <w:highlight w:val="none"/>
          <w:lang w:val="en-US" w:eastAsia="zh-CN"/>
        </w:rPr>
        <w:t>元/年，</w:t>
      </w:r>
      <w:r>
        <w:rPr>
          <w:rFonts w:hint="eastAsia" w:ascii="宋体" w:hAnsi="宋体" w:cs="Times New Roman"/>
          <w:b/>
          <w:color w:val="auto"/>
          <w:sz w:val="21"/>
          <w:szCs w:val="21"/>
          <w:highlight w:val="none"/>
          <w:lang w:val="en-US" w:eastAsia="zh-CN"/>
        </w:rPr>
        <w:t>156万</w:t>
      </w:r>
      <w:r>
        <w:rPr>
          <w:rFonts w:hint="eastAsia" w:ascii="宋体" w:hAnsi="宋体" w:eastAsia="宋体" w:cs="Times New Roman"/>
          <w:b/>
          <w:color w:val="auto"/>
          <w:sz w:val="21"/>
          <w:szCs w:val="21"/>
          <w:highlight w:val="none"/>
          <w:lang w:val="en-US" w:eastAsia="zh-CN"/>
        </w:rPr>
        <w:t>元/三年；投标报价高于（不含等于）最高限价的，按无效投标处理。如投标人在分项报价中，将不可调整部分进行调整，则按无效标处理。</w:t>
      </w:r>
    </w:p>
    <w:p w14:paraId="21B786A6">
      <w:pPr>
        <w:pStyle w:val="2"/>
        <w:rPr>
          <w:rFonts w:hint="eastAsia"/>
          <w:color w:val="auto"/>
          <w:highlight w:val="none"/>
        </w:rPr>
      </w:pPr>
    </w:p>
    <w:p w14:paraId="6994C37F">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宋体" w:hAnsi="宋体" w:cs="宋体"/>
          <w:color w:val="auto"/>
          <w:sz w:val="24"/>
          <w:highlight w:val="none"/>
        </w:rPr>
      </w:pPr>
      <w:r>
        <w:rPr>
          <w:rFonts w:hint="eastAsia" w:ascii="宋体" w:hAnsi="宋体" w:cs="宋体"/>
          <w:color w:val="auto"/>
          <w:sz w:val="24"/>
          <w:highlight w:val="none"/>
        </w:rPr>
        <w:t>投标人名称：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（盖单位章）</w:t>
      </w:r>
    </w:p>
    <w:p w14:paraId="6228CB58">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宋体" w:hAnsi="宋体" w:cs="宋体"/>
          <w:color w:val="auto"/>
          <w:sz w:val="24"/>
          <w:highlight w:val="none"/>
        </w:rPr>
      </w:pPr>
      <w:r>
        <w:rPr>
          <w:rFonts w:hint="eastAsia" w:ascii="宋体" w:hAnsi="宋体" w:cs="宋体"/>
          <w:color w:val="auto"/>
          <w:sz w:val="24"/>
          <w:highlight w:val="none"/>
        </w:rPr>
        <w:t>投标人法定代表人：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（签章）</w:t>
      </w:r>
    </w:p>
    <w:p w14:paraId="174FC1A0">
      <w:pPr>
        <w:pStyle w:val="2"/>
        <w:keepNext w:val="0"/>
        <w:keepLines w:val="0"/>
        <w:pageBreakBefore w:val="0"/>
        <w:widowControl w:val="0"/>
        <w:kinsoku/>
        <w:wordWrap/>
        <w:overflowPunct/>
        <w:topLinePunct w:val="0"/>
        <w:autoSpaceDE/>
        <w:autoSpaceDN/>
        <w:bidi w:val="0"/>
        <w:adjustRightInd/>
        <w:snapToGrid/>
        <w:spacing w:after="0" w:afterLines="0" w:line="500" w:lineRule="exact"/>
        <w:ind w:firstLine="2880" w:firstLineChars="1200"/>
        <w:jc w:val="both"/>
        <w:textAlignment w:val="auto"/>
        <w:rPr>
          <w:rFonts w:hint="eastAsia"/>
          <w:color w:val="auto"/>
          <w:highlight w:val="none"/>
          <w:u w:val="non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none"/>
        </w:rPr>
        <w:t xml:space="preserve"> </w:t>
      </w:r>
    </w:p>
    <w:p w14:paraId="7D1A729F">
      <w:pPr>
        <w:rPr>
          <w:rFonts w:hint="eastAsia"/>
          <w:color w:val="auto"/>
          <w:highlight w:val="none"/>
        </w:rPr>
      </w:pPr>
    </w:p>
    <w:p w14:paraId="134AF229">
      <w:pPr>
        <w:rPr>
          <w:rFonts w:hint="eastAsia" w:ascii="宋体" w:hAnsi="宋体"/>
          <w:b/>
          <w:color w:val="auto"/>
          <w:sz w:val="30"/>
          <w:szCs w:val="30"/>
          <w:highlight w:val="none"/>
        </w:rPr>
      </w:pPr>
    </w:p>
    <w:p w14:paraId="28D7E2B2">
      <w:pPr>
        <w:rPr>
          <w:rFonts w:hint="eastAsia" w:ascii="宋体" w:hAnsi="宋体"/>
          <w:b/>
          <w:color w:val="auto"/>
          <w:sz w:val="30"/>
          <w:szCs w:val="30"/>
          <w:highlight w:val="none"/>
        </w:rPr>
      </w:pPr>
      <w:r>
        <w:rPr>
          <w:rFonts w:hint="eastAsia" w:ascii="宋体" w:hAnsi="宋体"/>
          <w:b/>
          <w:color w:val="auto"/>
          <w:sz w:val="30"/>
          <w:szCs w:val="30"/>
          <w:highlight w:val="none"/>
        </w:rPr>
        <w:br w:type="page"/>
      </w:r>
    </w:p>
    <w:p w14:paraId="22764740">
      <w:pPr>
        <w:outlineLvl w:val="1"/>
        <w:rPr>
          <w:rFonts w:hint="eastAsia" w:eastAsia="宋体"/>
          <w:color w:val="auto"/>
          <w:sz w:val="24"/>
          <w:highlight w:val="none"/>
          <w:lang w:eastAsia="zh-CN"/>
        </w:rPr>
      </w:pPr>
      <w:r>
        <w:rPr>
          <w:rFonts w:hint="eastAsia" w:ascii="宋体" w:hAnsi="宋体"/>
          <w:b/>
          <w:color w:val="auto"/>
          <w:sz w:val="30"/>
          <w:szCs w:val="30"/>
          <w:highlight w:val="none"/>
        </w:rPr>
        <w:t>附件</w:t>
      </w:r>
      <w:r>
        <w:rPr>
          <w:rFonts w:hint="eastAsia" w:ascii="宋体" w:hAnsi="宋体"/>
          <w:b/>
          <w:color w:val="auto"/>
          <w:sz w:val="30"/>
          <w:szCs w:val="30"/>
          <w:highlight w:val="none"/>
          <w:lang w:val="en-US" w:eastAsia="zh-CN"/>
        </w:rPr>
        <w:t>4</w:t>
      </w:r>
    </w:p>
    <w:p w14:paraId="24E8C0D3">
      <w:pPr>
        <w:spacing w:line="380" w:lineRule="exact"/>
        <w:ind w:firstLine="424" w:firstLineChars="202"/>
        <w:rPr>
          <w:rFonts w:hint="eastAsia" w:ascii="宋体"/>
          <w:color w:val="auto"/>
          <w:szCs w:val="21"/>
          <w:highlight w:val="none"/>
        </w:rPr>
      </w:pPr>
      <w:r>
        <w:rPr>
          <w:rFonts w:hint="eastAsia" w:ascii="宋体"/>
          <w:color w:val="auto"/>
          <w:szCs w:val="21"/>
          <w:highlight w:val="none"/>
        </w:rPr>
        <w:t>投标人认为需要提供的其他材料（如有）</w:t>
      </w:r>
    </w:p>
    <w:p w14:paraId="3B62E820">
      <w:pPr>
        <w:spacing w:line="440" w:lineRule="exact"/>
        <w:ind w:firstLine="615"/>
        <w:rPr>
          <w:rFonts w:hint="eastAsia" w:ascii="宋体" w:hAnsi="宋体" w:cs="宋体"/>
          <w:b/>
          <w:color w:val="auto"/>
          <w:szCs w:val="21"/>
          <w:highlight w:val="none"/>
        </w:rPr>
      </w:pPr>
      <w:r>
        <w:rPr>
          <w:rFonts w:hint="eastAsia"/>
          <w:color w:val="auto"/>
          <w:highlight w:val="none"/>
        </w:rPr>
        <w:br w:type="page"/>
      </w:r>
    </w:p>
    <w:p w14:paraId="284FC7FB">
      <w:pPr>
        <w:outlineLvl w:val="0"/>
        <w:rPr>
          <w:rFonts w:hint="eastAsia" w:ascii="宋体" w:hAnsi="宋体" w:eastAsia="宋体" w:cs="宋体"/>
          <w:color w:val="auto"/>
          <w:sz w:val="28"/>
          <w:szCs w:val="28"/>
          <w:highlight w:val="none"/>
        </w:rPr>
      </w:pPr>
      <w:bookmarkStart w:id="120" w:name="_Toc11016"/>
      <w:r>
        <w:rPr>
          <w:rFonts w:hint="eastAsia" w:ascii="宋体" w:hAnsi="宋体" w:eastAsia="宋体" w:cs="宋体"/>
          <w:b/>
          <w:color w:val="auto"/>
          <w:sz w:val="28"/>
          <w:szCs w:val="28"/>
          <w:highlight w:val="none"/>
          <w:lang w:bidi="ar"/>
        </w:rPr>
        <w:t>附件1</w:t>
      </w:r>
      <w:bookmarkEnd w:id="120"/>
    </w:p>
    <w:p w14:paraId="16A75FC1">
      <w:pPr>
        <w:spacing w:line="440" w:lineRule="exact"/>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bidi="ar"/>
        </w:rPr>
        <w:t>关于联合惩戒失信行为 加强信用查询管理的通知</w:t>
      </w:r>
    </w:p>
    <w:p w14:paraId="676888DA">
      <w:pPr>
        <w:keepNext w:val="0"/>
        <w:keepLines w:val="0"/>
        <w:pageBreakBefore w:val="0"/>
        <w:kinsoku/>
        <w:overflowPunct/>
        <w:topLinePunct w:val="0"/>
        <w:autoSpaceDN/>
        <w:bidi w:val="0"/>
        <w:adjustRightInd/>
        <w:snapToGrid/>
        <w:spacing w:line="4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一、失信行为联合惩戒的范围和查询渠道</w:t>
      </w:r>
    </w:p>
    <w:p w14:paraId="313D4D74">
      <w:pPr>
        <w:keepNext w:val="0"/>
        <w:keepLines w:val="0"/>
        <w:pageBreakBefore w:val="0"/>
        <w:widowControl/>
        <w:kinsoku/>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lang w:bidi="ar"/>
        </w:rPr>
        <w:t>在我市公共资源交易活动中对存在下列失信行为的投标人、法定代表人及其项目经理（建造师）实施联合惩戒，禁止参与我市公共资源交易活动。</w:t>
      </w:r>
    </w:p>
    <w:p w14:paraId="7F01628B">
      <w:pPr>
        <w:keepNext w:val="0"/>
        <w:keepLines w:val="0"/>
        <w:pageBreakBefore w:val="0"/>
        <w:widowControl/>
        <w:kinsoku/>
        <w:overflowPunct/>
        <w:topLinePunct w:val="0"/>
        <w:autoSpaceDE w:val="0"/>
        <w:autoSpaceDN/>
        <w:bidi w:val="0"/>
        <w:adjustRightInd/>
        <w:snapToGrid/>
        <w:spacing w:line="480" w:lineRule="exact"/>
        <w:ind w:firstLine="482" w:firstLineChars="200"/>
        <w:textAlignment w:val="baseline"/>
        <w:rPr>
          <w:rFonts w:hint="eastAsia" w:ascii="宋体" w:hAnsi="宋体" w:eastAsia="宋体" w:cs="宋体"/>
          <w:b/>
          <w:bCs w:val="0"/>
          <w:color w:val="auto"/>
          <w:sz w:val="24"/>
          <w:szCs w:val="24"/>
          <w:highlight w:val="none"/>
        </w:rPr>
      </w:pPr>
      <w:r>
        <w:rPr>
          <w:rFonts w:hint="eastAsia" w:ascii="宋体" w:hAnsi="宋体" w:eastAsia="宋体" w:cs="宋体"/>
          <w:b/>
          <w:bCs w:val="0"/>
          <w:color w:val="auto"/>
          <w:kern w:val="0"/>
          <w:sz w:val="24"/>
          <w:szCs w:val="24"/>
          <w:highlight w:val="none"/>
          <w:lang w:bidi="ar"/>
        </w:rPr>
        <w:t>（一）工程建设项目</w:t>
      </w:r>
    </w:p>
    <w:p w14:paraId="23683D19">
      <w:pPr>
        <w:keepNext w:val="0"/>
        <w:keepLines w:val="0"/>
        <w:pageBreakBefore w:val="0"/>
        <w:widowControl/>
        <w:kinsoku/>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1、“信用中国”网站（www.creditchina.gov.cn）查询投标人、法定代表人及其项目经理(建造师)以下失信行为：</w:t>
      </w:r>
    </w:p>
    <w:p w14:paraId="25AED6FC">
      <w:pPr>
        <w:keepNext w:val="0"/>
        <w:keepLines w:val="0"/>
        <w:pageBreakBefore w:val="0"/>
        <w:widowControl/>
        <w:kinsoku/>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①被列入“失信被执行人”的;</w:t>
      </w:r>
    </w:p>
    <w:p w14:paraId="61F00700">
      <w:pPr>
        <w:keepNext w:val="0"/>
        <w:keepLines w:val="0"/>
        <w:pageBreakBefore w:val="0"/>
        <w:widowControl/>
        <w:kinsoku/>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②被列入“重大税收违法失信主体”的；</w:t>
      </w:r>
    </w:p>
    <w:p w14:paraId="42ACC2DA">
      <w:pPr>
        <w:keepNext w:val="0"/>
        <w:keepLines w:val="0"/>
        <w:pageBreakBefore w:val="0"/>
        <w:widowControl/>
        <w:kinsoku/>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③被列入“拖欠农民工工资失信联合惩戒对象名单”的；</w:t>
      </w:r>
    </w:p>
    <w:p w14:paraId="7614B7DB">
      <w:pPr>
        <w:keepNext w:val="0"/>
        <w:keepLines w:val="0"/>
        <w:pageBreakBefore w:val="0"/>
        <w:widowControl/>
        <w:kinsoku/>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④被列入 “严重失信主体名单”的；</w:t>
      </w:r>
    </w:p>
    <w:p w14:paraId="0C001F72">
      <w:pPr>
        <w:keepNext w:val="0"/>
        <w:keepLines w:val="0"/>
        <w:pageBreakBefore w:val="0"/>
        <w:widowControl/>
        <w:kinsoku/>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⑤在“信用中国”网站上披露的仍在公示期的严重失信行为(具体行为类别及判定依据见附件2)的。</w:t>
      </w:r>
    </w:p>
    <w:p w14:paraId="07A2637F">
      <w:pPr>
        <w:keepNext w:val="0"/>
        <w:keepLines w:val="0"/>
        <w:pageBreakBefore w:val="0"/>
        <w:widowControl/>
        <w:kinsoku/>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2、国家企业信用信息公示系统网站（www.gsxt.gov.cn）查询投标人以下失信行为：</w:t>
      </w:r>
    </w:p>
    <w:p w14:paraId="60745216">
      <w:pPr>
        <w:keepNext w:val="0"/>
        <w:keepLines w:val="0"/>
        <w:pageBreakBefore w:val="0"/>
        <w:widowControl/>
        <w:kinsoku/>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①被列入“经营异常名录”或者“严重违法失信名单”的。</w:t>
      </w:r>
    </w:p>
    <w:p w14:paraId="1A23DD08">
      <w:pPr>
        <w:keepNext w:val="0"/>
        <w:keepLines w:val="0"/>
        <w:pageBreakBefore w:val="0"/>
        <w:widowControl/>
        <w:kinsoku/>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3、由投标人、法定代表人及其项目经理(建造师)进行承诺，不进行现场网上信用查询的失信行为：</w:t>
      </w:r>
    </w:p>
    <w:p w14:paraId="566FDFBD">
      <w:pPr>
        <w:keepNext w:val="0"/>
        <w:keepLines w:val="0"/>
        <w:pageBreakBefore w:val="0"/>
        <w:widowControl/>
        <w:kinsoku/>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①前三年有行贿犯罪行为的单位和个人；</w:t>
      </w:r>
    </w:p>
    <w:p w14:paraId="5DEC0851">
      <w:pPr>
        <w:keepNext w:val="0"/>
        <w:keepLines w:val="0"/>
        <w:pageBreakBefore w:val="0"/>
        <w:widowControl/>
        <w:kinsoku/>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②被滁州市县两级公管部门取消在一定期限内的投标资格且在取消期限内的；</w:t>
      </w:r>
    </w:p>
    <w:p w14:paraId="0F8F2487">
      <w:pPr>
        <w:keepNext w:val="0"/>
        <w:keepLines w:val="0"/>
        <w:pageBreakBefore w:val="0"/>
        <w:widowControl/>
        <w:kinsoku/>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③被滁州市县两级各行业主管部门取消在一定期限内的投标资格且在取消期限内的；</w:t>
      </w:r>
    </w:p>
    <w:p w14:paraId="4C1D736C">
      <w:pPr>
        <w:keepNext w:val="0"/>
        <w:keepLines w:val="0"/>
        <w:pageBreakBefore w:val="0"/>
        <w:widowControl/>
        <w:kinsoku/>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④因拖欠农民工工资被县级及以上有关行政主管部门限制投标资格且在限制期限内的；</w:t>
      </w:r>
    </w:p>
    <w:p w14:paraId="30715A36">
      <w:pPr>
        <w:keepNext w:val="0"/>
        <w:keepLines w:val="0"/>
        <w:pageBreakBefore w:val="0"/>
        <w:widowControl/>
        <w:kinsoku/>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lang w:bidi="ar"/>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5A64B321">
      <w:pPr>
        <w:keepNext w:val="0"/>
        <w:keepLines w:val="0"/>
        <w:pageBreakBefore w:val="0"/>
        <w:widowControl/>
        <w:kinsoku/>
        <w:overflowPunct/>
        <w:topLinePunct w:val="0"/>
        <w:autoSpaceDE w:val="0"/>
        <w:autoSpaceDN/>
        <w:bidi w:val="0"/>
        <w:adjustRightInd/>
        <w:snapToGrid/>
        <w:spacing w:line="480" w:lineRule="exact"/>
        <w:ind w:firstLine="482" w:firstLineChars="200"/>
        <w:textAlignment w:val="baseline"/>
        <w:rPr>
          <w:rFonts w:hint="eastAsia" w:ascii="宋体" w:hAnsi="宋体" w:eastAsia="宋体" w:cs="宋体"/>
          <w:b/>
          <w:bCs w:val="0"/>
          <w:color w:val="auto"/>
          <w:sz w:val="24"/>
          <w:szCs w:val="24"/>
          <w:highlight w:val="none"/>
        </w:rPr>
      </w:pPr>
      <w:r>
        <w:rPr>
          <w:rFonts w:hint="eastAsia" w:ascii="宋体" w:hAnsi="宋体" w:eastAsia="宋体" w:cs="宋体"/>
          <w:b/>
          <w:bCs w:val="0"/>
          <w:color w:val="auto"/>
          <w:kern w:val="0"/>
          <w:sz w:val="24"/>
          <w:szCs w:val="24"/>
          <w:highlight w:val="none"/>
          <w:lang w:bidi="ar"/>
        </w:rPr>
        <w:t>（二）政府采购项目</w:t>
      </w:r>
    </w:p>
    <w:p w14:paraId="6EC430EB">
      <w:pPr>
        <w:keepNext w:val="0"/>
        <w:keepLines w:val="0"/>
        <w:pageBreakBefore w:val="0"/>
        <w:widowControl/>
        <w:kinsoku/>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1、“信用中国”网站（www.creditchina.gov.cn）查询供应商、法定代表人及其项目负责人以下失信行为：</w:t>
      </w:r>
    </w:p>
    <w:p w14:paraId="02F769AA">
      <w:pPr>
        <w:keepNext w:val="0"/>
        <w:keepLines w:val="0"/>
        <w:pageBreakBefore w:val="0"/>
        <w:widowControl/>
        <w:kinsoku/>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①被列入“失信被执行人”的;</w:t>
      </w:r>
    </w:p>
    <w:p w14:paraId="2F383CFC">
      <w:pPr>
        <w:keepNext w:val="0"/>
        <w:keepLines w:val="0"/>
        <w:pageBreakBefore w:val="0"/>
        <w:widowControl/>
        <w:kinsoku/>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②被列入“重大税收违法失信主体”的；</w:t>
      </w:r>
    </w:p>
    <w:p w14:paraId="7C6AEFF5">
      <w:pPr>
        <w:keepNext w:val="0"/>
        <w:keepLines w:val="0"/>
        <w:pageBreakBefore w:val="0"/>
        <w:widowControl/>
        <w:kinsoku/>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③被列入 “严重失信主体名单”的；</w:t>
      </w:r>
    </w:p>
    <w:p w14:paraId="50C58D0D">
      <w:pPr>
        <w:keepNext w:val="0"/>
        <w:keepLines w:val="0"/>
        <w:pageBreakBefore w:val="0"/>
        <w:widowControl/>
        <w:kinsoku/>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④在“信用中国”网站上披露的仍在公示期的严重失信行为(具体行为类别及判定依据见附件2)的。</w:t>
      </w:r>
    </w:p>
    <w:p w14:paraId="5422871D">
      <w:pPr>
        <w:keepNext w:val="0"/>
        <w:keepLines w:val="0"/>
        <w:pageBreakBefore w:val="0"/>
        <w:widowControl/>
        <w:kinsoku/>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2、国家企业信用信息公示系统网站（</w:t>
      </w:r>
      <w:r>
        <w:rPr>
          <w:rFonts w:hint="eastAsia" w:ascii="宋体" w:hAnsi="宋体" w:eastAsia="宋体" w:cs="宋体"/>
          <w:bCs/>
          <w:color w:val="auto"/>
          <w:kern w:val="0"/>
          <w:sz w:val="24"/>
          <w:szCs w:val="24"/>
          <w:highlight w:val="none"/>
          <w:lang w:bidi="ar"/>
        </w:rPr>
        <w:fldChar w:fldCharType="begin"/>
      </w:r>
      <w:r>
        <w:rPr>
          <w:rFonts w:hint="eastAsia" w:ascii="宋体" w:hAnsi="宋体" w:eastAsia="宋体" w:cs="宋体"/>
          <w:bCs/>
          <w:color w:val="auto"/>
          <w:kern w:val="0"/>
          <w:sz w:val="24"/>
          <w:szCs w:val="24"/>
          <w:highlight w:val="none"/>
          <w:lang w:bidi="ar"/>
        </w:rPr>
        <w:instrText xml:space="preserve"> HYPERLINK "http://www.gsxt.gov.cn）查询" </w:instrText>
      </w:r>
      <w:r>
        <w:rPr>
          <w:rFonts w:hint="eastAsia" w:ascii="宋体" w:hAnsi="宋体" w:eastAsia="宋体" w:cs="宋体"/>
          <w:bCs/>
          <w:color w:val="auto"/>
          <w:kern w:val="0"/>
          <w:sz w:val="24"/>
          <w:szCs w:val="24"/>
          <w:highlight w:val="none"/>
          <w:lang w:bidi="ar"/>
        </w:rPr>
        <w:fldChar w:fldCharType="separate"/>
      </w:r>
      <w:r>
        <w:rPr>
          <w:rFonts w:hint="eastAsia" w:ascii="宋体" w:hAnsi="宋体" w:eastAsia="宋体" w:cs="宋体"/>
          <w:bCs/>
          <w:color w:val="auto"/>
          <w:kern w:val="0"/>
          <w:sz w:val="24"/>
          <w:szCs w:val="24"/>
          <w:highlight w:val="none"/>
          <w:lang w:bidi="ar"/>
        </w:rPr>
        <w:t>www.gsxt.gov.cn）</w:t>
      </w:r>
      <w:r>
        <w:rPr>
          <w:rFonts w:hint="eastAsia" w:ascii="宋体" w:hAnsi="宋体" w:eastAsia="宋体" w:cs="宋体"/>
          <w:bCs/>
          <w:color w:val="auto"/>
          <w:kern w:val="0"/>
          <w:sz w:val="24"/>
          <w:szCs w:val="24"/>
          <w:highlight w:val="none"/>
          <w:lang w:bidi="ar"/>
        </w:rPr>
        <w:fldChar w:fldCharType="end"/>
      </w:r>
      <w:r>
        <w:rPr>
          <w:rFonts w:hint="eastAsia" w:ascii="宋体" w:hAnsi="宋体" w:eastAsia="宋体" w:cs="宋体"/>
          <w:bCs/>
          <w:color w:val="auto"/>
          <w:kern w:val="0"/>
          <w:sz w:val="24"/>
          <w:szCs w:val="24"/>
          <w:highlight w:val="none"/>
          <w:lang w:bidi="ar"/>
        </w:rPr>
        <w:t>查询供应商以下失信行为：</w:t>
      </w:r>
    </w:p>
    <w:p w14:paraId="500AC454">
      <w:pPr>
        <w:keepNext w:val="0"/>
        <w:keepLines w:val="0"/>
        <w:pageBreakBefore w:val="0"/>
        <w:widowControl/>
        <w:kinsoku/>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①</w:t>
      </w:r>
      <w:bookmarkStart w:id="121" w:name="OLE_LINK102"/>
      <w:bookmarkStart w:id="122" w:name="OLE_LINK101"/>
      <w:bookmarkStart w:id="123" w:name="OLE_LINK100"/>
      <w:r>
        <w:rPr>
          <w:rFonts w:hint="eastAsia" w:ascii="宋体" w:hAnsi="宋体" w:eastAsia="宋体" w:cs="宋体"/>
          <w:bCs/>
          <w:color w:val="auto"/>
          <w:kern w:val="0"/>
          <w:sz w:val="24"/>
          <w:szCs w:val="24"/>
          <w:highlight w:val="none"/>
          <w:lang w:bidi="ar"/>
        </w:rPr>
        <w:t>被列入“经营异常名录”或者“严重违法失信名单”的</w:t>
      </w:r>
      <w:bookmarkEnd w:id="121"/>
      <w:bookmarkEnd w:id="122"/>
      <w:bookmarkEnd w:id="123"/>
      <w:r>
        <w:rPr>
          <w:rFonts w:hint="eastAsia" w:ascii="宋体" w:hAnsi="宋体" w:eastAsia="宋体" w:cs="宋体"/>
          <w:bCs/>
          <w:color w:val="auto"/>
          <w:kern w:val="0"/>
          <w:sz w:val="24"/>
          <w:szCs w:val="24"/>
          <w:highlight w:val="none"/>
          <w:lang w:bidi="ar"/>
        </w:rPr>
        <w:t>。</w:t>
      </w:r>
    </w:p>
    <w:p w14:paraId="25D32E7A">
      <w:pPr>
        <w:keepNext w:val="0"/>
        <w:keepLines w:val="0"/>
        <w:pageBreakBefore w:val="0"/>
        <w:widowControl/>
        <w:kinsoku/>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3、中国政府采购网站（</w:t>
      </w:r>
      <w:bookmarkStart w:id="124" w:name="OLE_LINK96"/>
      <w:bookmarkStart w:id="125" w:name="OLE_LINK95"/>
      <w:r>
        <w:rPr>
          <w:rFonts w:hint="eastAsia" w:ascii="宋体" w:hAnsi="宋体" w:eastAsia="宋体" w:cs="宋体"/>
          <w:bCs/>
          <w:color w:val="auto"/>
          <w:kern w:val="0"/>
          <w:sz w:val="24"/>
          <w:szCs w:val="24"/>
          <w:highlight w:val="none"/>
          <w:lang w:bidi="ar"/>
        </w:rPr>
        <w:fldChar w:fldCharType="begin"/>
      </w:r>
      <w:r>
        <w:rPr>
          <w:rFonts w:hint="eastAsia" w:ascii="宋体" w:hAnsi="宋体" w:eastAsia="宋体" w:cs="宋体"/>
          <w:bCs/>
          <w:color w:val="auto"/>
          <w:kern w:val="0"/>
          <w:sz w:val="24"/>
          <w:szCs w:val="24"/>
          <w:highlight w:val="none"/>
          <w:lang w:bidi="ar"/>
        </w:rPr>
        <w:instrText xml:space="preserve"> HYPERLINK "http://www.ccgp.gov.cn" </w:instrText>
      </w:r>
      <w:r>
        <w:rPr>
          <w:rFonts w:hint="eastAsia" w:ascii="宋体" w:hAnsi="宋体" w:eastAsia="宋体" w:cs="宋体"/>
          <w:bCs/>
          <w:color w:val="auto"/>
          <w:kern w:val="0"/>
          <w:sz w:val="24"/>
          <w:szCs w:val="24"/>
          <w:highlight w:val="none"/>
          <w:lang w:bidi="ar"/>
        </w:rPr>
        <w:fldChar w:fldCharType="separate"/>
      </w:r>
      <w:r>
        <w:rPr>
          <w:rFonts w:hint="eastAsia" w:ascii="宋体" w:hAnsi="宋体" w:eastAsia="宋体" w:cs="宋体"/>
          <w:bCs/>
          <w:color w:val="auto"/>
          <w:kern w:val="0"/>
          <w:sz w:val="24"/>
          <w:szCs w:val="24"/>
          <w:highlight w:val="none"/>
          <w:lang w:bidi="ar"/>
        </w:rPr>
        <w:t>www.ccgp.gov.cn</w:t>
      </w:r>
      <w:r>
        <w:rPr>
          <w:rFonts w:hint="eastAsia" w:ascii="宋体" w:hAnsi="宋体" w:eastAsia="宋体" w:cs="宋体"/>
          <w:bCs/>
          <w:color w:val="auto"/>
          <w:kern w:val="0"/>
          <w:sz w:val="24"/>
          <w:szCs w:val="24"/>
          <w:highlight w:val="none"/>
          <w:lang w:bidi="ar"/>
        </w:rPr>
        <w:fldChar w:fldCharType="end"/>
      </w:r>
      <w:bookmarkEnd w:id="124"/>
      <w:bookmarkEnd w:id="125"/>
      <w:r>
        <w:rPr>
          <w:rFonts w:hint="eastAsia" w:ascii="宋体" w:hAnsi="宋体" w:eastAsia="宋体" w:cs="宋体"/>
          <w:bCs/>
          <w:color w:val="auto"/>
          <w:kern w:val="0"/>
          <w:sz w:val="24"/>
          <w:szCs w:val="24"/>
          <w:highlight w:val="none"/>
          <w:lang w:bidi="ar"/>
        </w:rPr>
        <w:t>）查询以下失信行为：</w:t>
      </w:r>
    </w:p>
    <w:p w14:paraId="0AADDBF3">
      <w:pPr>
        <w:keepNext w:val="0"/>
        <w:keepLines w:val="0"/>
        <w:pageBreakBefore w:val="0"/>
        <w:widowControl/>
        <w:kinsoku/>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①</w:t>
      </w:r>
      <w:bookmarkStart w:id="126" w:name="OLE_LINK105"/>
      <w:bookmarkStart w:id="127" w:name="OLE_LINK106"/>
      <w:bookmarkStart w:id="128" w:name="OLE_LINK104"/>
      <w:r>
        <w:rPr>
          <w:rFonts w:hint="eastAsia" w:ascii="宋体" w:hAnsi="宋体" w:eastAsia="宋体" w:cs="宋体"/>
          <w:bCs/>
          <w:color w:val="auto"/>
          <w:kern w:val="0"/>
          <w:sz w:val="24"/>
          <w:szCs w:val="24"/>
          <w:highlight w:val="none"/>
          <w:lang w:bidi="ar"/>
        </w:rPr>
        <w:t>被列入“政府采购严重违法失信行为信息记录”的</w:t>
      </w:r>
      <w:bookmarkEnd w:id="126"/>
      <w:bookmarkEnd w:id="127"/>
      <w:bookmarkEnd w:id="128"/>
      <w:r>
        <w:rPr>
          <w:rFonts w:hint="eastAsia" w:ascii="宋体" w:hAnsi="宋体" w:eastAsia="宋体" w:cs="宋体"/>
          <w:bCs/>
          <w:color w:val="auto"/>
          <w:kern w:val="0"/>
          <w:sz w:val="24"/>
          <w:szCs w:val="24"/>
          <w:highlight w:val="none"/>
          <w:lang w:bidi="ar"/>
        </w:rPr>
        <w:t>。</w:t>
      </w:r>
    </w:p>
    <w:p w14:paraId="4674B8F0">
      <w:pPr>
        <w:keepNext w:val="0"/>
        <w:keepLines w:val="0"/>
        <w:pageBreakBefore w:val="0"/>
        <w:widowControl/>
        <w:kinsoku/>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4、由竞争主体进行承诺，不进行现场网上信用查询的失信行为：</w:t>
      </w:r>
    </w:p>
    <w:p w14:paraId="56154650">
      <w:pPr>
        <w:keepNext w:val="0"/>
        <w:keepLines w:val="0"/>
        <w:pageBreakBefore w:val="0"/>
        <w:widowControl/>
        <w:kinsoku/>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lang w:bidi="ar"/>
        </w:rPr>
        <w:t>①前三年有行贿犯罪行为的单位和个人。</w:t>
      </w:r>
    </w:p>
    <w:p w14:paraId="479B56D0">
      <w:pPr>
        <w:keepNext w:val="0"/>
        <w:keepLines w:val="0"/>
        <w:pageBreakBefore w:val="0"/>
        <w:widowControl/>
        <w:kinsoku/>
        <w:overflowPunct/>
        <w:topLinePunct w:val="0"/>
        <w:autoSpaceDE w:val="0"/>
        <w:autoSpaceDN/>
        <w:bidi w:val="0"/>
        <w:adjustRightInd/>
        <w:snapToGrid/>
        <w:spacing w:line="480" w:lineRule="exact"/>
        <w:ind w:firstLine="482" w:firstLineChars="200"/>
        <w:textAlignment w:val="baseline"/>
        <w:rPr>
          <w:rFonts w:hint="eastAsia" w:ascii="宋体" w:hAnsi="宋体" w:eastAsia="宋体" w:cs="宋体"/>
          <w:b/>
          <w:bCs w:val="0"/>
          <w:color w:val="auto"/>
          <w:sz w:val="24"/>
          <w:szCs w:val="24"/>
          <w:highlight w:val="none"/>
        </w:rPr>
      </w:pPr>
      <w:r>
        <w:rPr>
          <w:rFonts w:hint="eastAsia" w:ascii="宋体" w:hAnsi="宋体" w:eastAsia="宋体" w:cs="宋体"/>
          <w:b/>
          <w:bCs w:val="0"/>
          <w:color w:val="auto"/>
          <w:kern w:val="0"/>
          <w:sz w:val="24"/>
          <w:szCs w:val="24"/>
          <w:highlight w:val="none"/>
          <w:lang w:bidi="ar"/>
        </w:rPr>
        <w:t>二、在开评标活动中的查询程序</w:t>
      </w:r>
    </w:p>
    <w:p w14:paraId="2EDF981C">
      <w:pPr>
        <w:keepNext w:val="0"/>
        <w:keepLines w:val="0"/>
        <w:pageBreakBefore w:val="0"/>
        <w:widowControl/>
        <w:kinsoku/>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74F48058">
      <w:pPr>
        <w:keepNext w:val="0"/>
        <w:keepLines w:val="0"/>
        <w:pageBreakBefore w:val="0"/>
        <w:widowControl/>
        <w:kinsoku/>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6235A41D">
      <w:pPr>
        <w:keepNext w:val="0"/>
        <w:keepLines w:val="0"/>
        <w:pageBreakBefore w:val="0"/>
        <w:widowControl/>
        <w:kinsoku/>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lang w:bidi="ar"/>
        </w:rPr>
        <w:t>3、项目单位及其委托的代理机构应当做好信用查询结果截图和记录留存。</w:t>
      </w:r>
    </w:p>
    <w:p w14:paraId="09899982">
      <w:pPr>
        <w:keepNext w:val="0"/>
        <w:keepLines w:val="0"/>
        <w:pageBreakBefore w:val="0"/>
        <w:widowControl/>
        <w:kinsoku/>
        <w:overflowPunct/>
        <w:topLinePunct w:val="0"/>
        <w:autoSpaceDE w:val="0"/>
        <w:autoSpaceDN/>
        <w:bidi w:val="0"/>
        <w:adjustRightInd/>
        <w:snapToGrid/>
        <w:spacing w:line="480" w:lineRule="exact"/>
        <w:ind w:firstLine="482" w:firstLineChars="200"/>
        <w:textAlignment w:val="baseline"/>
        <w:rPr>
          <w:rFonts w:hint="eastAsia" w:ascii="宋体" w:hAnsi="宋体" w:eastAsia="宋体" w:cs="宋体"/>
          <w:b/>
          <w:bCs w:val="0"/>
          <w:color w:val="auto"/>
          <w:sz w:val="24"/>
          <w:szCs w:val="24"/>
          <w:highlight w:val="none"/>
        </w:rPr>
      </w:pPr>
      <w:r>
        <w:rPr>
          <w:rFonts w:hint="eastAsia" w:ascii="宋体" w:hAnsi="宋体" w:eastAsia="宋体" w:cs="宋体"/>
          <w:b/>
          <w:bCs w:val="0"/>
          <w:color w:val="auto"/>
          <w:kern w:val="0"/>
          <w:sz w:val="24"/>
          <w:szCs w:val="24"/>
          <w:highlight w:val="none"/>
          <w:lang w:bidi="ar"/>
        </w:rPr>
        <w:t>三、相关要求</w:t>
      </w:r>
    </w:p>
    <w:p w14:paraId="53E4A933">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1、参与公共资源交易活动的竞争主体根据上述范围查询的内容进行自查并承诺，出具《诚信投标承诺书》（诚信投标承诺书包括但不限于上述自查并承诺内容）并注明承诺日期（投标截止时间前5日内）。</w:t>
      </w:r>
    </w:p>
    <w:p w14:paraId="14253009">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6044908D">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lang w:bidi="ar"/>
        </w:rPr>
        <w:t>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https://credit.ah.gov.cn/xinyong-fuwu/xvbahv/index.html)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112F93D6">
      <w:pPr>
        <w:keepNext w:val="0"/>
        <w:keepLines w:val="0"/>
        <w:pageBreakBefore w:val="0"/>
        <w:widowControl/>
        <w:kinsoku/>
        <w:overflowPunct/>
        <w:topLinePunct w:val="0"/>
        <w:autoSpaceDE w:val="0"/>
        <w:autoSpaceDN/>
        <w:bidi w:val="0"/>
        <w:adjustRightInd/>
        <w:snapToGrid/>
        <w:spacing w:line="480" w:lineRule="exact"/>
        <w:ind w:firstLine="482" w:firstLineChars="200"/>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2、“信用中国”查询的严重失信行为判定依据为各行业主管部门下发的联合惩戒文件中规定的行为（按附件2执行）。</w:t>
      </w:r>
    </w:p>
    <w:p w14:paraId="334A5929">
      <w:pPr>
        <w:keepNext w:val="0"/>
        <w:keepLines w:val="0"/>
        <w:pageBreakBefore w:val="0"/>
        <w:widowControl/>
        <w:kinsoku/>
        <w:overflowPunct/>
        <w:topLinePunct w:val="0"/>
        <w:autoSpaceDE w:val="0"/>
        <w:autoSpaceDN/>
        <w:bidi w:val="0"/>
        <w:adjustRightInd/>
        <w:snapToGrid/>
        <w:spacing w:line="480" w:lineRule="exact"/>
        <w:ind w:firstLine="480" w:firstLineChars="200"/>
        <w:textAlignment w:val="baseline"/>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bidi="ar"/>
        </w:rPr>
        <w:t>3、资格预审的项目以递交资格预审申请文件截止时间查询为准；资格后审的项目以递交投标文件截止时间查询为准。</w:t>
      </w:r>
    </w:p>
    <w:p w14:paraId="4E726C61">
      <w:pPr>
        <w:spacing w:line="44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 xml:space="preserve"> </w:t>
      </w:r>
    </w:p>
    <w:p w14:paraId="1290EF54">
      <w:pPr>
        <w:pStyle w:val="31"/>
        <w:widowControl/>
        <w:spacing w:before="0" w:after="120" w:afterAutospacing="0" w:line="360" w:lineRule="auto"/>
        <w:ind w:left="420" w:leftChars="20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 xml:space="preserve"> </w:t>
      </w:r>
    </w:p>
    <w:p w14:paraId="04B84CB8">
      <w:pPr>
        <w:spacing w:line="44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br w:type="page"/>
      </w:r>
      <w:r>
        <w:rPr>
          <w:rFonts w:hint="eastAsia" w:ascii="宋体" w:hAnsi="宋体" w:eastAsia="宋体" w:cs="宋体"/>
          <w:b/>
          <w:color w:val="auto"/>
          <w:sz w:val="24"/>
          <w:szCs w:val="24"/>
          <w:highlight w:val="none"/>
          <w:lang w:bidi="ar"/>
        </w:rPr>
        <w:t>附件2</w:t>
      </w:r>
    </w:p>
    <w:p w14:paraId="4D1614E6">
      <w:pPr>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“信用中国”查询的严重失信行为类别及判定依据</w:t>
      </w:r>
    </w:p>
    <w:p w14:paraId="48F86DEC">
      <w:pPr>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 xml:space="preserve"> </w:t>
      </w:r>
    </w:p>
    <w:p w14:paraId="0C9670D7">
      <w:pPr>
        <w:widowControl/>
        <w:autoSpaceDE w:val="0"/>
        <w:spacing w:line="480" w:lineRule="exact"/>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“信用中国”查询的严重失信行为判定依据为各行业主管部门下发的联合惩戒文件中规定的行为。下面将部分类别的严重失信行为列举如下：</w:t>
      </w:r>
    </w:p>
    <w:p w14:paraId="416006DC">
      <w:pPr>
        <w:widowControl/>
        <w:autoSpaceDE w:val="0"/>
        <w:spacing w:line="480" w:lineRule="exact"/>
        <w:ind w:firstLine="482" w:firstLineChars="20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一、安全生产领域严重失信行为：</w:t>
      </w:r>
    </w:p>
    <w:p w14:paraId="14409253">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（一）下列发生生产安全事故的生产经营单位及其有关人员应当列入严重失信主体名单：</w:t>
      </w:r>
    </w:p>
    <w:p w14:paraId="700A8817">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1、发生特别重大、重大生产安全事故的生产经营单位及其主要负责人，以及经调查认定对该事故发生负有责任，应当列入名单的其他单位和人员；</w:t>
      </w:r>
    </w:p>
    <w:p w14:paraId="35E93CA7">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2、12个月内累计发生2起以上较大生产安全事故的生产经营单位及其主要负责人；</w:t>
      </w:r>
    </w:p>
    <w:p w14:paraId="22F4A113">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3、发生生产安全事故，情节特别严重、影响特别恶劣，依照《中华人民共和国安全生产法》第一百一十四条的规定被处以罚款数额2倍以上5倍以下罚款的生产经营单位及其主要负责人；</w:t>
      </w:r>
    </w:p>
    <w:p w14:paraId="2AE25E95">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4、瞒报、谎报生产安全事故的生产经营单位及其有关责任人员；</w:t>
      </w:r>
    </w:p>
    <w:p w14:paraId="01759C4C">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5、发生生产安全事故后，不立即组织抢救或者在事故调查处理期间擅离职守或者逃匿的生产经营单位主要负责人。</w:t>
      </w:r>
    </w:p>
    <w:p w14:paraId="648766FD">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（二）下列未发生生产安全事故，但因安全生产违法行为，受到行政处罚的生产经营单位或者机构及其有关人员，应当列入严重失信主体名单：</w:t>
      </w:r>
    </w:p>
    <w:p w14:paraId="3F1A8535">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1、未依法取得安全生产相关许可或者许可被暂扣、吊销期间从事相关生产经营活动的生产经营单位及其主要负责人；</w:t>
      </w:r>
    </w:p>
    <w:p w14:paraId="7E39B619">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2、承担安全评价、认证、检测、检验职责的机构及其直接责任人员租借资质、挂靠、出具虚假报告或者证书的；</w:t>
      </w:r>
    </w:p>
    <w:p w14:paraId="730F2748">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3、在应急管理部门作出行政处罚后，有执行能力拒不执行或者逃避执行的生产经营单位及其主要负责人；</w:t>
      </w:r>
    </w:p>
    <w:p w14:paraId="16571DA8">
      <w:pPr>
        <w:widowControl/>
        <w:autoSpaceDE w:val="0"/>
        <w:spacing w:line="480" w:lineRule="exact"/>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4、其他违反安全生产法律法规受到行政处罚，且性质恶劣、情节严重的。</w:t>
      </w:r>
    </w:p>
    <w:p w14:paraId="2C2DA6FF">
      <w:pPr>
        <w:widowControl/>
        <w:autoSpaceDE w:val="0"/>
        <w:spacing w:line="480" w:lineRule="exact"/>
        <w:ind w:firstLine="482" w:firstLineChars="200"/>
        <w:jc w:val="left"/>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依据：《安全生产严重失信主体名单管理办法》（2023年8月8日应急管理部令第11号）</w:t>
      </w:r>
    </w:p>
    <w:p w14:paraId="5DF6A605">
      <w:pPr>
        <w:widowControl/>
        <w:autoSpaceDE w:val="0"/>
        <w:spacing w:line="480" w:lineRule="exact"/>
        <w:ind w:firstLine="482" w:firstLineChars="20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 xml:space="preserve"> </w:t>
      </w:r>
    </w:p>
    <w:p w14:paraId="14F482D6">
      <w:pPr>
        <w:widowControl/>
        <w:autoSpaceDE w:val="0"/>
        <w:spacing w:line="480" w:lineRule="exact"/>
        <w:ind w:firstLine="482" w:firstLineChars="20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二、环境保护领域严重失信行为：</w:t>
      </w:r>
    </w:p>
    <w:p w14:paraId="03773B39">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（一）因为环境违法构成环境犯罪的；</w:t>
      </w:r>
    </w:p>
    <w:p w14:paraId="226A5E44">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（二）建设项目环境影响评价文件未按规定通过审批，擅自开工建设的；</w:t>
      </w:r>
    </w:p>
    <w:p w14:paraId="49DBFD0F">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（三）建设项目环保设施未建成、环保措施未落实、未通过竣工环保验收或者验收不合格，主体工程正式投入生产或者使用的；</w:t>
      </w:r>
    </w:p>
    <w:p w14:paraId="14C45E5D">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（四）建设项目性质、规模、地点、采用的生产工艺或者防治污染、防止生态破坏的措施发生重大变动，未重新报批环境影响评价文件，擅自投入生产或者使用的；</w:t>
      </w:r>
    </w:p>
    <w:p w14:paraId="088D1B6C">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（五）主要污染物排放总量超过控制指标的；</w:t>
      </w:r>
    </w:p>
    <w:p w14:paraId="092C2D50">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（六）私设暗管或者利用渗井、渗坑、裂隙、溶洞等排放、倾倒、处置水污染物，或者通过私设旁路排放大气污染物的；</w:t>
      </w:r>
    </w:p>
    <w:p w14:paraId="73DB6891">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（七）非法排放、倾倒、处置危险废物，或者向无经营许可证或者超出经营许可范围的单位或个人提供或者委托其收集、贮存、利用、处置危险废物的；</w:t>
      </w:r>
    </w:p>
    <w:p w14:paraId="50B93940">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（八）环境违法行为造成集中式生活饮用水水源取水中断的；</w:t>
      </w:r>
    </w:p>
    <w:p w14:paraId="5628BA55">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（九）环境违法行为对生活饮用水水源保护区、自然保护区、国家重点生态功能区、风景名胜区、居住功能区、基本农田保护区等环境敏感区造成重大不利影响的；</w:t>
      </w:r>
    </w:p>
    <w:p w14:paraId="2C8196F3">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（十）违法从事自然资源开发、交通基础设施建设，以及其他开发建设活动，造成严重生态破坏的；</w:t>
      </w:r>
    </w:p>
    <w:p w14:paraId="05F7ED56">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（十一）发生较大及以上突发环境事件的；</w:t>
      </w:r>
    </w:p>
    <w:p w14:paraId="4B165345">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（十二）被环保部门挂牌督办，整改逾期未完成的；</w:t>
      </w:r>
    </w:p>
    <w:p w14:paraId="606D6BC1">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（十三）以暴力、威胁等方式拒绝、阻挠环保部门工作人员现场检查的；</w:t>
      </w:r>
    </w:p>
    <w:p w14:paraId="331DB675">
      <w:pPr>
        <w:widowControl/>
        <w:autoSpaceDE w:val="0"/>
        <w:spacing w:line="480" w:lineRule="exact"/>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（十四）违反重污染天气应急预案有关规定，对重污染天气响应不力的。</w:t>
      </w:r>
    </w:p>
    <w:p w14:paraId="5751D614">
      <w:pPr>
        <w:widowControl/>
        <w:autoSpaceDE w:val="0"/>
        <w:spacing w:line="480" w:lineRule="exact"/>
        <w:ind w:firstLine="482" w:firstLineChars="200"/>
        <w:jc w:val="left"/>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依据：《关于对环境保护领域失信生产经营单位及其有关人员开展联合惩戒的合作备忘录》、《企业环境信用评价办法（试行）》（环发〔2013〕150号）</w:t>
      </w:r>
    </w:p>
    <w:p w14:paraId="06FCA1BC">
      <w:pPr>
        <w:widowControl/>
        <w:autoSpaceDE w:val="0"/>
        <w:spacing w:line="480" w:lineRule="exact"/>
        <w:ind w:firstLine="482" w:firstLineChars="20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 xml:space="preserve"> </w:t>
      </w:r>
    </w:p>
    <w:p w14:paraId="5277D3B6">
      <w:pPr>
        <w:widowControl/>
        <w:autoSpaceDE w:val="0"/>
        <w:spacing w:line="480" w:lineRule="exact"/>
        <w:ind w:firstLine="482" w:firstLineChars="20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三、公共资源交易领域严重失信行为</w:t>
      </w:r>
    </w:p>
    <w:p w14:paraId="4F3D2B8A">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（一）违反法律规定，必须进行招标的项目而不招标的，将必须进行招标的项目化整为零或者以其他任何方式规避招标的； </w:t>
      </w:r>
    </w:p>
    <w:p w14:paraId="61FA0CC9">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（二）招标代理机构违反法律规定，泄露应当保密的与招标投标活动有关的情况和资料的，或者与招标人、投标人串通损害 国家利益、社会公共利益或者他人合法权益的；</w:t>
      </w:r>
    </w:p>
    <w:p w14:paraId="012B46DB">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（三）招标人以不合理的条件限制或者排斥潜在投标人的，对潜在投标人实行歧视待遇的，强制要求投标人组成联合体共同 投标的，或者限制投标人之间竞争的；</w:t>
      </w:r>
    </w:p>
    <w:p w14:paraId="2C7658BF">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（四）依法必须进行招标的项目的招标人向他人透露已获取招标文件的潜在投标人的名称、数量或者可能影响公平竞争的有 关招标投标的其他情况的，或者泄露标底的；</w:t>
      </w:r>
    </w:p>
    <w:p w14:paraId="20E73F08">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（五）投标人相互串通投标或者与招标人串通投标的，投标人以向招标人或者评标委员会成员行贿的手段谋取中标的； </w:t>
      </w:r>
    </w:p>
    <w:p w14:paraId="6338862F">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（六）投标人以他人名义投标或者以其他方式弄虚作假，骗取中标的；</w:t>
      </w:r>
    </w:p>
    <w:p w14:paraId="2D7079DF">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（七）依法必须进行招标的项目，招标人违反法律规定，与投标人就投标价格、投标方案等实质性内容进行谈判的；</w:t>
      </w:r>
    </w:p>
    <w:p w14:paraId="568382B4">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62C87A33">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（九）招标人在评标委员会依法推荐的中标候选人以外确定中标人的，依法必须进行招标的项目在所有投标被评标委员会否 决后自行确定中标人的； </w:t>
      </w:r>
    </w:p>
    <w:p w14:paraId="13D0D183">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（十）中标人将中标项目转让给他人的，将中标项目肢解后分别转让给他人的，违反法律规定将中标项目的部分主体、关键 性工作分包给他人的，或者分包人再次分包的； </w:t>
      </w:r>
    </w:p>
    <w:p w14:paraId="0C53CEFD">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（十一）招标人与中标人不按照招标文件和中标人的投标文件订立合同的，或者招标人、中标人订立背离合同实质性内容的 协议的； </w:t>
      </w:r>
    </w:p>
    <w:p w14:paraId="26452FC1">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（十二）中标人不按照与招标人订立的合同履行义务，情节严重的； </w:t>
      </w:r>
    </w:p>
    <w:p w14:paraId="2023AA6E">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56860E52">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35C8C695">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（十五）采购人对应当实行集中采购的政府采购项目，不委托集中采购机构实行集中采购的； </w:t>
      </w:r>
    </w:p>
    <w:p w14:paraId="4EA5D063">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（十六）采购人、采购代理机构违反法律规定隐匿、销毁应当保存的采购文件或者伪造、变造采购文件的； </w:t>
      </w:r>
    </w:p>
    <w:p w14:paraId="1409B786">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3C39F4AA">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（十八）疫苗生产企业向县级疾病预防控制机构以外的单位或者个人销售第二类疫苗的； </w:t>
      </w:r>
    </w:p>
    <w:p w14:paraId="7295F889">
      <w:pPr>
        <w:widowControl/>
        <w:autoSpaceDE w:val="0"/>
        <w:spacing w:line="480" w:lineRule="exact"/>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（十九）存在其他违反公共资源交易法律法规行为的。</w:t>
      </w:r>
    </w:p>
    <w:p w14:paraId="4DC31265">
      <w:pPr>
        <w:widowControl/>
        <w:autoSpaceDE w:val="0"/>
        <w:spacing w:line="480" w:lineRule="exact"/>
        <w:ind w:firstLine="482" w:firstLineChars="200"/>
        <w:jc w:val="left"/>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依据：《关于对公共资源交易领域严重失信主体开展联合惩戒的备忘录》（发改法规〔2018〕457号）</w:t>
      </w:r>
    </w:p>
    <w:p w14:paraId="7A9F4B6C">
      <w:pPr>
        <w:widowControl/>
        <w:autoSpaceDE w:val="0"/>
        <w:spacing w:line="480" w:lineRule="exact"/>
        <w:ind w:firstLine="482" w:firstLineChars="20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 xml:space="preserve"> </w:t>
      </w:r>
    </w:p>
    <w:p w14:paraId="71B676B8">
      <w:pPr>
        <w:widowControl/>
        <w:autoSpaceDE w:val="0"/>
        <w:spacing w:line="480" w:lineRule="exact"/>
        <w:ind w:firstLine="482" w:firstLineChars="20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四、社会保险领域严重失信行为</w:t>
      </w:r>
    </w:p>
    <w:p w14:paraId="548B5E0E">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（一）用人单位未按相关规定参加社会保险且拒不整改的； </w:t>
      </w:r>
    </w:p>
    <w:p w14:paraId="11E4A690">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（二）用人单位未如实申报社会保险缴费基数且拒不整改的； </w:t>
      </w:r>
    </w:p>
    <w:p w14:paraId="5DD8328C">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（三）应缴纳社会保险费却拒不缴纳的； </w:t>
      </w:r>
    </w:p>
    <w:p w14:paraId="3AB250A2">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（四）隐匿、转移、侵占、挪用社会保险费款、基金或者违规投资运营的；</w:t>
      </w:r>
    </w:p>
    <w:p w14:paraId="33CFAE39">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（五）以欺诈、伪造证明材料或者其他手段参加、申报社会保险和骗取社会保险基金支出或社会保险待遇的； </w:t>
      </w:r>
    </w:p>
    <w:p w14:paraId="66A692BA">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（六）非法获取、出售或变相交易社会保险个人权益数据的； </w:t>
      </w:r>
    </w:p>
    <w:p w14:paraId="6D3B0824">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（七）社会保险服务机构违反服务协议或相关规定的； </w:t>
      </w:r>
    </w:p>
    <w:p w14:paraId="488B8E5A">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（八）拒绝协助社会保险行政部门、经办机构对事故和问题进 行调查核实的；拒绝接受或协助税务部门对社会保险实施监督检查， 不如实提供与社会保险相关各项资料的； </w:t>
      </w:r>
    </w:p>
    <w:p w14:paraId="35279759">
      <w:pPr>
        <w:widowControl/>
        <w:autoSpaceDE w:val="0"/>
        <w:spacing w:line="480" w:lineRule="exact"/>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（九）其他违反法律法规规定的。</w:t>
      </w:r>
    </w:p>
    <w:p w14:paraId="613721C4">
      <w:pPr>
        <w:widowControl/>
        <w:autoSpaceDE w:val="0"/>
        <w:spacing w:line="480" w:lineRule="exact"/>
        <w:ind w:firstLine="482" w:firstLineChars="200"/>
        <w:jc w:val="left"/>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依据：《关于对社会保险领域严重失信企业及其有关人员实施联合惩戒的合作备忘录》（发改财金〔2018〕1704号）</w:t>
      </w:r>
    </w:p>
    <w:p w14:paraId="5F03018A">
      <w:pPr>
        <w:widowControl/>
        <w:autoSpaceDE w:val="0"/>
        <w:spacing w:line="480" w:lineRule="exact"/>
        <w:ind w:firstLine="482" w:firstLineChars="20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 xml:space="preserve"> </w:t>
      </w:r>
    </w:p>
    <w:p w14:paraId="0CBEB378">
      <w:pPr>
        <w:widowControl/>
        <w:autoSpaceDE w:val="0"/>
        <w:spacing w:line="480" w:lineRule="exact"/>
        <w:ind w:firstLine="482" w:firstLineChars="20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五、建筑市场领域严重失信行为</w:t>
      </w:r>
    </w:p>
    <w:p w14:paraId="20FC2F48">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（一）利用虚假材料、以欺骗手段取得企业资质的；</w:t>
      </w:r>
    </w:p>
    <w:p w14:paraId="43E8CB42">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（二）发生转包、出借资质，受到行政处罚的；</w:t>
      </w:r>
    </w:p>
    <w:p w14:paraId="6CC2EC0C">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（三）发生重大及以上工程质量安全事故，或1年内累计发生2次及以上较大工程质量安全事故，或发生性质恶劣、危害性严重、社会影响大的较大工程质量安全事故，受到行政处罚的；</w:t>
      </w:r>
    </w:p>
    <w:p w14:paraId="4945F551">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（四）经法院判决或仲裁机构裁决，认定为拖欠工程款,且拒不履行生效法律文书确定的义务的。</w:t>
      </w:r>
    </w:p>
    <w:p w14:paraId="25BBEBDE">
      <w:pPr>
        <w:widowControl/>
        <w:autoSpaceDE w:val="0"/>
        <w:spacing w:line="480" w:lineRule="exact"/>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各级住房城乡建设主管部门应当参照建筑市场主体“黑名单”，对被人力资源社会保障行政部门列入拖欠农民工工资“黑名单”的建筑市场各方主体加强监管。</w:t>
      </w:r>
    </w:p>
    <w:p w14:paraId="442F8D7E">
      <w:pPr>
        <w:widowControl/>
        <w:autoSpaceDE w:val="0"/>
        <w:spacing w:line="480" w:lineRule="exact"/>
        <w:ind w:firstLine="482"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b/>
          <w:color w:val="auto"/>
          <w:kern w:val="0"/>
          <w:sz w:val="24"/>
          <w:szCs w:val="24"/>
          <w:highlight w:val="none"/>
          <w:lang w:bidi="ar"/>
        </w:rPr>
        <w:t>依据：《建筑市场信用管理暂行办法》（建市〔2017〕241号）</w:t>
      </w:r>
    </w:p>
    <w:p w14:paraId="6784DD1E">
      <w:pPr>
        <w:widowControl/>
        <w:autoSpaceDE w:val="0"/>
        <w:spacing w:line="480" w:lineRule="exact"/>
        <w:ind w:firstLine="482" w:firstLineChars="20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 xml:space="preserve"> </w:t>
      </w:r>
    </w:p>
    <w:p w14:paraId="570A3267">
      <w:pPr>
        <w:widowControl/>
        <w:autoSpaceDE w:val="0"/>
        <w:spacing w:line="480" w:lineRule="exact"/>
        <w:ind w:firstLine="482" w:firstLineChars="20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六、政府采购严重失信行为</w:t>
      </w:r>
    </w:p>
    <w:p w14:paraId="2BEE9DF6">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供应商、采购代理机构在三年内受到财政部门作出下列情形之一的行政处罚，列入政府采购严重违法失信行为记录名单。</w:t>
      </w:r>
    </w:p>
    <w:p w14:paraId="6C98CE7E">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（一）三万元以上罚款；</w:t>
      </w:r>
    </w:p>
    <w:p w14:paraId="414E1DB9">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（二）在一至三年内禁止参加政府采购活动（处罚期限届满的除外）；</w:t>
      </w:r>
    </w:p>
    <w:p w14:paraId="505D2908">
      <w:pPr>
        <w:widowControl/>
        <w:autoSpaceDE w:val="0"/>
        <w:spacing w:line="480" w:lineRule="exact"/>
        <w:ind w:firstLine="480" w:firstLineChars="200"/>
        <w:jc w:val="left"/>
        <w:textAlignment w:val="baseline"/>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（三）在一至三年内禁止代理政府采购业务（处罚期限届满的除外）；</w:t>
      </w:r>
    </w:p>
    <w:p w14:paraId="6D1C622E">
      <w:pPr>
        <w:widowControl/>
        <w:autoSpaceDE w:val="0"/>
        <w:spacing w:line="480" w:lineRule="exact"/>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（四）撤销政府采购代理机构资格（仅针对《政府采购法》第78条修改前作出的处罚决定）。</w:t>
      </w:r>
    </w:p>
    <w:p w14:paraId="4BEEF560">
      <w:pPr>
        <w:widowControl/>
        <w:autoSpaceDE w:val="0"/>
        <w:spacing w:line="480" w:lineRule="exact"/>
        <w:ind w:firstLine="482" w:firstLineChars="200"/>
        <w:jc w:val="left"/>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依据：《关于报送政府采购严重违法失信行为信息记录的通知》（财办库〔2014〕526号）</w:t>
      </w:r>
    </w:p>
    <w:p w14:paraId="7D4B4432">
      <w:pPr>
        <w:widowControl/>
        <w:autoSpaceDE w:val="0"/>
        <w:spacing w:line="48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p w14:paraId="742048A3">
      <w:pPr>
        <w:widowControl/>
        <w:autoSpaceDE w:val="0"/>
        <w:spacing w:line="480" w:lineRule="exact"/>
        <w:ind w:firstLine="482" w:firstLineChars="200"/>
        <w:jc w:val="left"/>
        <w:textAlignment w:val="baseline"/>
        <w:rPr>
          <w:rFonts w:hint="eastAsia" w:ascii="FangSong_GB2312" w:eastAsia="FangSong_GB2312"/>
          <w:b/>
          <w:color w:val="auto"/>
          <w:sz w:val="32"/>
          <w:szCs w:val="32"/>
          <w:highlight w:val="none"/>
        </w:rPr>
      </w:pPr>
      <w:r>
        <w:rPr>
          <w:rFonts w:hint="eastAsia" w:ascii="宋体" w:hAnsi="宋体" w:eastAsia="宋体" w:cs="宋体"/>
          <w:b/>
          <w:color w:val="auto"/>
          <w:kern w:val="0"/>
          <w:sz w:val="24"/>
          <w:szCs w:val="24"/>
          <w:highlight w:val="none"/>
          <w:lang w:bidi="ar"/>
        </w:rPr>
        <w:t>未列出的其他类别严重失信行为，由招标人（代理机构）根据各类别行业主管部门下发的联合惩戒文件进行判断</w:t>
      </w:r>
      <w:r>
        <w:rPr>
          <w:rFonts w:hint="eastAsia" w:ascii="仿宋_GB2312" w:hAnsi="宋体" w:eastAsia="仿宋_GB2312"/>
          <w:b/>
          <w:color w:val="auto"/>
          <w:sz w:val="32"/>
          <w:szCs w:val="32"/>
          <w:highlight w:val="none"/>
        </w:rPr>
        <w:t>。</w:t>
      </w:r>
    </w:p>
    <w:p w14:paraId="6B787C9A">
      <w:pPr>
        <w:pStyle w:val="5"/>
        <w:tabs>
          <w:tab w:val="left" w:pos="0"/>
          <w:tab w:val="left" w:pos="3165"/>
          <w:tab w:val="center" w:pos="4153"/>
        </w:tabs>
        <w:autoSpaceDE w:val="0"/>
        <w:autoSpaceDN w:val="0"/>
        <w:adjustRightInd w:val="0"/>
        <w:spacing w:before="0" w:after="0" w:line="240" w:lineRule="auto"/>
        <w:rPr>
          <w:rFonts w:hint="eastAsia" w:ascii="宋体"/>
          <w:b w:val="0"/>
          <w:color w:val="auto"/>
          <w:szCs w:val="32"/>
          <w:highlight w:val="none"/>
        </w:rPr>
      </w:pPr>
      <w:bookmarkStart w:id="129" w:name="_Toc449028957"/>
      <w:bookmarkStart w:id="130" w:name="_Toc25631"/>
      <w:bookmarkStart w:id="131" w:name="_Toc58430333"/>
      <w:r>
        <w:rPr>
          <w:rFonts w:hint="eastAsia" w:ascii="华文中宋" w:hAnsi="华文中宋" w:eastAsia="华文中宋"/>
          <w:color w:val="auto"/>
          <w:highlight w:val="none"/>
        </w:rPr>
        <w:t xml:space="preserve"> 第</w:t>
      </w:r>
      <w:r>
        <w:rPr>
          <w:rFonts w:hint="eastAsia" w:ascii="华文中宋" w:hAnsi="华文中宋" w:eastAsia="华文中宋"/>
          <w:color w:val="auto"/>
          <w:highlight w:val="none"/>
          <w:lang w:val="en-US" w:eastAsia="zh-CN"/>
        </w:rPr>
        <w:t>八</w:t>
      </w:r>
      <w:r>
        <w:rPr>
          <w:rFonts w:hint="eastAsia" w:ascii="华文中宋" w:hAnsi="华文中宋" w:eastAsia="华文中宋"/>
          <w:color w:val="auto"/>
          <w:highlight w:val="none"/>
        </w:rPr>
        <w:t>章 招标人、代理机构对本招标文件的确认</w:t>
      </w:r>
      <w:bookmarkEnd w:id="129"/>
      <w:bookmarkEnd w:id="130"/>
      <w:bookmarkEnd w:id="131"/>
    </w:p>
    <w:p w14:paraId="3FD3E308">
      <w:pPr>
        <w:pStyle w:val="5"/>
        <w:tabs>
          <w:tab w:val="left" w:pos="0"/>
          <w:tab w:val="left" w:pos="3165"/>
          <w:tab w:val="center" w:pos="4153"/>
        </w:tabs>
        <w:autoSpaceDE w:val="0"/>
        <w:autoSpaceDN w:val="0"/>
        <w:adjustRightInd w:val="0"/>
        <w:spacing w:before="0" w:after="0" w:line="240" w:lineRule="auto"/>
        <w:outlineLvl w:val="9"/>
        <w:rPr>
          <w:rFonts w:hint="eastAsia" w:ascii="宋体"/>
          <w:color w:val="auto"/>
          <w:sz w:val="24"/>
          <w:highlight w:val="none"/>
          <w:u w:val="single"/>
        </w:rPr>
      </w:pPr>
    </w:p>
    <w:bookmarkEnd w:id="0"/>
    <w:tbl>
      <w:tblPr>
        <w:tblStyle w:val="35"/>
        <w:tblW w:w="0" w:type="auto"/>
        <w:jc w:val="center"/>
        <w:tblLayout w:type="fixed"/>
        <w:tblCellMar>
          <w:top w:w="0" w:type="dxa"/>
          <w:left w:w="108" w:type="dxa"/>
          <w:bottom w:w="0" w:type="dxa"/>
          <w:right w:w="108" w:type="dxa"/>
        </w:tblCellMar>
      </w:tblPr>
      <w:tblGrid>
        <w:gridCol w:w="9460"/>
      </w:tblGrid>
      <w:tr w14:paraId="094BABAF">
        <w:tblPrEx>
          <w:tblCellMar>
            <w:top w:w="0" w:type="dxa"/>
            <w:left w:w="108" w:type="dxa"/>
            <w:bottom w:w="0" w:type="dxa"/>
            <w:right w:w="108" w:type="dxa"/>
          </w:tblCellMar>
        </w:tblPrEx>
        <w:trPr>
          <w:trHeight w:val="5962" w:hRule="atLeast"/>
          <w:jc w:val="center"/>
        </w:trPr>
        <w:tc>
          <w:tcPr>
            <w:tcW w:w="9460" w:type="dxa"/>
            <w:tcBorders>
              <w:top w:val="single" w:color="auto" w:sz="4" w:space="0"/>
              <w:left w:val="single" w:color="auto" w:sz="4" w:space="0"/>
              <w:bottom w:val="single" w:color="auto" w:sz="4" w:space="0"/>
              <w:right w:val="single" w:color="auto" w:sz="4" w:space="0"/>
            </w:tcBorders>
            <w:noWrap w:val="0"/>
            <w:vAlign w:val="top"/>
          </w:tcPr>
          <w:p w14:paraId="7970D743">
            <w:pPr>
              <w:spacing w:line="440" w:lineRule="exact"/>
              <w:ind w:firstLine="560" w:firstLineChars="200"/>
              <w:rPr>
                <w:rFonts w:hint="eastAsia" w:ascii="宋体" w:cs="宋体"/>
                <w:color w:val="auto"/>
                <w:sz w:val="28"/>
                <w:szCs w:val="28"/>
                <w:highlight w:val="none"/>
              </w:rPr>
            </w:pPr>
          </w:p>
          <w:p w14:paraId="48E75935">
            <w:pPr>
              <w:spacing w:after="156" w:afterLines="50"/>
              <w:rPr>
                <w:rFonts w:hint="eastAsia" w:ascii="宋体" w:cs="宋体"/>
                <w:color w:val="auto"/>
                <w:sz w:val="28"/>
                <w:szCs w:val="28"/>
                <w:highlight w:val="none"/>
              </w:rPr>
            </w:pPr>
            <w:r>
              <w:rPr>
                <w:rFonts w:hint="eastAsia" w:ascii="宋体" w:cs="宋体"/>
                <w:color w:val="auto"/>
                <w:sz w:val="28"/>
                <w:szCs w:val="28"/>
                <w:highlight w:val="none"/>
              </w:rPr>
              <w:t xml:space="preserve">  我单位对</w:t>
            </w:r>
            <w:r>
              <w:rPr>
                <w:rFonts w:hint="eastAsia" w:ascii="宋体" w:cs="宋体"/>
                <w:color w:val="auto"/>
                <w:sz w:val="28"/>
                <w:szCs w:val="28"/>
                <w:highlight w:val="none"/>
                <w:u w:val="single"/>
              </w:rPr>
              <w:t xml:space="preserve"> </w:t>
            </w:r>
            <w:r>
              <w:rPr>
                <w:rFonts w:hint="eastAsia" w:ascii="宋体" w:cs="宋体"/>
                <w:color w:val="auto"/>
                <w:sz w:val="28"/>
                <w:szCs w:val="28"/>
                <w:highlight w:val="none"/>
                <w:u w:val="single"/>
                <w:lang w:eastAsia="zh-CN"/>
              </w:rPr>
              <w:t>滁州大剧院物业管理服务项目</w:t>
            </w:r>
            <w:r>
              <w:rPr>
                <w:rFonts w:hint="eastAsia" w:ascii="宋体" w:cs="宋体"/>
                <w:color w:val="auto"/>
                <w:sz w:val="28"/>
                <w:szCs w:val="28"/>
                <w:highlight w:val="none"/>
                <w:u w:val="single"/>
              </w:rPr>
              <w:t xml:space="preserve"> </w:t>
            </w:r>
            <w:r>
              <w:rPr>
                <w:rFonts w:hint="eastAsia" w:ascii="宋体" w:cs="宋体"/>
                <w:color w:val="auto"/>
                <w:sz w:val="28"/>
                <w:szCs w:val="28"/>
                <w:highlight w:val="none"/>
              </w:rPr>
              <w:t>的招标文件进行确认。</w:t>
            </w:r>
          </w:p>
          <w:p w14:paraId="440F8221">
            <w:pPr>
              <w:spacing w:line="540" w:lineRule="exact"/>
              <w:ind w:firstLine="560" w:firstLineChars="200"/>
              <w:rPr>
                <w:rFonts w:hint="eastAsia" w:ascii="宋体" w:eastAsia="宋体" w:cs="宋体"/>
                <w:color w:val="auto"/>
                <w:sz w:val="28"/>
                <w:szCs w:val="28"/>
                <w:highlight w:val="none"/>
                <w:lang w:eastAsia="zh-CN"/>
              </w:rPr>
            </w:pPr>
            <w:r>
              <w:rPr>
                <w:rFonts w:hint="eastAsia" w:ascii="宋体" w:cs="宋体"/>
                <w:color w:val="auto"/>
                <w:sz w:val="28"/>
                <w:szCs w:val="28"/>
                <w:highlight w:val="none"/>
              </w:rPr>
              <w:t>招标单位：</w:t>
            </w:r>
            <w:r>
              <w:rPr>
                <w:rFonts w:hint="eastAsia" w:ascii="宋体" w:cs="宋体"/>
                <w:color w:val="auto"/>
                <w:sz w:val="28"/>
                <w:szCs w:val="28"/>
                <w:highlight w:val="none"/>
                <w:lang w:val="en-US" w:eastAsia="zh-CN"/>
              </w:rPr>
              <w:t>滁州大剧院有限公司</w:t>
            </w:r>
          </w:p>
          <w:p w14:paraId="0D231B8A">
            <w:pPr>
              <w:spacing w:line="540" w:lineRule="exact"/>
              <w:ind w:firstLine="560" w:firstLineChars="200"/>
              <w:rPr>
                <w:rFonts w:hint="default" w:ascii="宋体" w:eastAsia="宋体" w:cs="宋体"/>
                <w:color w:val="auto"/>
                <w:sz w:val="28"/>
                <w:szCs w:val="28"/>
                <w:highlight w:val="none"/>
                <w:lang w:val="en-US" w:eastAsia="zh-CN"/>
              </w:rPr>
            </w:pPr>
            <w:r>
              <w:rPr>
                <w:rFonts w:hint="eastAsia" w:ascii="宋体" w:cs="宋体"/>
                <w:color w:val="auto"/>
                <w:sz w:val="28"/>
                <w:szCs w:val="28"/>
                <w:highlight w:val="none"/>
              </w:rPr>
              <w:t>委托代理人：</w:t>
            </w:r>
            <w:r>
              <w:rPr>
                <w:rFonts w:hint="eastAsia" w:ascii="宋体" w:cs="宋体"/>
                <w:color w:val="auto"/>
                <w:sz w:val="28"/>
                <w:szCs w:val="28"/>
                <w:highlight w:val="none"/>
                <w:lang w:val="en-US" w:eastAsia="zh-CN"/>
              </w:rPr>
              <w:t>夏春立</w:t>
            </w:r>
          </w:p>
          <w:p w14:paraId="0A68A5A7">
            <w:pPr>
              <w:spacing w:line="540" w:lineRule="exact"/>
              <w:ind w:firstLine="560" w:firstLineChars="200"/>
              <w:rPr>
                <w:rFonts w:hint="default" w:ascii="宋体" w:eastAsia="宋体" w:cs="宋体"/>
                <w:color w:val="auto"/>
                <w:sz w:val="28"/>
                <w:szCs w:val="28"/>
                <w:highlight w:val="none"/>
                <w:lang w:val="en-US" w:eastAsia="zh-CN"/>
              </w:rPr>
            </w:pPr>
            <w:r>
              <w:rPr>
                <w:rFonts w:hint="eastAsia" w:ascii="宋体" w:cs="宋体"/>
                <w:color w:val="auto"/>
                <w:sz w:val="28"/>
                <w:szCs w:val="28"/>
                <w:highlight w:val="none"/>
              </w:rPr>
              <w:t>联系电话：</w:t>
            </w:r>
            <w:r>
              <w:rPr>
                <w:rFonts w:hint="eastAsia" w:ascii="宋体" w:cs="宋体"/>
                <w:color w:val="auto"/>
                <w:sz w:val="28"/>
                <w:szCs w:val="28"/>
                <w:highlight w:val="none"/>
                <w:lang w:eastAsia="zh-CN"/>
              </w:rPr>
              <w:t>18109600828</w:t>
            </w:r>
          </w:p>
          <w:p w14:paraId="56352ACB">
            <w:pPr>
              <w:spacing w:line="540" w:lineRule="exact"/>
              <w:ind w:firstLine="7140" w:firstLineChars="2550"/>
              <w:rPr>
                <w:rFonts w:hint="eastAsia" w:ascii="宋体" w:cs="宋体"/>
                <w:color w:val="auto"/>
                <w:sz w:val="28"/>
                <w:szCs w:val="28"/>
                <w:highlight w:val="none"/>
              </w:rPr>
            </w:pPr>
          </w:p>
          <w:p w14:paraId="1DB446CF">
            <w:pPr>
              <w:spacing w:line="540" w:lineRule="exact"/>
              <w:ind w:firstLine="7140" w:firstLineChars="2550"/>
              <w:rPr>
                <w:rFonts w:hint="eastAsia" w:ascii="宋体" w:cs="宋体"/>
                <w:color w:val="auto"/>
                <w:sz w:val="28"/>
                <w:szCs w:val="28"/>
                <w:highlight w:val="none"/>
              </w:rPr>
            </w:pPr>
            <w:r>
              <w:rPr>
                <w:rFonts w:hint="eastAsia" w:ascii="宋体" w:cs="宋体"/>
                <w:color w:val="auto"/>
                <w:sz w:val="28"/>
                <w:szCs w:val="28"/>
                <w:highlight w:val="none"/>
              </w:rPr>
              <w:t>（盖单位章）</w:t>
            </w:r>
          </w:p>
          <w:p w14:paraId="4854D245">
            <w:pPr>
              <w:spacing w:line="540" w:lineRule="exact"/>
              <w:jc w:val="right"/>
              <w:rPr>
                <w:rFonts w:ascii="宋体" w:cs="宋体"/>
                <w:color w:val="auto"/>
                <w:sz w:val="28"/>
                <w:szCs w:val="28"/>
                <w:highlight w:val="none"/>
              </w:rPr>
            </w:pPr>
            <w:r>
              <w:rPr>
                <w:rFonts w:hint="eastAsia" w:ascii="宋体" w:cs="宋体"/>
                <w:color w:val="auto"/>
                <w:sz w:val="28"/>
                <w:szCs w:val="28"/>
                <w:highlight w:val="none"/>
              </w:rPr>
              <w:t>202</w:t>
            </w:r>
            <w:r>
              <w:rPr>
                <w:rFonts w:hint="eastAsia" w:ascii="宋体" w:cs="宋体"/>
                <w:color w:val="auto"/>
                <w:sz w:val="28"/>
                <w:szCs w:val="28"/>
                <w:highlight w:val="none"/>
                <w:lang w:val="en-US" w:eastAsia="zh-CN"/>
              </w:rPr>
              <w:t>5</w:t>
            </w:r>
            <w:r>
              <w:rPr>
                <w:rFonts w:hint="eastAsia" w:ascii="宋体" w:cs="宋体"/>
                <w:color w:val="auto"/>
                <w:sz w:val="28"/>
                <w:szCs w:val="28"/>
                <w:highlight w:val="none"/>
              </w:rPr>
              <w:t>年</w:t>
            </w:r>
            <w:r>
              <w:rPr>
                <w:rFonts w:hint="eastAsia" w:ascii="宋体" w:cs="宋体"/>
                <w:color w:val="auto"/>
                <w:sz w:val="28"/>
                <w:szCs w:val="28"/>
                <w:highlight w:val="none"/>
                <w:lang w:val="en-US" w:eastAsia="zh-CN"/>
              </w:rPr>
              <w:t>9</w:t>
            </w:r>
            <w:r>
              <w:rPr>
                <w:rFonts w:hint="eastAsia" w:ascii="宋体" w:cs="宋体"/>
                <w:color w:val="auto"/>
                <w:sz w:val="28"/>
                <w:szCs w:val="28"/>
                <w:highlight w:val="none"/>
              </w:rPr>
              <w:t>月</w:t>
            </w:r>
          </w:p>
        </w:tc>
      </w:tr>
      <w:tr w14:paraId="2CDCC578">
        <w:tblPrEx>
          <w:tblCellMar>
            <w:top w:w="0" w:type="dxa"/>
            <w:left w:w="108" w:type="dxa"/>
            <w:bottom w:w="0" w:type="dxa"/>
            <w:right w:w="108" w:type="dxa"/>
          </w:tblCellMar>
        </w:tblPrEx>
        <w:trPr>
          <w:trHeight w:val="5471" w:hRule="atLeast"/>
          <w:jc w:val="center"/>
        </w:trPr>
        <w:tc>
          <w:tcPr>
            <w:tcW w:w="9460" w:type="dxa"/>
            <w:tcBorders>
              <w:top w:val="single" w:color="auto" w:sz="4" w:space="0"/>
              <w:left w:val="single" w:color="auto" w:sz="4" w:space="0"/>
              <w:bottom w:val="single" w:color="auto" w:sz="4" w:space="0"/>
              <w:right w:val="single" w:color="auto" w:sz="4" w:space="0"/>
            </w:tcBorders>
            <w:noWrap w:val="0"/>
            <w:vAlign w:val="top"/>
          </w:tcPr>
          <w:p w14:paraId="4F874531">
            <w:pPr>
              <w:spacing w:line="440" w:lineRule="exact"/>
              <w:rPr>
                <w:rFonts w:hint="eastAsia" w:ascii="宋体" w:cs="宋体"/>
                <w:color w:val="auto"/>
                <w:sz w:val="28"/>
                <w:szCs w:val="28"/>
                <w:highlight w:val="none"/>
              </w:rPr>
            </w:pPr>
          </w:p>
          <w:p w14:paraId="283C7DD4">
            <w:pPr>
              <w:spacing w:line="520" w:lineRule="exact"/>
              <w:ind w:firstLine="560" w:firstLineChars="200"/>
              <w:rPr>
                <w:rFonts w:hint="eastAsia" w:ascii="宋体" w:cs="宋体"/>
                <w:color w:val="auto"/>
                <w:sz w:val="28"/>
                <w:szCs w:val="28"/>
                <w:highlight w:val="none"/>
              </w:rPr>
            </w:pPr>
            <w:r>
              <w:rPr>
                <w:rFonts w:hint="eastAsia" w:ascii="宋体" w:cs="宋体"/>
                <w:color w:val="auto"/>
                <w:sz w:val="28"/>
                <w:szCs w:val="28"/>
                <w:highlight w:val="none"/>
              </w:rPr>
              <w:t>招标代理机构：滁州市城投工程咨询管理有限公司</w:t>
            </w:r>
          </w:p>
          <w:p w14:paraId="78B85A2A">
            <w:pPr>
              <w:spacing w:line="520" w:lineRule="exact"/>
              <w:ind w:firstLine="560" w:firstLineChars="200"/>
              <w:rPr>
                <w:rFonts w:hint="eastAsia" w:ascii="宋体" w:eastAsia="宋体" w:cs="宋体"/>
                <w:color w:val="auto"/>
                <w:sz w:val="28"/>
                <w:szCs w:val="28"/>
                <w:highlight w:val="none"/>
                <w:lang w:eastAsia="zh-CN"/>
              </w:rPr>
            </w:pPr>
            <w:r>
              <w:rPr>
                <w:rFonts w:hint="eastAsia" w:ascii="宋体" w:cs="宋体"/>
                <w:color w:val="auto"/>
                <w:sz w:val="28"/>
                <w:szCs w:val="28"/>
                <w:highlight w:val="none"/>
              </w:rPr>
              <w:t>经办人：</w:t>
            </w:r>
            <w:r>
              <w:rPr>
                <w:rFonts w:hint="eastAsia" w:ascii="宋体" w:cs="宋体"/>
                <w:color w:val="auto"/>
                <w:sz w:val="28"/>
                <w:szCs w:val="28"/>
                <w:highlight w:val="none"/>
                <w:lang w:eastAsia="zh-CN"/>
              </w:rPr>
              <w:t>关勤勤</w:t>
            </w:r>
          </w:p>
          <w:p w14:paraId="45CA0114">
            <w:pPr>
              <w:spacing w:line="520" w:lineRule="exact"/>
              <w:ind w:firstLine="560" w:firstLineChars="200"/>
              <w:rPr>
                <w:rFonts w:hint="eastAsia" w:ascii="宋体" w:eastAsia="宋体" w:cs="宋体"/>
                <w:color w:val="auto"/>
                <w:sz w:val="28"/>
                <w:szCs w:val="28"/>
                <w:highlight w:val="none"/>
                <w:lang w:eastAsia="zh-CN"/>
              </w:rPr>
            </w:pPr>
            <w:r>
              <w:rPr>
                <w:rFonts w:hint="eastAsia" w:ascii="宋体" w:cs="宋体"/>
                <w:color w:val="auto"/>
                <w:sz w:val="28"/>
                <w:szCs w:val="28"/>
                <w:highlight w:val="none"/>
              </w:rPr>
              <w:t>电  话：</w:t>
            </w:r>
            <w:r>
              <w:rPr>
                <w:rFonts w:hint="eastAsia" w:ascii="宋体" w:cs="宋体"/>
                <w:color w:val="auto"/>
                <w:sz w:val="28"/>
                <w:szCs w:val="28"/>
                <w:highlight w:val="none"/>
                <w:lang w:eastAsia="zh-CN"/>
              </w:rPr>
              <w:t>18909605753</w:t>
            </w:r>
          </w:p>
          <w:p w14:paraId="2CF61197">
            <w:pPr>
              <w:spacing w:line="520" w:lineRule="exact"/>
              <w:ind w:firstLine="6300" w:firstLineChars="2250"/>
              <w:rPr>
                <w:rFonts w:hint="eastAsia" w:ascii="宋体" w:cs="宋体"/>
                <w:color w:val="auto"/>
                <w:sz w:val="28"/>
                <w:szCs w:val="28"/>
                <w:highlight w:val="none"/>
              </w:rPr>
            </w:pPr>
          </w:p>
          <w:p w14:paraId="44D0AF00">
            <w:pPr>
              <w:pStyle w:val="2"/>
              <w:rPr>
                <w:rFonts w:hint="eastAsia"/>
                <w:color w:val="auto"/>
                <w:kern w:val="2"/>
                <w:sz w:val="21"/>
                <w:szCs w:val="24"/>
                <w:highlight w:val="none"/>
              </w:rPr>
            </w:pPr>
          </w:p>
          <w:p w14:paraId="51877551">
            <w:pPr>
              <w:spacing w:line="520" w:lineRule="exact"/>
              <w:ind w:firstLine="6580" w:firstLineChars="2350"/>
              <w:rPr>
                <w:rFonts w:hint="eastAsia" w:ascii="宋体" w:cs="宋体"/>
                <w:color w:val="auto"/>
                <w:sz w:val="28"/>
                <w:szCs w:val="28"/>
                <w:highlight w:val="none"/>
              </w:rPr>
            </w:pPr>
          </w:p>
          <w:p w14:paraId="51799385">
            <w:pPr>
              <w:spacing w:line="520" w:lineRule="exact"/>
              <w:ind w:firstLine="7140" w:firstLineChars="2550"/>
              <w:rPr>
                <w:rFonts w:hint="eastAsia" w:ascii="宋体" w:cs="宋体"/>
                <w:color w:val="auto"/>
                <w:sz w:val="28"/>
                <w:szCs w:val="28"/>
                <w:highlight w:val="none"/>
              </w:rPr>
            </w:pPr>
            <w:r>
              <w:rPr>
                <w:rFonts w:hint="eastAsia" w:ascii="宋体" w:cs="宋体"/>
                <w:color w:val="auto"/>
                <w:sz w:val="28"/>
                <w:szCs w:val="28"/>
                <w:highlight w:val="none"/>
              </w:rPr>
              <w:t>（盖单位章）</w:t>
            </w:r>
          </w:p>
          <w:p w14:paraId="3A3ECDD9">
            <w:pPr>
              <w:spacing w:line="540" w:lineRule="exact"/>
              <w:jc w:val="right"/>
              <w:rPr>
                <w:rFonts w:hint="eastAsia" w:ascii="宋体" w:cs="宋体"/>
                <w:color w:val="auto"/>
                <w:sz w:val="28"/>
                <w:szCs w:val="28"/>
                <w:highlight w:val="none"/>
              </w:rPr>
            </w:pPr>
            <w:r>
              <w:rPr>
                <w:rFonts w:hint="eastAsia" w:ascii="宋体" w:cs="宋体"/>
                <w:color w:val="auto"/>
                <w:sz w:val="28"/>
                <w:szCs w:val="28"/>
                <w:highlight w:val="none"/>
              </w:rPr>
              <w:t>202</w:t>
            </w:r>
            <w:r>
              <w:rPr>
                <w:rFonts w:hint="eastAsia" w:ascii="宋体" w:cs="宋体"/>
                <w:color w:val="auto"/>
                <w:sz w:val="28"/>
                <w:szCs w:val="28"/>
                <w:highlight w:val="none"/>
                <w:lang w:val="en-US" w:eastAsia="zh-CN"/>
              </w:rPr>
              <w:t>5</w:t>
            </w:r>
            <w:r>
              <w:rPr>
                <w:rFonts w:hint="eastAsia" w:ascii="宋体" w:cs="宋体"/>
                <w:color w:val="auto"/>
                <w:sz w:val="28"/>
                <w:szCs w:val="28"/>
                <w:highlight w:val="none"/>
              </w:rPr>
              <w:t>年</w:t>
            </w:r>
            <w:r>
              <w:rPr>
                <w:rFonts w:hint="eastAsia" w:ascii="宋体" w:cs="宋体"/>
                <w:color w:val="auto"/>
                <w:sz w:val="28"/>
                <w:szCs w:val="28"/>
                <w:highlight w:val="none"/>
                <w:lang w:val="en-US" w:eastAsia="zh-CN"/>
              </w:rPr>
              <w:t>9</w:t>
            </w:r>
            <w:r>
              <w:rPr>
                <w:rFonts w:hint="eastAsia" w:ascii="宋体" w:cs="宋体"/>
                <w:color w:val="auto"/>
                <w:sz w:val="28"/>
                <w:szCs w:val="28"/>
                <w:highlight w:val="none"/>
              </w:rPr>
              <w:t>月</w:t>
            </w:r>
          </w:p>
        </w:tc>
      </w:tr>
    </w:tbl>
    <w:p w14:paraId="52E6E5F4">
      <w:pPr>
        <w:rPr>
          <w:color w:val="auto"/>
          <w:highlight w:val="none"/>
        </w:rPr>
      </w:pPr>
    </w:p>
    <w:sectPr>
      <w:pgSz w:w="11906" w:h="16838"/>
      <w:pgMar w:top="1440" w:right="1417" w:bottom="1417" w:left="1417"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Times">
    <w:altName w:val="Times New Roman"/>
    <w:panose1 w:val="02020603050405020304"/>
    <w:charset w:val="00"/>
    <w:family w:val="roman"/>
    <w:pitch w:val="default"/>
    <w:sig w:usb0="00000000" w:usb1="00000000" w:usb2="00000009" w:usb3="00000000" w:csb0="000001FF" w:csb1="00000000"/>
  </w:font>
  <w:font w:name="DokChampa">
    <w:altName w:val="Segoe Print"/>
    <w:panose1 w:val="020B0604020202020204"/>
    <w:charset w:val="00"/>
    <w:family w:val="swiss"/>
    <w:pitch w:val="default"/>
    <w:sig w:usb0="00000000" w:usb1="00000000" w:usb2="00000000" w:usb3="00000000" w:csb0="40010001" w:csb1="00000000"/>
  </w:font>
  <w:font w:name="MS Sans Serif">
    <w:altName w:val="Segoe Print"/>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新宋体">
    <w:panose1 w:val="02010609030101010101"/>
    <w:charset w:val="86"/>
    <w:family w:val="modern"/>
    <w:pitch w:val="default"/>
    <w:sig w:usb0="00000283" w:usb1="288F0000" w:usb2="00000006" w:usb3="00000000" w:csb0="00040001" w:csb1="00000000"/>
  </w:font>
  <w:font w:name="华文中宋">
    <w:panose1 w:val="02010600040101010101"/>
    <w:charset w:val="86"/>
    <w:family w:val="auto"/>
    <w:pitch w:val="default"/>
    <w:sig w:usb0="00000287" w:usb1="080F0000" w:usb2="00000000" w:usb3="00000000" w:csb0="0004009F" w:csb1="DFD70000"/>
  </w:font>
  <w:font w:name="宋体-18030">
    <w:altName w:val="宋体"/>
    <w:panose1 w:val="02010609060101010101"/>
    <w:charset w:val="86"/>
    <w:family w:val="modern"/>
    <w:pitch w:val="default"/>
    <w:sig w:usb0="00000000" w:usb1="00000000" w:usb2="000A005E" w:usb3="00000000" w:csb0="00040001" w:csb1="00000000"/>
  </w:font>
  <w:font w:name="FangSong_GB2312">
    <w:altName w:val="仿宋"/>
    <w:panose1 w:val="02010609060101010101"/>
    <w:charset w:val="86"/>
    <w:family w:val="modern"/>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AC920">
    <w:pPr>
      <w:pStyle w:val="23"/>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B7DA9">
    <w:pPr>
      <w:pStyle w:val="17"/>
      <w:spacing w:line="209" w:lineRule="auto"/>
      <w:ind w:left="4068"/>
      <w:rPr>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BAF311">
                          <w:pPr>
                            <w:pStyle w:val="2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DBAF311">
                    <w:pPr>
                      <w:pStyle w:val="2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9799B">
    <w:pPr>
      <w:pStyle w:val="23"/>
      <w:tabs>
        <w:tab w:val="clear" w:pos="4153"/>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2E0AE1">
                          <w:pPr>
                            <w:pStyle w:val="2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22E0AE1">
                    <w:pPr>
                      <w:pStyle w:val="2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54991">
    <w:pPr>
      <w:pStyle w:val="24"/>
      <w:pBdr>
        <w:bottom w:val="none" w:color="auto" w:sz="0" w:space="0"/>
      </w:pBd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chineseCountingThousand"/>
      <w:pStyle w:val="103"/>
      <w:suff w:val="space"/>
      <w:lvlText w:val="%1、"/>
      <w:lvlJc w:val="left"/>
      <w:pPr>
        <w:ind w:left="425" w:hanging="425"/>
      </w:pPr>
      <w:rPr>
        <w:rFonts w:hint="eastAsia"/>
      </w:rPr>
    </w:lvl>
    <w:lvl w:ilvl="1" w:tentative="0">
      <w:start w:val="1"/>
      <w:numFmt w:val="decimal"/>
      <w:suff w:val="space"/>
      <w:lvlText w:val="%2、"/>
      <w:lvlJc w:val="left"/>
      <w:pPr>
        <w:ind w:left="454" w:hanging="454"/>
      </w:pPr>
      <w:rPr>
        <w:rFonts w:hint="eastAsia"/>
      </w:rPr>
    </w:lvl>
    <w:lvl w:ilvl="2" w:tentative="0">
      <w:start w:val="1"/>
      <w:numFmt w:val="decimal"/>
      <w:suff w:val="space"/>
      <w:lvlText w:val="%2.%3"/>
      <w:lvlJc w:val="left"/>
      <w:pPr>
        <w:ind w:left="454" w:hanging="454"/>
      </w:pPr>
      <w:rPr>
        <w:rFonts w:hint="default" w:ascii="Cambria" w:hAnsi="Cambria"/>
      </w:rPr>
    </w:lvl>
    <w:lvl w:ilvl="3" w:tentative="0">
      <w:start w:val="1"/>
      <w:numFmt w:val="decimal"/>
      <w:lvlText w:val="%2.%3.%4"/>
      <w:lvlJc w:val="left"/>
      <w:pPr>
        <w:ind w:left="454" w:hanging="454"/>
      </w:pPr>
      <w:rPr>
        <w:rFonts w:hint="eastAsia"/>
      </w:rPr>
    </w:lvl>
    <w:lvl w:ilvl="4" w:tentative="0">
      <w:start w:val="1"/>
      <w:numFmt w:val="decimal"/>
      <w:lvlText w:val="%2.%3.%4.%5"/>
      <w:lvlJc w:val="left"/>
      <w:pPr>
        <w:ind w:left="454" w:hanging="454"/>
      </w:pPr>
      <w:rPr>
        <w:rFonts w:hint="eastAsia"/>
      </w:rPr>
    </w:lvl>
    <w:lvl w:ilvl="5" w:tentative="0">
      <w:start w:val="1"/>
      <w:numFmt w:val="decimal"/>
      <w:lvlText w:val="%1.%2.%3.%4.%5.%6"/>
      <w:lvlJc w:val="left"/>
      <w:pPr>
        <w:ind w:left="2550" w:hanging="425"/>
      </w:pPr>
      <w:rPr>
        <w:rFonts w:hint="eastAsia"/>
      </w:rPr>
    </w:lvl>
    <w:lvl w:ilvl="6" w:tentative="0">
      <w:start w:val="1"/>
      <w:numFmt w:val="decimal"/>
      <w:lvlText w:val="%1.%2.%3.%4.%5.%6.%7"/>
      <w:lvlJc w:val="left"/>
      <w:pPr>
        <w:ind w:left="2975" w:hanging="425"/>
      </w:pPr>
      <w:rPr>
        <w:rFonts w:hint="eastAsia"/>
      </w:rPr>
    </w:lvl>
    <w:lvl w:ilvl="7" w:tentative="0">
      <w:start w:val="1"/>
      <w:numFmt w:val="decimal"/>
      <w:lvlText w:val="%1.%2.%3.%4.%5.%6.%7.%8"/>
      <w:lvlJc w:val="left"/>
      <w:pPr>
        <w:ind w:left="3400" w:hanging="425"/>
      </w:pPr>
      <w:rPr>
        <w:rFonts w:hint="eastAsia"/>
      </w:rPr>
    </w:lvl>
    <w:lvl w:ilvl="8" w:tentative="0">
      <w:start w:val="1"/>
      <w:numFmt w:val="decimal"/>
      <w:lvlText w:val="%1.%2.%3.%4.%5.%6.%7.%8.%9"/>
      <w:lvlJc w:val="left"/>
      <w:pPr>
        <w:ind w:left="3825" w:hanging="425"/>
      </w:pPr>
      <w:rPr>
        <w:rFonts w:hint="eastAsia"/>
      </w:rPr>
    </w:lvl>
  </w:abstractNum>
  <w:abstractNum w:abstractNumId="1">
    <w:nsid w:val="00000007"/>
    <w:multiLevelType w:val="multilevel"/>
    <w:tmpl w:val="00000007"/>
    <w:lvl w:ilvl="0" w:tentative="0">
      <w:start w:val="1"/>
      <w:numFmt w:val="chineseCountingThousand"/>
      <w:pStyle w:val="32"/>
      <w:lvlText w:val="%1、"/>
      <w:lvlJc w:val="left"/>
      <w:pPr>
        <w:ind w:left="420" w:hanging="420"/>
      </w:pPr>
      <w:rPr>
        <w:rFonts w:ascii="Times New Roman" w:hAnsi="Times New Roman" w:cs="Times New Roman"/>
        <w:b w:val="0"/>
        <w:bCs w:val="0"/>
        <w:i w:val="0"/>
        <w:iCs w:val="0"/>
        <w:caps w:val="0"/>
        <w:smallCaps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decimal"/>
      <w:pStyle w:val="96"/>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0000000F"/>
    <w:multiLevelType w:val="multilevel"/>
    <w:tmpl w:val="0000000F"/>
    <w:lvl w:ilvl="0" w:tentative="0">
      <w:start w:val="1"/>
      <w:numFmt w:val="decimal"/>
      <w:lvlText w:val="%1、"/>
      <w:lvlJc w:val="left"/>
      <w:pPr>
        <w:ind w:left="371" w:hanging="360"/>
      </w:pPr>
      <w:rPr>
        <w:rFonts w:hint="default"/>
      </w:rPr>
    </w:lvl>
    <w:lvl w:ilvl="1" w:tentative="0">
      <w:start w:val="1"/>
      <w:numFmt w:val="lowerLetter"/>
      <w:pStyle w:val="6"/>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4">
    <w:nsid w:val="00000010"/>
    <w:multiLevelType w:val="multilevel"/>
    <w:tmpl w:val="00000010"/>
    <w:lvl w:ilvl="0" w:tentative="0">
      <w:start w:val="1"/>
      <w:numFmt w:val="decimal"/>
      <w:pStyle w:val="13"/>
      <w:lvlText w:val="%1"/>
      <w:lvlJc w:val="left"/>
      <w:pPr>
        <w:tabs>
          <w:tab w:val="left" w:pos="425"/>
        </w:tabs>
        <w:ind w:left="425" w:hanging="425"/>
      </w:pPr>
      <w:rPr>
        <w:rFonts w:hint="default" w:ascii="Times New Roman" w:hAnsi="Times New Roman" w:cs="Times New Roman"/>
        <w:b/>
        <w:i w:val="0"/>
        <w:sz w:val="28"/>
      </w:rPr>
    </w:lvl>
    <w:lvl w:ilvl="1" w:tentative="0">
      <w:start w:val="1"/>
      <w:numFmt w:val="decimal"/>
      <w:lvlText w:val="%1.%2"/>
      <w:lvlJc w:val="left"/>
      <w:pPr>
        <w:tabs>
          <w:tab w:val="left" w:pos="992"/>
        </w:tabs>
        <w:ind w:left="992" w:hanging="567"/>
      </w:pPr>
      <w:rPr>
        <w:rFonts w:hint="eastAsia" w:cs="Times New Roman"/>
      </w:rPr>
    </w:lvl>
    <w:lvl w:ilvl="2" w:tentative="0">
      <w:start w:val="1"/>
      <w:numFmt w:val="decimal"/>
      <w:lvlText w:val="%1.%2.%3"/>
      <w:lvlJc w:val="left"/>
      <w:pPr>
        <w:tabs>
          <w:tab w:val="left" w:pos="1418"/>
        </w:tabs>
        <w:ind w:left="1418" w:hanging="567"/>
      </w:pPr>
      <w:rPr>
        <w:rFonts w:hint="eastAsia" w:cs="Times New Roman"/>
      </w:rPr>
    </w:lvl>
    <w:lvl w:ilvl="3" w:tentative="0">
      <w:start w:val="1"/>
      <w:numFmt w:val="decimal"/>
      <w:lvlText w:val="%1.%2.%3.%4"/>
      <w:lvlJc w:val="left"/>
      <w:pPr>
        <w:tabs>
          <w:tab w:val="left" w:pos="1984"/>
        </w:tabs>
        <w:ind w:left="1984" w:hanging="708"/>
      </w:pPr>
      <w:rPr>
        <w:rFonts w:hint="eastAsia" w:cs="Times New Roman"/>
      </w:rPr>
    </w:lvl>
    <w:lvl w:ilvl="4" w:tentative="0">
      <w:start w:val="1"/>
      <w:numFmt w:val="decimal"/>
      <w:lvlText w:val="%1.%2.%3.%4.%5"/>
      <w:lvlJc w:val="left"/>
      <w:pPr>
        <w:tabs>
          <w:tab w:val="left" w:pos="2551"/>
        </w:tabs>
        <w:ind w:left="2551" w:hanging="850"/>
      </w:pPr>
      <w:rPr>
        <w:rFonts w:hint="eastAsia" w:cs="Times New Roman"/>
      </w:rPr>
    </w:lvl>
    <w:lvl w:ilvl="5" w:tentative="0">
      <w:start w:val="1"/>
      <w:numFmt w:val="decimal"/>
      <w:lvlText w:val="%1.%2.%3.%4.%5.%6"/>
      <w:lvlJc w:val="left"/>
      <w:pPr>
        <w:tabs>
          <w:tab w:val="left" w:pos="3260"/>
        </w:tabs>
        <w:ind w:left="3260" w:hanging="1134"/>
      </w:pPr>
      <w:rPr>
        <w:rFonts w:hint="eastAsia" w:cs="Times New Roman"/>
      </w:rPr>
    </w:lvl>
    <w:lvl w:ilvl="6" w:tentative="0">
      <w:start w:val="1"/>
      <w:numFmt w:val="decimal"/>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5">
    <w:nsid w:val="00000012"/>
    <w:multiLevelType w:val="multilevel"/>
    <w:tmpl w:val="00000012"/>
    <w:lvl w:ilvl="0" w:tentative="0">
      <w:start w:val="1"/>
      <w:numFmt w:val="chineseCountingThousand"/>
      <w:pStyle w:val="118"/>
      <w:lvlText w:val="%1、"/>
      <w:lvlJc w:val="left"/>
      <w:pPr>
        <w:tabs>
          <w:tab w:val="left" w:pos="425"/>
        </w:tabs>
        <w:ind w:left="425" w:hanging="425"/>
      </w:pPr>
      <w:rPr>
        <w:rFonts w:hint="eastAsia" w:cs="Times New Roman"/>
      </w:rPr>
    </w:lvl>
    <w:lvl w:ilvl="1" w:tentative="0">
      <w:start w:val="1"/>
      <w:numFmt w:val="decimal"/>
      <w:isLgl/>
      <w:lvlText w:val="%1.%2"/>
      <w:lvlJc w:val="left"/>
      <w:pPr>
        <w:tabs>
          <w:tab w:val="left" w:pos="567"/>
        </w:tabs>
        <w:ind w:left="567" w:hanging="567"/>
      </w:pPr>
      <w:rPr>
        <w:rFonts w:hint="default" w:ascii="Arial" w:hAnsi="Arial" w:cs="Arial"/>
      </w:rPr>
    </w:lvl>
    <w:lvl w:ilvl="2" w:tentative="0">
      <w:start w:val="1"/>
      <w:numFmt w:val="decimal"/>
      <w:isLgl/>
      <w:lvlText w:val="%1.%2.%3"/>
      <w:lvlJc w:val="left"/>
      <w:pPr>
        <w:tabs>
          <w:tab w:val="left" w:pos="1069"/>
        </w:tabs>
        <w:ind w:left="1069" w:hanging="709"/>
      </w:pPr>
      <w:rPr>
        <w:rFonts w:hint="default" w:ascii="Arial" w:hAnsi="Arial" w:cs="Arial"/>
      </w:rPr>
    </w:lvl>
    <w:lvl w:ilvl="3" w:tentative="0">
      <w:start w:val="1"/>
      <w:numFmt w:val="decimal"/>
      <w:isLgl/>
      <w:lvlText w:val="%1.%2.%3.%4"/>
      <w:lvlJc w:val="left"/>
      <w:pPr>
        <w:tabs>
          <w:tab w:val="left" w:pos="1080"/>
        </w:tabs>
        <w:ind w:left="851" w:hanging="851"/>
      </w:pPr>
      <w:rPr>
        <w:rFonts w:hint="default" w:ascii="Arial" w:hAnsi="Arial" w:cs="Arial"/>
        <w:sz w:val="24"/>
        <w:szCs w:val="24"/>
      </w:rPr>
    </w:lvl>
    <w:lvl w:ilvl="4" w:tentative="0">
      <w:start w:val="1"/>
      <w:numFmt w:val="decimal"/>
      <w:isLgl/>
      <w:lvlText w:val="%1.%2.%3.%4.%5"/>
      <w:lvlJc w:val="left"/>
      <w:pPr>
        <w:tabs>
          <w:tab w:val="left" w:pos="1440"/>
        </w:tabs>
        <w:ind w:left="992" w:hanging="992"/>
      </w:pPr>
      <w:rPr>
        <w:rFonts w:hint="eastAsia" w:cs="Times New Roman"/>
      </w:rPr>
    </w:lvl>
    <w:lvl w:ilvl="5" w:tentative="0">
      <w:start w:val="1"/>
      <w:numFmt w:val="decimal"/>
      <w:isLgl/>
      <w:lvlText w:val="%1.%2.%3.%4.%5.%6"/>
      <w:lvlJc w:val="left"/>
      <w:pPr>
        <w:tabs>
          <w:tab w:val="left" w:pos="1440"/>
        </w:tabs>
        <w:ind w:left="1134" w:hanging="1134"/>
      </w:pPr>
      <w:rPr>
        <w:rFonts w:hint="eastAsia" w:cs="Times New Roman"/>
      </w:rPr>
    </w:lvl>
    <w:lvl w:ilvl="6" w:tentative="0">
      <w:start w:val="1"/>
      <w:numFmt w:val="decimal"/>
      <w:isLgl/>
      <w:lvlText w:val="%1.%2.%3.%4.%5.%6.%7"/>
      <w:lvlJc w:val="left"/>
      <w:pPr>
        <w:tabs>
          <w:tab w:val="left" w:pos="1800"/>
        </w:tabs>
        <w:ind w:left="1276" w:hanging="1276"/>
      </w:pPr>
      <w:rPr>
        <w:rFonts w:hint="eastAsia" w:cs="Times New Roman"/>
      </w:rPr>
    </w:lvl>
    <w:lvl w:ilvl="7" w:tentative="0">
      <w:start w:val="1"/>
      <w:numFmt w:val="decimal"/>
      <w:isLgl/>
      <w:lvlText w:val="%1.%2.%3.%4.%5.%6.%7.%8"/>
      <w:lvlJc w:val="left"/>
      <w:pPr>
        <w:tabs>
          <w:tab w:val="left" w:pos="1800"/>
        </w:tabs>
        <w:ind w:left="1418" w:hanging="1418"/>
      </w:pPr>
      <w:rPr>
        <w:rFonts w:hint="eastAsia" w:cs="Times New Roman"/>
      </w:rPr>
    </w:lvl>
    <w:lvl w:ilvl="8" w:tentative="0">
      <w:start w:val="1"/>
      <w:numFmt w:val="decimal"/>
      <w:isLgl/>
      <w:lvlText w:val="%1.%2.%3.%4.%5.%6.%7.%8.%9"/>
      <w:lvlJc w:val="left"/>
      <w:pPr>
        <w:tabs>
          <w:tab w:val="left" w:pos="2160"/>
        </w:tabs>
        <w:ind w:left="1559" w:hanging="1559"/>
      </w:pPr>
      <w:rPr>
        <w:rFonts w:hint="eastAsia" w:cs="Times New Roman"/>
      </w:rPr>
    </w:lvl>
  </w:abstractNum>
  <w:abstractNum w:abstractNumId="6">
    <w:nsid w:val="00000014"/>
    <w:multiLevelType w:val="multilevel"/>
    <w:tmpl w:val="00000014"/>
    <w:lvl w:ilvl="0" w:tentative="0">
      <w:start w:val="1"/>
      <w:numFmt w:val="decimal"/>
      <w:pStyle w:val="26"/>
      <w:lvlText w:val="%1."/>
      <w:lvlJc w:val="left"/>
      <w:pPr>
        <w:ind w:left="420" w:firstLine="0"/>
      </w:pPr>
      <w:rPr>
        <w:rFonts w:ascii="Times New Roman" w:hAnsi="Times New Roman" w:cs="Times New Roman"/>
        <w:b w:val="0"/>
        <w:bCs w:val="0"/>
        <w:i w:val="0"/>
        <w:iCs w:val="0"/>
        <w:caps w:val="0"/>
        <w:smallCaps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FBF3256"/>
    <w:multiLevelType w:val="multilevel"/>
    <w:tmpl w:val="6FBF3256"/>
    <w:lvl w:ilvl="0" w:tentative="0">
      <w:start w:val="1"/>
      <w:numFmt w:val="japaneseCounting"/>
      <w:lvlText w:val="（%1）"/>
      <w:lvlJc w:val="left"/>
      <w:pPr>
        <w:ind w:left="900" w:hanging="9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4"/>
  </w:num>
  <w:num w:numId="3">
    <w:abstractNumId w:val="6"/>
  </w:num>
  <w:num w:numId="4">
    <w:abstractNumId w:val="1"/>
  </w:num>
  <w:num w:numId="5">
    <w:abstractNumId w:val="2"/>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1MGI2NWIzOGNkOWNmNzBiZjU5OTkyZjljYWYzZDQifQ=="/>
    <w:docVar w:name="KSO_WPS_MARK_KEY" w:val="e5cd924d-ae79-4381-995b-bef1e63571aa"/>
  </w:docVars>
  <w:rsids>
    <w:rsidRoot w:val="00172A27"/>
    <w:rsid w:val="000126F2"/>
    <w:rsid w:val="000749E3"/>
    <w:rsid w:val="00086696"/>
    <w:rsid w:val="0009024D"/>
    <w:rsid w:val="0009075B"/>
    <w:rsid w:val="00115C78"/>
    <w:rsid w:val="00153AFF"/>
    <w:rsid w:val="00186C2B"/>
    <w:rsid w:val="00210D6B"/>
    <w:rsid w:val="00212728"/>
    <w:rsid w:val="00233C4E"/>
    <w:rsid w:val="00251036"/>
    <w:rsid w:val="002E50F8"/>
    <w:rsid w:val="003225FB"/>
    <w:rsid w:val="00330766"/>
    <w:rsid w:val="003419E5"/>
    <w:rsid w:val="003752C8"/>
    <w:rsid w:val="003955F9"/>
    <w:rsid w:val="00395E25"/>
    <w:rsid w:val="003E670B"/>
    <w:rsid w:val="003F417C"/>
    <w:rsid w:val="00401F67"/>
    <w:rsid w:val="00403054"/>
    <w:rsid w:val="00466F77"/>
    <w:rsid w:val="004C4A9A"/>
    <w:rsid w:val="004E616D"/>
    <w:rsid w:val="004F3A79"/>
    <w:rsid w:val="004F5165"/>
    <w:rsid w:val="00506947"/>
    <w:rsid w:val="00510AFB"/>
    <w:rsid w:val="00533663"/>
    <w:rsid w:val="00555935"/>
    <w:rsid w:val="005868F5"/>
    <w:rsid w:val="00587233"/>
    <w:rsid w:val="005931B7"/>
    <w:rsid w:val="005A3C00"/>
    <w:rsid w:val="005B5679"/>
    <w:rsid w:val="00620A2A"/>
    <w:rsid w:val="00677F31"/>
    <w:rsid w:val="0069368B"/>
    <w:rsid w:val="007678C6"/>
    <w:rsid w:val="007D541D"/>
    <w:rsid w:val="007F45BE"/>
    <w:rsid w:val="008005F7"/>
    <w:rsid w:val="008201B4"/>
    <w:rsid w:val="00833AB6"/>
    <w:rsid w:val="00847DE1"/>
    <w:rsid w:val="00853109"/>
    <w:rsid w:val="008766D7"/>
    <w:rsid w:val="008953F8"/>
    <w:rsid w:val="008C7661"/>
    <w:rsid w:val="008E0C60"/>
    <w:rsid w:val="009255FE"/>
    <w:rsid w:val="009269A2"/>
    <w:rsid w:val="009343AA"/>
    <w:rsid w:val="00937817"/>
    <w:rsid w:val="009B2C38"/>
    <w:rsid w:val="009D17C8"/>
    <w:rsid w:val="009E196C"/>
    <w:rsid w:val="009F2CCC"/>
    <w:rsid w:val="00A012AB"/>
    <w:rsid w:val="00A10993"/>
    <w:rsid w:val="00A54152"/>
    <w:rsid w:val="00A67D58"/>
    <w:rsid w:val="00A975DD"/>
    <w:rsid w:val="00AE30B0"/>
    <w:rsid w:val="00AF40A6"/>
    <w:rsid w:val="00AF43B5"/>
    <w:rsid w:val="00B2494E"/>
    <w:rsid w:val="00B41BDC"/>
    <w:rsid w:val="00B45701"/>
    <w:rsid w:val="00B502D3"/>
    <w:rsid w:val="00B627A9"/>
    <w:rsid w:val="00B77363"/>
    <w:rsid w:val="00B8500A"/>
    <w:rsid w:val="00BF0751"/>
    <w:rsid w:val="00BF52BD"/>
    <w:rsid w:val="00C069E8"/>
    <w:rsid w:val="00C24AE6"/>
    <w:rsid w:val="00C609F9"/>
    <w:rsid w:val="00CD391E"/>
    <w:rsid w:val="00CF1FFF"/>
    <w:rsid w:val="00D24FF0"/>
    <w:rsid w:val="00D25ACB"/>
    <w:rsid w:val="00D46C3D"/>
    <w:rsid w:val="00D50329"/>
    <w:rsid w:val="00D651BA"/>
    <w:rsid w:val="00DD6A62"/>
    <w:rsid w:val="00E4156B"/>
    <w:rsid w:val="00E700A9"/>
    <w:rsid w:val="00E70847"/>
    <w:rsid w:val="00E87AA3"/>
    <w:rsid w:val="00F13E63"/>
    <w:rsid w:val="00F768E1"/>
    <w:rsid w:val="00FC02BF"/>
    <w:rsid w:val="00FC3E1B"/>
    <w:rsid w:val="00FF16F3"/>
    <w:rsid w:val="011078C7"/>
    <w:rsid w:val="011C44BE"/>
    <w:rsid w:val="014852B3"/>
    <w:rsid w:val="016947F9"/>
    <w:rsid w:val="01826A17"/>
    <w:rsid w:val="0187402D"/>
    <w:rsid w:val="019978BC"/>
    <w:rsid w:val="019B1886"/>
    <w:rsid w:val="01A22C15"/>
    <w:rsid w:val="01C81F50"/>
    <w:rsid w:val="01CB7DA6"/>
    <w:rsid w:val="01DA5E9C"/>
    <w:rsid w:val="01DB6127"/>
    <w:rsid w:val="01DE01EE"/>
    <w:rsid w:val="01E23011"/>
    <w:rsid w:val="0216715F"/>
    <w:rsid w:val="0219028B"/>
    <w:rsid w:val="022E6257"/>
    <w:rsid w:val="023850C1"/>
    <w:rsid w:val="023A4BFB"/>
    <w:rsid w:val="02477318"/>
    <w:rsid w:val="0255285E"/>
    <w:rsid w:val="026B1259"/>
    <w:rsid w:val="02783976"/>
    <w:rsid w:val="027B5E76"/>
    <w:rsid w:val="02827B99"/>
    <w:rsid w:val="029F2E1F"/>
    <w:rsid w:val="02B82D6E"/>
    <w:rsid w:val="02BC3AEB"/>
    <w:rsid w:val="02D079EE"/>
    <w:rsid w:val="02E1227E"/>
    <w:rsid w:val="02E54D69"/>
    <w:rsid w:val="02F254D6"/>
    <w:rsid w:val="02F53218"/>
    <w:rsid w:val="031F2043"/>
    <w:rsid w:val="03261624"/>
    <w:rsid w:val="0341645D"/>
    <w:rsid w:val="03433F84"/>
    <w:rsid w:val="035241C7"/>
    <w:rsid w:val="03695E25"/>
    <w:rsid w:val="03766107"/>
    <w:rsid w:val="038A570F"/>
    <w:rsid w:val="038D71C9"/>
    <w:rsid w:val="039E11BA"/>
    <w:rsid w:val="03A2514E"/>
    <w:rsid w:val="03A569EC"/>
    <w:rsid w:val="03B409DD"/>
    <w:rsid w:val="03BB0FB2"/>
    <w:rsid w:val="03C03826"/>
    <w:rsid w:val="03C30C20"/>
    <w:rsid w:val="03D1158F"/>
    <w:rsid w:val="03D35307"/>
    <w:rsid w:val="03DB41BC"/>
    <w:rsid w:val="03DD29A1"/>
    <w:rsid w:val="03E56DE9"/>
    <w:rsid w:val="03EF7C67"/>
    <w:rsid w:val="03F434D0"/>
    <w:rsid w:val="03FE7EAB"/>
    <w:rsid w:val="040000C7"/>
    <w:rsid w:val="041C543C"/>
    <w:rsid w:val="04221DEB"/>
    <w:rsid w:val="042B5143"/>
    <w:rsid w:val="04435676"/>
    <w:rsid w:val="044E498E"/>
    <w:rsid w:val="04754611"/>
    <w:rsid w:val="047A1C27"/>
    <w:rsid w:val="048E56D2"/>
    <w:rsid w:val="04926B8C"/>
    <w:rsid w:val="049928A3"/>
    <w:rsid w:val="04A22F2C"/>
    <w:rsid w:val="04A66578"/>
    <w:rsid w:val="04A70542"/>
    <w:rsid w:val="04A942BA"/>
    <w:rsid w:val="04AB3862"/>
    <w:rsid w:val="04B2316F"/>
    <w:rsid w:val="04DE21B6"/>
    <w:rsid w:val="04EB042F"/>
    <w:rsid w:val="04F55751"/>
    <w:rsid w:val="04F96FF0"/>
    <w:rsid w:val="04FA4B16"/>
    <w:rsid w:val="05085485"/>
    <w:rsid w:val="050B6D23"/>
    <w:rsid w:val="051E61BB"/>
    <w:rsid w:val="05216546"/>
    <w:rsid w:val="05373674"/>
    <w:rsid w:val="053C0C8A"/>
    <w:rsid w:val="053E4A03"/>
    <w:rsid w:val="05455577"/>
    <w:rsid w:val="054B0F4A"/>
    <w:rsid w:val="054E09BE"/>
    <w:rsid w:val="05545FD4"/>
    <w:rsid w:val="057316FE"/>
    <w:rsid w:val="05740424"/>
    <w:rsid w:val="058F1702"/>
    <w:rsid w:val="059E7B97"/>
    <w:rsid w:val="05A23DEA"/>
    <w:rsid w:val="05A351AD"/>
    <w:rsid w:val="05A401A4"/>
    <w:rsid w:val="05B13426"/>
    <w:rsid w:val="05C649F8"/>
    <w:rsid w:val="05E82BC0"/>
    <w:rsid w:val="05F477B7"/>
    <w:rsid w:val="05F932BF"/>
    <w:rsid w:val="06021ED4"/>
    <w:rsid w:val="06112117"/>
    <w:rsid w:val="062278D0"/>
    <w:rsid w:val="06370ACC"/>
    <w:rsid w:val="06420131"/>
    <w:rsid w:val="065A2128"/>
    <w:rsid w:val="06624926"/>
    <w:rsid w:val="06632AA3"/>
    <w:rsid w:val="0671705A"/>
    <w:rsid w:val="06836B5F"/>
    <w:rsid w:val="06897EFF"/>
    <w:rsid w:val="06936FD0"/>
    <w:rsid w:val="069C1F62"/>
    <w:rsid w:val="069C6BC6"/>
    <w:rsid w:val="06A55ADF"/>
    <w:rsid w:val="06A64F55"/>
    <w:rsid w:val="06AE5BB8"/>
    <w:rsid w:val="06BA27AF"/>
    <w:rsid w:val="06BB70EE"/>
    <w:rsid w:val="06C453DB"/>
    <w:rsid w:val="06D82C35"/>
    <w:rsid w:val="06E6058C"/>
    <w:rsid w:val="06F224DF"/>
    <w:rsid w:val="06F9554A"/>
    <w:rsid w:val="07077E6C"/>
    <w:rsid w:val="0721282E"/>
    <w:rsid w:val="07371FAF"/>
    <w:rsid w:val="073E1390"/>
    <w:rsid w:val="074B78AB"/>
    <w:rsid w:val="075239E7"/>
    <w:rsid w:val="0765096C"/>
    <w:rsid w:val="07660241"/>
    <w:rsid w:val="07750484"/>
    <w:rsid w:val="07950B26"/>
    <w:rsid w:val="079E3E7E"/>
    <w:rsid w:val="07A1396F"/>
    <w:rsid w:val="07A174CB"/>
    <w:rsid w:val="07AD2313"/>
    <w:rsid w:val="07B76CEE"/>
    <w:rsid w:val="07CA07CF"/>
    <w:rsid w:val="07CB4548"/>
    <w:rsid w:val="07E0529D"/>
    <w:rsid w:val="07E13D6B"/>
    <w:rsid w:val="07EA0E72"/>
    <w:rsid w:val="07ED2710"/>
    <w:rsid w:val="07F613C5"/>
    <w:rsid w:val="07FB307F"/>
    <w:rsid w:val="08140B8B"/>
    <w:rsid w:val="08143A40"/>
    <w:rsid w:val="08293B60"/>
    <w:rsid w:val="082C4FE6"/>
    <w:rsid w:val="082E5BE5"/>
    <w:rsid w:val="08395955"/>
    <w:rsid w:val="08470072"/>
    <w:rsid w:val="084A1910"/>
    <w:rsid w:val="084F5934"/>
    <w:rsid w:val="085747DA"/>
    <w:rsid w:val="08653347"/>
    <w:rsid w:val="088A4403"/>
    <w:rsid w:val="088A5A8D"/>
    <w:rsid w:val="08A13C26"/>
    <w:rsid w:val="08BF40AC"/>
    <w:rsid w:val="08C07429"/>
    <w:rsid w:val="08D35DAA"/>
    <w:rsid w:val="08D51B22"/>
    <w:rsid w:val="08DA2C94"/>
    <w:rsid w:val="08E27D9B"/>
    <w:rsid w:val="08E92ED7"/>
    <w:rsid w:val="08EE00FD"/>
    <w:rsid w:val="08F63846"/>
    <w:rsid w:val="08FA50E4"/>
    <w:rsid w:val="09271C52"/>
    <w:rsid w:val="092B6141"/>
    <w:rsid w:val="0935241C"/>
    <w:rsid w:val="09524F20"/>
    <w:rsid w:val="097035F9"/>
    <w:rsid w:val="09835F85"/>
    <w:rsid w:val="09840E52"/>
    <w:rsid w:val="09963123"/>
    <w:rsid w:val="09981838"/>
    <w:rsid w:val="09B5283E"/>
    <w:rsid w:val="09C166B7"/>
    <w:rsid w:val="09CB469C"/>
    <w:rsid w:val="09CF3948"/>
    <w:rsid w:val="09DC0C8E"/>
    <w:rsid w:val="09DE67B4"/>
    <w:rsid w:val="09E3005A"/>
    <w:rsid w:val="09E71B0D"/>
    <w:rsid w:val="09F14739"/>
    <w:rsid w:val="0A2825E1"/>
    <w:rsid w:val="0A287A2F"/>
    <w:rsid w:val="0A2D3F49"/>
    <w:rsid w:val="0A8712AB"/>
    <w:rsid w:val="0A99092D"/>
    <w:rsid w:val="0AA04DDE"/>
    <w:rsid w:val="0AA3355A"/>
    <w:rsid w:val="0AB12DCE"/>
    <w:rsid w:val="0AB45767"/>
    <w:rsid w:val="0AC57974"/>
    <w:rsid w:val="0AC96303"/>
    <w:rsid w:val="0AD96F7B"/>
    <w:rsid w:val="0AE00732"/>
    <w:rsid w:val="0AEC4F01"/>
    <w:rsid w:val="0AF3628F"/>
    <w:rsid w:val="0B051624"/>
    <w:rsid w:val="0B106E41"/>
    <w:rsid w:val="0B2E28C9"/>
    <w:rsid w:val="0B343101"/>
    <w:rsid w:val="0B414AD3"/>
    <w:rsid w:val="0B48482D"/>
    <w:rsid w:val="0B4B60CB"/>
    <w:rsid w:val="0B5E5DFE"/>
    <w:rsid w:val="0B627EDA"/>
    <w:rsid w:val="0B704808"/>
    <w:rsid w:val="0B7C44D7"/>
    <w:rsid w:val="0B982B0E"/>
    <w:rsid w:val="0B9A0F05"/>
    <w:rsid w:val="0BA94BA0"/>
    <w:rsid w:val="0BAB31B1"/>
    <w:rsid w:val="0BAF62FB"/>
    <w:rsid w:val="0BB06DD2"/>
    <w:rsid w:val="0BBB6EA8"/>
    <w:rsid w:val="0BC66C7D"/>
    <w:rsid w:val="0BDD298F"/>
    <w:rsid w:val="0BDF6813"/>
    <w:rsid w:val="0BEC240A"/>
    <w:rsid w:val="0BED3778"/>
    <w:rsid w:val="0BFC1173"/>
    <w:rsid w:val="0C0544CC"/>
    <w:rsid w:val="0C232BA4"/>
    <w:rsid w:val="0C2A577B"/>
    <w:rsid w:val="0C2D26E3"/>
    <w:rsid w:val="0C373ADB"/>
    <w:rsid w:val="0C37733F"/>
    <w:rsid w:val="0C3856AB"/>
    <w:rsid w:val="0C3C5A14"/>
    <w:rsid w:val="0C405504"/>
    <w:rsid w:val="0C4274CE"/>
    <w:rsid w:val="0C523489"/>
    <w:rsid w:val="0C580AA0"/>
    <w:rsid w:val="0C5F125B"/>
    <w:rsid w:val="0C6952DD"/>
    <w:rsid w:val="0C6A3809"/>
    <w:rsid w:val="0C7451AE"/>
    <w:rsid w:val="0C801DA5"/>
    <w:rsid w:val="0C931AD8"/>
    <w:rsid w:val="0CAD06C0"/>
    <w:rsid w:val="0CB6782B"/>
    <w:rsid w:val="0CBF0B1F"/>
    <w:rsid w:val="0CC31C91"/>
    <w:rsid w:val="0CC53C5B"/>
    <w:rsid w:val="0CCE0D62"/>
    <w:rsid w:val="0CD77BFB"/>
    <w:rsid w:val="0CDB7B95"/>
    <w:rsid w:val="0CE95B9C"/>
    <w:rsid w:val="0CEA25F0"/>
    <w:rsid w:val="0CEA5470"/>
    <w:rsid w:val="0D077DD0"/>
    <w:rsid w:val="0D1519D3"/>
    <w:rsid w:val="0D2546FA"/>
    <w:rsid w:val="0D2B61B4"/>
    <w:rsid w:val="0D374B59"/>
    <w:rsid w:val="0D3E4B53"/>
    <w:rsid w:val="0D3F756A"/>
    <w:rsid w:val="0D650905"/>
    <w:rsid w:val="0D6B65B1"/>
    <w:rsid w:val="0D7075DE"/>
    <w:rsid w:val="0D8458C4"/>
    <w:rsid w:val="0D8544BC"/>
    <w:rsid w:val="0D93795E"/>
    <w:rsid w:val="0DB32638"/>
    <w:rsid w:val="0DCF134F"/>
    <w:rsid w:val="0DD405FA"/>
    <w:rsid w:val="0DD8176C"/>
    <w:rsid w:val="0DDC74AE"/>
    <w:rsid w:val="0DE01542"/>
    <w:rsid w:val="0DEB5944"/>
    <w:rsid w:val="0DF06AB6"/>
    <w:rsid w:val="0DF2282E"/>
    <w:rsid w:val="0DF5231E"/>
    <w:rsid w:val="0DFD3DA4"/>
    <w:rsid w:val="0E24538F"/>
    <w:rsid w:val="0E3037E0"/>
    <w:rsid w:val="0E46735F"/>
    <w:rsid w:val="0E4969BD"/>
    <w:rsid w:val="0E5928AD"/>
    <w:rsid w:val="0E5B4877"/>
    <w:rsid w:val="0E6354DA"/>
    <w:rsid w:val="0E707BF7"/>
    <w:rsid w:val="0E7D0D45"/>
    <w:rsid w:val="0E8536A2"/>
    <w:rsid w:val="0E8611C8"/>
    <w:rsid w:val="0E9E29B6"/>
    <w:rsid w:val="0EAD1661"/>
    <w:rsid w:val="0EBE21D3"/>
    <w:rsid w:val="0EBF7B36"/>
    <w:rsid w:val="0EC51CF1"/>
    <w:rsid w:val="0ECC307F"/>
    <w:rsid w:val="0EE06B2A"/>
    <w:rsid w:val="0EE228A3"/>
    <w:rsid w:val="0EEA5BFB"/>
    <w:rsid w:val="0EEC7FF8"/>
    <w:rsid w:val="0EF40828"/>
    <w:rsid w:val="0EFF16A6"/>
    <w:rsid w:val="0F0A1DF9"/>
    <w:rsid w:val="0F0C791F"/>
    <w:rsid w:val="0F312AB7"/>
    <w:rsid w:val="0F31382A"/>
    <w:rsid w:val="0F3779FA"/>
    <w:rsid w:val="0F441D54"/>
    <w:rsid w:val="0F4E7F38"/>
    <w:rsid w:val="0F56503F"/>
    <w:rsid w:val="0F616B1E"/>
    <w:rsid w:val="0F7B6853"/>
    <w:rsid w:val="0F891446"/>
    <w:rsid w:val="0F9A13CF"/>
    <w:rsid w:val="0F9B000F"/>
    <w:rsid w:val="0FA85B9A"/>
    <w:rsid w:val="0FB747DD"/>
    <w:rsid w:val="0FC63F72"/>
    <w:rsid w:val="0FC91CB4"/>
    <w:rsid w:val="0FC95811"/>
    <w:rsid w:val="0FD7007E"/>
    <w:rsid w:val="0FD710A5"/>
    <w:rsid w:val="0FD83CA6"/>
    <w:rsid w:val="0FDC19E8"/>
    <w:rsid w:val="0FE34B24"/>
    <w:rsid w:val="10131364"/>
    <w:rsid w:val="101822F4"/>
    <w:rsid w:val="10282537"/>
    <w:rsid w:val="102B2027"/>
    <w:rsid w:val="104D4694"/>
    <w:rsid w:val="105B218F"/>
    <w:rsid w:val="10616837"/>
    <w:rsid w:val="1065381B"/>
    <w:rsid w:val="106A2B50"/>
    <w:rsid w:val="107E794C"/>
    <w:rsid w:val="109220A6"/>
    <w:rsid w:val="10A5002C"/>
    <w:rsid w:val="10AC25CA"/>
    <w:rsid w:val="10B4201D"/>
    <w:rsid w:val="10B607C7"/>
    <w:rsid w:val="10B85FB1"/>
    <w:rsid w:val="10C1473A"/>
    <w:rsid w:val="10CA7A92"/>
    <w:rsid w:val="10E548CC"/>
    <w:rsid w:val="10EC17B7"/>
    <w:rsid w:val="10EF574B"/>
    <w:rsid w:val="10F845FF"/>
    <w:rsid w:val="10FB7C4C"/>
    <w:rsid w:val="10FD1C16"/>
    <w:rsid w:val="110A1D05"/>
    <w:rsid w:val="110C00AB"/>
    <w:rsid w:val="110C1E59"/>
    <w:rsid w:val="110D0173"/>
    <w:rsid w:val="11125CD9"/>
    <w:rsid w:val="11160F29"/>
    <w:rsid w:val="11254CC9"/>
    <w:rsid w:val="11292A0B"/>
    <w:rsid w:val="112951FE"/>
    <w:rsid w:val="112E7BB1"/>
    <w:rsid w:val="11317B11"/>
    <w:rsid w:val="11326BC9"/>
    <w:rsid w:val="11382C4E"/>
    <w:rsid w:val="11665A0D"/>
    <w:rsid w:val="116E6670"/>
    <w:rsid w:val="117A3C75"/>
    <w:rsid w:val="11826A7D"/>
    <w:rsid w:val="118616F9"/>
    <w:rsid w:val="11875983"/>
    <w:rsid w:val="11904838"/>
    <w:rsid w:val="11B83956"/>
    <w:rsid w:val="11C40985"/>
    <w:rsid w:val="11CC786A"/>
    <w:rsid w:val="11CE1BE3"/>
    <w:rsid w:val="11E132E5"/>
    <w:rsid w:val="11E93F48"/>
    <w:rsid w:val="11EC68FB"/>
    <w:rsid w:val="12046FD4"/>
    <w:rsid w:val="121420F8"/>
    <w:rsid w:val="12210415"/>
    <w:rsid w:val="12214445"/>
    <w:rsid w:val="12273D08"/>
    <w:rsid w:val="123165F9"/>
    <w:rsid w:val="12324FEA"/>
    <w:rsid w:val="123553DF"/>
    <w:rsid w:val="123D2FB3"/>
    <w:rsid w:val="12425176"/>
    <w:rsid w:val="124538DB"/>
    <w:rsid w:val="12491784"/>
    <w:rsid w:val="125067AE"/>
    <w:rsid w:val="12637655"/>
    <w:rsid w:val="1279351E"/>
    <w:rsid w:val="127D08EB"/>
    <w:rsid w:val="12A12A75"/>
    <w:rsid w:val="12AC38F3"/>
    <w:rsid w:val="12C80001"/>
    <w:rsid w:val="12CF56B4"/>
    <w:rsid w:val="12E0359D"/>
    <w:rsid w:val="12EF558E"/>
    <w:rsid w:val="12F92791"/>
    <w:rsid w:val="13033659"/>
    <w:rsid w:val="130354DD"/>
    <w:rsid w:val="13066050"/>
    <w:rsid w:val="13132BFE"/>
    <w:rsid w:val="13135720"/>
    <w:rsid w:val="131A3C63"/>
    <w:rsid w:val="13280AA0"/>
    <w:rsid w:val="132A7687"/>
    <w:rsid w:val="133236CD"/>
    <w:rsid w:val="13331B2B"/>
    <w:rsid w:val="13426006"/>
    <w:rsid w:val="13491142"/>
    <w:rsid w:val="134F1DF4"/>
    <w:rsid w:val="13557827"/>
    <w:rsid w:val="135A0B4F"/>
    <w:rsid w:val="13631AD8"/>
    <w:rsid w:val="137837D5"/>
    <w:rsid w:val="137F4B64"/>
    <w:rsid w:val="138008DC"/>
    <w:rsid w:val="138B3117"/>
    <w:rsid w:val="138E7538"/>
    <w:rsid w:val="13904FC3"/>
    <w:rsid w:val="1392323A"/>
    <w:rsid w:val="13B74DE6"/>
    <w:rsid w:val="13BA5B9C"/>
    <w:rsid w:val="13C06B9F"/>
    <w:rsid w:val="13CD2CC1"/>
    <w:rsid w:val="14050F2A"/>
    <w:rsid w:val="140B289C"/>
    <w:rsid w:val="140B464A"/>
    <w:rsid w:val="140D6614"/>
    <w:rsid w:val="142327DF"/>
    <w:rsid w:val="142B0848"/>
    <w:rsid w:val="14364B2C"/>
    <w:rsid w:val="1438503B"/>
    <w:rsid w:val="144025BE"/>
    <w:rsid w:val="14492F3E"/>
    <w:rsid w:val="144933C4"/>
    <w:rsid w:val="14524026"/>
    <w:rsid w:val="145F3F52"/>
    <w:rsid w:val="14694230"/>
    <w:rsid w:val="146B158C"/>
    <w:rsid w:val="146D0392"/>
    <w:rsid w:val="14720C0D"/>
    <w:rsid w:val="147D0BDA"/>
    <w:rsid w:val="148443FC"/>
    <w:rsid w:val="14860A3B"/>
    <w:rsid w:val="148703FF"/>
    <w:rsid w:val="148D505F"/>
    <w:rsid w:val="14903E04"/>
    <w:rsid w:val="14972381"/>
    <w:rsid w:val="14A20267"/>
    <w:rsid w:val="14B52807"/>
    <w:rsid w:val="14B940A6"/>
    <w:rsid w:val="14BA1BCC"/>
    <w:rsid w:val="14BE16BC"/>
    <w:rsid w:val="14C34D67"/>
    <w:rsid w:val="14C724CE"/>
    <w:rsid w:val="14CA5427"/>
    <w:rsid w:val="14E07884"/>
    <w:rsid w:val="14E32ED1"/>
    <w:rsid w:val="14FF53E6"/>
    <w:rsid w:val="150317C5"/>
    <w:rsid w:val="150572EB"/>
    <w:rsid w:val="150A448F"/>
    <w:rsid w:val="150C68CB"/>
    <w:rsid w:val="152F25BA"/>
    <w:rsid w:val="153E0735"/>
    <w:rsid w:val="15436065"/>
    <w:rsid w:val="154461CC"/>
    <w:rsid w:val="15597637"/>
    <w:rsid w:val="156C1118"/>
    <w:rsid w:val="156C2EC6"/>
    <w:rsid w:val="156D6C3E"/>
    <w:rsid w:val="157616C5"/>
    <w:rsid w:val="15804BC3"/>
    <w:rsid w:val="159643E7"/>
    <w:rsid w:val="15A9411A"/>
    <w:rsid w:val="15BD23EA"/>
    <w:rsid w:val="15C9430D"/>
    <w:rsid w:val="15D373E9"/>
    <w:rsid w:val="15E213DA"/>
    <w:rsid w:val="15E52C78"/>
    <w:rsid w:val="15F14CB0"/>
    <w:rsid w:val="15FA4976"/>
    <w:rsid w:val="16021A7C"/>
    <w:rsid w:val="16027CCE"/>
    <w:rsid w:val="161B48EC"/>
    <w:rsid w:val="162C7D6D"/>
    <w:rsid w:val="1633342F"/>
    <w:rsid w:val="1647748F"/>
    <w:rsid w:val="166149F5"/>
    <w:rsid w:val="16683008"/>
    <w:rsid w:val="166C5148"/>
    <w:rsid w:val="16877BED"/>
    <w:rsid w:val="168E3310"/>
    <w:rsid w:val="16A36DBB"/>
    <w:rsid w:val="16A50D85"/>
    <w:rsid w:val="16A6065A"/>
    <w:rsid w:val="16B81E85"/>
    <w:rsid w:val="16C136E5"/>
    <w:rsid w:val="16CF7F44"/>
    <w:rsid w:val="16D2144F"/>
    <w:rsid w:val="16FE3FF2"/>
    <w:rsid w:val="171323AA"/>
    <w:rsid w:val="172337D9"/>
    <w:rsid w:val="17400AAE"/>
    <w:rsid w:val="1740285C"/>
    <w:rsid w:val="17546308"/>
    <w:rsid w:val="17591B70"/>
    <w:rsid w:val="17681BB1"/>
    <w:rsid w:val="178F10EE"/>
    <w:rsid w:val="179B3F36"/>
    <w:rsid w:val="179E3336"/>
    <w:rsid w:val="17A86360"/>
    <w:rsid w:val="17B44FF8"/>
    <w:rsid w:val="17B63456"/>
    <w:rsid w:val="17E05DED"/>
    <w:rsid w:val="17E1714A"/>
    <w:rsid w:val="17E44EC0"/>
    <w:rsid w:val="17F2764F"/>
    <w:rsid w:val="17FF44C5"/>
    <w:rsid w:val="17FF46D1"/>
    <w:rsid w:val="18023E10"/>
    <w:rsid w:val="181F06C4"/>
    <w:rsid w:val="1833416F"/>
    <w:rsid w:val="18386D56"/>
    <w:rsid w:val="18524B4C"/>
    <w:rsid w:val="18585984"/>
    <w:rsid w:val="18641846"/>
    <w:rsid w:val="18716A45"/>
    <w:rsid w:val="18730A0F"/>
    <w:rsid w:val="18737F6A"/>
    <w:rsid w:val="187D1E98"/>
    <w:rsid w:val="187D53EA"/>
    <w:rsid w:val="18932E60"/>
    <w:rsid w:val="189A2B1C"/>
    <w:rsid w:val="189C1D14"/>
    <w:rsid w:val="18A817AE"/>
    <w:rsid w:val="18B21538"/>
    <w:rsid w:val="18BB7749"/>
    <w:rsid w:val="18C44192"/>
    <w:rsid w:val="18C96881"/>
    <w:rsid w:val="18D9512F"/>
    <w:rsid w:val="18DD40DB"/>
    <w:rsid w:val="18DF176E"/>
    <w:rsid w:val="18E92A80"/>
    <w:rsid w:val="18ED431E"/>
    <w:rsid w:val="18EF453A"/>
    <w:rsid w:val="18F558C8"/>
    <w:rsid w:val="18F877F3"/>
    <w:rsid w:val="1901601B"/>
    <w:rsid w:val="19017DC9"/>
    <w:rsid w:val="19070275"/>
    <w:rsid w:val="19106B6F"/>
    <w:rsid w:val="19121FD6"/>
    <w:rsid w:val="19235F91"/>
    <w:rsid w:val="193C7053"/>
    <w:rsid w:val="193F7C64"/>
    <w:rsid w:val="19614D0C"/>
    <w:rsid w:val="196C36C2"/>
    <w:rsid w:val="196D1903"/>
    <w:rsid w:val="196D1EB9"/>
    <w:rsid w:val="19724162"/>
    <w:rsid w:val="199649B5"/>
    <w:rsid w:val="199B021E"/>
    <w:rsid w:val="199F19A9"/>
    <w:rsid w:val="19B47531"/>
    <w:rsid w:val="19C214C4"/>
    <w:rsid w:val="19DD0836"/>
    <w:rsid w:val="19EF056A"/>
    <w:rsid w:val="19F70AC5"/>
    <w:rsid w:val="19F94F44"/>
    <w:rsid w:val="19FD13BA"/>
    <w:rsid w:val="1A1324AA"/>
    <w:rsid w:val="1A2B77F4"/>
    <w:rsid w:val="1A2F16BB"/>
    <w:rsid w:val="1A2F6BB8"/>
    <w:rsid w:val="1A3448A7"/>
    <w:rsid w:val="1A766595"/>
    <w:rsid w:val="1A78230D"/>
    <w:rsid w:val="1A8213DE"/>
    <w:rsid w:val="1A8C400A"/>
    <w:rsid w:val="1AA2738A"/>
    <w:rsid w:val="1AA57FC0"/>
    <w:rsid w:val="1AAC1FB7"/>
    <w:rsid w:val="1AAE61FB"/>
    <w:rsid w:val="1AB23324"/>
    <w:rsid w:val="1AB64BE3"/>
    <w:rsid w:val="1ABA0B77"/>
    <w:rsid w:val="1ACE4623"/>
    <w:rsid w:val="1AD339E7"/>
    <w:rsid w:val="1ADC4B9E"/>
    <w:rsid w:val="1ADF34BC"/>
    <w:rsid w:val="1AE23C2A"/>
    <w:rsid w:val="1AED13C7"/>
    <w:rsid w:val="1AEF5FB9"/>
    <w:rsid w:val="1AFA71C6"/>
    <w:rsid w:val="1AFF47DC"/>
    <w:rsid w:val="1B0911B7"/>
    <w:rsid w:val="1B124510"/>
    <w:rsid w:val="1B193AF0"/>
    <w:rsid w:val="1B1D4C62"/>
    <w:rsid w:val="1B210BF7"/>
    <w:rsid w:val="1B2D30F7"/>
    <w:rsid w:val="1B351FAC"/>
    <w:rsid w:val="1B7747F3"/>
    <w:rsid w:val="1B7900EB"/>
    <w:rsid w:val="1B79254B"/>
    <w:rsid w:val="1B936430"/>
    <w:rsid w:val="1B943177"/>
    <w:rsid w:val="1B9969DF"/>
    <w:rsid w:val="1BA55384"/>
    <w:rsid w:val="1BA57132"/>
    <w:rsid w:val="1BAA299A"/>
    <w:rsid w:val="1BBC447B"/>
    <w:rsid w:val="1BDD4B1E"/>
    <w:rsid w:val="1BE76F28"/>
    <w:rsid w:val="1C0302FC"/>
    <w:rsid w:val="1C052EC8"/>
    <w:rsid w:val="1C072592"/>
    <w:rsid w:val="1C0C0878"/>
    <w:rsid w:val="1C177904"/>
    <w:rsid w:val="1C5A26D3"/>
    <w:rsid w:val="1C5D0DA4"/>
    <w:rsid w:val="1C640D9B"/>
    <w:rsid w:val="1C6554F8"/>
    <w:rsid w:val="1C6E39C8"/>
    <w:rsid w:val="1C6F5742"/>
    <w:rsid w:val="1C7134B8"/>
    <w:rsid w:val="1C76287C"/>
    <w:rsid w:val="1C8036FB"/>
    <w:rsid w:val="1C872925"/>
    <w:rsid w:val="1C962F1E"/>
    <w:rsid w:val="1C9D24FF"/>
    <w:rsid w:val="1C9E0082"/>
    <w:rsid w:val="1C9F4B65"/>
    <w:rsid w:val="1CA0217C"/>
    <w:rsid w:val="1CA67605"/>
    <w:rsid w:val="1CAA693B"/>
    <w:rsid w:val="1CB14442"/>
    <w:rsid w:val="1CB33AD0"/>
    <w:rsid w:val="1CC66428"/>
    <w:rsid w:val="1CED6FE2"/>
    <w:rsid w:val="1CFE11EF"/>
    <w:rsid w:val="1D0113C9"/>
    <w:rsid w:val="1D0A2DA7"/>
    <w:rsid w:val="1D1140B4"/>
    <w:rsid w:val="1D126A49"/>
    <w:rsid w:val="1D2B18B9"/>
    <w:rsid w:val="1D3544E5"/>
    <w:rsid w:val="1D497F91"/>
    <w:rsid w:val="1D556936"/>
    <w:rsid w:val="1D630F86"/>
    <w:rsid w:val="1D752B34"/>
    <w:rsid w:val="1D7B2840"/>
    <w:rsid w:val="1D7E5E8C"/>
    <w:rsid w:val="1D802372"/>
    <w:rsid w:val="1D836591"/>
    <w:rsid w:val="1DB55626"/>
    <w:rsid w:val="1DC05121"/>
    <w:rsid w:val="1DC15D79"/>
    <w:rsid w:val="1DC85AE6"/>
    <w:rsid w:val="1DCB4E4A"/>
    <w:rsid w:val="1DDB503E"/>
    <w:rsid w:val="1DE33F41"/>
    <w:rsid w:val="1DE84D03"/>
    <w:rsid w:val="1DE85A9D"/>
    <w:rsid w:val="1DEC54EC"/>
    <w:rsid w:val="1DEC55F2"/>
    <w:rsid w:val="1DF13B3B"/>
    <w:rsid w:val="1DF4614E"/>
    <w:rsid w:val="1DFE6FCD"/>
    <w:rsid w:val="1E081BFA"/>
    <w:rsid w:val="1E0E2B0B"/>
    <w:rsid w:val="1E1660C5"/>
    <w:rsid w:val="1E171E3D"/>
    <w:rsid w:val="1E205195"/>
    <w:rsid w:val="1E262080"/>
    <w:rsid w:val="1E276322"/>
    <w:rsid w:val="1E2F0A09"/>
    <w:rsid w:val="1E37428D"/>
    <w:rsid w:val="1E4C0B08"/>
    <w:rsid w:val="1E537319"/>
    <w:rsid w:val="1E5F2F8D"/>
    <w:rsid w:val="1E650DFA"/>
    <w:rsid w:val="1E6757C2"/>
    <w:rsid w:val="1E8C282B"/>
    <w:rsid w:val="1E90231B"/>
    <w:rsid w:val="1E982F7E"/>
    <w:rsid w:val="1EAC45D3"/>
    <w:rsid w:val="1EC176A7"/>
    <w:rsid w:val="1EC71AB5"/>
    <w:rsid w:val="1ECF4FD3"/>
    <w:rsid w:val="1ED0096A"/>
    <w:rsid w:val="1ED8781E"/>
    <w:rsid w:val="1EDB6610"/>
    <w:rsid w:val="1EF4202D"/>
    <w:rsid w:val="1F02489B"/>
    <w:rsid w:val="1F095D51"/>
    <w:rsid w:val="1F114ADE"/>
    <w:rsid w:val="1F132604"/>
    <w:rsid w:val="1F242A63"/>
    <w:rsid w:val="1F2627EB"/>
    <w:rsid w:val="1F294332"/>
    <w:rsid w:val="1F2A62AD"/>
    <w:rsid w:val="1F3233D2"/>
    <w:rsid w:val="1F42113B"/>
    <w:rsid w:val="1F4804CC"/>
    <w:rsid w:val="1F7A2683"/>
    <w:rsid w:val="1F7E2174"/>
    <w:rsid w:val="1F846B7E"/>
    <w:rsid w:val="1FA6791C"/>
    <w:rsid w:val="1FAA11BB"/>
    <w:rsid w:val="1FB35D6F"/>
    <w:rsid w:val="1FC75246"/>
    <w:rsid w:val="1FD60202"/>
    <w:rsid w:val="1FE01FA9"/>
    <w:rsid w:val="1FEF6DB8"/>
    <w:rsid w:val="1FF10D6B"/>
    <w:rsid w:val="1FFF0DDD"/>
    <w:rsid w:val="200A3A07"/>
    <w:rsid w:val="200D799B"/>
    <w:rsid w:val="20162241"/>
    <w:rsid w:val="201A79C2"/>
    <w:rsid w:val="201E4F4F"/>
    <w:rsid w:val="20256A93"/>
    <w:rsid w:val="202645B9"/>
    <w:rsid w:val="20270A5D"/>
    <w:rsid w:val="20286583"/>
    <w:rsid w:val="20315438"/>
    <w:rsid w:val="20384A18"/>
    <w:rsid w:val="20390790"/>
    <w:rsid w:val="203C3DDD"/>
    <w:rsid w:val="2040240F"/>
    <w:rsid w:val="204F3B10"/>
    <w:rsid w:val="205055EF"/>
    <w:rsid w:val="206C46C2"/>
    <w:rsid w:val="207C10F2"/>
    <w:rsid w:val="208E4638"/>
    <w:rsid w:val="20976AB4"/>
    <w:rsid w:val="20A81514"/>
    <w:rsid w:val="20AB6760"/>
    <w:rsid w:val="20B00A53"/>
    <w:rsid w:val="20B16579"/>
    <w:rsid w:val="20C84600"/>
    <w:rsid w:val="20C95670"/>
    <w:rsid w:val="20D65FDF"/>
    <w:rsid w:val="20E85D1A"/>
    <w:rsid w:val="20EF0E4F"/>
    <w:rsid w:val="210055F8"/>
    <w:rsid w:val="21020B82"/>
    <w:rsid w:val="21052421"/>
    <w:rsid w:val="21090163"/>
    <w:rsid w:val="2126121F"/>
    <w:rsid w:val="212A7304"/>
    <w:rsid w:val="216604FC"/>
    <w:rsid w:val="21750BB9"/>
    <w:rsid w:val="217B0F40"/>
    <w:rsid w:val="218A192D"/>
    <w:rsid w:val="218E0668"/>
    <w:rsid w:val="21A972E1"/>
    <w:rsid w:val="21B003EE"/>
    <w:rsid w:val="21B47199"/>
    <w:rsid w:val="21E14C3C"/>
    <w:rsid w:val="21E5472C"/>
    <w:rsid w:val="21EE6EEB"/>
    <w:rsid w:val="21F816C1"/>
    <w:rsid w:val="221C5C74"/>
    <w:rsid w:val="222B0959"/>
    <w:rsid w:val="222F1E4B"/>
    <w:rsid w:val="22395DB5"/>
    <w:rsid w:val="2240564F"/>
    <w:rsid w:val="224F6049"/>
    <w:rsid w:val="22603DB2"/>
    <w:rsid w:val="2264741B"/>
    <w:rsid w:val="22675ACD"/>
    <w:rsid w:val="22743D02"/>
    <w:rsid w:val="22816594"/>
    <w:rsid w:val="229879F0"/>
    <w:rsid w:val="22A00653"/>
    <w:rsid w:val="22A52EFA"/>
    <w:rsid w:val="22A567AC"/>
    <w:rsid w:val="22AA3280"/>
    <w:rsid w:val="22BD2FB3"/>
    <w:rsid w:val="22C177D1"/>
    <w:rsid w:val="22C5455D"/>
    <w:rsid w:val="22CB1F7F"/>
    <w:rsid w:val="22CC31F6"/>
    <w:rsid w:val="22D43C96"/>
    <w:rsid w:val="22D7603D"/>
    <w:rsid w:val="22DB5B2F"/>
    <w:rsid w:val="22E37A07"/>
    <w:rsid w:val="22EC6903"/>
    <w:rsid w:val="22FB3ADB"/>
    <w:rsid w:val="23076924"/>
    <w:rsid w:val="23214B81"/>
    <w:rsid w:val="23250B58"/>
    <w:rsid w:val="23287A3B"/>
    <w:rsid w:val="234E0C74"/>
    <w:rsid w:val="235D595F"/>
    <w:rsid w:val="2366667A"/>
    <w:rsid w:val="236E24FF"/>
    <w:rsid w:val="23725A46"/>
    <w:rsid w:val="237A70F6"/>
    <w:rsid w:val="237C10C0"/>
    <w:rsid w:val="238D31A7"/>
    <w:rsid w:val="239F4DAE"/>
    <w:rsid w:val="23A67EEB"/>
    <w:rsid w:val="23A75A11"/>
    <w:rsid w:val="23AB5501"/>
    <w:rsid w:val="23C40371"/>
    <w:rsid w:val="23D5257E"/>
    <w:rsid w:val="23DD1433"/>
    <w:rsid w:val="23ED1676"/>
    <w:rsid w:val="23EF1892"/>
    <w:rsid w:val="23F37F14"/>
    <w:rsid w:val="23F956E8"/>
    <w:rsid w:val="23FC3FAF"/>
    <w:rsid w:val="23FE7D27"/>
    <w:rsid w:val="24015121"/>
    <w:rsid w:val="241E2177"/>
    <w:rsid w:val="24305A06"/>
    <w:rsid w:val="244400BF"/>
    <w:rsid w:val="2447702E"/>
    <w:rsid w:val="24765B0F"/>
    <w:rsid w:val="247C0C4C"/>
    <w:rsid w:val="247C50B5"/>
    <w:rsid w:val="248A5117"/>
    <w:rsid w:val="248F4E23"/>
    <w:rsid w:val="249A5961"/>
    <w:rsid w:val="249B0281"/>
    <w:rsid w:val="24A3267C"/>
    <w:rsid w:val="24AF2DCF"/>
    <w:rsid w:val="24C13735"/>
    <w:rsid w:val="24C22B02"/>
    <w:rsid w:val="24D570AE"/>
    <w:rsid w:val="24D6035C"/>
    <w:rsid w:val="24E01EF1"/>
    <w:rsid w:val="24E2777A"/>
    <w:rsid w:val="24E94533"/>
    <w:rsid w:val="24F51DFC"/>
    <w:rsid w:val="250C0222"/>
    <w:rsid w:val="250C30B2"/>
    <w:rsid w:val="25294B7D"/>
    <w:rsid w:val="253D662D"/>
    <w:rsid w:val="254706FC"/>
    <w:rsid w:val="255D282B"/>
    <w:rsid w:val="25643BBA"/>
    <w:rsid w:val="25675458"/>
    <w:rsid w:val="256B13EC"/>
    <w:rsid w:val="25924268"/>
    <w:rsid w:val="2593449F"/>
    <w:rsid w:val="25E67FEE"/>
    <w:rsid w:val="25E76599"/>
    <w:rsid w:val="25EB7E37"/>
    <w:rsid w:val="25F3318F"/>
    <w:rsid w:val="26220E5B"/>
    <w:rsid w:val="2629095F"/>
    <w:rsid w:val="262D2207"/>
    <w:rsid w:val="26355556"/>
    <w:rsid w:val="2637307C"/>
    <w:rsid w:val="263B1FA4"/>
    <w:rsid w:val="263B7010"/>
    <w:rsid w:val="263C7979"/>
    <w:rsid w:val="264B2FCC"/>
    <w:rsid w:val="264E5249"/>
    <w:rsid w:val="2650413E"/>
    <w:rsid w:val="265359DC"/>
    <w:rsid w:val="26551754"/>
    <w:rsid w:val="267918E7"/>
    <w:rsid w:val="267B7958"/>
    <w:rsid w:val="26834513"/>
    <w:rsid w:val="268E3818"/>
    <w:rsid w:val="268F110A"/>
    <w:rsid w:val="268F1DAB"/>
    <w:rsid w:val="2694227D"/>
    <w:rsid w:val="26A10E3D"/>
    <w:rsid w:val="26AB43A0"/>
    <w:rsid w:val="26AC3A6A"/>
    <w:rsid w:val="26AF5314"/>
    <w:rsid w:val="26BE763B"/>
    <w:rsid w:val="26D708E5"/>
    <w:rsid w:val="26DF4C1B"/>
    <w:rsid w:val="26E730BC"/>
    <w:rsid w:val="270135A4"/>
    <w:rsid w:val="271138CD"/>
    <w:rsid w:val="271150DA"/>
    <w:rsid w:val="271635D9"/>
    <w:rsid w:val="272C6959"/>
    <w:rsid w:val="27334D4B"/>
    <w:rsid w:val="274517C9"/>
    <w:rsid w:val="274E4B21"/>
    <w:rsid w:val="2751016E"/>
    <w:rsid w:val="277B3BA7"/>
    <w:rsid w:val="27A43A41"/>
    <w:rsid w:val="27A97396"/>
    <w:rsid w:val="27B716B6"/>
    <w:rsid w:val="27B84691"/>
    <w:rsid w:val="27BD1CA7"/>
    <w:rsid w:val="27BD29B1"/>
    <w:rsid w:val="27C923FA"/>
    <w:rsid w:val="27CA464D"/>
    <w:rsid w:val="27CB7F20"/>
    <w:rsid w:val="27E56656"/>
    <w:rsid w:val="27E70AD2"/>
    <w:rsid w:val="27E91720"/>
    <w:rsid w:val="27F136A9"/>
    <w:rsid w:val="27F21934"/>
    <w:rsid w:val="27F231D4"/>
    <w:rsid w:val="27F6382B"/>
    <w:rsid w:val="27FA0805"/>
    <w:rsid w:val="27FD20A3"/>
    <w:rsid w:val="280F14ED"/>
    <w:rsid w:val="280F3776"/>
    <w:rsid w:val="281C4C20"/>
    <w:rsid w:val="28335AC5"/>
    <w:rsid w:val="28357A8F"/>
    <w:rsid w:val="2852419D"/>
    <w:rsid w:val="28527CD1"/>
    <w:rsid w:val="28697739"/>
    <w:rsid w:val="287C121A"/>
    <w:rsid w:val="287C7ABF"/>
    <w:rsid w:val="28844573"/>
    <w:rsid w:val="28885E11"/>
    <w:rsid w:val="289123ED"/>
    <w:rsid w:val="289A62B4"/>
    <w:rsid w:val="28A30E9D"/>
    <w:rsid w:val="28A4029C"/>
    <w:rsid w:val="28AA3FD9"/>
    <w:rsid w:val="28C52BC1"/>
    <w:rsid w:val="28D70B46"/>
    <w:rsid w:val="28E60D8A"/>
    <w:rsid w:val="28E9787B"/>
    <w:rsid w:val="28EA6E9E"/>
    <w:rsid w:val="28EF7AB7"/>
    <w:rsid w:val="28FE2577"/>
    <w:rsid w:val="29183639"/>
    <w:rsid w:val="29441132"/>
    <w:rsid w:val="296C18DD"/>
    <w:rsid w:val="296F0D7F"/>
    <w:rsid w:val="2973261D"/>
    <w:rsid w:val="29763EBB"/>
    <w:rsid w:val="297E09A5"/>
    <w:rsid w:val="29890753"/>
    <w:rsid w:val="298962E5"/>
    <w:rsid w:val="29934A6D"/>
    <w:rsid w:val="29A44ECD"/>
    <w:rsid w:val="29B50E88"/>
    <w:rsid w:val="29B72649"/>
    <w:rsid w:val="29B90BAE"/>
    <w:rsid w:val="29C9048F"/>
    <w:rsid w:val="29CC63DA"/>
    <w:rsid w:val="29CF7F37"/>
    <w:rsid w:val="29DD3F3B"/>
    <w:rsid w:val="2A064AA7"/>
    <w:rsid w:val="2A0753E5"/>
    <w:rsid w:val="2A0C29B8"/>
    <w:rsid w:val="2A0E5104"/>
    <w:rsid w:val="2A131C98"/>
    <w:rsid w:val="2A1536D4"/>
    <w:rsid w:val="2A500BB0"/>
    <w:rsid w:val="2A570E85"/>
    <w:rsid w:val="2A5C1303"/>
    <w:rsid w:val="2A6A337B"/>
    <w:rsid w:val="2A6B1546"/>
    <w:rsid w:val="2A76596A"/>
    <w:rsid w:val="2A7A79DB"/>
    <w:rsid w:val="2A830F86"/>
    <w:rsid w:val="2A8745B6"/>
    <w:rsid w:val="2A9860B3"/>
    <w:rsid w:val="2A9A1E2C"/>
    <w:rsid w:val="2A9F5694"/>
    <w:rsid w:val="2AA23A25"/>
    <w:rsid w:val="2AA23AE1"/>
    <w:rsid w:val="2AAA6513"/>
    <w:rsid w:val="2AC1560A"/>
    <w:rsid w:val="2AC60E73"/>
    <w:rsid w:val="2ACC53CC"/>
    <w:rsid w:val="2ACF41CB"/>
    <w:rsid w:val="2AD15C14"/>
    <w:rsid w:val="2ADC2444"/>
    <w:rsid w:val="2AF015CC"/>
    <w:rsid w:val="2B045837"/>
    <w:rsid w:val="2B07429B"/>
    <w:rsid w:val="2B152059"/>
    <w:rsid w:val="2B154372"/>
    <w:rsid w:val="2B1A0AB5"/>
    <w:rsid w:val="2B2116B0"/>
    <w:rsid w:val="2B230073"/>
    <w:rsid w:val="2B285689"/>
    <w:rsid w:val="2B323DA2"/>
    <w:rsid w:val="2B430715"/>
    <w:rsid w:val="2B520958"/>
    <w:rsid w:val="2B626DED"/>
    <w:rsid w:val="2B634913"/>
    <w:rsid w:val="2B85488A"/>
    <w:rsid w:val="2BA56CDA"/>
    <w:rsid w:val="2BBB02AC"/>
    <w:rsid w:val="2BC37160"/>
    <w:rsid w:val="2BE55328"/>
    <w:rsid w:val="2BEC2B5B"/>
    <w:rsid w:val="2BFF63EA"/>
    <w:rsid w:val="2C246995"/>
    <w:rsid w:val="2C3562B0"/>
    <w:rsid w:val="2C385DA0"/>
    <w:rsid w:val="2C444745"/>
    <w:rsid w:val="2C4944EB"/>
    <w:rsid w:val="2C4958B7"/>
    <w:rsid w:val="2C4B162F"/>
    <w:rsid w:val="2C54043B"/>
    <w:rsid w:val="2C5D1363"/>
    <w:rsid w:val="2C5F50DB"/>
    <w:rsid w:val="2C6203A4"/>
    <w:rsid w:val="2C792640"/>
    <w:rsid w:val="2C8132A3"/>
    <w:rsid w:val="2C9254B0"/>
    <w:rsid w:val="2C9C1E8B"/>
    <w:rsid w:val="2CA91FCE"/>
    <w:rsid w:val="2CAB0320"/>
    <w:rsid w:val="2CB847EB"/>
    <w:rsid w:val="2CC6515A"/>
    <w:rsid w:val="2CD23AFF"/>
    <w:rsid w:val="2CD72C54"/>
    <w:rsid w:val="2CE43832"/>
    <w:rsid w:val="2CEA709A"/>
    <w:rsid w:val="2CEB4BC0"/>
    <w:rsid w:val="2CF00429"/>
    <w:rsid w:val="2CF63C91"/>
    <w:rsid w:val="2D022235"/>
    <w:rsid w:val="2D031F0A"/>
    <w:rsid w:val="2D0F08AF"/>
    <w:rsid w:val="2D1A4D32"/>
    <w:rsid w:val="2D1C7470"/>
    <w:rsid w:val="2D2125B0"/>
    <w:rsid w:val="2D2F71A3"/>
    <w:rsid w:val="2D371BB4"/>
    <w:rsid w:val="2D3B78F6"/>
    <w:rsid w:val="2D3E2F42"/>
    <w:rsid w:val="2D7C1CBC"/>
    <w:rsid w:val="2D8017AD"/>
    <w:rsid w:val="2D8868B3"/>
    <w:rsid w:val="2DAC4350"/>
    <w:rsid w:val="2DBD7BEB"/>
    <w:rsid w:val="2DC511FA"/>
    <w:rsid w:val="2DE47F8D"/>
    <w:rsid w:val="2E141EF5"/>
    <w:rsid w:val="2E1755ED"/>
    <w:rsid w:val="2E19750B"/>
    <w:rsid w:val="2E2C6459"/>
    <w:rsid w:val="2E374561"/>
    <w:rsid w:val="2E494294"/>
    <w:rsid w:val="2E5073D1"/>
    <w:rsid w:val="2E56250D"/>
    <w:rsid w:val="2E5A1FFE"/>
    <w:rsid w:val="2E605E44"/>
    <w:rsid w:val="2E623354"/>
    <w:rsid w:val="2E6A4E27"/>
    <w:rsid w:val="2E7B108D"/>
    <w:rsid w:val="2E7D7A9A"/>
    <w:rsid w:val="2E9B12B3"/>
    <w:rsid w:val="2EAB0AAB"/>
    <w:rsid w:val="2ED33B5E"/>
    <w:rsid w:val="2EDA313F"/>
    <w:rsid w:val="2EE53D89"/>
    <w:rsid w:val="2EEC10D1"/>
    <w:rsid w:val="2EF17E76"/>
    <w:rsid w:val="2F030EDA"/>
    <w:rsid w:val="2F0412C1"/>
    <w:rsid w:val="2F171C9D"/>
    <w:rsid w:val="2F1749E6"/>
    <w:rsid w:val="2F202F46"/>
    <w:rsid w:val="2F2E6FE6"/>
    <w:rsid w:val="2F397E65"/>
    <w:rsid w:val="2F436F36"/>
    <w:rsid w:val="2F47268D"/>
    <w:rsid w:val="2F484F80"/>
    <w:rsid w:val="2F57653D"/>
    <w:rsid w:val="2F8F5CD7"/>
    <w:rsid w:val="2F926074"/>
    <w:rsid w:val="2F963509"/>
    <w:rsid w:val="2F971630"/>
    <w:rsid w:val="2FA774C5"/>
    <w:rsid w:val="2FB44E46"/>
    <w:rsid w:val="2FCA005B"/>
    <w:rsid w:val="2FDC6A42"/>
    <w:rsid w:val="2FE204FD"/>
    <w:rsid w:val="2FEE6EA1"/>
    <w:rsid w:val="2FFF4CAE"/>
    <w:rsid w:val="30000983"/>
    <w:rsid w:val="30042C3B"/>
    <w:rsid w:val="301663F8"/>
    <w:rsid w:val="301F1BC4"/>
    <w:rsid w:val="302C1778"/>
    <w:rsid w:val="302E5110"/>
    <w:rsid w:val="303A5A64"/>
    <w:rsid w:val="30444D13"/>
    <w:rsid w:val="304E74D7"/>
    <w:rsid w:val="305111DE"/>
    <w:rsid w:val="3058256D"/>
    <w:rsid w:val="305B205D"/>
    <w:rsid w:val="305E5ED8"/>
    <w:rsid w:val="307A6987"/>
    <w:rsid w:val="30823A8E"/>
    <w:rsid w:val="3086532C"/>
    <w:rsid w:val="3087341E"/>
    <w:rsid w:val="308C2216"/>
    <w:rsid w:val="309317F7"/>
    <w:rsid w:val="3095429A"/>
    <w:rsid w:val="30A91479"/>
    <w:rsid w:val="30B04157"/>
    <w:rsid w:val="30B14C3C"/>
    <w:rsid w:val="30CD2F5B"/>
    <w:rsid w:val="30CE5B13"/>
    <w:rsid w:val="30E12562"/>
    <w:rsid w:val="30E84AF7"/>
    <w:rsid w:val="31103BE8"/>
    <w:rsid w:val="31132938"/>
    <w:rsid w:val="313703D4"/>
    <w:rsid w:val="31490108"/>
    <w:rsid w:val="31523460"/>
    <w:rsid w:val="31557F85"/>
    <w:rsid w:val="315630DF"/>
    <w:rsid w:val="315736D8"/>
    <w:rsid w:val="3166515D"/>
    <w:rsid w:val="31684A32"/>
    <w:rsid w:val="316E7B6E"/>
    <w:rsid w:val="31717D8A"/>
    <w:rsid w:val="317403C7"/>
    <w:rsid w:val="3179559F"/>
    <w:rsid w:val="317E6003"/>
    <w:rsid w:val="3183186B"/>
    <w:rsid w:val="319B6BB5"/>
    <w:rsid w:val="31A1154D"/>
    <w:rsid w:val="31A17F44"/>
    <w:rsid w:val="31A31F0E"/>
    <w:rsid w:val="31AD053C"/>
    <w:rsid w:val="31B47C77"/>
    <w:rsid w:val="31BC4D7D"/>
    <w:rsid w:val="31D04385"/>
    <w:rsid w:val="31E340B8"/>
    <w:rsid w:val="31E513C0"/>
    <w:rsid w:val="31EE13DB"/>
    <w:rsid w:val="31F75DB5"/>
    <w:rsid w:val="31F957C3"/>
    <w:rsid w:val="320433D9"/>
    <w:rsid w:val="320B1E88"/>
    <w:rsid w:val="322272D6"/>
    <w:rsid w:val="323D7C6C"/>
    <w:rsid w:val="324F79A0"/>
    <w:rsid w:val="32540C44"/>
    <w:rsid w:val="325B29A2"/>
    <w:rsid w:val="3268280F"/>
    <w:rsid w:val="32696CB3"/>
    <w:rsid w:val="326D226F"/>
    <w:rsid w:val="32755BEE"/>
    <w:rsid w:val="328533C1"/>
    <w:rsid w:val="32A4546A"/>
    <w:rsid w:val="32B31CDC"/>
    <w:rsid w:val="32B51FD0"/>
    <w:rsid w:val="32C57C62"/>
    <w:rsid w:val="32DD31FD"/>
    <w:rsid w:val="32ED1980"/>
    <w:rsid w:val="32EE540A"/>
    <w:rsid w:val="32F00E54"/>
    <w:rsid w:val="32F1304C"/>
    <w:rsid w:val="33094881"/>
    <w:rsid w:val="33370B5F"/>
    <w:rsid w:val="333A0650"/>
    <w:rsid w:val="333F3794"/>
    <w:rsid w:val="33462335"/>
    <w:rsid w:val="33467502"/>
    <w:rsid w:val="334F40FB"/>
    <w:rsid w:val="33557238"/>
    <w:rsid w:val="335A57BD"/>
    <w:rsid w:val="3381627F"/>
    <w:rsid w:val="33953AD8"/>
    <w:rsid w:val="339A10EE"/>
    <w:rsid w:val="339E5D33"/>
    <w:rsid w:val="33B0446E"/>
    <w:rsid w:val="33B977C6"/>
    <w:rsid w:val="33C53AAF"/>
    <w:rsid w:val="33C87A09"/>
    <w:rsid w:val="33D52183"/>
    <w:rsid w:val="33E04D53"/>
    <w:rsid w:val="33EC17CD"/>
    <w:rsid w:val="33EF143A"/>
    <w:rsid w:val="33EF1C73"/>
    <w:rsid w:val="33FA6F1E"/>
    <w:rsid w:val="340661A5"/>
    <w:rsid w:val="340903E3"/>
    <w:rsid w:val="340E30B9"/>
    <w:rsid w:val="34106DFB"/>
    <w:rsid w:val="34126ED7"/>
    <w:rsid w:val="341E3ACD"/>
    <w:rsid w:val="34311A53"/>
    <w:rsid w:val="343678CD"/>
    <w:rsid w:val="343B642D"/>
    <w:rsid w:val="34467C72"/>
    <w:rsid w:val="34480B4A"/>
    <w:rsid w:val="345968B4"/>
    <w:rsid w:val="345A0C5F"/>
    <w:rsid w:val="345B087E"/>
    <w:rsid w:val="346040E6"/>
    <w:rsid w:val="34702AF7"/>
    <w:rsid w:val="347A2085"/>
    <w:rsid w:val="347F27BE"/>
    <w:rsid w:val="34897199"/>
    <w:rsid w:val="34945B3E"/>
    <w:rsid w:val="349873DC"/>
    <w:rsid w:val="34A51AF9"/>
    <w:rsid w:val="34AD7661"/>
    <w:rsid w:val="34B01E1E"/>
    <w:rsid w:val="34C2413E"/>
    <w:rsid w:val="34DE4124"/>
    <w:rsid w:val="34E16FD5"/>
    <w:rsid w:val="34E94961"/>
    <w:rsid w:val="34EA39B0"/>
    <w:rsid w:val="35026F4B"/>
    <w:rsid w:val="35171719"/>
    <w:rsid w:val="352E7D40"/>
    <w:rsid w:val="35411821"/>
    <w:rsid w:val="354B26A0"/>
    <w:rsid w:val="354E2190"/>
    <w:rsid w:val="355E512E"/>
    <w:rsid w:val="357243F8"/>
    <w:rsid w:val="35853917"/>
    <w:rsid w:val="35906305"/>
    <w:rsid w:val="359C73A0"/>
    <w:rsid w:val="35A26038"/>
    <w:rsid w:val="35AA3A3A"/>
    <w:rsid w:val="35AA4722"/>
    <w:rsid w:val="35C10BB4"/>
    <w:rsid w:val="35CF507F"/>
    <w:rsid w:val="35E16EBF"/>
    <w:rsid w:val="35F66AB0"/>
    <w:rsid w:val="35F86203"/>
    <w:rsid w:val="36030A2E"/>
    <w:rsid w:val="360B340E"/>
    <w:rsid w:val="360C7071"/>
    <w:rsid w:val="36116540"/>
    <w:rsid w:val="3659703F"/>
    <w:rsid w:val="365E28A7"/>
    <w:rsid w:val="36655CF0"/>
    <w:rsid w:val="366B14C0"/>
    <w:rsid w:val="368E1A09"/>
    <w:rsid w:val="369342FF"/>
    <w:rsid w:val="369D456C"/>
    <w:rsid w:val="36A06A1C"/>
    <w:rsid w:val="36A8455A"/>
    <w:rsid w:val="36C95F72"/>
    <w:rsid w:val="36D05553"/>
    <w:rsid w:val="36DF3C16"/>
    <w:rsid w:val="36E27034"/>
    <w:rsid w:val="36ED1FA3"/>
    <w:rsid w:val="36F36DEE"/>
    <w:rsid w:val="370E607B"/>
    <w:rsid w:val="37256F92"/>
    <w:rsid w:val="372E4027"/>
    <w:rsid w:val="373D070E"/>
    <w:rsid w:val="373F79B1"/>
    <w:rsid w:val="37441A9D"/>
    <w:rsid w:val="37537F32"/>
    <w:rsid w:val="376C4F8C"/>
    <w:rsid w:val="376F2F1F"/>
    <w:rsid w:val="378400EB"/>
    <w:rsid w:val="378620B5"/>
    <w:rsid w:val="37904CE2"/>
    <w:rsid w:val="379522F8"/>
    <w:rsid w:val="379540A7"/>
    <w:rsid w:val="379D00C8"/>
    <w:rsid w:val="379F0A81"/>
    <w:rsid w:val="379F2985"/>
    <w:rsid w:val="37B00EE0"/>
    <w:rsid w:val="37C03BF9"/>
    <w:rsid w:val="37CB498A"/>
    <w:rsid w:val="37D20E57"/>
    <w:rsid w:val="37E1109A"/>
    <w:rsid w:val="37E97122"/>
    <w:rsid w:val="37EE37B7"/>
    <w:rsid w:val="381551E7"/>
    <w:rsid w:val="381F7AD5"/>
    <w:rsid w:val="382611A3"/>
    <w:rsid w:val="382C4A0B"/>
    <w:rsid w:val="382D2531"/>
    <w:rsid w:val="3837515E"/>
    <w:rsid w:val="383A697D"/>
    <w:rsid w:val="384F4255"/>
    <w:rsid w:val="385633E2"/>
    <w:rsid w:val="38635F53"/>
    <w:rsid w:val="38653A79"/>
    <w:rsid w:val="386F79F1"/>
    <w:rsid w:val="38767A34"/>
    <w:rsid w:val="388D2FD0"/>
    <w:rsid w:val="38983E4E"/>
    <w:rsid w:val="38A84A79"/>
    <w:rsid w:val="38B16CBE"/>
    <w:rsid w:val="38B36EDA"/>
    <w:rsid w:val="38E2156D"/>
    <w:rsid w:val="38FD0155"/>
    <w:rsid w:val="390C65EA"/>
    <w:rsid w:val="390E2362"/>
    <w:rsid w:val="391060DB"/>
    <w:rsid w:val="39131B69"/>
    <w:rsid w:val="39253208"/>
    <w:rsid w:val="39400042"/>
    <w:rsid w:val="39403254"/>
    <w:rsid w:val="39490357"/>
    <w:rsid w:val="396C6330"/>
    <w:rsid w:val="397877DC"/>
    <w:rsid w:val="3999678C"/>
    <w:rsid w:val="39A6259B"/>
    <w:rsid w:val="39C40C73"/>
    <w:rsid w:val="39D377DB"/>
    <w:rsid w:val="39D569DC"/>
    <w:rsid w:val="39E5331E"/>
    <w:rsid w:val="39F9503D"/>
    <w:rsid w:val="3A0354D7"/>
    <w:rsid w:val="3A080BE1"/>
    <w:rsid w:val="3A105C66"/>
    <w:rsid w:val="3A152045"/>
    <w:rsid w:val="3A223DCB"/>
    <w:rsid w:val="3A2D05C6"/>
    <w:rsid w:val="3A3462BA"/>
    <w:rsid w:val="3A35391F"/>
    <w:rsid w:val="3A3A2CE3"/>
    <w:rsid w:val="3A4A561C"/>
    <w:rsid w:val="3A5169AB"/>
    <w:rsid w:val="3A58475F"/>
    <w:rsid w:val="3A5D7C28"/>
    <w:rsid w:val="3A5E7E93"/>
    <w:rsid w:val="3A6E6C87"/>
    <w:rsid w:val="3A77515E"/>
    <w:rsid w:val="3A775CE5"/>
    <w:rsid w:val="3A791A5E"/>
    <w:rsid w:val="3A802DEC"/>
    <w:rsid w:val="3A8427E0"/>
    <w:rsid w:val="3A86417A"/>
    <w:rsid w:val="3A8B0C83"/>
    <w:rsid w:val="3A940645"/>
    <w:rsid w:val="3A970136"/>
    <w:rsid w:val="3A995420"/>
    <w:rsid w:val="3AA12D62"/>
    <w:rsid w:val="3AA57114"/>
    <w:rsid w:val="3AAB72AF"/>
    <w:rsid w:val="3AD13648"/>
    <w:rsid w:val="3AEE22E7"/>
    <w:rsid w:val="3AFD213A"/>
    <w:rsid w:val="3B0427CC"/>
    <w:rsid w:val="3B09112B"/>
    <w:rsid w:val="3B1C0596"/>
    <w:rsid w:val="3B20637D"/>
    <w:rsid w:val="3B2319C9"/>
    <w:rsid w:val="3B2C6AD0"/>
    <w:rsid w:val="3B455D7F"/>
    <w:rsid w:val="3B567FF1"/>
    <w:rsid w:val="3B5B1163"/>
    <w:rsid w:val="3B716BD9"/>
    <w:rsid w:val="3B84063D"/>
    <w:rsid w:val="3B862684"/>
    <w:rsid w:val="3B8875E3"/>
    <w:rsid w:val="3B955700"/>
    <w:rsid w:val="3BC27434"/>
    <w:rsid w:val="3BC62A80"/>
    <w:rsid w:val="3BC95C98"/>
    <w:rsid w:val="3BD75940"/>
    <w:rsid w:val="3BDA29D0"/>
    <w:rsid w:val="3BDD7DCA"/>
    <w:rsid w:val="3BE8091F"/>
    <w:rsid w:val="3BE949C1"/>
    <w:rsid w:val="3BF42260"/>
    <w:rsid w:val="3C033CD5"/>
    <w:rsid w:val="3C2366AE"/>
    <w:rsid w:val="3C265C15"/>
    <w:rsid w:val="3C284C49"/>
    <w:rsid w:val="3C4D13F4"/>
    <w:rsid w:val="3C4E5079"/>
    <w:rsid w:val="3C541BC5"/>
    <w:rsid w:val="3C5E2AB3"/>
    <w:rsid w:val="3C5F6A31"/>
    <w:rsid w:val="3C65673D"/>
    <w:rsid w:val="3C722C08"/>
    <w:rsid w:val="3C7C5F7D"/>
    <w:rsid w:val="3C8F37BA"/>
    <w:rsid w:val="3C9506A5"/>
    <w:rsid w:val="3C9C7C85"/>
    <w:rsid w:val="3C9E3DCB"/>
    <w:rsid w:val="3CB44FCF"/>
    <w:rsid w:val="3CCD6091"/>
    <w:rsid w:val="3CDB255C"/>
    <w:rsid w:val="3CDB6174"/>
    <w:rsid w:val="3CE74BDC"/>
    <w:rsid w:val="3CF11D7F"/>
    <w:rsid w:val="3CFB49AC"/>
    <w:rsid w:val="3D015D3A"/>
    <w:rsid w:val="3D050477"/>
    <w:rsid w:val="3D0F0457"/>
    <w:rsid w:val="3D14341C"/>
    <w:rsid w:val="3D167A38"/>
    <w:rsid w:val="3D404852"/>
    <w:rsid w:val="3D477BF1"/>
    <w:rsid w:val="3D4A76E1"/>
    <w:rsid w:val="3D516CC2"/>
    <w:rsid w:val="3D5567B2"/>
    <w:rsid w:val="3D785FFC"/>
    <w:rsid w:val="3D7C7242"/>
    <w:rsid w:val="3DB668C6"/>
    <w:rsid w:val="3DB83232"/>
    <w:rsid w:val="3DBF3C2B"/>
    <w:rsid w:val="3DD87CDC"/>
    <w:rsid w:val="3DDB658B"/>
    <w:rsid w:val="3DE70D2F"/>
    <w:rsid w:val="3DEB4A20"/>
    <w:rsid w:val="3DF007AE"/>
    <w:rsid w:val="3DF062BF"/>
    <w:rsid w:val="3E0420ED"/>
    <w:rsid w:val="3E0618F6"/>
    <w:rsid w:val="3E0869AC"/>
    <w:rsid w:val="3E1C32D8"/>
    <w:rsid w:val="3E2C6DE7"/>
    <w:rsid w:val="3E32264F"/>
    <w:rsid w:val="3E342474"/>
    <w:rsid w:val="3E3A59A8"/>
    <w:rsid w:val="3E3E1A04"/>
    <w:rsid w:val="3E4B1963"/>
    <w:rsid w:val="3E53454B"/>
    <w:rsid w:val="3E622809"/>
    <w:rsid w:val="3E6F204E"/>
    <w:rsid w:val="3E7569E0"/>
    <w:rsid w:val="3E7C38CA"/>
    <w:rsid w:val="3E832EAB"/>
    <w:rsid w:val="3E88151A"/>
    <w:rsid w:val="3E894239"/>
    <w:rsid w:val="3E8D3D29"/>
    <w:rsid w:val="3EA71E71"/>
    <w:rsid w:val="3EA82911"/>
    <w:rsid w:val="3EC62D97"/>
    <w:rsid w:val="3ECF60F0"/>
    <w:rsid w:val="3ED100BA"/>
    <w:rsid w:val="3EE020AB"/>
    <w:rsid w:val="3EF836B7"/>
    <w:rsid w:val="3EF913BF"/>
    <w:rsid w:val="3F0D6C18"/>
    <w:rsid w:val="3F1735F3"/>
    <w:rsid w:val="3F364D39"/>
    <w:rsid w:val="3F4D34B9"/>
    <w:rsid w:val="3F505A98"/>
    <w:rsid w:val="3F524B18"/>
    <w:rsid w:val="3F5922C0"/>
    <w:rsid w:val="3F6207BA"/>
    <w:rsid w:val="3F626F64"/>
    <w:rsid w:val="3F672E55"/>
    <w:rsid w:val="3F7B1DD4"/>
    <w:rsid w:val="3F810615"/>
    <w:rsid w:val="3F836EDA"/>
    <w:rsid w:val="3F843560"/>
    <w:rsid w:val="3F8B767F"/>
    <w:rsid w:val="3F8C1CD0"/>
    <w:rsid w:val="3F8C3FE1"/>
    <w:rsid w:val="3F8C5D8F"/>
    <w:rsid w:val="3F8E51D3"/>
    <w:rsid w:val="3F8E7D59"/>
    <w:rsid w:val="3F984C13"/>
    <w:rsid w:val="3FA72BC9"/>
    <w:rsid w:val="3FB3559B"/>
    <w:rsid w:val="3FB5786C"/>
    <w:rsid w:val="3FC90D91"/>
    <w:rsid w:val="3FCF3ECE"/>
    <w:rsid w:val="3FD84260"/>
    <w:rsid w:val="3FD919BA"/>
    <w:rsid w:val="3FDC2B4A"/>
    <w:rsid w:val="3FF04570"/>
    <w:rsid w:val="3FFC7B8D"/>
    <w:rsid w:val="3FFD010D"/>
    <w:rsid w:val="400446DB"/>
    <w:rsid w:val="400718BA"/>
    <w:rsid w:val="400973E0"/>
    <w:rsid w:val="400A40D9"/>
    <w:rsid w:val="400B75FC"/>
    <w:rsid w:val="401F452F"/>
    <w:rsid w:val="402C53E6"/>
    <w:rsid w:val="403A3A3D"/>
    <w:rsid w:val="40460634"/>
    <w:rsid w:val="40515724"/>
    <w:rsid w:val="40582115"/>
    <w:rsid w:val="4065700E"/>
    <w:rsid w:val="40703903"/>
    <w:rsid w:val="407927B7"/>
    <w:rsid w:val="407D7E74"/>
    <w:rsid w:val="408B38B3"/>
    <w:rsid w:val="40953369"/>
    <w:rsid w:val="409D2F33"/>
    <w:rsid w:val="40AB0497"/>
    <w:rsid w:val="40B63C8D"/>
    <w:rsid w:val="40B7508E"/>
    <w:rsid w:val="40C003E6"/>
    <w:rsid w:val="40D40AAB"/>
    <w:rsid w:val="40D77011"/>
    <w:rsid w:val="40E90FBF"/>
    <w:rsid w:val="40F40090"/>
    <w:rsid w:val="40F57964"/>
    <w:rsid w:val="40FB76BC"/>
    <w:rsid w:val="41036525"/>
    <w:rsid w:val="41072D28"/>
    <w:rsid w:val="41126768"/>
    <w:rsid w:val="412344D1"/>
    <w:rsid w:val="4125450E"/>
    <w:rsid w:val="412973EA"/>
    <w:rsid w:val="41316FA8"/>
    <w:rsid w:val="41456B3D"/>
    <w:rsid w:val="414C3A28"/>
    <w:rsid w:val="416845DA"/>
    <w:rsid w:val="41731AB7"/>
    <w:rsid w:val="418861C8"/>
    <w:rsid w:val="41AA69A0"/>
    <w:rsid w:val="41B45A71"/>
    <w:rsid w:val="41C9151C"/>
    <w:rsid w:val="41DB3A91"/>
    <w:rsid w:val="41DC41E8"/>
    <w:rsid w:val="41F71B81"/>
    <w:rsid w:val="42010DBE"/>
    <w:rsid w:val="42075BA1"/>
    <w:rsid w:val="4214206C"/>
    <w:rsid w:val="42213106"/>
    <w:rsid w:val="42241720"/>
    <w:rsid w:val="422C1AAB"/>
    <w:rsid w:val="42470693"/>
    <w:rsid w:val="424E37D0"/>
    <w:rsid w:val="426B25D4"/>
    <w:rsid w:val="4278084D"/>
    <w:rsid w:val="427E247B"/>
    <w:rsid w:val="428611BC"/>
    <w:rsid w:val="42BD2703"/>
    <w:rsid w:val="42C65A5C"/>
    <w:rsid w:val="42CD6DEA"/>
    <w:rsid w:val="42E04834"/>
    <w:rsid w:val="430B346F"/>
    <w:rsid w:val="43140A2D"/>
    <w:rsid w:val="431542ED"/>
    <w:rsid w:val="43160791"/>
    <w:rsid w:val="432671FE"/>
    <w:rsid w:val="432B58BF"/>
    <w:rsid w:val="43301127"/>
    <w:rsid w:val="434150E2"/>
    <w:rsid w:val="43417739"/>
    <w:rsid w:val="4355293C"/>
    <w:rsid w:val="43602615"/>
    <w:rsid w:val="436117D4"/>
    <w:rsid w:val="43617533"/>
    <w:rsid w:val="437049F2"/>
    <w:rsid w:val="43707776"/>
    <w:rsid w:val="43842246"/>
    <w:rsid w:val="43853221"/>
    <w:rsid w:val="43A7763B"/>
    <w:rsid w:val="43B14016"/>
    <w:rsid w:val="43B92ECB"/>
    <w:rsid w:val="43BE0166"/>
    <w:rsid w:val="43E048FB"/>
    <w:rsid w:val="440E3217"/>
    <w:rsid w:val="440F0504"/>
    <w:rsid w:val="44103433"/>
    <w:rsid w:val="4421185F"/>
    <w:rsid w:val="4437557C"/>
    <w:rsid w:val="443B7D84"/>
    <w:rsid w:val="444C2BC0"/>
    <w:rsid w:val="445361E5"/>
    <w:rsid w:val="44676DCB"/>
    <w:rsid w:val="447C0AC8"/>
    <w:rsid w:val="447C14DF"/>
    <w:rsid w:val="4482717F"/>
    <w:rsid w:val="448B4867"/>
    <w:rsid w:val="448E6105"/>
    <w:rsid w:val="44A21BB1"/>
    <w:rsid w:val="44A21CDC"/>
    <w:rsid w:val="44B57B36"/>
    <w:rsid w:val="44D05FB9"/>
    <w:rsid w:val="44D75CFE"/>
    <w:rsid w:val="44D9323B"/>
    <w:rsid w:val="44F248E6"/>
    <w:rsid w:val="452B1E36"/>
    <w:rsid w:val="452B6B92"/>
    <w:rsid w:val="45336CAD"/>
    <w:rsid w:val="453B44DF"/>
    <w:rsid w:val="453C0257"/>
    <w:rsid w:val="453C7EA3"/>
    <w:rsid w:val="454B3FF6"/>
    <w:rsid w:val="45682DFA"/>
    <w:rsid w:val="456C5AB9"/>
    <w:rsid w:val="45952817"/>
    <w:rsid w:val="45A863B8"/>
    <w:rsid w:val="45BB6D3C"/>
    <w:rsid w:val="45C24FE8"/>
    <w:rsid w:val="45CC3389"/>
    <w:rsid w:val="45CD7101"/>
    <w:rsid w:val="45D67D64"/>
    <w:rsid w:val="45E436D4"/>
    <w:rsid w:val="45F91CA4"/>
    <w:rsid w:val="46017508"/>
    <w:rsid w:val="460C7C2A"/>
    <w:rsid w:val="460F14C8"/>
    <w:rsid w:val="46130FB8"/>
    <w:rsid w:val="46132D66"/>
    <w:rsid w:val="46184820"/>
    <w:rsid w:val="46386C71"/>
    <w:rsid w:val="463A4797"/>
    <w:rsid w:val="46431B1A"/>
    <w:rsid w:val="464E1FF0"/>
    <w:rsid w:val="466366B9"/>
    <w:rsid w:val="4665558C"/>
    <w:rsid w:val="466B0DF4"/>
    <w:rsid w:val="4670640B"/>
    <w:rsid w:val="46790780"/>
    <w:rsid w:val="46794B93"/>
    <w:rsid w:val="46800253"/>
    <w:rsid w:val="46845A12"/>
    <w:rsid w:val="468C64C8"/>
    <w:rsid w:val="469320F9"/>
    <w:rsid w:val="46955E71"/>
    <w:rsid w:val="469C7200"/>
    <w:rsid w:val="46C96ACD"/>
    <w:rsid w:val="46CE1383"/>
    <w:rsid w:val="46D52711"/>
    <w:rsid w:val="46D67F86"/>
    <w:rsid w:val="46E14C12"/>
    <w:rsid w:val="46E6047B"/>
    <w:rsid w:val="46F448C2"/>
    <w:rsid w:val="47044DA5"/>
    <w:rsid w:val="47060D7D"/>
    <w:rsid w:val="47075225"/>
    <w:rsid w:val="470D5A07"/>
    <w:rsid w:val="471843AC"/>
    <w:rsid w:val="471E5E67"/>
    <w:rsid w:val="472D60AA"/>
    <w:rsid w:val="473F67A2"/>
    <w:rsid w:val="474536E0"/>
    <w:rsid w:val="47463365"/>
    <w:rsid w:val="47596E9F"/>
    <w:rsid w:val="47680E90"/>
    <w:rsid w:val="476B55F6"/>
    <w:rsid w:val="47777325"/>
    <w:rsid w:val="47925F0D"/>
    <w:rsid w:val="47A10846"/>
    <w:rsid w:val="47A876DF"/>
    <w:rsid w:val="47AA594C"/>
    <w:rsid w:val="47AF4D11"/>
    <w:rsid w:val="47B370C9"/>
    <w:rsid w:val="47BE6DA0"/>
    <w:rsid w:val="47C3256A"/>
    <w:rsid w:val="47E744AA"/>
    <w:rsid w:val="47F46BC7"/>
    <w:rsid w:val="48027536"/>
    <w:rsid w:val="48042FA6"/>
    <w:rsid w:val="481C57BF"/>
    <w:rsid w:val="481E59F2"/>
    <w:rsid w:val="48286871"/>
    <w:rsid w:val="482E032B"/>
    <w:rsid w:val="48343468"/>
    <w:rsid w:val="485578E8"/>
    <w:rsid w:val="485B78C5"/>
    <w:rsid w:val="48680CE3"/>
    <w:rsid w:val="48741AB6"/>
    <w:rsid w:val="487516C9"/>
    <w:rsid w:val="488C5052"/>
    <w:rsid w:val="48967C7F"/>
    <w:rsid w:val="489F4D85"/>
    <w:rsid w:val="48A147B6"/>
    <w:rsid w:val="48A73C3A"/>
    <w:rsid w:val="48B9571B"/>
    <w:rsid w:val="48D367DD"/>
    <w:rsid w:val="48D82045"/>
    <w:rsid w:val="48DA7B6B"/>
    <w:rsid w:val="48E82D4D"/>
    <w:rsid w:val="48F007F6"/>
    <w:rsid w:val="48F549A5"/>
    <w:rsid w:val="490C7F41"/>
    <w:rsid w:val="49115557"/>
    <w:rsid w:val="491D5CAA"/>
    <w:rsid w:val="49431BB4"/>
    <w:rsid w:val="494C4342"/>
    <w:rsid w:val="49537DE0"/>
    <w:rsid w:val="495518E8"/>
    <w:rsid w:val="495913D8"/>
    <w:rsid w:val="4977360C"/>
    <w:rsid w:val="498703ED"/>
    <w:rsid w:val="49870E8A"/>
    <w:rsid w:val="499248EA"/>
    <w:rsid w:val="49AF3B93"/>
    <w:rsid w:val="49C70A02"/>
    <w:rsid w:val="49C72B69"/>
    <w:rsid w:val="49E07403"/>
    <w:rsid w:val="49F11610"/>
    <w:rsid w:val="4A02381D"/>
    <w:rsid w:val="4A0E6954"/>
    <w:rsid w:val="4A121587"/>
    <w:rsid w:val="4A1A47F4"/>
    <w:rsid w:val="4A275032"/>
    <w:rsid w:val="4A275F90"/>
    <w:rsid w:val="4A280DAA"/>
    <w:rsid w:val="4A29760D"/>
    <w:rsid w:val="4A2D4613"/>
    <w:rsid w:val="4A3459A1"/>
    <w:rsid w:val="4A3B288C"/>
    <w:rsid w:val="4A3B526E"/>
    <w:rsid w:val="4A3B69AF"/>
    <w:rsid w:val="4A624814"/>
    <w:rsid w:val="4A64191B"/>
    <w:rsid w:val="4A6A4F1F"/>
    <w:rsid w:val="4A722025"/>
    <w:rsid w:val="4A745F18"/>
    <w:rsid w:val="4A8204BA"/>
    <w:rsid w:val="4A8B3EC0"/>
    <w:rsid w:val="4AA2290B"/>
    <w:rsid w:val="4AAC4A05"/>
    <w:rsid w:val="4AB112AD"/>
    <w:rsid w:val="4AB918F6"/>
    <w:rsid w:val="4AD14F9E"/>
    <w:rsid w:val="4AEB42B2"/>
    <w:rsid w:val="4AF403AA"/>
    <w:rsid w:val="4AFD616C"/>
    <w:rsid w:val="4B09298A"/>
    <w:rsid w:val="4B0B04B0"/>
    <w:rsid w:val="4B105AC6"/>
    <w:rsid w:val="4B447AD4"/>
    <w:rsid w:val="4B4D32E0"/>
    <w:rsid w:val="4B5D4A84"/>
    <w:rsid w:val="4B7050AD"/>
    <w:rsid w:val="4B717B63"/>
    <w:rsid w:val="4B75001F"/>
    <w:rsid w:val="4B7A3887"/>
    <w:rsid w:val="4B7C629E"/>
    <w:rsid w:val="4BA30828"/>
    <w:rsid w:val="4BA93D64"/>
    <w:rsid w:val="4BB072A9"/>
    <w:rsid w:val="4BBE0554"/>
    <w:rsid w:val="4BBE22D0"/>
    <w:rsid w:val="4BBF20A9"/>
    <w:rsid w:val="4BCB40E3"/>
    <w:rsid w:val="4BCD170C"/>
    <w:rsid w:val="4BD20FCE"/>
    <w:rsid w:val="4BD74836"/>
    <w:rsid w:val="4BDF36EB"/>
    <w:rsid w:val="4BED5E07"/>
    <w:rsid w:val="4BF47196"/>
    <w:rsid w:val="4BF54CBC"/>
    <w:rsid w:val="4BF70A34"/>
    <w:rsid w:val="4BFD1393"/>
    <w:rsid w:val="4C0A69B9"/>
    <w:rsid w:val="4C1635B0"/>
    <w:rsid w:val="4C1C26CD"/>
    <w:rsid w:val="4C215AB1"/>
    <w:rsid w:val="4C2555A1"/>
    <w:rsid w:val="4C2832E3"/>
    <w:rsid w:val="4C2D08FA"/>
    <w:rsid w:val="4C387642"/>
    <w:rsid w:val="4C39104D"/>
    <w:rsid w:val="4C3F1BAE"/>
    <w:rsid w:val="4C4105CA"/>
    <w:rsid w:val="4C5C4D3B"/>
    <w:rsid w:val="4C5D5CA7"/>
    <w:rsid w:val="4C612351"/>
    <w:rsid w:val="4C667968"/>
    <w:rsid w:val="4C76404F"/>
    <w:rsid w:val="4C786019"/>
    <w:rsid w:val="4C991AEB"/>
    <w:rsid w:val="4CB26A62"/>
    <w:rsid w:val="4CCA7AE1"/>
    <w:rsid w:val="4CDB65A8"/>
    <w:rsid w:val="4CE216E4"/>
    <w:rsid w:val="4CEE0366"/>
    <w:rsid w:val="4CF569B5"/>
    <w:rsid w:val="4CFB4947"/>
    <w:rsid w:val="4D04165B"/>
    <w:rsid w:val="4D11448E"/>
    <w:rsid w:val="4D1D2091"/>
    <w:rsid w:val="4D243AAB"/>
    <w:rsid w:val="4D275D07"/>
    <w:rsid w:val="4D2770F7"/>
    <w:rsid w:val="4D3A507C"/>
    <w:rsid w:val="4D466E92"/>
    <w:rsid w:val="4D4844BB"/>
    <w:rsid w:val="4D5325E2"/>
    <w:rsid w:val="4D6614CB"/>
    <w:rsid w:val="4D6848C0"/>
    <w:rsid w:val="4D762204"/>
    <w:rsid w:val="4D7F0CE1"/>
    <w:rsid w:val="4D9E1AAF"/>
    <w:rsid w:val="4D9E5143"/>
    <w:rsid w:val="4D9F75D5"/>
    <w:rsid w:val="4DA9008C"/>
    <w:rsid w:val="4DAE03C1"/>
    <w:rsid w:val="4DC97603"/>
    <w:rsid w:val="4DE163BF"/>
    <w:rsid w:val="4DF54342"/>
    <w:rsid w:val="4DF571F5"/>
    <w:rsid w:val="4DFD3F6E"/>
    <w:rsid w:val="4DFE10C7"/>
    <w:rsid w:val="4E015B9A"/>
    <w:rsid w:val="4E086F29"/>
    <w:rsid w:val="4E140B6A"/>
    <w:rsid w:val="4E1B739A"/>
    <w:rsid w:val="4E1C0C26"/>
    <w:rsid w:val="4E233D62"/>
    <w:rsid w:val="4E407F3C"/>
    <w:rsid w:val="4E41243B"/>
    <w:rsid w:val="4E4C1468"/>
    <w:rsid w:val="4E5A52AA"/>
    <w:rsid w:val="4E676345"/>
    <w:rsid w:val="4E8567CB"/>
    <w:rsid w:val="4E8B5D8F"/>
    <w:rsid w:val="4E943545"/>
    <w:rsid w:val="4E944C60"/>
    <w:rsid w:val="4E964534"/>
    <w:rsid w:val="4EA74993"/>
    <w:rsid w:val="4EAF43FD"/>
    <w:rsid w:val="4EB86BA1"/>
    <w:rsid w:val="4EC72940"/>
    <w:rsid w:val="4ECC43FA"/>
    <w:rsid w:val="4EDF2886"/>
    <w:rsid w:val="4EE94FAC"/>
    <w:rsid w:val="4EEA4880"/>
    <w:rsid w:val="4EFC3606"/>
    <w:rsid w:val="4F107345"/>
    <w:rsid w:val="4F155DA1"/>
    <w:rsid w:val="4F1847B3"/>
    <w:rsid w:val="4F2314B3"/>
    <w:rsid w:val="4F397493"/>
    <w:rsid w:val="4F3B50DC"/>
    <w:rsid w:val="4F4246BC"/>
    <w:rsid w:val="4F813436"/>
    <w:rsid w:val="4F980780"/>
    <w:rsid w:val="4FAE3B00"/>
    <w:rsid w:val="4FB619EF"/>
    <w:rsid w:val="4FBD3D43"/>
    <w:rsid w:val="4FC861DA"/>
    <w:rsid w:val="4FD55530"/>
    <w:rsid w:val="4FE70DC0"/>
    <w:rsid w:val="4FFB544B"/>
    <w:rsid w:val="500D6A78"/>
    <w:rsid w:val="500F69BB"/>
    <w:rsid w:val="501F67AB"/>
    <w:rsid w:val="503A0F5B"/>
    <w:rsid w:val="503F29AA"/>
    <w:rsid w:val="50406E4E"/>
    <w:rsid w:val="5051105B"/>
    <w:rsid w:val="505B77CA"/>
    <w:rsid w:val="507B7E86"/>
    <w:rsid w:val="507F7220"/>
    <w:rsid w:val="508F56DF"/>
    <w:rsid w:val="50970A38"/>
    <w:rsid w:val="509B22D6"/>
    <w:rsid w:val="50A126B7"/>
    <w:rsid w:val="50A82C45"/>
    <w:rsid w:val="50AE094F"/>
    <w:rsid w:val="50B27620"/>
    <w:rsid w:val="50BC224C"/>
    <w:rsid w:val="50BF6F9A"/>
    <w:rsid w:val="50C57AB0"/>
    <w:rsid w:val="50D650BC"/>
    <w:rsid w:val="50D723A3"/>
    <w:rsid w:val="50DB294E"/>
    <w:rsid w:val="50DC3D6E"/>
    <w:rsid w:val="50E377D9"/>
    <w:rsid w:val="50F87728"/>
    <w:rsid w:val="510936E3"/>
    <w:rsid w:val="510F485C"/>
    <w:rsid w:val="511856D5"/>
    <w:rsid w:val="511B6F73"/>
    <w:rsid w:val="512C73D2"/>
    <w:rsid w:val="51321C80"/>
    <w:rsid w:val="514F4E6E"/>
    <w:rsid w:val="515661FD"/>
    <w:rsid w:val="51600E2A"/>
    <w:rsid w:val="51621046"/>
    <w:rsid w:val="516A3A56"/>
    <w:rsid w:val="517255BD"/>
    <w:rsid w:val="517B5C63"/>
    <w:rsid w:val="51840FBC"/>
    <w:rsid w:val="51856AE2"/>
    <w:rsid w:val="518C4D4D"/>
    <w:rsid w:val="51B13335"/>
    <w:rsid w:val="51F24178"/>
    <w:rsid w:val="52187956"/>
    <w:rsid w:val="521D3CB5"/>
    <w:rsid w:val="522462FB"/>
    <w:rsid w:val="52262073"/>
    <w:rsid w:val="523302EC"/>
    <w:rsid w:val="523654BB"/>
    <w:rsid w:val="52426781"/>
    <w:rsid w:val="5244074B"/>
    <w:rsid w:val="52454FAD"/>
    <w:rsid w:val="524B1ADA"/>
    <w:rsid w:val="526B217C"/>
    <w:rsid w:val="528374C6"/>
    <w:rsid w:val="528B1ED6"/>
    <w:rsid w:val="52A15B9E"/>
    <w:rsid w:val="52A70D2C"/>
    <w:rsid w:val="52B07B8F"/>
    <w:rsid w:val="52B94C95"/>
    <w:rsid w:val="52C213BF"/>
    <w:rsid w:val="52D94528"/>
    <w:rsid w:val="52E361B6"/>
    <w:rsid w:val="52EF6909"/>
    <w:rsid w:val="52F932E4"/>
    <w:rsid w:val="530A35D5"/>
    <w:rsid w:val="531210C9"/>
    <w:rsid w:val="531B76FE"/>
    <w:rsid w:val="532742F5"/>
    <w:rsid w:val="53277E51"/>
    <w:rsid w:val="532F31A9"/>
    <w:rsid w:val="53395DD6"/>
    <w:rsid w:val="535E583D"/>
    <w:rsid w:val="53607807"/>
    <w:rsid w:val="536C018C"/>
    <w:rsid w:val="53733096"/>
    <w:rsid w:val="5376727D"/>
    <w:rsid w:val="538434F5"/>
    <w:rsid w:val="538A03E0"/>
    <w:rsid w:val="539835FD"/>
    <w:rsid w:val="539F032F"/>
    <w:rsid w:val="53B06098"/>
    <w:rsid w:val="53B86CFB"/>
    <w:rsid w:val="53B92A73"/>
    <w:rsid w:val="53BB67EB"/>
    <w:rsid w:val="53C53D56"/>
    <w:rsid w:val="53C71634"/>
    <w:rsid w:val="53D224B3"/>
    <w:rsid w:val="53E70484"/>
    <w:rsid w:val="53EB1FF8"/>
    <w:rsid w:val="53F45760"/>
    <w:rsid w:val="5406215C"/>
    <w:rsid w:val="54161C73"/>
    <w:rsid w:val="541A79B6"/>
    <w:rsid w:val="54212AF2"/>
    <w:rsid w:val="54330A77"/>
    <w:rsid w:val="54370568"/>
    <w:rsid w:val="5457415A"/>
    <w:rsid w:val="54705828"/>
    <w:rsid w:val="5472334E"/>
    <w:rsid w:val="549239F0"/>
    <w:rsid w:val="54A379AB"/>
    <w:rsid w:val="54B27BEE"/>
    <w:rsid w:val="54BD0C40"/>
    <w:rsid w:val="54CB4416"/>
    <w:rsid w:val="54D97871"/>
    <w:rsid w:val="54F75F49"/>
    <w:rsid w:val="55012924"/>
    <w:rsid w:val="55254DBB"/>
    <w:rsid w:val="55284354"/>
    <w:rsid w:val="55344AA7"/>
    <w:rsid w:val="554051FA"/>
    <w:rsid w:val="55432F3C"/>
    <w:rsid w:val="55562C6F"/>
    <w:rsid w:val="5560589C"/>
    <w:rsid w:val="556C4241"/>
    <w:rsid w:val="5579695E"/>
    <w:rsid w:val="558C043F"/>
    <w:rsid w:val="559807C9"/>
    <w:rsid w:val="55A133E3"/>
    <w:rsid w:val="55AE6607"/>
    <w:rsid w:val="55B87486"/>
    <w:rsid w:val="55C0458D"/>
    <w:rsid w:val="55C404FA"/>
    <w:rsid w:val="55C45E2B"/>
    <w:rsid w:val="55F726D8"/>
    <w:rsid w:val="56075D18"/>
    <w:rsid w:val="56203207"/>
    <w:rsid w:val="56206DD9"/>
    <w:rsid w:val="562A2C28"/>
    <w:rsid w:val="563D3E2F"/>
    <w:rsid w:val="56610227"/>
    <w:rsid w:val="56682C5A"/>
    <w:rsid w:val="566C201F"/>
    <w:rsid w:val="566E223B"/>
    <w:rsid w:val="56705FB3"/>
    <w:rsid w:val="567B54EE"/>
    <w:rsid w:val="567F61F6"/>
    <w:rsid w:val="56846C29"/>
    <w:rsid w:val="5689497F"/>
    <w:rsid w:val="56A106AF"/>
    <w:rsid w:val="56A45C5C"/>
    <w:rsid w:val="56A703F5"/>
    <w:rsid w:val="56B51C18"/>
    <w:rsid w:val="56BA0FDC"/>
    <w:rsid w:val="56C40E44"/>
    <w:rsid w:val="56D64EB7"/>
    <w:rsid w:val="56E314E0"/>
    <w:rsid w:val="56F50266"/>
    <w:rsid w:val="57282705"/>
    <w:rsid w:val="572F3778"/>
    <w:rsid w:val="572F5526"/>
    <w:rsid w:val="574C75A3"/>
    <w:rsid w:val="574D2F08"/>
    <w:rsid w:val="57664CC0"/>
    <w:rsid w:val="57754BF2"/>
    <w:rsid w:val="57825F9E"/>
    <w:rsid w:val="578B785A"/>
    <w:rsid w:val="578F03F8"/>
    <w:rsid w:val="57946A2F"/>
    <w:rsid w:val="57B15648"/>
    <w:rsid w:val="57BD6FD6"/>
    <w:rsid w:val="57CA16F3"/>
    <w:rsid w:val="57CA3880"/>
    <w:rsid w:val="57DD4150"/>
    <w:rsid w:val="57E43CCB"/>
    <w:rsid w:val="57E75E01"/>
    <w:rsid w:val="57F32A52"/>
    <w:rsid w:val="57F43BCE"/>
    <w:rsid w:val="57FE50EE"/>
    <w:rsid w:val="58022C3B"/>
    <w:rsid w:val="580544D9"/>
    <w:rsid w:val="58073B8C"/>
    <w:rsid w:val="580B5A97"/>
    <w:rsid w:val="58162D23"/>
    <w:rsid w:val="581B3CFC"/>
    <w:rsid w:val="58256929"/>
    <w:rsid w:val="583E1858"/>
    <w:rsid w:val="583F3E8F"/>
    <w:rsid w:val="584F48CF"/>
    <w:rsid w:val="586438F5"/>
    <w:rsid w:val="586D009D"/>
    <w:rsid w:val="587578B0"/>
    <w:rsid w:val="587D6765"/>
    <w:rsid w:val="58A21933"/>
    <w:rsid w:val="58A77915"/>
    <w:rsid w:val="58AB7FDD"/>
    <w:rsid w:val="58B008E9"/>
    <w:rsid w:val="58BF0B2C"/>
    <w:rsid w:val="58E74233"/>
    <w:rsid w:val="58EF7663"/>
    <w:rsid w:val="591946E0"/>
    <w:rsid w:val="591A2206"/>
    <w:rsid w:val="591E525B"/>
    <w:rsid w:val="593313C9"/>
    <w:rsid w:val="593E026C"/>
    <w:rsid w:val="593E5EF4"/>
    <w:rsid w:val="59457283"/>
    <w:rsid w:val="594D6137"/>
    <w:rsid w:val="595C45CC"/>
    <w:rsid w:val="59710078"/>
    <w:rsid w:val="5989503C"/>
    <w:rsid w:val="59977C6E"/>
    <w:rsid w:val="599E69E5"/>
    <w:rsid w:val="59A25D4A"/>
    <w:rsid w:val="59A3044D"/>
    <w:rsid w:val="59B14918"/>
    <w:rsid w:val="59B15C2B"/>
    <w:rsid w:val="59B25F2D"/>
    <w:rsid w:val="59D86349"/>
    <w:rsid w:val="59DD0C04"/>
    <w:rsid w:val="59EC76FE"/>
    <w:rsid w:val="5A034978"/>
    <w:rsid w:val="5A040EEC"/>
    <w:rsid w:val="5A0E3B19"/>
    <w:rsid w:val="5A16280E"/>
    <w:rsid w:val="5A1B5A10"/>
    <w:rsid w:val="5A266807"/>
    <w:rsid w:val="5A2C21F1"/>
    <w:rsid w:val="5A3572F7"/>
    <w:rsid w:val="5A494B51"/>
    <w:rsid w:val="5A5359CF"/>
    <w:rsid w:val="5A6776CD"/>
    <w:rsid w:val="5A6977D7"/>
    <w:rsid w:val="5A6E45B7"/>
    <w:rsid w:val="5A843DDB"/>
    <w:rsid w:val="5A89319F"/>
    <w:rsid w:val="5A8E4C59"/>
    <w:rsid w:val="5A963B0E"/>
    <w:rsid w:val="5AA955EF"/>
    <w:rsid w:val="5AC42B67"/>
    <w:rsid w:val="5ADF1011"/>
    <w:rsid w:val="5AFE3B8D"/>
    <w:rsid w:val="5B044F1C"/>
    <w:rsid w:val="5B070568"/>
    <w:rsid w:val="5B154DCD"/>
    <w:rsid w:val="5B1C2265"/>
    <w:rsid w:val="5B2353A2"/>
    <w:rsid w:val="5B2E3D47"/>
    <w:rsid w:val="5B33135D"/>
    <w:rsid w:val="5B372BFB"/>
    <w:rsid w:val="5B386973"/>
    <w:rsid w:val="5B4672E2"/>
    <w:rsid w:val="5B4A6DD2"/>
    <w:rsid w:val="5B572513"/>
    <w:rsid w:val="5B773CF2"/>
    <w:rsid w:val="5B953DC6"/>
    <w:rsid w:val="5B9B5880"/>
    <w:rsid w:val="5BA67D81"/>
    <w:rsid w:val="5BB7600F"/>
    <w:rsid w:val="5BC052E6"/>
    <w:rsid w:val="5BCD355F"/>
    <w:rsid w:val="5BD448EE"/>
    <w:rsid w:val="5BD82630"/>
    <w:rsid w:val="5BF037E6"/>
    <w:rsid w:val="5BF62AB6"/>
    <w:rsid w:val="5BFD3E45"/>
    <w:rsid w:val="5C0F2714"/>
    <w:rsid w:val="5C14118E"/>
    <w:rsid w:val="5C1A7FC5"/>
    <w:rsid w:val="5C2D3FFE"/>
    <w:rsid w:val="5C341831"/>
    <w:rsid w:val="5C3A263A"/>
    <w:rsid w:val="5C814A76"/>
    <w:rsid w:val="5C9A5B38"/>
    <w:rsid w:val="5CAE513F"/>
    <w:rsid w:val="5CAF7F16"/>
    <w:rsid w:val="5CBE74EA"/>
    <w:rsid w:val="5CC56713"/>
    <w:rsid w:val="5CC71DD8"/>
    <w:rsid w:val="5CCE3A33"/>
    <w:rsid w:val="5CD66444"/>
    <w:rsid w:val="5CD728E8"/>
    <w:rsid w:val="5CF82EF2"/>
    <w:rsid w:val="5CF9414D"/>
    <w:rsid w:val="5CF9552F"/>
    <w:rsid w:val="5CFB0C71"/>
    <w:rsid w:val="5CFC40FC"/>
    <w:rsid w:val="5D05501E"/>
    <w:rsid w:val="5D0B07E3"/>
    <w:rsid w:val="5D0B433F"/>
    <w:rsid w:val="5D0C552C"/>
    <w:rsid w:val="5D17501F"/>
    <w:rsid w:val="5D1A0A26"/>
    <w:rsid w:val="5D213B63"/>
    <w:rsid w:val="5D221689"/>
    <w:rsid w:val="5D2E002E"/>
    <w:rsid w:val="5D2E44D2"/>
    <w:rsid w:val="5D3C6BEF"/>
    <w:rsid w:val="5D431D2B"/>
    <w:rsid w:val="5D4569AE"/>
    <w:rsid w:val="5D494E68"/>
    <w:rsid w:val="5D50269A"/>
    <w:rsid w:val="5D55380D"/>
    <w:rsid w:val="5D7243BE"/>
    <w:rsid w:val="5D7C6FEB"/>
    <w:rsid w:val="5D835622"/>
    <w:rsid w:val="5D883BE2"/>
    <w:rsid w:val="5D9B1B67"/>
    <w:rsid w:val="5D9B5E1F"/>
    <w:rsid w:val="5DA36C6E"/>
    <w:rsid w:val="5DA56542"/>
    <w:rsid w:val="5DAF116F"/>
    <w:rsid w:val="5DB426F2"/>
    <w:rsid w:val="5DBB62FD"/>
    <w:rsid w:val="5DC15346"/>
    <w:rsid w:val="5DC70453"/>
    <w:rsid w:val="5DF11787"/>
    <w:rsid w:val="5E092699"/>
    <w:rsid w:val="5E2733FB"/>
    <w:rsid w:val="5E2A2EEB"/>
    <w:rsid w:val="5E3D49CC"/>
    <w:rsid w:val="5E422AAA"/>
    <w:rsid w:val="5E5166CA"/>
    <w:rsid w:val="5E604B5F"/>
    <w:rsid w:val="5E6F6B70"/>
    <w:rsid w:val="5E7128C8"/>
    <w:rsid w:val="5E785A05"/>
    <w:rsid w:val="5E7E5BC7"/>
    <w:rsid w:val="5E8C7702"/>
    <w:rsid w:val="5EA467FA"/>
    <w:rsid w:val="5EAB6551"/>
    <w:rsid w:val="5EAC5CC5"/>
    <w:rsid w:val="5EBB3B43"/>
    <w:rsid w:val="5EC24ED2"/>
    <w:rsid w:val="5ECA3D86"/>
    <w:rsid w:val="5ED70BB3"/>
    <w:rsid w:val="5EF3152F"/>
    <w:rsid w:val="5EF64B7B"/>
    <w:rsid w:val="5F117C07"/>
    <w:rsid w:val="5F131BD1"/>
    <w:rsid w:val="5F1C68EB"/>
    <w:rsid w:val="5F250216"/>
    <w:rsid w:val="5F3A18E5"/>
    <w:rsid w:val="5F3A658F"/>
    <w:rsid w:val="5F3C1128"/>
    <w:rsid w:val="5F4B6DF9"/>
    <w:rsid w:val="5F4D50E3"/>
    <w:rsid w:val="5F531FCE"/>
    <w:rsid w:val="5F5E109E"/>
    <w:rsid w:val="5F675CE8"/>
    <w:rsid w:val="5F6D7533"/>
    <w:rsid w:val="5F787BD2"/>
    <w:rsid w:val="5F797C86"/>
    <w:rsid w:val="5F904FD0"/>
    <w:rsid w:val="5F922AF6"/>
    <w:rsid w:val="5F9E101E"/>
    <w:rsid w:val="5FC1162D"/>
    <w:rsid w:val="5FC92290"/>
    <w:rsid w:val="5FD749AD"/>
    <w:rsid w:val="5FD80582"/>
    <w:rsid w:val="5FE07D05"/>
    <w:rsid w:val="5FE377F5"/>
    <w:rsid w:val="600357A2"/>
    <w:rsid w:val="60194FC5"/>
    <w:rsid w:val="60326087"/>
    <w:rsid w:val="603E7754"/>
    <w:rsid w:val="6045400C"/>
    <w:rsid w:val="604D407A"/>
    <w:rsid w:val="605E0C2A"/>
    <w:rsid w:val="6061582C"/>
    <w:rsid w:val="6071095D"/>
    <w:rsid w:val="60787F3E"/>
    <w:rsid w:val="60870181"/>
    <w:rsid w:val="60940AF0"/>
    <w:rsid w:val="609D64AA"/>
    <w:rsid w:val="60A27B32"/>
    <w:rsid w:val="60A527D8"/>
    <w:rsid w:val="60B01F30"/>
    <w:rsid w:val="60BE5D83"/>
    <w:rsid w:val="60D31618"/>
    <w:rsid w:val="60D37AAA"/>
    <w:rsid w:val="60E51508"/>
    <w:rsid w:val="60F82E2D"/>
    <w:rsid w:val="60FC0223"/>
    <w:rsid w:val="610C68D8"/>
    <w:rsid w:val="614A3DAA"/>
    <w:rsid w:val="6155027F"/>
    <w:rsid w:val="61730B8F"/>
    <w:rsid w:val="617C580C"/>
    <w:rsid w:val="618463A2"/>
    <w:rsid w:val="618741B1"/>
    <w:rsid w:val="619C7C5C"/>
    <w:rsid w:val="61AA28BC"/>
    <w:rsid w:val="61AB60F1"/>
    <w:rsid w:val="61B2747F"/>
    <w:rsid w:val="61B90451"/>
    <w:rsid w:val="61BF394A"/>
    <w:rsid w:val="61E15FB7"/>
    <w:rsid w:val="61E73B15"/>
    <w:rsid w:val="61EA259B"/>
    <w:rsid w:val="61EB473F"/>
    <w:rsid w:val="6200468F"/>
    <w:rsid w:val="6211035A"/>
    <w:rsid w:val="62173786"/>
    <w:rsid w:val="622540F5"/>
    <w:rsid w:val="623B7475"/>
    <w:rsid w:val="62405FC3"/>
    <w:rsid w:val="62482F7C"/>
    <w:rsid w:val="624C6FD5"/>
    <w:rsid w:val="62677DAD"/>
    <w:rsid w:val="6281113E"/>
    <w:rsid w:val="62875998"/>
    <w:rsid w:val="62935219"/>
    <w:rsid w:val="62942C89"/>
    <w:rsid w:val="62C76F5B"/>
    <w:rsid w:val="62CD6AEC"/>
    <w:rsid w:val="62D358FF"/>
    <w:rsid w:val="62D94595"/>
    <w:rsid w:val="62EF64B1"/>
    <w:rsid w:val="63103C43"/>
    <w:rsid w:val="631E6C0A"/>
    <w:rsid w:val="632C14B3"/>
    <w:rsid w:val="633B5253"/>
    <w:rsid w:val="63566066"/>
    <w:rsid w:val="635B76A3"/>
    <w:rsid w:val="635D78BF"/>
    <w:rsid w:val="638257FD"/>
    <w:rsid w:val="63901A42"/>
    <w:rsid w:val="63AE1EC8"/>
    <w:rsid w:val="63B84AF5"/>
    <w:rsid w:val="63C27722"/>
    <w:rsid w:val="63C60FC0"/>
    <w:rsid w:val="63CB65D6"/>
    <w:rsid w:val="63D062E3"/>
    <w:rsid w:val="63D41366"/>
    <w:rsid w:val="63E1404C"/>
    <w:rsid w:val="63EE0517"/>
    <w:rsid w:val="640E2967"/>
    <w:rsid w:val="641461CF"/>
    <w:rsid w:val="64151F48"/>
    <w:rsid w:val="64153CF6"/>
    <w:rsid w:val="64236413"/>
    <w:rsid w:val="64264155"/>
    <w:rsid w:val="642F4DB7"/>
    <w:rsid w:val="643C74D4"/>
    <w:rsid w:val="64406FC4"/>
    <w:rsid w:val="644C769A"/>
    <w:rsid w:val="64520AA6"/>
    <w:rsid w:val="64664551"/>
    <w:rsid w:val="647A3F6A"/>
    <w:rsid w:val="64805613"/>
    <w:rsid w:val="64850E7B"/>
    <w:rsid w:val="64CB26DD"/>
    <w:rsid w:val="64D35ED3"/>
    <w:rsid w:val="64FF5D4E"/>
    <w:rsid w:val="650171EE"/>
    <w:rsid w:val="65055B18"/>
    <w:rsid w:val="651346D9"/>
    <w:rsid w:val="651F307E"/>
    <w:rsid w:val="65295CAB"/>
    <w:rsid w:val="65433804"/>
    <w:rsid w:val="65444892"/>
    <w:rsid w:val="65532D27"/>
    <w:rsid w:val="6558033E"/>
    <w:rsid w:val="65605444"/>
    <w:rsid w:val="65660CAD"/>
    <w:rsid w:val="65684D07"/>
    <w:rsid w:val="657D2B36"/>
    <w:rsid w:val="657D2B9C"/>
    <w:rsid w:val="65905D2A"/>
    <w:rsid w:val="6590635A"/>
    <w:rsid w:val="65907AD8"/>
    <w:rsid w:val="6593581A"/>
    <w:rsid w:val="659375C8"/>
    <w:rsid w:val="65956E9C"/>
    <w:rsid w:val="659C4DF8"/>
    <w:rsid w:val="65A215B9"/>
    <w:rsid w:val="65BD63F3"/>
    <w:rsid w:val="65C854C3"/>
    <w:rsid w:val="65D406EA"/>
    <w:rsid w:val="65DC4ACB"/>
    <w:rsid w:val="65E46075"/>
    <w:rsid w:val="65E9368C"/>
    <w:rsid w:val="65EE47FE"/>
    <w:rsid w:val="65FE0EE5"/>
    <w:rsid w:val="66377D74"/>
    <w:rsid w:val="66540B05"/>
    <w:rsid w:val="66542B2C"/>
    <w:rsid w:val="665723A3"/>
    <w:rsid w:val="66707909"/>
    <w:rsid w:val="667421D9"/>
    <w:rsid w:val="66742F55"/>
    <w:rsid w:val="667967BE"/>
    <w:rsid w:val="667B400E"/>
    <w:rsid w:val="668F7D8F"/>
    <w:rsid w:val="66911D59"/>
    <w:rsid w:val="66AF21DF"/>
    <w:rsid w:val="66BC66AA"/>
    <w:rsid w:val="66C939FF"/>
    <w:rsid w:val="66D460EA"/>
    <w:rsid w:val="66D71736"/>
    <w:rsid w:val="66E005EB"/>
    <w:rsid w:val="66E53E53"/>
    <w:rsid w:val="66E55C01"/>
    <w:rsid w:val="66EA7812"/>
    <w:rsid w:val="66F127F8"/>
    <w:rsid w:val="66F773C4"/>
    <w:rsid w:val="66F83B86"/>
    <w:rsid w:val="66FB71D3"/>
    <w:rsid w:val="6703252B"/>
    <w:rsid w:val="6704527C"/>
    <w:rsid w:val="671F55B7"/>
    <w:rsid w:val="673F1F3F"/>
    <w:rsid w:val="67442824"/>
    <w:rsid w:val="674A1F08"/>
    <w:rsid w:val="674A6AF9"/>
    <w:rsid w:val="676F196F"/>
    <w:rsid w:val="677A0A3F"/>
    <w:rsid w:val="67987117"/>
    <w:rsid w:val="67A43BE0"/>
    <w:rsid w:val="67AB6E4B"/>
    <w:rsid w:val="67B37F71"/>
    <w:rsid w:val="67BB4F53"/>
    <w:rsid w:val="67CE6C86"/>
    <w:rsid w:val="67D0065F"/>
    <w:rsid w:val="67D31319"/>
    <w:rsid w:val="67D5211A"/>
    <w:rsid w:val="67D6379C"/>
    <w:rsid w:val="67D72D6F"/>
    <w:rsid w:val="67DB2545"/>
    <w:rsid w:val="67DC6D5A"/>
    <w:rsid w:val="67E206D5"/>
    <w:rsid w:val="67E4410B"/>
    <w:rsid w:val="68232E85"/>
    <w:rsid w:val="685502EE"/>
    <w:rsid w:val="685968A7"/>
    <w:rsid w:val="685A261F"/>
    <w:rsid w:val="6865349E"/>
    <w:rsid w:val="68655F18"/>
    <w:rsid w:val="686E1C26"/>
    <w:rsid w:val="68701E42"/>
    <w:rsid w:val="68833924"/>
    <w:rsid w:val="68AA0EB0"/>
    <w:rsid w:val="68B00491"/>
    <w:rsid w:val="68C14BF3"/>
    <w:rsid w:val="68D26659"/>
    <w:rsid w:val="68DC28D0"/>
    <w:rsid w:val="68E51EE8"/>
    <w:rsid w:val="68ED5329"/>
    <w:rsid w:val="68F31EBE"/>
    <w:rsid w:val="68FA309F"/>
    <w:rsid w:val="68FB170C"/>
    <w:rsid w:val="68FE0507"/>
    <w:rsid w:val="69086715"/>
    <w:rsid w:val="690F3409"/>
    <w:rsid w:val="69272501"/>
    <w:rsid w:val="692C5D69"/>
    <w:rsid w:val="692E7D33"/>
    <w:rsid w:val="692F7608"/>
    <w:rsid w:val="693966D8"/>
    <w:rsid w:val="69401815"/>
    <w:rsid w:val="694A487B"/>
    <w:rsid w:val="694D6631"/>
    <w:rsid w:val="695025CA"/>
    <w:rsid w:val="695D5F23"/>
    <w:rsid w:val="69690D6B"/>
    <w:rsid w:val="69695C61"/>
    <w:rsid w:val="696B65E2"/>
    <w:rsid w:val="69765236"/>
    <w:rsid w:val="697B284D"/>
    <w:rsid w:val="697B4FDF"/>
    <w:rsid w:val="6986055E"/>
    <w:rsid w:val="698C4A5A"/>
    <w:rsid w:val="699B2EEF"/>
    <w:rsid w:val="69A47FF6"/>
    <w:rsid w:val="69AB0D0D"/>
    <w:rsid w:val="69B27B43"/>
    <w:rsid w:val="69B74BA8"/>
    <w:rsid w:val="69BE0005"/>
    <w:rsid w:val="69CB5582"/>
    <w:rsid w:val="69CE2512"/>
    <w:rsid w:val="69DF2DDC"/>
    <w:rsid w:val="69E46644"/>
    <w:rsid w:val="69EA352F"/>
    <w:rsid w:val="69EB2192"/>
    <w:rsid w:val="6A4315BC"/>
    <w:rsid w:val="6A570136"/>
    <w:rsid w:val="6A611A43"/>
    <w:rsid w:val="6A695DCD"/>
    <w:rsid w:val="6A731776"/>
    <w:rsid w:val="6A753740"/>
    <w:rsid w:val="6A7A6FA8"/>
    <w:rsid w:val="6A7E2C0A"/>
    <w:rsid w:val="6A802F8E"/>
    <w:rsid w:val="6A9156CE"/>
    <w:rsid w:val="6AA8390D"/>
    <w:rsid w:val="6AAD4C88"/>
    <w:rsid w:val="6AB06526"/>
    <w:rsid w:val="6AC06CA1"/>
    <w:rsid w:val="6AC10733"/>
    <w:rsid w:val="6AC81AC2"/>
    <w:rsid w:val="6AD2649C"/>
    <w:rsid w:val="6AE17565"/>
    <w:rsid w:val="6AFE3735"/>
    <w:rsid w:val="6AFF300A"/>
    <w:rsid w:val="6B00125C"/>
    <w:rsid w:val="6B2111D2"/>
    <w:rsid w:val="6B340AA5"/>
    <w:rsid w:val="6B361E7E"/>
    <w:rsid w:val="6B3C7DBA"/>
    <w:rsid w:val="6B3D4EC2"/>
    <w:rsid w:val="6B3E7FD6"/>
    <w:rsid w:val="6B43383E"/>
    <w:rsid w:val="6B543355"/>
    <w:rsid w:val="6B560E7C"/>
    <w:rsid w:val="6B570CC1"/>
    <w:rsid w:val="6B5E5F82"/>
    <w:rsid w:val="6B6F63E1"/>
    <w:rsid w:val="6B7B2FD8"/>
    <w:rsid w:val="6B8359E9"/>
    <w:rsid w:val="6B930322"/>
    <w:rsid w:val="6B985938"/>
    <w:rsid w:val="6BA918F3"/>
    <w:rsid w:val="6BB16221"/>
    <w:rsid w:val="6BE40B7D"/>
    <w:rsid w:val="6BE45953"/>
    <w:rsid w:val="6BE94F3A"/>
    <w:rsid w:val="6BF40694"/>
    <w:rsid w:val="6BFB7C39"/>
    <w:rsid w:val="6C061F17"/>
    <w:rsid w:val="6C0E79A8"/>
    <w:rsid w:val="6C150D37"/>
    <w:rsid w:val="6C2F1E55"/>
    <w:rsid w:val="6C3804E4"/>
    <w:rsid w:val="6C4B29AA"/>
    <w:rsid w:val="6C580C23"/>
    <w:rsid w:val="6C661592"/>
    <w:rsid w:val="6C6D2921"/>
    <w:rsid w:val="6C741E4F"/>
    <w:rsid w:val="6C787517"/>
    <w:rsid w:val="6C7C13FA"/>
    <w:rsid w:val="6C892109"/>
    <w:rsid w:val="6C914D27"/>
    <w:rsid w:val="6CAA6CFE"/>
    <w:rsid w:val="6CC369E5"/>
    <w:rsid w:val="6CCB5899"/>
    <w:rsid w:val="6CD81D64"/>
    <w:rsid w:val="6CED2087"/>
    <w:rsid w:val="6CED5810"/>
    <w:rsid w:val="6CF748E0"/>
    <w:rsid w:val="6CFE7A1D"/>
    <w:rsid w:val="6D013FEB"/>
    <w:rsid w:val="6D042B59"/>
    <w:rsid w:val="6D0F39D8"/>
    <w:rsid w:val="6D0F7711"/>
    <w:rsid w:val="6D1930EC"/>
    <w:rsid w:val="6D2F407A"/>
    <w:rsid w:val="6D395B76"/>
    <w:rsid w:val="6D594C53"/>
    <w:rsid w:val="6D866288"/>
    <w:rsid w:val="6DA71186"/>
    <w:rsid w:val="6DA71E62"/>
    <w:rsid w:val="6DB30918"/>
    <w:rsid w:val="6DB602F7"/>
    <w:rsid w:val="6DB620A5"/>
    <w:rsid w:val="6DC42A14"/>
    <w:rsid w:val="6DCF3167"/>
    <w:rsid w:val="6DCF4F15"/>
    <w:rsid w:val="6DD036A3"/>
    <w:rsid w:val="6DD150E5"/>
    <w:rsid w:val="6DDB57DD"/>
    <w:rsid w:val="6DDD5884"/>
    <w:rsid w:val="6DE22E9A"/>
    <w:rsid w:val="6DE76703"/>
    <w:rsid w:val="6DE81D0F"/>
    <w:rsid w:val="6DE85FD7"/>
    <w:rsid w:val="6DE87DC1"/>
    <w:rsid w:val="6DF36E56"/>
    <w:rsid w:val="6DF76B0A"/>
    <w:rsid w:val="6DFB5D0A"/>
    <w:rsid w:val="6E054DB3"/>
    <w:rsid w:val="6E0D5EB7"/>
    <w:rsid w:val="6E105C5A"/>
    <w:rsid w:val="6E330C7F"/>
    <w:rsid w:val="6E3B6A4F"/>
    <w:rsid w:val="6E470F4F"/>
    <w:rsid w:val="6E62222D"/>
    <w:rsid w:val="6E6E472E"/>
    <w:rsid w:val="6E7004A6"/>
    <w:rsid w:val="6EBD700A"/>
    <w:rsid w:val="6EC627BC"/>
    <w:rsid w:val="6EC72090"/>
    <w:rsid w:val="6EC922AC"/>
    <w:rsid w:val="6ECB392F"/>
    <w:rsid w:val="6ED44ED9"/>
    <w:rsid w:val="6ED53771"/>
    <w:rsid w:val="6EFD2502"/>
    <w:rsid w:val="6F082DD5"/>
    <w:rsid w:val="6F0E7CBF"/>
    <w:rsid w:val="6F1352D6"/>
    <w:rsid w:val="6F3F60CB"/>
    <w:rsid w:val="6F593630"/>
    <w:rsid w:val="6F5E1724"/>
    <w:rsid w:val="6F6618A9"/>
    <w:rsid w:val="6F743FC6"/>
    <w:rsid w:val="6F783707"/>
    <w:rsid w:val="6F7D7049"/>
    <w:rsid w:val="6F800BBD"/>
    <w:rsid w:val="6F8561D3"/>
    <w:rsid w:val="6F963F3C"/>
    <w:rsid w:val="6F993A2D"/>
    <w:rsid w:val="6FA36659"/>
    <w:rsid w:val="6FD341E3"/>
    <w:rsid w:val="6FDA4B8E"/>
    <w:rsid w:val="6FE1043B"/>
    <w:rsid w:val="6FF670D1"/>
    <w:rsid w:val="6FFD4A92"/>
    <w:rsid w:val="700B760E"/>
    <w:rsid w:val="700D7F77"/>
    <w:rsid w:val="70117A67"/>
    <w:rsid w:val="703027C9"/>
    <w:rsid w:val="703B4AE4"/>
    <w:rsid w:val="70671D7D"/>
    <w:rsid w:val="706E310B"/>
    <w:rsid w:val="70794B97"/>
    <w:rsid w:val="70860455"/>
    <w:rsid w:val="70860D62"/>
    <w:rsid w:val="70877D29"/>
    <w:rsid w:val="70891C83"/>
    <w:rsid w:val="70903082"/>
    <w:rsid w:val="70981F36"/>
    <w:rsid w:val="70C13D2D"/>
    <w:rsid w:val="70C20D61"/>
    <w:rsid w:val="70CD6084"/>
    <w:rsid w:val="70D016D0"/>
    <w:rsid w:val="70F35BF8"/>
    <w:rsid w:val="70F748FF"/>
    <w:rsid w:val="71015D2D"/>
    <w:rsid w:val="71121CE9"/>
    <w:rsid w:val="71160F53"/>
    <w:rsid w:val="7120731A"/>
    <w:rsid w:val="712244BF"/>
    <w:rsid w:val="71290DE0"/>
    <w:rsid w:val="713C4FB8"/>
    <w:rsid w:val="713E54AE"/>
    <w:rsid w:val="71424D45"/>
    <w:rsid w:val="71453E6C"/>
    <w:rsid w:val="71491244"/>
    <w:rsid w:val="71582A07"/>
    <w:rsid w:val="715866DF"/>
    <w:rsid w:val="717943B6"/>
    <w:rsid w:val="71866233"/>
    <w:rsid w:val="718A5D23"/>
    <w:rsid w:val="718B55F7"/>
    <w:rsid w:val="71916F49"/>
    <w:rsid w:val="71A14E1B"/>
    <w:rsid w:val="71A33B87"/>
    <w:rsid w:val="71AB63BC"/>
    <w:rsid w:val="71AD37BF"/>
    <w:rsid w:val="71AE4713"/>
    <w:rsid w:val="71B27028"/>
    <w:rsid w:val="71B903B6"/>
    <w:rsid w:val="71CD6690"/>
    <w:rsid w:val="71D25565"/>
    <w:rsid w:val="71D945B4"/>
    <w:rsid w:val="71F11C1F"/>
    <w:rsid w:val="71FC3878"/>
    <w:rsid w:val="71FE04BF"/>
    <w:rsid w:val="720158B9"/>
    <w:rsid w:val="720F6228"/>
    <w:rsid w:val="7224132C"/>
    <w:rsid w:val="722A12B4"/>
    <w:rsid w:val="722D0338"/>
    <w:rsid w:val="723314F1"/>
    <w:rsid w:val="723E08BB"/>
    <w:rsid w:val="7240429C"/>
    <w:rsid w:val="72563E57"/>
    <w:rsid w:val="725D3437"/>
    <w:rsid w:val="72604CD6"/>
    <w:rsid w:val="72683487"/>
    <w:rsid w:val="72712A3F"/>
    <w:rsid w:val="72786636"/>
    <w:rsid w:val="727F33AE"/>
    <w:rsid w:val="72802C82"/>
    <w:rsid w:val="72850298"/>
    <w:rsid w:val="72A8433C"/>
    <w:rsid w:val="72AA7CFF"/>
    <w:rsid w:val="72BD1CA1"/>
    <w:rsid w:val="72C07522"/>
    <w:rsid w:val="72D468CD"/>
    <w:rsid w:val="72DD00D4"/>
    <w:rsid w:val="72E31549"/>
    <w:rsid w:val="72EF2DA5"/>
    <w:rsid w:val="72FA0C86"/>
    <w:rsid w:val="72FA6ED8"/>
    <w:rsid w:val="72FB261A"/>
    <w:rsid w:val="73061F81"/>
    <w:rsid w:val="73156124"/>
    <w:rsid w:val="731A30D6"/>
    <w:rsid w:val="7320374B"/>
    <w:rsid w:val="73216213"/>
    <w:rsid w:val="73412411"/>
    <w:rsid w:val="73426189"/>
    <w:rsid w:val="734C0DB6"/>
    <w:rsid w:val="735A3B0C"/>
    <w:rsid w:val="7361796E"/>
    <w:rsid w:val="73662278"/>
    <w:rsid w:val="737427E7"/>
    <w:rsid w:val="737C78ED"/>
    <w:rsid w:val="737E5413"/>
    <w:rsid w:val="738D38A8"/>
    <w:rsid w:val="73934681"/>
    <w:rsid w:val="739369E5"/>
    <w:rsid w:val="73AB01D2"/>
    <w:rsid w:val="73AB7D8F"/>
    <w:rsid w:val="73AD5CF9"/>
    <w:rsid w:val="73BB6668"/>
    <w:rsid w:val="73D94D40"/>
    <w:rsid w:val="740F0761"/>
    <w:rsid w:val="741144D9"/>
    <w:rsid w:val="74122000"/>
    <w:rsid w:val="74273CFD"/>
    <w:rsid w:val="742E508B"/>
    <w:rsid w:val="744877CF"/>
    <w:rsid w:val="74561EEC"/>
    <w:rsid w:val="74692D8A"/>
    <w:rsid w:val="74820346"/>
    <w:rsid w:val="74933140"/>
    <w:rsid w:val="74962C31"/>
    <w:rsid w:val="74A94712"/>
    <w:rsid w:val="74B135C7"/>
    <w:rsid w:val="74B81FE2"/>
    <w:rsid w:val="74B86703"/>
    <w:rsid w:val="74C57072"/>
    <w:rsid w:val="74C652C4"/>
    <w:rsid w:val="74CE23CA"/>
    <w:rsid w:val="74D13C69"/>
    <w:rsid w:val="74E813D5"/>
    <w:rsid w:val="74FF4332"/>
    <w:rsid w:val="750D68EF"/>
    <w:rsid w:val="751C1388"/>
    <w:rsid w:val="754206C3"/>
    <w:rsid w:val="754E7067"/>
    <w:rsid w:val="755F3023"/>
    <w:rsid w:val="757D16FB"/>
    <w:rsid w:val="758E3908"/>
    <w:rsid w:val="758E4F8E"/>
    <w:rsid w:val="75995FB8"/>
    <w:rsid w:val="759A22AD"/>
    <w:rsid w:val="75A1188D"/>
    <w:rsid w:val="75B50E95"/>
    <w:rsid w:val="75CA0DE4"/>
    <w:rsid w:val="75CD4430"/>
    <w:rsid w:val="75D25EEA"/>
    <w:rsid w:val="75F75951"/>
    <w:rsid w:val="75FC4D15"/>
    <w:rsid w:val="75FE0A8D"/>
    <w:rsid w:val="75FF0362"/>
    <w:rsid w:val="76097029"/>
    <w:rsid w:val="7610256F"/>
    <w:rsid w:val="76133C04"/>
    <w:rsid w:val="762229CE"/>
    <w:rsid w:val="763612C0"/>
    <w:rsid w:val="763B583E"/>
    <w:rsid w:val="763C15B6"/>
    <w:rsid w:val="764676CD"/>
    <w:rsid w:val="764A4CEF"/>
    <w:rsid w:val="76674885"/>
    <w:rsid w:val="76880357"/>
    <w:rsid w:val="769A0FC0"/>
    <w:rsid w:val="769D2054"/>
    <w:rsid w:val="76A50F09"/>
    <w:rsid w:val="76AA4771"/>
    <w:rsid w:val="76B33626"/>
    <w:rsid w:val="76C26322"/>
    <w:rsid w:val="76CC0B8C"/>
    <w:rsid w:val="76D0242A"/>
    <w:rsid w:val="76E13170"/>
    <w:rsid w:val="76E311A3"/>
    <w:rsid w:val="76FB0C8A"/>
    <w:rsid w:val="770B1FE4"/>
    <w:rsid w:val="771B11CB"/>
    <w:rsid w:val="772938E8"/>
    <w:rsid w:val="77304C77"/>
    <w:rsid w:val="774424D0"/>
    <w:rsid w:val="7769139F"/>
    <w:rsid w:val="777032C5"/>
    <w:rsid w:val="77770AF7"/>
    <w:rsid w:val="777C4360"/>
    <w:rsid w:val="77860D3A"/>
    <w:rsid w:val="77972F48"/>
    <w:rsid w:val="77A2369A"/>
    <w:rsid w:val="77B37656"/>
    <w:rsid w:val="77B561D9"/>
    <w:rsid w:val="77CD6969"/>
    <w:rsid w:val="77DD23C3"/>
    <w:rsid w:val="77E141C3"/>
    <w:rsid w:val="77EF68E0"/>
    <w:rsid w:val="78054355"/>
    <w:rsid w:val="780B7492"/>
    <w:rsid w:val="78202F3D"/>
    <w:rsid w:val="78281DF2"/>
    <w:rsid w:val="78300CA6"/>
    <w:rsid w:val="783267CC"/>
    <w:rsid w:val="783951EC"/>
    <w:rsid w:val="783C3AEF"/>
    <w:rsid w:val="783E1615"/>
    <w:rsid w:val="78484242"/>
    <w:rsid w:val="78485FF0"/>
    <w:rsid w:val="784A1D68"/>
    <w:rsid w:val="786646C8"/>
    <w:rsid w:val="786A240A"/>
    <w:rsid w:val="786C4C30"/>
    <w:rsid w:val="786D2D6A"/>
    <w:rsid w:val="7874661E"/>
    <w:rsid w:val="78787121"/>
    <w:rsid w:val="78827754"/>
    <w:rsid w:val="78B91B03"/>
    <w:rsid w:val="78D12489"/>
    <w:rsid w:val="78E201F2"/>
    <w:rsid w:val="78E26444"/>
    <w:rsid w:val="78E75809"/>
    <w:rsid w:val="790A7749"/>
    <w:rsid w:val="79134850"/>
    <w:rsid w:val="79170223"/>
    <w:rsid w:val="794744F9"/>
    <w:rsid w:val="794C5FB4"/>
    <w:rsid w:val="794C7B60"/>
    <w:rsid w:val="794E3859"/>
    <w:rsid w:val="795A247F"/>
    <w:rsid w:val="795A792C"/>
    <w:rsid w:val="79711576"/>
    <w:rsid w:val="7973634F"/>
    <w:rsid w:val="797F0066"/>
    <w:rsid w:val="79815C5D"/>
    <w:rsid w:val="79862855"/>
    <w:rsid w:val="798C63B0"/>
    <w:rsid w:val="799F4335"/>
    <w:rsid w:val="79AB7B9C"/>
    <w:rsid w:val="79B80F53"/>
    <w:rsid w:val="79D33BD7"/>
    <w:rsid w:val="79D52F41"/>
    <w:rsid w:val="79E65AC0"/>
    <w:rsid w:val="79EB1329"/>
    <w:rsid w:val="7A0128FA"/>
    <w:rsid w:val="7A0712A8"/>
    <w:rsid w:val="7A1A5F3C"/>
    <w:rsid w:val="7A293BFF"/>
    <w:rsid w:val="7A2E3F8E"/>
    <w:rsid w:val="7A342C40"/>
    <w:rsid w:val="7A3C1B84"/>
    <w:rsid w:val="7A486B67"/>
    <w:rsid w:val="7A546ECE"/>
    <w:rsid w:val="7A5C5D83"/>
    <w:rsid w:val="7A63380E"/>
    <w:rsid w:val="7A6D61E2"/>
    <w:rsid w:val="7A756E44"/>
    <w:rsid w:val="7A794B87"/>
    <w:rsid w:val="7A7C01D3"/>
    <w:rsid w:val="7A7E002C"/>
    <w:rsid w:val="7A8734B8"/>
    <w:rsid w:val="7A8A6D94"/>
    <w:rsid w:val="7A8E0B0D"/>
    <w:rsid w:val="7AA93B38"/>
    <w:rsid w:val="7AAD4830"/>
    <w:rsid w:val="7AB64546"/>
    <w:rsid w:val="7AB91427"/>
    <w:rsid w:val="7ACB4729"/>
    <w:rsid w:val="7AE70BAE"/>
    <w:rsid w:val="7AEA7832"/>
    <w:rsid w:val="7AEC455F"/>
    <w:rsid w:val="7AF1296F"/>
    <w:rsid w:val="7AF406B1"/>
    <w:rsid w:val="7B05466C"/>
    <w:rsid w:val="7B0A3A31"/>
    <w:rsid w:val="7B1B7885"/>
    <w:rsid w:val="7B2F3497"/>
    <w:rsid w:val="7B3B62E0"/>
    <w:rsid w:val="7B4D1357"/>
    <w:rsid w:val="7B641393"/>
    <w:rsid w:val="7B6E2F9B"/>
    <w:rsid w:val="7B89704B"/>
    <w:rsid w:val="7B8A691F"/>
    <w:rsid w:val="7B98702C"/>
    <w:rsid w:val="7BA479E1"/>
    <w:rsid w:val="7BB045D8"/>
    <w:rsid w:val="7BC71922"/>
    <w:rsid w:val="7BD57CCF"/>
    <w:rsid w:val="7BDE0C48"/>
    <w:rsid w:val="7BFD3595"/>
    <w:rsid w:val="7C022E76"/>
    <w:rsid w:val="7C0D1A2A"/>
    <w:rsid w:val="7C0E7550"/>
    <w:rsid w:val="7C213B75"/>
    <w:rsid w:val="7C266648"/>
    <w:rsid w:val="7C3163FF"/>
    <w:rsid w:val="7C365D86"/>
    <w:rsid w:val="7C3B26D9"/>
    <w:rsid w:val="7C541407"/>
    <w:rsid w:val="7C5E4034"/>
    <w:rsid w:val="7C725D31"/>
    <w:rsid w:val="7C896BD7"/>
    <w:rsid w:val="7C8B6DF3"/>
    <w:rsid w:val="7C8D6749"/>
    <w:rsid w:val="7CA12173"/>
    <w:rsid w:val="7CA3413D"/>
    <w:rsid w:val="7CA61385"/>
    <w:rsid w:val="7CB718F6"/>
    <w:rsid w:val="7CCC0C02"/>
    <w:rsid w:val="7CD673E6"/>
    <w:rsid w:val="7CE64C01"/>
    <w:rsid w:val="7CEB2A4A"/>
    <w:rsid w:val="7CFB1883"/>
    <w:rsid w:val="7CFB7AD5"/>
    <w:rsid w:val="7CFE5817"/>
    <w:rsid w:val="7D123C1F"/>
    <w:rsid w:val="7D135677"/>
    <w:rsid w:val="7D1467DB"/>
    <w:rsid w:val="7D2863F0"/>
    <w:rsid w:val="7D295F33"/>
    <w:rsid w:val="7D2C7C8E"/>
    <w:rsid w:val="7D4B3316"/>
    <w:rsid w:val="7D6E1C31"/>
    <w:rsid w:val="7D6E64F9"/>
    <w:rsid w:val="7D847ACA"/>
    <w:rsid w:val="7D871368"/>
    <w:rsid w:val="7D8C2E23"/>
    <w:rsid w:val="7D931348"/>
    <w:rsid w:val="7DA35B52"/>
    <w:rsid w:val="7DBB54B6"/>
    <w:rsid w:val="7DD10836"/>
    <w:rsid w:val="7DD32800"/>
    <w:rsid w:val="7DED1B13"/>
    <w:rsid w:val="7DF14781"/>
    <w:rsid w:val="7E0D3978"/>
    <w:rsid w:val="7E1B4E79"/>
    <w:rsid w:val="7E266DD3"/>
    <w:rsid w:val="7E3A287F"/>
    <w:rsid w:val="7E492AC2"/>
    <w:rsid w:val="7E5A082B"/>
    <w:rsid w:val="7E5B163B"/>
    <w:rsid w:val="7E6873EC"/>
    <w:rsid w:val="7E95448B"/>
    <w:rsid w:val="7E9B156F"/>
    <w:rsid w:val="7EA61CC2"/>
    <w:rsid w:val="7EB10D93"/>
    <w:rsid w:val="7EB459DD"/>
    <w:rsid w:val="7EB776E6"/>
    <w:rsid w:val="7EBC14E6"/>
    <w:rsid w:val="7EC00FD6"/>
    <w:rsid w:val="7ECD724F"/>
    <w:rsid w:val="7ED24865"/>
    <w:rsid w:val="7EE10F4C"/>
    <w:rsid w:val="7EE22D5E"/>
    <w:rsid w:val="7EF02C27"/>
    <w:rsid w:val="7EF7251E"/>
    <w:rsid w:val="7EF91AB2"/>
    <w:rsid w:val="7EFA5574"/>
    <w:rsid w:val="7EFB3E85"/>
    <w:rsid w:val="7F005876"/>
    <w:rsid w:val="7F016EF9"/>
    <w:rsid w:val="7F076C05"/>
    <w:rsid w:val="7F0D7F93"/>
    <w:rsid w:val="7F0E20E8"/>
    <w:rsid w:val="7F177E9D"/>
    <w:rsid w:val="7F1B5744"/>
    <w:rsid w:val="7F2729DE"/>
    <w:rsid w:val="7F390D88"/>
    <w:rsid w:val="7F3E1EFB"/>
    <w:rsid w:val="7F5E7F52"/>
    <w:rsid w:val="7F7D0C75"/>
    <w:rsid w:val="7F841BB1"/>
    <w:rsid w:val="7F89761A"/>
    <w:rsid w:val="7F8C2C66"/>
    <w:rsid w:val="7F9D2340"/>
    <w:rsid w:val="7FAA7590"/>
    <w:rsid w:val="7FAB3A34"/>
    <w:rsid w:val="7FC468A4"/>
    <w:rsid w:val="7FCF1996"/>
    <w:rsid w:val="7FD17D13"/>
    <w:rsid w:val="7FD7406F"/>
    <w:rsid w:val="7FDB621D"/>
    <w:rsid w:val="7FDF106F"/>
    <w:rsid w:val="7FF1074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57"/>
    <w:qFormat/>
    <w:uiPriority w:val="0"/>
    <w:pPr>
      <w:keepNext/>
      <w:keepLines/>
      <w:spacing w:before="340" w:beforeLines="0" w:after="330" w:afterLines="0" w:line="578" w:lineRule="auto"/>
      <w:jc w:val="center"/>
      <w:outlineLvl w:val="0"/>
    </w:pPr>
    <w:rPr>
      <w:b/>
      <w:bCs/>
      <w:kern w:val="44"/>
      <w:sz w:val="32"/>
      <w:szCs w:val="44"/>
    </w:rPr>
  </w:style>
  <w:style w:type="paragraph" w:styleId="6">
    <w:name w:val="heading 2"/>
    <w:basedOn w:val="1"/>
    <w:next w:val="1"/>
    <w:qFormat/>
    <w:uiPriority w:val="0"/>
    <w:pPr>
      <w:keepNext/>
      <w:keepLines/>
      <w:numPr>
        <w:ilvl w:val="1"/>
        <w:numId w:val="1"/>
      </w:numPr>
      <w:adjustRightInd w:val="0"/>
      <w:spacing w:line="360" w:lineRule="atLeast"/>
      <w:textAlignment w:val="baseline"/>
      <w:outlineLvl w:val="1"/>
    </w:pPr>
    <w:rPr>
      <w:rFonts w:ascii="Times New Roman" w:hAnsi="Times New Roman" w:eastAsia="宋体" w:cs="Times New Roman"/>
      <w:kern w:val="0"/>
      <w:sz w:val="24"/>
      <w:szCs w:val="20"/>
    </w:rPr>
  </w:style>
  <w:style w:type="paragraph" w:styleId="7">
    <w:name w:val="heading 3"/>
    <w:basedOn w:val="1"/>
    <w:next w:val="1"/>
    <w:autoRedefine/>
    <w:qFormat/>
    <w:uiPriority w:val="0"/>
    <w:pPr>
      <w:keepNext/>
      <w:keepLines/>
      <w:spacing w:before="260" w:beforeLines="0" w:after="260" w:afterLines="0" w:line="416" w:lineRule="atLeast"/>
      <w:jc w:val="both"/>
      <w:textAlignment w:val="baseline"/>
      <w:outlineLvl w:val="2"/>
    </w:pPr>
    <w:rPr>
      <w:rFonts w:ascii="Times New Roman" w:hAnsi="Times New Roman" w:eastAsia="宋体" w:cs="Times New Roman"/>
      <w:b/>
      <w:bCs/>
      <w:color w:val="000000"/>
      <w:sz w:val="32"/>
      <w:szCs w:val="32"/>
      <w:u w:val="none" w:color="000000"/>
      <w:lang w:val="en-US" w:eastAsia="zh-CN" w:bidi="ar-SA"/>
    </w:rPr>
  </w:style>
  <w:style w:type="paragraph" w:styleId="8">
    <w:name w:val="heading 4"/>
    <w:basedOn w:val="1"/>
    <w:next w:val="1"/>
    <w:link w:val="58"/>
    <w:autoRedefine/>
    <w:qFormat/>
    <w:uiPriority w:val="0"/>
    <w:pPr>
      <w:keepNext/>
      <w:keepLines/>
      <w:widowControl/>
      <w:spacing w:before="280" w:beforeLines="0" w:after="290" w:afterLines="0" w:line="376" w:lineRule="atLeast"/>
      <w:textAlignment w:val="baseline"/>
      <w:outlineLvl w:val="3"/>
    </w:pPr>
    <w:rPr>
      <w:rFonts w:ascii="Arial" w:hAnsi="Arial" w:eastAsia="黑体"/>
      <w:b/>
      <w:bCs/>
      <w:color w:val="000000"/>
      <w:kern w:val="0"/>
      <w:sz w:val="28"/>
      <w:szCs w:val="28"/>
      <w:u w:val="none" w:color="000000"/>
    </w:rPr>
  </w:style>
  <w:style w:type="paragraph" w:styleId="9">
    <w:name w:val="heading 5"/>
    <w:basedOn w:val="1"/>
    <w:next w:val="1"/>
    <w:link w:val="59"/>
    <w:autoRedefine/>
    <w:qFormat/>
    <w:uiPriority w:val="0"/>
    <w:pPr>
      <w:keepNext/>
      <w:keepLines/>
      <w:spacing w:before="280" w:beforeLines="0" w:after="290" w:afterLines="0" w:line="376" w:lineRule="auto"/>
      <w:outlineLvl w:val="4"/>
    </w:pPr>
    <w:rPr>
      <w:b/>
      <w:bCs/>
      <w:sz w:val="28"/>
      <w:szCs w:val="28"/>
    </w:rPr>
  </w:style>
  <w:style w:type="paragraph" w:styleId="10">
    <w:name w:val="heading 6"/>
    <w:basedOn w:val="1"/>
    <w:next w:val="1"/>
    <w:link w:val="60"/>
    <w:autoRedefine/>
    <w:qFormat/>
    <w:uiPriority w:val="0"/>
    <w:pPr>
      <w:keepNext/>
      <w:keepLines/>
      <w:spacing w:before="240" w:beforeLines="0" w:after="64" w:afterLines="0" w:line="320" w:lineRule="auto"/>
      <w:outlineLvl w:val="5"/>
    </w:pPr>
    <w:rPr>
      <w:rFonts w:ascii="Cambria" w:hAnsi="Cambria"/>
      <w:b/>
      <w:bCs/>
      <w:sz w:val="24"/>
    </w:rPr>
  </w:style>
  <w:style w:type="paragraph" w:styleId="11">
    <w:name w:val="heading 7"/>
    <w:basedOn w:val="1"/>
    <w:next w:val="1"/>
    <w:link w:val="61"/>
    <w:autoRedefine/>
    <w:qFormat/>
    <w:uiPriority w:val="0"/>
    <w:pPr>
      <w:keepNext/>
      <w:keepLines/>
      <w:spacing w:before="240" w:beforeLines="0" w:after="64" w:afterLines="0" w:line="320" w:lineRule="auto"/>
      <w:outlineLvl w:val="6"/>
    </w:pPr>
    <w:rPr>
      <w:b/>
      <w:bCs/>
      <w:sz w:val="24"/>
    </w:rPr>
  </w:style>
  <w:style w:type="character" w:default="1" w:styleId="37">
    <w:name w:val="Default Paragraph Font"/>
    <w:autoRedefine/>
    <w:qFormat/>
    <w:uiPriority w:val="0"/>
    <w:rPr>
      <w:rFonts w:ascii="Times New Roman" w:hAnsi="Times New Roman" w:eastAsia="宋体" w:cs="Times New Roman"/>
    </w:rPr>
  </w:style>
  <w:style w:type="table" w:default="1" w:styleId="35">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1"/>
    <w:link w:val="56"/>
    <w:autoRedefine/>
    <w:qFormat/>
    <w:uiPriority w:val="0"/>
    <w:pPr>
      <w:ind w:left="420" w:firstLine="420" w:firstLineChars="200"/>
    </w:pPr>
    <w:rPr>
      <w:kern w:val="0"/>
      <w:sz w:val="20"/>
      <w:szCs w:val="20"/>
    </w:rPr>
  </w:style>
  <w:style w:type="paragraph" w:styleId="3">
    <w:name w:val="Body Text Indent"/>
    <w:basedOn w:val="1"/>
    <w:next w:val="4"/>
    <w:link w:val="55"/>
    <w:autoRedefine/>
    <w:qFormat/>
    <w:uiPriority w:val="0"/>
    <w:pPr>
      <w:spacing w:after="120" w:afterLines="0"/>
      <w:ind w:left="200" w:leftChars="200"/>
    </w:pPr>
  </w:style>
  <w:style w:type="paragraph" w:styleId="4">
    <w:name w:val="envelope return"/>
    <w:basedOn w:val="1"/>
    <w:autoRedefine/>
    <w:qFormat/>
    <w:uiPriority w:val="0"/>
    <w:pPr>
      <w:snapToGrid w:val="0"/>
    </w:pPr>
    <w:rPr>
      <w:rFonts w:ascii="Arial" w:hAnsi="Arial" w:eastAsia="宋体" w:cs="Times New Roman"/>
    </w:rPr>
  </w:style>
  <w:style w:type="paragraph" w:styleId="12">
    <w:name w:val="toc 7"/>
    <w:basedOn w:val="1"/>
    <w:next w:val="1"/>
    <w:autoRedefine/>
    <w:qFormat/>
    <w:uiPriority w:val="39"/>
    <w:pPr>
      <w:ind w:left="1260"/>
      <w:jc w:val="left"/>
    </w:pPr>
    <w:rPr>
      <w:sz w:val="18"/>
      <w:szCs w:val="18"/>
    </w:rPr>
  </w:style>
  <w:style w:type="paragraph" w:styleId="13">
    <w:name w:val="List Number 2"/>
    <w:basedOn w:val="1"/>
    <w:autoRedefine/>
    <w:qFormat/>
    <w:uiPriority w:val="0"/>
    <w:pPr>
      <w:numPr>
        <w:ilvl w:val="0"/>
        <w:numId w:val="2"/>
      </w:numPr>
      <w:tabs>
        <w:tab w:val="left" w:pos="567"/>
        <w:tab w:val="clear" w:pos="425"/>
      </w:tabs>
      <w:adjustRightInd w:val="0"/>
      <w:spacing w:line="300" w:lineRule="auto"/>
      <w:textAlignment w:val="baseline"/>
    </w:pPr>
    <w:rPr>
      <w:rFonts w:ascii="Times New Roman" w:hAnsi="Times New Roman" w:eastAsia="宋体" w:cs="Times New Roman"/>
      <w:kern w:val="0"/>
      <w:sz w:val="28"/>
      <w:szCs w:val="20"/>
    </w:rPr>
  </w:style>
  <w:style w:type="paragraph" w:styleId="14">
    <w:name w:val="Normal Indent"/>
    <w:basedOn w:val="1"/>
    <w:next w:val="2"/>
    <w:autoRedefine/>
    <w:qFormat/>
    <w:uiPriority w:val="0"/>
    <w:pPr>
      <w:adjustRightInd w:val="0"/>
      <w:spacing w:line="360" w:lineRule="atLeast"/>
      <w:ind w:firstLine="482"/>
      <w:textAlignment w:val="baseline"/>
    </w:pPr>
    <w:rPr>
      <w:rFonts w:ascii="Times New Roman" w:hAnsi="Times New Roman" w:eastAsia="宋体" w:cs="Times New Roman"/>
      <w:kern w:val="0"/>
      <w:sz w:val="24"/>
      <w:szCs w:val="20"/>
    </w:rPr>
  </w:style>
  <w:style w:type="paragraph" w:styleId="15">
    <w:name w:val="Document Map"/>
    <w:basedOn w:val="1"/>
    <w:next w:val="1"/>
    <w:autoRedefine/>
    <w:qFormat/>
    <w:uiPriority w:val="0"/>
    <w:pPr>
      <w:widowControl/>
      <w:shd w:val="clear" w:color="000000" w:fill="000080"/>
      <w:autoSpaceDE/>
      <w:autoSpaceDN/>
      <w:spacing w:before="0" w:beforeLines="0" w:after="0" w:afterLines="0" w:line="357" w:lineRule="atLeast"/>
      <w:ind w:left="0" w:firstLine="0"/>
      <w:jc w:val="both"/>
    </w:pPr>
    <w:rPr>
      <w:rFonts w:ascii="Times New Roman" w:hAnsi="Times New Roman" w:eastAsia="宋体" w:cs="Times New Roman"/>
      <w:color w:val="000000"/>
      <w:sz w:val="21"/>
    </w:rPr>
  </w:style>
  <w:style w:type="paragraph" w:styleId="16">
    <w:name w:val="annotation text"/>
    <w:basedOn w:val="1"/>
    <w:link w:val="62"/>
    <w:autoRedefine/>
    <w:qFormat/>
    <w:uiPriority w:val="0"/>
    <w:pPr>
      <w:jc w:val="left"/>
    </w:pPr>
  </w:style>
  <w:style w:type="paragraph" w:styleId="17">
    <w:name w:val="Body Text"/>
    <w:basedOn w:val="1"/>
    <w:autoRedefine/>
    <w:qFormat/>
    <w:uiPriority w:val="0"/>
    <w:pPr>
      <w:spacing w:after="120" w:afterLines="0"/>
    </w:pPr>
    <w:rPr>
      <w:rFonts w:ascii="Times New Roman" w:hAnsi="Times New Roman" w:eastAsia="宋体" w:cs="Times New Roman"/>
    </w:rPr>
  </w:style>
  <w:style w:type="paragraph" w:styleId="18">
    <w:name w:val="toc 3"/>
    <w:basedOn w:val="1"/>
    <w:next w:val="1"/>
    <w:autoRedefine/>
    <w:qFormat/>
    <w:uiPriority w:val="0"/>
    <w:pPr>
      <w:tabs>
        <w:tab w:val="right" w:leader="dot" w:pos="9288"/>
      </w:tabs>
      <w:ind w:left="400" w:leftChars="400"/>
    </w:pPr>
    <w:rPr>
      <w:rFonts w:ascii="宋体" w:hAnsi="Times New Roman" w:eastAsia="宋体" w:cs="Times New Roman"/>
    </w:rPr>
  </w:style>
  <w:style w:type="paragraph" w:styleId="19">
    <w:name w:val="Plain Text"/>
    <w:basedOn w:val="1"/>
    <w:link w:val="63"/>
    <w:autoRedefine/>
    <w:qFormat/>
    <w:uiPriority w:val="0"/>
    <w:rPr>
      <w:rFonts w:ascii="宋体"/>
      <w:color w:val="000000"/>
      <w:szCs w:val="20"/>
      <w:u w:val="none" w:color="000000"/>
    </w:rPr>
  </w:style>
  <w:style w:type="paragraph" w:styleId="20">
    <w:name w:val="Date"/>
    <w:basedOn w:val="1"/>
    <w:next w:val="1"/>
    <w:link w:val="64"/>
    <w:autoRedefine/>
    <w:qFormat/>
    <w:uiPriority w:val="0"/>
    <w:rPr>
      <w:rFonts w:ascii="Arial" w:hAnsi="Arial" w:eastAsia="仿宋_GB2312"/>
      <w:color w:val="000000"/>
      <w:sz w:val="32"/>
      <w:szCs w:val="20"/>
      <w:u w:val="none" w:color="000000"/>
    </w:rPr>
  </w:style>
  <w:style w:type="paragraph" w:styleId="21">
    <w:name w:val="Body Text Indent 2"/>
    <w:basedOn w:val="1"/>
    <w:link w:val="65"/>
    <w:autoRedefine/>
    <w:qFormat/>
    <w:uiPriority w:val="0"/>
    <w:pPr>
      <w:spacing w:after="120" w:afterLines="0" w:line="480" w:lineRule="auto"/>
      <w:ind w:left="420" w:leftChars="200"/>
    </w:pPr>
  </w:style>
  <w:style w:type="paragraph" w:styleId="22">
    <w:name w:val="Balloon Text"/>
    <w:basedOn w:val="1"/>
    <w:link w:val="66"/>
    <w:autoRedefine/>
    <w:qFormat/>
    <w:uiPriority w:val="0"/>
    <w:rPr>
      <w:sz w:val="18"/>
      <w:szCs w:val="18"/>
    </w:rPr>
  </w:style>
  <w:style w:type="paragraph" w:styleId="23">
    <w:name w:val="footer"/>
    <w:basedOn w:val="1"/>
    <w:link w:val="67"/>
    <w:autoRedefine/>
    <w:qFormat/>
    <w:uiPriority w:val="0"/>
    <w:pPr>
      <w:tabs>
        <w:tab w:val="center" w:pos="4153"/>
        <w:tab w:val="right" w:pos="8306"/>
      </w:tabs>
      <w:snapToGrid w:val="0"/>
      <w:jc w:val="left"/>
    </w:pPr>
    <w:rPr>
      <w:sz w:val="18"/>
      <w:szCs w:val="18"/>
    </w:rPr>
  </w:style>
  <w:style w:type="paragraph" w:styleId="24">
    <w:name w:val="header"/>
    <w:basedOn w:val="1"/>
    <w:link w:val="68"/>
    <w:autoRedefine/>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rPr>
      <w:rFonts w:ascii="Times New Roman" w:hAnsi="Times New Roman" w:eastAsia="宋体" w:cs="Times New Roman"/>
    </w:rPr>
  </w:style>
  <w:style w:type="paragraph" w:styleId="26">
    <w:name w:val="Subtitle"/>
    <w:basedOn w:val="1"/>
    <w:next w:val="1"/>
    <w:autoRedefine/>
    <w:qFormat/>
    <w:uiPriority w:val="0"/>
    <w:pPr>
      <w:numPr>
        <w:ilvl w:val="0"/>
        <w:numId w:val="3"/>
      </w:numPr>
      <w:spacing w:line="360" w:lineRule="auto"/>
      <w:jc w:val="left"/>
      <w:outlineLvl w:val="1"/>
    </w:pPr>
    <w:rPr>
      <w:rFonts w:ascii="Calibri Light" w:hAnsi="Calibri Light" w:eastAsia="宋体" w:cs="Times New Roman"/>
      <w:bCs/>
      <w:kern w:val="28"/>
      <w:szCs w:val="32"/>
    </w:rPr>
  </w:style>
  <w:style w:type="paragraph" w:styleId="27">
    <w:name w:val="List"/>
    <w:basedOn w:val="1"/>
    <w:next w:val="1"/>
    <w:autoRedefine/>
    <w:qFormat/>
    <w:uiPriority w:val="0"/>
    <w:pPr>
      <w:widowControl w:val="0"/>
      <w:spacing w:line="240" w:lineRule="auto"/>
      <w:ind w:left="420" w:hanging="420"/>
      <w:textAlignment w:val="auto"/>
    </w:pPr>
    <w:rPr>
      <w:rFonts w:ascii="Arial" w:hAnsi="Arial" w:eastAsia="楷体_GB2312" w:cs="Times New Roman"/>
      <w:color w:val="auto"/>
      <w:kern w:val="2"/>
      <w:sz w:val="28"/>
      <w:u w:val="none" w:color="auto"/>
    </w:rPr>
  </w:style>
  <w:style w:type="paragraph" w:styleId="28">
    <w:name w:val="footnote text"/>
    <w:basedOn w:val="1"/>
    <w:autoRedefine/>
    <w:qFormat/>
    <w:uiPriority w:val="0"/>
    <w:rPr>
      <w:sz w:val="20"/>
      <w:szCs w:val="20"/>
    </w:rPr>
  </w:style>
  <w:style w:type="paragraph" w:styleId="29">
    <w:name w:val="toc 2"/>
    <w:basedOn w:val="1"/>
    <w:next w:val="1"/>
    <w:autoRedefine/>
    <w:qFormat/>
    <w:uiPriority w:val="0"/>
    <w:pPr>
      <w:ind w:left="200" w:leftChars="200"/>
    </w:pPr>
    <w:rPr>
      <w:rFonts w:ascii="Times New Roman" w:hAnsi="Times New Roman" w:eastAsia="宋体" w:cs="Times New Roman"/>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Arial" w:hAnsi="Arial"/>
    </w:rPr>
  </w:style>
  <w:style w:type="paragraph" w:styleId="31">
    <w:name w:val="Normal (Web)"/>
    <w:basedOn w:val="1"/>
    <w:autoRedefine/>
    <w:qFormat/>
    <w:uiPriority w:val="0"/>
    <w:pPr>
      <w:widowControl/>
      <w:spacing w:before="100" w:beforeLines="0" w:beforeAutospacing="1" w:after="100" w:afterLines="0" w:afterAutospacing="1"/>
      <w:jc w:val="left"/>
    </w:pPr>
    <w:rPr>
      <w:rFonts w:ascii="宋体" w:hAnsi="宋体" w:eastAsia="宋体" w:cs="宋体"/>
      <w:kern w:val="0"/>
      <w:sz w:val="24"/>
    </w:rPr>
  </w:style>
  <w:style w:type="paragraph" w:styleId="32">
    <w:name w:val="Title"/>
    <w:basedOn w:val="1"/>
    <w:next w:val="1"/>
    <w:autoRedefine/>
    <w:qFormat/>
    <w:uiPriority w:val="0"/>
    <w:pPr>
      <w:numPr>
        <w:ilvl w:val="0"/>
        <w:numId w:val="4"/>
      </w:numPr>
      <w:spacing w:line="360" w:lineRule="auto"/>
      <w:jc w:val="left"/>
      <w:outlineLvl w:val="0"/>
    </w:pPr>
    <w:rPr>
      <w:rFonts w:ascii="Cambria" w:hAnsi="Cambria" w:eastAsia="宋体" w:cs="Times New Roman"/>
      <w:b/>
      <w:bCs/>
      <w:sz w:val="28"/>
      <w:szCs w:val="32"/>
    </w:rPr>
  </w:style>
  <w:style w:type="paragraph" w:styleId="33">
    <w:name w:val="annotation subject"/>
    <w:basedOn w:val="16"/>
    <w:next w:val="16"/>
    <w:link w:val="69"/>
    <w:autoRedefine/>
    <w:qFormat/>
    <w:uiPriority w:val="0"/>
    <w:rPr>
      <w:b/>
      <w:bCs/>
    </w:rPr>
  </w:style>
  <w:style w:type="paragraph" w:styleId="34">
    <w:name w:val="Body Text First Indent"/>
    <w:basedOn w:val="17"/>
    <w:autoRedefine/>
    <w:qFormat/>
    <w:uiPriority w:val="0"/>
    <w:pPr>
      <w:ind w:firstLine="420" w:firstLineChars="100"/>
    </w:pPr>
    <w:rPr>
      <w:rFonts w:ascii="Times New Roman" w:hAnsi="Times New Roman" w:eastAsia="宋体" w:cs="Times New Roman"/>
    </w:rPr>
  </w:style>
  <w:style w:type="table" w:styleId="36">
    <w:name w:val="Table Grid"/>
    <w:basedOn w:val="3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autoRedefine/>
    <w:qFormat/>
    <w:uiPriority w:val="0"/>
    <w:rPr>
      <w:rFonts w:ascii="Times New Roman" w:hAnsi="Times New Roman" w:eastAsia="宋体" w:cs="Times New Roman"/>
      <w:b/>
    </w:rPr>
  </w:style>
  <w:style w:type="character" w:styleId="39">
    <w:name w:val="page number"/>
    <w:autoRedefine/>
    <w:qFormat/>
    <w:uiPriority w:val="0"/>
    <w:rPr>
      <w:rFonts w:ascii="Times New Roman" w:hAnsi="Times New Roman" w:eastAsia="宋体" w:cs="Times New Roman"/>
    </w:rPr>
  </w:style>
  <w:style w:type="character" w:styleId="40">
    <w:name w:val="FollowedHyperlink"/>
    <w:autoRedefine/>
    <w:qFormat/>
    <w:uiPriority w:val="0"/>
    <w:rPr>
      <w:rFonts w:ascii="Times New Roman" w:hAnsi="Times New Roman" w:eastAsia="宋体" w:cs="Times New Roman"/>
      <w:color w:val="333333"/>
      <w:u w:val="none"/>
    </w:rPr>
  </w:style>
  <w:style w:type="character" w:styleId="41">
    <w:name w:val="Emphasis"/>
    <w:autoRedefine/>
    <w:qFormat/>
    <w:uiPriority w:val="0"/>
    <w:rPr>
      <w:rFonts w:ascii="Times New Roman" w:hAnsi="Times New Roman" w:eastAsia="宋体" w:cs="Times New Roman"/>
      <w:i/>
      <w:iCs/>
    </w:rPr>
  </w:style>
  <w:style w:type="character" w:styleId="42">
    <w:name w:val="HTML Definition"/>
    <w:autoRedefine/>
    <w:qFormat/>
    <w:uiPriority w:val="0"/>
    <w:rPr>
      <w:rFonts w:ascii="Times New Roman" w:hAnsi="Times New Roman" w:eastAsia="宋体" w:cs="Times New Roman"/>
    </w:rPr>
  </w:style>
  <w:style w:type="character" w:styleId="43">
    <w:name w:val="HTML Typewriter"/>
    <w:autoRedefine/>
    <w:qFormat/>
    <w:uiPriority w:val="0"/>
    <w:rPr>
      <w:rFonts w:hint="default" w:ascii="monospace" w:hAnsi="monospace" w:eastAsia="monospace" w:cs="monospace"/>
      <w:sz w:val="20"/>
    </w:rPr>
  </w:style>
  <w:style w:type="character" w:styleId="44">
    <w:name w:val="HTML Acronym"/>
    <w:autoRedefine/>
    <w:qFormat/>
    <w:uiPriority w:val="0"/>
    <w:rPr>
      <w:rFonts w:ascii="Times New Roman" w:hAnsi="Times New Roman" w:eastAsia="宋体" w:cs="Times New Roman"/>
    </w:rPr>
  </w:style>
  <w:style w:type="character" w:styleId="45">
    <w:name w:val="HTML Variable"/>
    <w:autoRedefine/>
    <w:qFormat/>
    <w:uiPriority w:val="0"/>
    <w:rPr>
      <w:rFonts w:ascii="Times New Roman" w:hAnsi="Times New Roman" w:eastAsia="宋体" w:cs="Times New Roman"/>
    </w:rPr>
  </w:style>
  <w:style w:type="character" w:styleId="46">
    <w:name w:val="Hyperlink"/>
    <w:autoRedefine/>
    <w:qFormat/>
    <w:uiPriority w:val="0"/>
    <w:rPr>
      <w:rFonts w:ascii="Times New Roman" w:hAnsi="Times New Roman" w:eastAsia="宋体" w:cs="Times New Roman"/>
      <w:color w:val="333333"/>
      <w:u w:val="none"/>
    </w:rPr>
  </w:style>
  <w:style w:type="character" w:styleId="47">
    <w:name w:val="HTML Code"/>
    <w:autoRedefine/>
    <w:qFormat/>
    <w:uiPriority w:val="0"/>
    <w:rPr>
      <w:rFonts w:hint="default" w:ascii="monospace" w:hAnsi="monospace" w:eastAsia="monospace" w:cs="monospace"/>
      <w:sz w:val="20"/>
    </w:rPr>
  </w:style>
  <w:style w:type="character" w:styleId="48">
    <w:name w:val="annotation reference"/>
    <w:autoRedefine/>
    <w:qFormat/>
    <w:uiPriority w:val="0"/>
    <w:rPr>
      <w:rFonts w:ascii="Times New Roman" w:hAnsi="Times New Roman" w:eastAsia="宋体" w:cs="Times New Roman"/>
      <w:sz w:val="21"/>
      <w:szCs w:val="21"/>
    </w:rPr>
  </w:style>
  <w:style w:type="character" w:styleId="49">
    <w:name w:val="HTML Cite"/>
    <w:autoRedefine/>
    <w:qFormat/>
    <w:uiPriority w:val="0"/>
    <w:rPr>
      <w:rFonts w:ascii="Times New Roman" w:hAnsi="Times New Roman" w:eastAsia="宋体" w:cs="Times New Roman"/>
    </w:rPr>
  </w:style>
  <w:style w:type="character" w:styleId="50">
    <w:name w:val="footnote reference"/>
    <w:autoRedefine/>
    <w:qFormat/>
    <w:uiPriority w:val="0"/>
    <w:rPr>
      <w:vertAlign w:val="superscript"/>
    </w:rPr>
  </w:style>
  <w:style w:type="character" w:styleId="51">
    <w:name w:val="HTML Keyboard"/>
    <w:autoRedefine/>
    <w:qFormat/>
    <w:uiPriority w:val="0"/>
    <w:rPr>
      <w:rFonts w:hint="default" w:ascii="monospace" w:hAnsi="monospace" w:eastAsia="monospace" w:cs="monospace"/>
      <w:sz w:val="20"/>
    </w:rPr>
  </w:style>
  <w:style w:type="character" w:styleId="52">
    <w:name w:val="HTML Sample"/>
    <w:autoRedefine/>
    <w:qFormat/>
    <w:uiPriority w:val="0"/>
    <w:rPr>
      <w:rFonts w:ascii="monospace" w:hAnsi="monospace" w:eastAsia="monospace" w:cs="monospace"/>
    </w:rPr>
  </w:style>
  <w:style w:type="paragraph" w:customStyle="1" w:styleId="53">
    <w:name w:val="正文文字 8"/>
    <w:basedOn w:val="1"/>
    <w:next w:val="1"/>
    <w:autoRedefine/>
    <w:qFormat/>
    <w:uiPriority w:val="0"/>
    <w:pPr>
      <w:ind w:left="240"/>
    </w:pPr>
    <w:rPr>
      <w:sz w:val="16"/>
    </w:rPr>
  </w:style>
  <w:style w:type="paragraph" w:customStyle="1" w:styleId="54">
    <w:name w:val="l正文"/>
    <w:autoRedefine/>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character" w:customStyle="1" w:styleId="55">
    <w:name w:val="正文文本缩进 Char"/>
    <w:link w:val="3"/>
    <w:autoRedefine/>
    <w:qFormat/>
    <w:uiPriority w:val="0"/>
    <w:rPr>
      <w:rFonts w:ascii="Times New Roman" w:hAnsi="Times New Roman" w:eastAsia="宋体" w:cs="Times New Roman"/>
      <w:kern w:val="2"/>
      <w:sz w:val="21"/>
      <w:szCs w:val="24"/>
    </w:rPr>
  </w:style>
  <w:style w:type="character" w:customStyle="1" w:styleId="56">
    <w:name w:val="正文首行缩进 2 Char"/>
    <w:link w:val="2"/>
    <w:autoRedefine/>
    <w:qFormat/>
    <w:uiPriority w:val="0"/>
    <w:rPr>
      <w:rFonts w:ascii="Times New Roman" w:hAnsi="Times New Roman" w:eastAsia="宋体" w:cs="Times New Roman"/>
    </w:rPr>
  </w:style>
  <w:style w:type="character" w:customStyle="1" w:styleId="57">
    <w:name w:val="标题 1 Char"/>
    <w:link w:val="5"/>
    <w:autoRedefine/>
    <w:qFormat/>
    <w:uiPriority w:val="0"/>
    <w:rPr>
      <w:rFonts w:ascii="Times New Roman" w:hAnsi="Times New Roman" w:eastAsia="宋体" w:cs="Times New Roman"/>
      <w:b/>
      <w:bCs/>
      <w:kern w:val="44"/>
      <w:sz w:val="32"/>
      <w:szCs w:val="44"/>
    </w:rPr>
  </w:style>
  <w:style w:type="character" w:customStyle="1" w:styleId="58">
    <w:name w:val="标题 4 Char"/>
    <w:link w:val="8"/>
    <w:autoRedefine/>
    <w:qFormat/>
    <w:uiPriority w:val="0"/>
    <w:rPr>
      <w:rFonts w:ascii="Arial" w:hAnsi="Arial" w:eastAsia="黑体" w:cs="Times New Roman"/>
      <w:b/>
      <w:bCs/>
      <w:color w:val="000000"/>
      <w:sz w:val="28"/>
      <w:szCs w:val="28"/>
      <w:u w:val="none" w:color="000000"/>
      <w:lang w:val="en-US" w:eastAsia="zh-CN" w:bidi="ar-SA"/>
    </w:rPr>
  </w:style>
  <w:style w:type="character" w:customStyle="1" w:styleId="59">
    <w:name w:val="标题 5 Char"/>
    <w:link w:val="9"/>
    <w:autoRedefine/>
    <w:qFormat/>
    <w:uiPriority w:val="0"/>
    <w:rPr>
      <w:rFonts w:ascii="Times New Roman" w:hAnsi="Times New Roman" w:eastAsia="宋体" w:cs="Times New Roman"/>
      <w:b/>
      <w:bCs/>
      <w:kern w:val="2"/>
      <w:sz w:val="28"/>
      <w:szCs w:val="28"/>
    </w:rPr>
  </w:style>
  <w:style w:type="character" w:customStyle="1" w:styleId="60">
    <w:name w:val="标题 6 Char"/>
    <w:link w:val="10"/>
    <w:autoRedefine/>
    <w:qFormat/>
    <w:uiPriority w:val="0"/>
    <w:rPr>
      <w:rFonts w:ascii="Cambria" w:hAnsi="Cambria" w:eastAsia="宋体" w:cs="Times New Roman"/>
      <w:b/>
      <w:bCs/>
      <w:kern w:val="2"/>
      <w:sz w:val="24"/>
      <w:szCs w:val="24"/>
    </w:rPr>
  </w:style>
  <w:style w:type="character" w:customStyle="1" w:styleId="61">
    <w:name w:val="标题 7 Char"/>
    <w:link w:val="11"/>
    <w:autoRedefine/>
    <w:qFormat/>
    <w:uiPriority w:val="0"/>
    <w:rPr>
      <w:rFonts w:ascii="Times New Roman" w:hAnsi="Times New Roman" w:eastAsia="宋体" w:cs="Times New Roman"/>
      <w:b/>
      <w:bCs/>
      <w:kern w:val="2"/>
      <w:sz w:val="24"/>
      <w:szCs w:val="24"/>
    </w:rPr>
  </w:style>
  <w:style w:type="character" w:customStyle="1" w:styleId="62">
    <w:name w:val="批注文字 Char"/>
    <w:link w:val="16"/>
    <w:autoRedefine/>
    <w:qFormat/>
    <w:uiPriority w:val="0"/>
    <w:rPr>
      <w:rFonts w:ascii="Times New Roman" w:hAnsi="Times New Roman" w:eastAsia="宋体" w:cs="Times New Roman"/>
      <w:kern w:val="2"/>
      <w:sz w:val="21"/>
      <w:szCs w:val="24"/>
    </w:rPr>
  </w:style>
  <w:style w:type="character" w:customStyle="1" w:styleId="63">
    <w:name w:val="纯文本 Char"/>
    <w:link w:val="19"/>
    <w:autoRedefine/>
    <w:qFormat/>
    <w:uiPriority w:val="0"/>
    <w:rPr>
      <w:rFonts w:ascii="宋体" w:hAnsi="Times New Roman" w:eastAsia="宋体" w:cs="Times New Roman"/>
      <w:color w:val="000000"/>
      <w:kern w:val="2"/>
      <w:sz w:val="21"/>
      <w:u w:val="none" w:color="000000"/>
      <w:lang w:val="en-US" w:eastAsia="zh-CN" w:bidi="ar-SA"/>
    </w:rPr>
  </w:style>
  <w:style w:type="character" w:customStyle="1" w:styleId="64">
    <w:name w:val="日期 Char"/>
    <w:link w:val="20"/>
    <w:autoRedefine/>
    <w:qFormat/>
    <w:uiPriority w:val="0"/>
    <w:rPr>
      <w:rFonts w:ascii="Arial" w:hAnsi="Arial" w:eastAsia="仿宋_GB2312" w:cs="Times New Roman"/>
      <w:color w:val="000000"/>
      <w:kern w:val="2"/>
      <w:sz w:val="32"/>
      <w:u w:val="none" w:color="000000"/>
    </w:rPr>
  </w:style>
  <w:style w:type="character" w:customStyle="1" w:styleId="65">
    <w:name w:val="正文文本缩进 2 Char"/>
    <w:link w:val="21"/>
    <w:autoRedefine/>
    <w:qFormat/>
    <w:uiPriority w:val="0"/>
    <w:rPr>
      <w:rFonts w:ascii="Times New Roman" w:hAnsi="Times New Roman" w:eastAsia="宋体" w:cs="Times New Roman"/>
      <w:kern w:val="2"/>
      <w:sz w:val="21"/>
      <w:szCs w:val="24"/>
    </w:rPr>
  </w:style>
  <w:style w:type="character" w:customStyle="1" w:styleId="66">
    <w:name w:val="批注框文本 Char"/>
    <w:link w:val="22"/>
    <w:autoRedefine/>
    <w:qFormat/>
    <w:uiPriority w:val="0"/>
    <w:rPr>
      <w:rFonts w:ascii="Times New Roman" w:hAnsi="Times New Roman" w:eastAsia="宋体" w:cs="Times New Roman"/>
      <w:kern w:val="2"/>
      <w:sz w:val="18"/>
      <w:szCs w:val="18"/>
    </w:rPr>
  </w:style>
  <w:style w:type="character" w:customStyle="1" w:styleId="67">
    <w:name w:val="页脚 Char"/>
    <w:link w:val="23"/>
    <w:autoRedefine/>
    <w:qFormat/>
    <w:uiPriority w:val="0"/>
    <w:rPr>
      <w:rFonts w:ascii="Times New Roman" w:hAnsi="Times New Roman" w:eastAsia="宋体" w:cs="Times New Roman"/>
      <w:kern w:val="2"/>
      <w:sz w:val="18"/>
      <w:szCs w:val="18"/>
    </w:rPr>
  </w:style>
  <w:style w:type="character" w:customStyle="1" w:styleId="68">
    <w:name w:val="页眉 Char"/>
    <w:link w:val="24"/>
    <w:autoRedefine/>
    <w:qFormat/>
    <w:uiPriority w:val="0"/>
    <w:rPr>
      <w:rFonts w:ascii="Times New Roman" w:hAnsi="Times New Roman" w:eastAsia="宋体" w:cs="Times New Roman"/>
      <w:kern w:val="2"/>
      <w:sz w:val="18"/>
      <w:szCs w:val="18"/>
    </w:rPr>
  </w:style>
  <w:style w:type="character" w:customStyle="1" w:styleId="69">
    <w:name w:val="批注主题 Char"/>
    <w:link w:val="33"/>
    <w:autoRedefine/>
    <w:qFormat/>
    <w:uiPriority w:val="0"/>
    <w:rPr>
      <w:rFonts w:ascii="Times New Roman" w:hAnsi="Times New Roman" w:eastAsia="宋体" w:cs="Times New Roman"/>
      <w:b/>
      <w:bCs/>
      <w:kern w:val="2"/>
      <w:sz w:val="21"/>
      <w:szCs w:val="24"/>
    </w:rPr>
  </w:style>
  <w:style w:type="character" w:customStyle="1" w:styleId="70">
    <w:name w:val="图表 Char Char"/>
    <w:link w:val="71"/>
    <w:autoRedefine/>
    <w:qFormat/>
    <w:uiPriority w:val="0"/>
    <w:rPr>
      <w:rFonts w:ascii="Times New Roman" w:hAnsi="Times New Roman" w:eastAsia="宋体" w:cs="Times New Roman"/>
      <w:kern w:val="2"/>
      <w:sz w:val="21"/>
      <w:szCs w:val="21"/>
    </w:rPr>
  </w:style>
  <w:style w:type="paragraph" w:customStyle="1" w:styleId="71">
    <w:name w:val="图表"/>
    <w:basedOn w:val="1"/>
    <w:next w:val="1"/>
    <w:link w:val="70"/>
    <w:autoRedefine/>
    <w:qFormat/>
    <w:uiPriority w:val="0"/>
    <w:pPr>
      <w:jc w:val="center"/>
    </w:pPr>
    <w:rPr>
      <w:szCs w:val="21"/>
    </w:rPr>
  </w:style>
  <w:style w:type="character" w:customStyle="1" w:styleId="72">
    <w:name w:val="【正文】 Char Char"/>
    <w:link w:val="73"/>
    <w:autoRedefine/>
    <w:qFormat/>
    <w:uiPriority w:val="0"/>
    <w:rPr>
      <w:rFonts w:ascii="Times New Roman" w:hAnsi="Times New Roman" w:eastAsia="宋体" w:cs="DokChampa"/>
      <w:kern w:val="2"/>
      <w:sz w:val="24"/>
      <w:szCs w:val="22"/>
    </w:rPr>
  </w:style>
  <w:style w:type="paragraph" w:customStyle="1" w:styleId="73">
    <w:name w:val="【正文】"/>
    <w:basedOn w:val="1"/>
    <w:link w:val="72"/>
    <w:autoRedefine/>
    <w:qFormat/>
    <w:uiPriority w:val="0"/>
    <w:pPr>
      <w:spacing w:line="360" w:lineRule="auto"/>
      <w:ind w:firstLine="480" w:firstLineChars="200"/>
    </w:pPr>
    <w:rPr>
      <w:sz w:val="24"/>
      <w:szCs w:val="22"/>
    </w:rPr>
  </w:style>
  <w:style w:type="character" w:customStyle="1" w:styleId="74">
    <w:name w:val="selected"/>
    <w:autoRedefine/>
    <w:qFormat/>
    <w:uiPriority w:val="0"/>
    <w:rPr>
      <w:rFonts w:ascii="Times New Roman" w:hAnsi="Times New Roman" w:eastAsia="宋体" w:cs="Times New Roman"/>
      <w:shd w:val="clear" w:color="auto" w:fill="B00006"/>
    </w:rPr>
  </w:style>
  <w:style w:type="character" w:customStyle="1" w:styleId="75">
    <w:name w:val="font21"/>
    <w:basedOn w:val="37"/>
    <w:autoRedefine/>
    <w:qFormat/>
    <w:uiPriority w:val="0"/>
    <w:rPr>
      <w:rFonts w:hint="eastAsia" w:ascii="宋体" w:hAnsi="宋体" w:eastAsia="宋体" w:cs="宋体"/>
      <w:color w:val="000000"/>
      <w:sz w:val="18"/>
      <w:szCs w:val="18"/>
      <w:u w:val="none"/>
    </w:rPr>
  </w:style>
  <w:style w:type="character" w:customStyle="1" w:styleId="76">
    <w:name w:val="bds_nopic"/>
    <w:autoRedefine/>
    <w:qFormat/>
    <w:uiPriority w:val="0"/>
    <w:rPr>
      <w:rFonts w:ascii="Times New Roman" w:hAnsi="Times New Roman" w:eastAsia="宋体" w:cs="Times New Roman"/>
    </w:rPr>
  </w:style>
  <w:style w:type="character" w:customStyle="1" w:styleId="77">
    <w:name w:val="NormalCharacter"/>
    <w:autoRedefine/>
    <w:qFormat/>
    <w:uiPriority w:val="0"/>
    <w:rPr>
      <w:rFonts w:ascii="Times New Roman" w:hAnsi="Times New Roman" w:eastAsia="宋体" w:cs="Times New Roman"/>
      <w:kern w:val="2"/>
      <w:sz w:val="21"/>
      <w:szCs w:val="24"/>
      <w:lang w:val="en-US" w:eastAsia="zh-CN" w:bidi="ar-SA"/>
    </w:rPr>
  </w:style>
  <w:style w:type="character" w:customStyle="1" w:styleId="78">
    <w:name w:val="gpa"/>
    <w:autoRedefine/>
    <w:qFormat/>
    <w:uiPriority w:val="0"/>
    <w:rPr>
      <w:rFonts w:ascii="Arial" w:hAnsi="Arial" w:eastAsia="宋体" w:cs="Arial"/>
      <w:sz w:val="15"/>
      <w:szCs w:val="15"/>
    </w:rPr>
  </w:style>
  <w:style w:type="character" w:customStyle="1" w:styleId="79">
    <w:name w:val="正文首行缩进 2 Char1"/>
    <w:autoRedefine/>
    <w:qFormat/>
    <w:uiPriority w:val="0"/>
    <w:rPr>
      <w:rFonts w:ascii="Times New Roman" w:hAnsi="Times New Roman" w:eastAsia="宋体" w:cs="Times New Roman"/>
    </w:rPr>
  </w:style>
  <w:style w:type="character" w:customStyle="1" w:styleId="80">
    <w:name w:val="列出段落 Char"/>
    <w:link w:val="81"/>
    <w:autoRedefine/>
    <w:qFormat/>
    <w:uiPriority w:val="0"/>
    <w:rPr>
      <w:rFonts w:ascii="Calibri" w:hAnsi="Calibri" w:eastAsia="宋体" w:cs="Times New Roman"/>
      <w:kern w:val="2"/>
      <w:sz w:val="21"/>
      <w:szCs w:val="22"/>
      <w:lang w:val="en-US" w:eastAsia="zh-CN" w:bidi="ar-SA"/>
    </w:rPr>
  </w:style>
  <w:style w:type="paragraph" w:customStyle="1" w:styleId="81">
    <w:name w:val="List Paragraph1"/>
    <w:basedOn w:val="1"/>
    <w:link w:val="80"/>
    <w:autoRedefine/>
    <w:qFormat/>
    <w:uiPriority w:val="0"/>
    <w:pPr>
      <w:spacing w:line="312" w:lineRule="auto"/>
      <w:ind w:firstLine="420" w:firstLineChars="200"/>
    </w:pPr>
    <w:rPr>
      <w:rFonts w:ascii="Calibri" w:hAnsi="Calibri"/>
      <w:szCs w:val="22"/>
    </w:rPr>
  </w:style>
  <w:style w:type="character" w:customStyle="1" w:styleId="82">
    <w:name w:val="bds_nopic2"/>
    <w:autoRedefine/>
    <w:qFormat/>
    <w:uiPriority w:val="0"/>
    <w:rPr>
      <w:rFonts w:ascii="Times New Roman" w:hAnsi="Times New Roman" w:eastAsia="宋体" w:cs="Times New Roman"/>
    </w:rPr>
  </w:style>
  <w:style w:type="character" w:customStyle="1" w:styleId="83">
    <w:name w:val="font61"/>
    <w:autoRedefine/>
    <w:qFormat/>
    <w:uiPriority w:val="0"/>
    <w:rPr>
      <w:rFonts w:hint="default" w:ascii="MS Sans Serif" w:hAnsi="MS Sans Serif" w:eastAsia="MS Sans Serif" w:cs="MS Sans Serif"/>
      <w:color w:val="000000"/>
      <w:sz w:val="18"/>
      <w:szCs w:val="18"/>
      <w:u w:val="none"/>
    </w:rPr>
  </w:style>
  <w:style w:type="character" w:customStyle="1" w:styleId="84">
    <w:name w:val="bds_more1"/>
    <w:autoRedefine/>
    <w:qFormat/>
    <w:uiPriority w:val="0"/>
    <w:rPr>
      <w:rFonts w:ascii="Times New Roman" w:hAnsi="Times New Roman" w:eastAsia="宋体" w:cs="Times New Roman"/>
    </w:rPr>
  </w:style>
  <w:style w:type="character" w:customStyle="1" w:styleId="85">
    <w:name w:val="font71"/>
    <w:autoRedefine/>
    <w:qFormat/>
    <w:uiPriority w:val="0"/>
    <w:rPr>
      <w:rFonts w:hint="default" w:ascii="MS Sans Serif" w:hAnsi="MS Sans Serif" w:eastAsia="MS Sans Serif" w:cs="MS Sans Serif"/>
      <w:color w:val="000000"/>
      <w:sz w:val="18"/>
      <w:szCs w:val="18"/>
      <w:u w:val="none"/>
    </w:rPr>
  </w:style>
  <w:style w:type="character" w:customStyle="1" w:styleId="86">
    <w:name w:val="first-child"/>
    <w:autoRedefine/>
    <w:qFormat/>
    <w:uiPriority w:val="0"/>
    <w:rPr>
      <w:rFonts w:ascii="Times New Roman" w:hAnsi="Times New Roman" w:eastAsia="宋体" w:cs="Times New Roman"/>
    </w:rPr>
  </w:style>
  <w:style w:type="character" w:customStyle="1" w:styleId="87">
    <w:name w:val="bds_nopic1"/>
    <w:qFormat/>
    <w:uiPriority w:val="0"/>
    <w:rPr>
      <w:rFonts w:ascii="Times New Roman" w:hAnsi="Times New Roman" w:eastAsia="宋体" w:cs="Times New Roman"/>
    </w:rPr>
  </w:style>
  <w:style w:type="character" w:customStyle="1" w:styleId="88">
    <w:name w:val="layui-this"/>
    <w:autoRedefine/>
    <w:qFormat/>
    <w:uiPriority w:val="0"/>
    <w:rPr>
      <w:rFonts w:ascii="Times New Roman" w:hAnsi="Times New Roman" w:eastAsia="宋体" w:cs="Times New Roman"/>
      <w:bdr w:val="single" w:color="EEEEEE" w:sz="6" w:space="0"/>
      <w:shd w:val="clear" w:color="auto" w:fill="FFFFFF"/>
    </w:rPr>
  </w:style>
  <w:style w:type="character" w:customStyle="1" w:styleId="89">
    <w:name w:val="font81"/>
    <w:autoRedefine/>
    <w:qFormat/>
    <w:uiPriority w:val="0"/>
    <w:rPr>
      <w:rFonts w:ascii="Arial Unicode MS" w:hAnsi="Arial Unicode MS" w:eastAsia="Arial Unicode MS" w:cs="Arial Unicode MS"/>
      <w:color w:val="000000"/>
      <w:sz w:val="18"/>
      <w:szCs w:val="18"/>
      <w:u w:val="none"/>
    </w:rPr>
  </w:style>
  <w:style w:type="character" w:customStyle="1" w:styleId="90">
    <w:name w:val="apple-converted-space"/>
    <w:autoRedefine/>
    <w:qFormat/>
    <w:uiPriority w:val="0"/>
    <w:rPr>
      <w:rFonts w:ascii="Times New Roman" w:hAnsi="Times New Roman" w:eastAsia="宋体" w:cs="Times New Roman"/>
    </w:rPr>
  </w:style>
  <w:style w:type="character" w:customStyle="1" w:styleId="91">
    <w:name w:val="displayarti"/>
    <w:autoRedefine/>
    <w:qFormat/>
    <w:uiPriority w:val="0"/>
    <w:rPr>
      <w:rFonts w:ascii="Times New Roman" w:hAnsi="Times New Roman" w:eastAsia="宋体" w:cs="Times New Roman"/>
      <w:color w:val="FFFFFF"/>
      <w:shd w:val="clear" w:color="auto" w:fill="A00000"/>
    </w:rPr>
  </w:style>
  <w:style w:type="character" w:customStyle="1" w:styleId="92">
    <w:name w:val="font131"/>
    <w:autoRedefine/>
    <w:qFormat/>
    <w:uiPriority w:val="0"/>
    <w:rPr>
      <w:rFonts w:hint="eastAsia" w:ascii="宋体" w:hAnsi="宋体" w:eastAsia="宋体" w:cs="宋体"/>
      <w:b/>
      <w:bCs/>
      <w:color w:val="000000"/>
      <w:sz w:val="20"/>
      <w:szCs w:val="20"/>
      <w:u w:val="none"/>
    </w:rPr>
  </w:style>
  <w:style w:type="character" w:customStyle="1" w:styleId="93">
    <w:name w:val="bds_more2"/>
    <w:autoRedefine/>
    <w:qFormat/>
    <w:uiPriority w:val="0"/>
    <w:rPr>
      <w:rFonts w:ascii="Times New Roman" w:hAnsi="Times New Roman" w:eastAsia="宋体" w:cs="Times New Roman"/>
    </w:rPr>
  </w:style>
  <w:style w:type="character" w:customStyle="1" w:styleId="94">
    <w:name w:val="bds_more"/>
    <w:autoRedefine/>
    <w:qFormat/>
    <w:uiPriority w:val="0"/>
    <w:rPr>
      <w:rFonts w:hint="eastAsia" w:ascii="宋体" w:hAnsi="宋体" w:eastAsia="宋体" w:cs="宋体"/>
    </w:rPr>
  </w:style>
  <w:style w:type="paragraph" w:customStyle="1" w:styleId="95">
    <w:name w:val=" Char Char Char Char"/>
    <w:basedOn w:val="1"/>
    <w:autoRedefine/>
    <w:qFormat/>
    <w:uiPriority w:val="0"/>
    <w:rPr>
      <w:rFonts w:ascii="Tahoma" w:hAnsi="Tahoma" w:eastAsia="宋体" w:cs="Times New Roman"/>
      <w:sz w:val="24"/>
      <w:szCs w:val="20"/>
    </w:rPr>
  </w:style>
  <w:style w:type="paragraph" w:customStyle="1" w:styleId="96">
    <w:name w:val="标题4"/>
    <w:basedOn w:val="1"/>
    <w:autoRedefine/>
    <w:qFormat/>
    <w:uiPriority w:val="0"/>
    <w:pPr>
      <w:numPr>
        <w:ilvl w:val="0"/>
        <w:numId w:val="5"/>
      </w:numPr>
      <w:spacing w:line="360" w:lineRule="auto"/>
      <w:ind w:left="720" w:leftChars="300"/>
      <w:jc w:val="left"/>
    </w:pPr>
    <w:rPr>
      <w:rFonts w:ascii="宋体" w:hAnsi="宋体" w:eastAsia="宋体" w:cs="Times New Roman"/>
      <w:sz w:val="18"/>
      <w:szCs w:val="18"/>
    </w:rPr>
  </w:style>
  <w:style w:type="paragraph" w:customStyle="1" w:styleId="97">
    <w:name w:val="Table Paragraph"/>
    <w:basedOn w:val="1"/>
    <w:autoRedefine/>
    <w:qFormat/>
    <w:uiPriority w:val="0"/>
    <w:rPr>
      <w:rFonts w:ascii="宋体" w:hAnsi="宋体" w:eastAsia="宋体" w:cs="宋体"/>
      <w:lang w:val="zh-CN" w:eastAsia="zh-CN" w:bidi="zh-CN"/>
    </w:rPr>
  </w:style>
  <w:style w:type="paragraph" w:customStyle="1" w:styleId="98">
    <w:name w:val="p0"/>
    <w:basedOn w:val="1"/>
    <w:autoRedefine/>
    <w:qFormat/>
    <w:uiPriority w:val="0"/>
    <w:pPr>
      <w:widowControl/>
      <w:spacing w:line="365" w:lineRule="atLeast"/>
      <w:ind w:left="1"/>
      <w:textAlignment w:val="bottom"/>
    </w:pPr>
    <w:rPr>
      <w:rFonts w:ascii="Calibri" w:hAnsi="Calibri" w:eastAsia="宋体" w:cs="Times New Roman"/>
      <w:kern w:val="0"/>
      <w:sz w:val="20"/>
      <w:szCs w:val="22"/>
    </w:rPr>
  </w:style>
  <w:style w:type="paragraph" w:customStyle="1" w:styleId="99">
    <w:name w:val="正文 New"/>
    <w:next w:val="100"/>
    <w:autoRedefine/>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100">
    <w:name w:val="正文缩进1"/>
    <w:basedOn w:val="1"/>
    <w:next w:val="15"/>
    <w:autoRedefine/>
    <w:qFormat/>
    <w:uiPriority w:val="0"/>
    <w:pPr>
      <w:widowControl w:val="0"/>
      <w:autoSpaceDE/>
      <w:autoSpaceDN/>
      <w:spacing w:before="0" w:beforeLines="0" w:after="0" w:afterLines="0" w:line="360" w:lineRule="atLeast"/>
      <w:ind w:left="0" w:firstLine="482"/>
      <w:jc w:val="both"/>
    </w:pPr>
    <w:rPr>
      <w:rFonts w:ascii="Times New Roman" w:hAnsi="Times New Roman" w:eastAsia="宋体" w:cs="Times New Roman"/>
      <w:sz w:val="24"/>
    </w:rPr>
  </w:style>
  <w:style w:type="paragraph" w:customStyle="1" w:styleId="101">
    <w:name w:val="Char Char Char Char Char Char Char1 Char"/>
    <w:basedOn w:val="1"/>
    <w:autoRedefine/>
    <w:qFormat/>
    <w:uiPriority w:val="0"/>
    <w:rPr>
      <w:rFonts w:ascii="Tahoma" w:hAnsi="Tahoma" w:eastAsia="宋体" w:cs="Times New Roman"/>
      <w:sz w:val="24"/>
      <w:szCs w:val="20"/>
    </w:rPr>
  </w:style>
  <w:style w:type="paragraph" w:customStyle="1" w:styleId="102">
    <w:name w:val=" Char"/>
    <w:basedOn w:val="1"/>
    <w:autoRedefine/>
    <w:qFormat/>
    <w:uiPriority w:val="0"/>
    <w:rPr>
      <w:rFonts w:ascii="Times New Roman" w:hAnsi="Times New Roman" w:eastAsia="宋体" w:cs="Times New Roman"/>
    </w:rPr>
  </w:style>
  <w:style w:type="paragraph" w:customStyle="1" w:styleId="103">
    <w:name w:val="（无样式）"/>
    <w:basedOn w:val="1"/>
    <w:autoRedefine/>
    <w:qFormat/>
    <w:uiPriority w:val="0"/>
    <w:pPr>
      <w:widowControl/>
      <w:numPr>
        <w:ilvl w:val="0"/>
        <w:numId w:val="6"/>
      </w:numPr>
      <w:spacing w:line="360" w:lineRule="auto"/>
      <w:ind w:firstLine="0"/>
    </w:pPr>
    <w:rPr>
      <w:rFonts w:ascii="Times New Roman" w:hAnsi="Times New Roman" w:eastAsia="宋体" w:cs="Times New Roman"/>
      <w:sz w:val="24"/>
      <w:szCs w:val="20"/>
    </w:rPr>
  </w:style>
  <w:style w:type="paragraph" w:customStyle="1" w:styleId="104">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customStyle="1" w:styleId="105">
    <w:name w:val="节标题"/>
    <w:basedOn w:val="1"/>
    <w:next w:val="1"/>
    <w:autoRedefine/>
    <w:qFormat/>
    <w:uiPriority w:val="0"/>
    <w:pPr>
      <w:widowControl/>
      <w:spacing w:line="289" w:lineRule="atLeast"/>
      <w:jc w:val="center"/>
      <w:textAlignment w:val="baseline"/>
    </w:pPr>
    <w:rPr>
      <w:rFonts w:ascii="Times New Roman" w:hAnsi="Times New Roman" w:eastAsia="宋体" w:cs="Times New Roman"/>
      <w:color w:val="000000"/>
      <w:kern w:val="0"/>
      <w:sz w:val="28"/>
      <w:szCs w:val="20"/>
      <w:u w:val="none" w:color="000000"/>
    </w:rPr>
  </w:style>
  <w:style w:type="paragraph" w:customStyle="1" w:styleId="106">
    <w:name w:val="_Style 102"/>
    <w:qFormat/>
    <w:uiPriority w:val="0"/>
    <w:rPr>
      <w:rFonts w:ascii="Times New Roman" w:hAnsi="Times New Roman" w:eastAsia="宋体" w:cs="Times New Roman"/>
      <w:kern w:val="2"/>
      <w:sz w:val="21"/>
      <w:szCs w:val="24"/>
      <w:lang w:val="en-US" w:eastAsia="zh-CN" w:bidi="ar-SA"/>
    </w:rPr>
  </w:style>
  <w:style w:type="paragraph" w:customStyle="1" w:styleId="107">
    <w:name w:val="Char"/>
    <w:basedOn w:val="1"/>
    <w:next w:val="1"/>
    <w:autoRedefine/>
    <w:qFormat/>
    <w:uiPriority w:val="0"/>
    <w:pPr>
      <w:widowControl/>
      <w:spacing w:line="360" w:lineRule="auto"/>
      <w:jc w:val="left"/>
    </w:pPr>
    <w:rPr>
      <w:rFonts w:ascii="Times New Roman" w:hAnsi="Times New Roman" w:eastAsia="宋体" w:cs="Times New Roman"/>
      <w:kern w:val="0"/>
      <w:szCs w:val="20"/>
      <w:lang w:eastAsia="en-US"/>
    </w:rPr>
  </w:style>
  <w:style w:type="paragraph" w:customStyle="1" w:styleId="108">
    <w:name w:val="_Style 2"/>
    <w:basedOn w:val="1"/>
    <w:autoRedefine/>
    <w:qFormat/>
    <w:uiPriority w:val="0"/>
    <w:rPr>
      <w:rFonts w:ascii="Times New Roman" w:hAnsi="Times New Roman" w:eastAsia="宋体" w:cs="Times New Roman"/>
    </w:rPr>
  </w:style>
  <w:style w:type="paragraph" w:customStyle="1" w:styleId="109">
    <w:name w:val="列出段落2"/>
    <w:basedOn w:val="1"/>
    <w:autoRedefine/>
    <w:qFormat/>
    <w:uiPriority w:val="0"/>
    <w:pPr>
      <w:ind w:firstLine="420" w:firstLineChars="200"/>
    </w:pPr>
    <w:rPr>
      <w:rFonts w:ascii="Calibri" w:hAnsi="Calibri" w:eastAsia="宋体" w:cs="Times New Roman"/>
      <w:szCs w:val="22"/>
    </w:rPr>
  </w:style>
  <w:style w:type="paragraph" w:customStyle="1" w:styleId="110">
    <w:name w:val="*正文"/>
    <w:basedOn w:val="1"/>
    <w:autoRedefine/>
    <w:qFormat/>
    <w:uiPriority w:val="0"/>
    <w:pPr>
      <w:widowControl/>
      <w:snapToGrid w:val="0"/>
      <w:ind w:firstLine="560"/>
      <w:jc w:val="left"/>
    </w:pPr>
    <w:rPr>
      <w:rFonts w:ascii="仿宋_GB2312" w:hAnsi="Times New Roman" w:eastAsia="宋体" w:cs="Times New Roman"/>
      <w:color w:val="191919"/>
      <w:sz w:val="28"/>
      <w:szCs w:val="28"/>
    </w:rPr>
  </w:style>
  <w:style w:type="paragraph" w:customStyle="1" w:styleId="111">
    <w:name w:val="列出段落1"/>
    <w:basedOn w:val="1"/>
    <w:autoRedefine/>
    <w:qFormat/>
    <w:uiPriority w:val="0"/>
    <w:pPr>
      <w:ind w:firstLine="420" w:firstLineChars="200"/>
    </w:pPr>
    <w:rPr>
      <w:rFonts w:ascii="Times New Roman" w:hAnsi="Times New Roman" w:eastAsia="宋体" w:cs="Times New Roman"/>
    </w:rPr>
  </w:style>
  <w:style w:type="paragraph" w:customStyle="1" w:styleId="112">
    <w:name w:val="HtmlNormal"/>
    <w:basedOn w:val="1"/>
    <w:autoRedefine/>
    <w:qFormat/>
    <w:uiPriority w:val="0"/>
    <w:pPr>
      <w:widowControl/>
      <w:spacing w:before="100" w:beforeLines="0" w:beforeAutospacing="1" w:after="100" w:afterLines="0" w:afterAutospacing="1"/>
      <w:jc w:val="left"/>
    </w:pPr>
    <w:rPr>
      <w:rFonts w:ascii="宋体" w:hAnsi="宋体" w:eastAsia="宋体" w:cs="Times New Roman"/>
      <w:kern w:val="0"/>
      <w:sz w:val="24"/>
    </w:rPr>
  </w:style>
  <w:style w:type="paragraph" w:styleId="113">
    <w:name w:val="List Paragraph"/>
    <w:basedOn w:val="1"/>
    <w:autoRedefine/>
    <w:qFormat/>
    <w:uiPriority w:val="0"/>
    <w:pPr>
      <w:spacing w:line="360" w:lineRule="auto"/>
      <w:ind w:firstLine="420" w:firstLineChars="200"/>
    </w:pPr>
    <w:rPr>
      <w:rFonts w:ascii="宋体" w:hAnsi="宋体" w:eastAsia="宋体" w:cs="宋体"/>
      <w:sz w:val="24"/>
    </w:rPr>
  </w:style>
  <w:style w:type="paragraph" w:customStyle="1" w:styleId="114">
    <w:name w:val="列出段落11"/>
    <w:basedOn w:val="1"/>
    <w:autoRedefine/>
    <w:qFormat/>
    <w:uiPriority w:val="0"/>
    <w:pPr>
      <w:spacing w:after="120" w:afterLines="0" w:line="360" w:lineRule="auto"/>
      <w:ind w:firstLine="420" w:firstLineChars="200"/>
    </w:pPr>
    <w:rPr>
      <w:rFonts w:ascii="Calibri" w:hAnsi="Calibri" w:eastAsia="宋体" w:cs="Times New Roman"/>
      <w:szCs w:val="22"/>
    </w:rPr>
  </w:style>
  <w:style w:type="paragraph" w:customStyle="1" w:styleId="115">
    <w:name w:val="_Style 4"/>
    <w:basedOn w:val="1"/>
    <w:autoRedefine/>
    <w:qFormat/>
    <w:uiPriority w:val="0"/>
    <w:pPr>
      <w:adjustRightInd w:val="0"/>
      <w:ind w:firstLine="420" w:firstLineChars="200"/>
      <w:jc w:val="left"/>
      <w:textAlignment w:val="baseline"/>
    </w:pPr>
    <w:rPr>
      <w:rFonts w:ascii="Times New Roman" w:hAnsi="Times New Roman" w:eastAsia="宋体" w:cs="Times New Roman"/>
      <w:kern w:val="0"/>
      <w:szCs w:val="20"/>
    </w:rPr>
  </w:style>
  <w:style w:type="paragraph" w:customStyle="1" w:styleId="116">
    <w:name w:val="List Paragraph2"/>
    <w:basedOn w:val="1"/>
    <w:autoRedefine/>
    <w:qFormat/>
    <w:uiPriority w:val="0"/>
    <w:pPr>
      <w:spacing w:line="360" w:lineRule="auto"/>
      <w:ind w:firstLine="420"/>
    </w:pPr>
    <w:rPr>
      <w:rFonts w:ascii="Times New Roman" w:hAnsi="Times New Roman" w:eastAsia="宋体" w:cs="Times New Roman"/>
      <w:color w:val="000000"/>
      <w:sz w:val="24"/>
      <w:szCs w:val="21"/>
    </w:rPr>
  </w:style>
  <w:style w:type="paragraph" w:customStyle="1" w:styleId="117">
    <w:name w:val="样式1"/>
    <w:basedOn w:val="1"/>
    <w:autoRedefine/>
    <w:qFormat/>
    <w:uiPriority w:val="0"/>
    <w:pPr>
      <w:spacing w:line="360" w:lineRule="auto"/>
      <w:jc w:val="center"/>
    </w:pPr>
    <w:rPr>
      <w:rFonts w:ascii="Times New Roman" w:hAnsi="Times New Roman" w:eastAsia="宋体" w:cs="Times New Roman"/>
      <w:b/>
      <w:sz w:val="30"/>
      <w:szCs w:val="30"/>
    </w:rPr>
  </w:style>
  <w:style w:type="paragraph" w:customStyle="1" w:styleId="118">
    <w:name w:val="列表2"/>
    <w:basedOn w:val="1"/>
    <w:next w:val="1"/>
    <w:autoRedefine/>
    <w:qFormat/>
    <w:uiPriority w:val="0"/>
    <w:pPr>
      <w:numPr>
        <w:ilvl w:val="0"/>
        <w:numId w:val="7"/>
      </w:numPr>
      <w:spacing w:line="200" w:lineRule="atLeast"/>
    </w:pPr>
    <w:rPr>
      <w:rFonts w:ascii="Times New Roman" w:hAnsi="Times New Roman" w:eastAsia="仿宋" w:cs="Times New Roman"/>
      <w:sz w:val="28"/>
    </w:rPr>
  </w:style>
  <w:style w:type="paragraph" w:customStyle="1" w:styleId="119">
    <w:name w:val="标题3-副本"/>
    <w:basedOn w:val="26"/>
    <w:autoRedefine/>
    <w:qFormat/>
    <w:uiPriority w:val="0"/>
    <w:pPr>
      <w:numPr>
        <w:ilvl w:val="0"/>
        <w:numId w:val="0"/>
      </w:numPr>
      <w:ind w:left="840"/>
    </w:pPr>
    <w:rPr>
      <w:rFonts w:ascii="Times New Roman" w:hAnsi="Times New Roman" w:eastAsia="宋体" w:cs="Times New Roman"/>
    </w:rPr>
  </w:style>
  <w:style w:type="paragraph" w:customStyle="1" w:styleId="120">
    <w:name w:val="_Style 117"/>
    <w:basedOn w:val="1"/>
    <w:next w:val="1"/>
    <w:autoRedefine/>
    <w:qFormat/>
    <w:uiPriority w:val="0"/>
    <w:pPr>
      <w:pBdr>
        <w:bottom w:val="single" w:color="auto" w:sz="6" w:space="1"/>
      </w:pBdr>
      <w:jc w:val="center"/>
    </w:pPr>
    <w:rPr>
      <w:rFonts w:ascii="Arial" w:eastAsia="宋体"/>
      <w:vanish/>
      <w:sz w:val="16"/>
    </w:rPr>
  </w:style>
  <w:style w:type="paragraph" w:customStyle="1" w:styleId="121">
    <w:name w:val="_Style 118"/>
    <w:basedOn w:val="1"/>
    <w:next w:val="1"/>
    <w:autoRedefine/>
    <w:qFormat/>
    <w:uiPriority w:val="0"/>
    <w:pPr>
      <w:pBdr>
        <w:top w:val="single" w:color="auto" w:sz="6" w:space="1"/>
      </w:pBdr>
      <w:jc w:val="center"/>
    </w:pPr>
    <w:rPr>
      <w:rFonts w:ascii="Arial" w:eastAsia="宋体"/>
      <w:vanish/>
      <w:sz w:val="16"/>
    </w:rPr>
  </w:style>
  <w:style w:type="paragraph" w:customStyle="1" w:styleId="122">
    <w:name w:val="无间隔1"/>
    <w:basedOn w:val="1"/>
    <w:autoRedefine/>
    <w:qFormat/>
    <w:uiPriority w:val="0"/>
    <w:pPr>
      <w:widowControl/>
      <w:adjustRightInd w:val="0"/>
      <w:snapToGrid w:val="0"/>
      <w:jc w:val="left"/>
    </w:pPr>
    <w:rPr>
      <w:rFonts w:ascii="Tahoma" w:hAnsi="Tahoma" w:eastAsia="微软雅黑" w:cs="Times New Roman"/>
      <w:kern w:val="0"/>
      <w:sz w:val="24"/>
      <w:szCs w:val="22"/>
    </w:rPr>
  </w:style>
  <w:style w:type="paragraph" w:customStyle="1" w:styleId="123">
    <w:name w:val="text-tag1"/>
    <w:basedOn w:val="1"/>
    <w:autoRedefine/>
    <w:qFormat/>
    <w:uiPriority w:val="0"/>
    <w:pPr>
      <w:widowControl/>
      <w:spacing w:before="100" w:beforeAutospacing="1" w:after="100" w:afterAutospacing="1"/>
      <w:jc w:val="left"/>
    </w:pPr>
    <w:rPr>
      <w:rFonts w:ascii="宋体" w:hAnsi="宋体" w:eastAsia="宋体" w:cs="宋体"/>
      <w:kern w:val="0"/>
      <w:sz w:val="24"/>
    </w:rPr>
  </w:style>
  <w:style w:type="character" w:customStyle="1" w:styleId="124">
    <w:name w:val="font11"/>
    <w:basedOn w:val="37"/>
    <w:autoRedefine/>
    <w:qFormat/>
    <w:uiPriority w:val="0"/>
    <w:rPr>
      <w:rFonts w:hint="eastAsia" w:ascii="宋体" w:hAnsi="宋体" w:eastAsia="宋体" w:cs="宋体"/>
      <w:color w:val="000000"/>
      <w:sz w:val="16"/>
      <w:szCs w:val="16"/>
      <w:u w:val="none"/>
    </w:rPr>
  </w:style>
  <w:style w:type="character" w:customStyle="1" w:styleId="125">
    <w:name w:val="font31"/>
    <w:basedOn w:val="37"/>
    <w:autoRedefine/>
    <w:qFormat/>
    <w:uiPriority w:val="0"/>
    <w:rPr>
      <w:rFonts w:ascii="宋体" w:hAnsi="宋体" w:eastAsia="宋体" w:cs="宋体"/>
      <w:color w:val="000000"/>
      <w:sz w:val="16"/>
      <w:szCs w:val="16"/>
      <w:u w:val="none"/>
    </w:rPr>
  </w:style>
  <w:style w:type="character" w:customStyle="1" w:styleId="126">
    <w:name w:val="font41"/>
    <w:basedOn w:val="37"/>
    <w:autoRedefine/>
    <w:qFormat/>
    <w:uiPriority w:val="0"/>
    <w:rPr>
      <w:rFonts w:hint="eastAsia" w:ascii="宋体" w:hAnsi="宋体" w:eastAsia="宋体" w:cs="宋体"/>
      <w:color w:val="000000"/>
      <w:sz w:val="21"/>
      <w:szCs w:val="21"/>
      <w:u w:val="none"/>
    </w:rPr>
  </w:style>
  <w:style w:type="character" w:customStyle="1" w:styleId="127">
    <w:name w:val="font01"/>
    <w:basedOn w:val="37"/>
    <w:autoRedefine/>
    <w:qFormat/>
    <w:uiPriority w:val="0"/>
    <w:rPr>
      <w:rFonts w:hint="eastAsia" w:ascii="宋体" w:hAnsi="宋体" w:eastAsia="宋体" w:cs="宋体"/>
      <w:color w:val="000000"/>
      <w:sz w:val="22"/>
      <w:szCs w:val="22"/>
      <w:u w:val="none"/>
    </w:rPr>
  </w:style>
  <w:style w:type="character" w:customStyle="1" w:styleId="128">
    <w:name w:val="hover"/>
    <w:basedOn w:val="37"/>
    <w:autoRedefine/>
    <w:qFormat/>
    <w:uiPriority w:val="0"/>
    <w:rPr>
      <w:color w:val="2590EB"/>
    </w:rPr>
  </w:style>
  <w:style w:type="character" w:customStyle="1" w:styleId="129">
    <w:name w:val="hover1"/>
    <w:basedOn w:val="37"/>
    <w:autoRedefine/>
    <w:qFormat/>
    <w:uiPriority w:val="0"/>
    <w:rPr>
      <w:color w:val="2590EB"/>
    </w:rPr>
  </w:style>
  <w:style w:type="character" w:customStyle="1" w:styleId="130">
    <w:name w:val="hover2"/>
    <w:basedOn w:val="37"/>
    <w:autoRedefine/>
    <w:qFormat/>
    <w:uiPriority w:val="0"/>
  </w:style>
  <w:style w:type="character" w:customStyle="1" w:styleId="131">
    <w:name w:val="hover3"/>
    <w:basedOn w:val="37"/>
    <w:autoRedefine/>
    <w:qFormat/>
    <w:uiPriority w:val="0"/>
    <w:rPr>
      <w:color w:val="2590EB"/>
      <w:shd w:val="clear" w:fill="E9F4FD"/>
    </w:rPr>
  </w:style>
  <w:style w:type="character" w:customStyle="1" w:styleId="132">
    <w:name w:val="hover4"/>
    <w:basedOn w:val="37"/>
    <w:autoRedefine/>
    <w:qFormat/>
    <w:uiPriority w:val="0"/>
    <w:rPr>
      <w:color w:val="2590EB"/>
      <w:shd w:val="clear" w:fill="E9F4FD"/>
    </w:rPr>
  </w:style>
  <w:style w:type="paragraph" w:customStyle="1" w:styleId="133">
    <w:name w:val="无列表1"/>
    <w:autoRedefine/>
    <w:semiHidden/>
    <w:qFormat/>
    <w:uiPriority w:val="0"/>
    <w:rPr>
      <w:rFonts w:ascii="Times New Roman" w:hAnsi="Times New Roman" w:eastAsia="宋体" w:cs="Times New Roman"/>
      <w:sz w:val="21"/>
      <w:szCs w:val="22"/>
      <w:lang w:val="en-US" w:eastAsia="zh-CN" w:bidi="ar-SA"/>
    </w:rPr>
  </w:style>
  <w:style w:type="paragraph" w:customStyle="1" w:styleId="134">
    <w:name w:val="列表段落1"/>
    <w:basedOn w:val="1"/>
    <w:autoRedefine/>
    <w:qFormat/>
    <w:uiPriority w:val="34"/>
    <w:pPr>
      <w:widowControl w:val="0"/>
      <w:spacing w:before="0" w:after="0"/>
      <w:ind w:firstLine="420" w:firstLineChars="200"/>
    </w:pPr>
    <w:rPr>
      <w:kern w:val="2"/>
      <w:sz w:val="21"/>
      <w:lang w:eastAsia="zh-CN"/>
    </w:rPr>
  </w:style>
  <w:style w:type="paragraph" w:customStyle="1" w:styleId="135">
    <w:name w:val="xl25"/>
    <w:basedOn w:val="1"/>
    <w:autoRedefine/>
    <w:qFormat/>
    <w:uiPriority w:val="0"/>
    <w:pPr>
      <w:widowControl/>
      <w:spacing w:before="100" w:beforeAutospacing="1" w:after="100" w:afterAutospacing="1"/>
      <w:jc w:val="right"/>
    </w:pPr>
    <w:rPr>
      <w:rFonts w:ascii="Arial Unicode MS" w:hAnsi="Arial Unicode MS" w:eastAsia="宋体" w:cs="Arial Unicode MS"/>
      <w:color w:val="000000"/>
      <w:kern w:val="0"/>
      <w:sz w:val="18"/>
      <w:szCs w:val="18"/>
    </w:rPr>
  </w:style>
  <w:style w:type="paragraph" w:customStyle="1" w:styleId="136">
    <w:name w:val="协议书标题2"/>
    <w:basedOn w:val="6"/>
    <w:next w:val="1"/>
    <w:autoRedefine/>
    <w:qFormat/>
    <w:uiPriority w:val="0"/>
    <w:pPr>
      <w:keepNext w:val="0"/>
      <w:keepLines w:val="0"/>
      <w:tabs>
        <w:tab w:val="left" w:pos="567"/>
      </w:tabs>
      <w:spacing w:line="360" w:lineRule="auto"/>
      <w:ind w:left="425"/>
      <w:jc w:val="left"/>
    </w:pPr>
    <w:rPr>
      <w:rFonts w:ascii="宋体" w:hAnsi="宋体" w:eastAsia="宋体"/>
      <w:sz w:val="24"/>
    </w:rPr>
  </w:style>
  <w:style w:type="table" w:customStyle="1" w:styleId="137">
    <w:name w:val="Table Normal"/>
    <w:autoRedefine/>
    <w:semiHidden/>
    <w:unhideWhenUsed/>
    <w:qFormat/>
    <w:uiPriority w:val="2"/>
    <w:tblPr>
      <w:tblCellMar>
        <w:top w:w="0" w:type="dxa"/>
        <w:left w:w="0" w:type="dxa"/>
        <w:bottom w:w="0" w:type="dxa"/>
        <w:right w:w="0" w:type="dxa"/>
      </w:tblCellMar>
    </w:tblPr>
  </w:style>
  <w:style w:type="character" w:customStyle="1" w:styleId="138">
    <w:name w:val="c-icon"/>
    <w:basedOn w:val="37"/>
    <w:autoRedefine/>
    <w:qFormat/>
    <w:uiPriority w:val="0"/>
  </w:style>
  <w:style w:type="character" w:customStyle="1" w:styleId="139">
    <w:name w:val="hover24"/>
    <w:basedOn w:val="37"/>
    <w:autoRedefine/>
    <w:qFormat/>
    <w:uiPriority w:val="0"/>
    <w:rPr>
      <w:color w:val="315EFB"/>
    </w:rPr>
  </w:style>
  <w:style w:type="character" w:customStyle="1" w:styleId="140">
    <w:name w:val="hover25"/>
    <w:basedOn w:val="37"/>
    <w:autoRedefine/>
    <w:qFormat/>
    <w:uiPriority w:val="0"/>
    <w:rPr>
      <w:color w:val="315EFB"/>
    </w:rPr>
  </w:style>
  <w:style w:type="character" w:customStyle="1" w:styleId="141">
    <w:name w:val="hover26"/>
    <w:basedOn w:val="37"/>
    <w:autoRedefine/>
    <w:qFormat/>
    <w:uiPriority w:val="0"/>
  </w:style>
  <w:style w:type="character" w:customStyle="1" w:styleId="142">
    <w:name w:val="hover22"/>
    <w:basedOn w:val="37"/>
    <w:autoRedefine/>
    <w:qFormat/>
    <w:uiPriority w:val="0"/>
    <w:rPr>
      <w:color w:val="315EFB"/>
    </w:rPr>
  </w:style>
  <w:style w:type="character" w:customStyle="1" w:styleId="143">
    <w:name w:val="hover23"/>
    <w:basedOn w:val="37"/>
    <w:autoRedefine/>
    <w:qFormat/>
    <w:uiPriority w:val="0"/>
  </w:style>
  <w:style w:type="character" w:customStyle="1" w:styleId="144">
    <w:name w:val="c-icon28"/>
    <w:basedOn w:val="37"/>
    <w:autoRedefine/>
    <w:qFormat/>
    <w:uiPriority w:val="0"/>
  </w:style>
  <w:style w:type="paragraph" w:customStyle="1" w:styleId="145">
    <w:name w:val="Char Char Char Char Char Char"/>
    <w:basedOn w:val="1"/>
    <w:autoRedefine/>
    <w:qFormat/>
    <w:uiPriority w:val="0"/>
  </w:style>
  <w:style w:type="paragraph" w:customStyle="1" w:styleId="146">
    <w:name w:val="_Style 40"/>
    <w:basedOn w:val="1"/>
    <w:next w:val="113"/>
    <w:autoRedefine/>
    <w:qFormat/>
    <w:uiPriority w:val="34"/>
    <w:pPr>
      <w:ind w:firstLine="420" w:firstLineChars="200"/>
    </w:pPr>
    <w:rPr>
      <w:szCs w:val="22"/>
    </w:rPr>
  </w:style>
  <w:style w:type="paragraph" w:customStyle="1" w:styleId="147">
    <w:name w:val="AutoCorrect"/>
    <w:autoRedefine/>
    <w:qFormat/>
    <w:uiPriority w:val="0"/>
    <w:pPr>
      <w:widowControl w:val="0"/>
    </w:pPr>
    <w:rPr>
      <w:rFonts w:ascii="Times New Roman" w:hAnsi="Times New Roman" w:eastAsia="PMingLiU" w:cs="Times New Roman"/>
      <w:kern w:val="2"/>
      <w:sz w:val="24"/>
      <w:lang w:val="en-US" w:eastAsia="zh-TW" w:bidi="ar-SA"/>
    </w:rPr>
  </w:style>
  <w:style w:type="paragraph" w:customStyle="1" w:styleId="148">
    <w:name w:val="样式"/>
    <w:autoRedefine/>
    <w:qFormat/>
    <w:uiPriority w:val="0"/>
    <w:pPr>
      <w:widowControl w:val="0"/>
      <w:autoSpaceDE w:val="0"/>
      <w:autoSpaceDN w:val="0"/>
      <w:adjustRightInd w:val="0"/>
    </w:pPr>
    <w:rPr>
      <w:rFonts w:ascii="宋体" w:hAnsi="Calibri" w:eastAsia="宋体" w:cs="宋体"/>
      <w:sz w:val="24"/>
      <w:szCs w:val="24"/>
      <w:lang w:val="en-US" w:eastAsia="zh-CN" w:bidi="ar-SA"/>
    </w:rPr>
  </w:style>
  <w:style w:type="character" w:customStyle="1" w:styleId="149">
    <w:name w:val="before"/>
    <w:basedOn w:val="37"/>
    <w:autoRedefine/>
    <w:qFormat/>
    <w:uiPriority w:val="0"/>
    <w:rPr>
      <w:shd w:val="clear" w:fill="E22323"/>
    </w:rPr>
  </w:style>
  <w:style w:type="character" w:customStyle="1" w:styleId="150">
    <w:name w:val="active2"/>
    <w:basedOn w:val="37"/>
    <w:autoRedefine/>
    <w:qFormat/>
    <w:uiPriority w:val="0"/>
    <w:rPr>
      <w:color w:val="FFFFFF"/>
      <w:shd w:val="clear" w:fill="E22323"/>
    </w:rPr>
  </w:style>
  <w:style w:type="character" w:customStyle="1" w:styleId="151">
    <w:name w:val="margin_right202"/>
    <w:basedOn w:val="37"/>
    <w:autoRedefine/>
    <w:qFormat/>
    <w:uiPriority w:val="0"/>
  </w:style>
  <w:style w:type="character" w:customStyle="1" w:styleId="152">
    <w:name w:val="margin_right20"/>
    <w:basedOn w:val="37"/>
    <w:autoRedefine/>
    <w:qFormat/>
    <w:uiPriority w:val="0"/>
  </w:style>
  <w:style w:type="character" w:customStyle="1" w:styleId="153">
    <w:name w:val="hover5"/>
    <w:basedOn w:val="37"/>
    <w:autoRedefine/>
    <w:qFormat/>
    <w:uiPriority w:val="0"/>
    <w:rPr>
      <w:color w:val="0063BA"/>
    </w:rPr>
  </w:style>
  <w:style w:type="character" w:customStyle="1" w:styleId="154">
    <w:name w:val="active5"/>
    <w:basedOn w:val="37"/>
    <w:autoRedefine/>
    <w:qFormat/>
    <w:uiPriority w:val="0"/>
    <w:rPr>
      <w:color w:val="FFFFFF"/>
      <w:shd w:val="clear" w:fill="E22323"/>
    </w:rPr>
  </w:style>
  <w:style w:type="paragraph" w:customStyle="1" w:styleId="155">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56">
    <w:name w:val="普通(网站) Char"/>
    <w:basedOn w:val="1"/>
    <w:autoRedefine/>
    <w:qFormat/>
    <w:uiPriority w:val="0"/>
    <w:pPr>
      <w:widowControl/>
      <w:spacing w:before="100" w:beforeAutospacing="1" w:after="100" w:afterAutospacing="1"/>
      <w:jc w:val="left"/>
    </w:pPr>
    <w:rPr>
      <w:kern w:val="0"/>
      <w:sz w:val="24"/>
    </w:rPr>
  </w:style>
  <w:style w:type="paragraph" w:customStyle="1" w:styleId="157">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77</Pages>
  <Words>80</Words>
  <Characters>98</Characters>
  <Lines>414</Lines>
  <Paragraphs>116</Paragraphs>
  <TotalTime>6</TotalTime>
  <ScaleCrop>false</ScaleCrop>
  <LinksUpToDate>false</LinksUpToDate>
  <CharactersWithSpaces>115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2022-04-22T03:46:00Z</dcterms:created>
  <dc:creator>陈倩倩</dc:creator>
  <cp:lastModifiedBy>代理</cp:lastModifiedBy>
  <cp:lastPrinted>2025-09-20T03:40:00Z</cp:lastPrinted>
  <dcterms:modified xsi:type="dcterms:W3CDTF">2025-09-30T09:09:07Z</dcterms:modified>
  <dc:title>滁州市人力资源和社会保障信息中心信息网络设备采购及安装项目</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1E4FE39AE40A457A91E8EB376730BE25_13</vt:lpwstr>
  </property>
  <property fmtid="{D5CDD505-2E9C-101B-9397-08002B2CF9AE}" pid="4" name="KSOTemplateDocerSaveRecord">
    <vt:lpwstr>eyJoZGlkIjoiOTc5MDNjMmIyODczM2YwMGZkZTNjYWY1NjIxZTY5YjciLCJ1c2VySWQiOiI1MDM3MjkwOTMifQ==</vt:lpwstr>
  </property>
</Properties>
</file>