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both"/>
        <w:rPr>
          <w:rFonts w:ascii="宋体" w:hAnsi="宋体" w:cs="宋体"/>
          <w:b/>
          <w:kern w:val="0"/>
          <w:sz w:val="44"/>
          <w:szCs w:val="44"/>
          <w:highlight w:val="none"/>
        </w:rPr>
      </w:pPr>
      <w:bookmarkStart w:id="0" w:name="_Toc324404811"/>
      <w:bookmarkStart w:id="1" w:name="_Toc506107265"/>
      <w:bookmarkStart w:id="2" w:name="_Toc15058843"/>
      <w:bookmarkStart w:id="3" w:name="_Toc296602400"/>
      <w:bookmarkStart w:id="4" w:name="_Toc247085669"/>
      <w:bookmarkStart w:id="5" w:name="_Toc461631222"/>
      <w:bookmarkStart w:id="6" w:name="_Toc246996898"/>
      <w:bookmarkStart w:id="7" w:name="OLE_LINK2"/>
      <w:bookmarkStart w:id="8" w:name="OLE_LINK4"/>
      <w:bookmarkStart w:id="9" w:name="OLE_LINK5"/>
      <w:bookmarkStart w:id="10" w:name="OLE_LINK1"/>
      <w:bookmarkStart w:id="11" w:name="OLE_LINK3"/>
    </w:p>
    <w:p w14:paraId="2A2621CC">
      <w:pPr>
        <w:pStyle w:val="14"/>
        <w:ind w:left="0" w:leftChars="0" w:firstLine="0" w:firstLineChars="0"/>
        <w:jc w:val="center"/>
        <w:rPr>
          <w:sz w:val="20"/>
          <w:szCs w:val="18"/>
          <w:highlight w:val="none"/>
        </w:rPr>
      </w:pPr>
      <w:r>
        <w:rPr>
          <w:rFonts w:hint="eastAsia" w:hAnsi="宋体" w:cs="宋体"/>
          <w:b/>
          <w:color w:val="auto"/>
          <w:kern w:val="0"/>
          <w:sz w:val="56"/>
          <w:szCs w:val="56"/>
          <w:highlight w:val="none"/>
          <w:lang w:eastAsia="zh-CN"/>
        </w:rPr>
        <w:t>滁宁城铁电客车高级修修程修制（控制性关键项点）研究服务项目</w:t>
      </w:r>
    </w:p>
    <w:p w14:paraId="6386BAEC">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4"/>
        <w:rPr>
          <w:color w:val="auto"/>
          <w:highlight w:val="none"/>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3BD0CE75">
      <w:pPr>
        <w:rPr>
          <w:color w:val="auto"/>
          <w:highlight w:val="none"/>
        </w:rPr>
      </w:pPr>
    </w:p>
    <w:p w14:paraId="57C971B3">
      <w:pPr>
        <w:pStyle w:val="14"/>
        <w:ind w:left="0" w:leftChars="0" w:firstLine="0" w:firstLineChars="0"/>
        <w:rPr>
          <w:highlight w:val="none"/>
        </w:rPr>
      </w:pPr>
    </w:p>
    <w:p w14:paraId="00CEC72B">
      <w:pPr>
        <w:rPr>
          <w:highlight w:val="none"/>
        </w:rPr>
      </w:pPr>
    </w:p>
    <w:p w14:paraId="0FB3EFCA">
      <w:pPr>
        <w:pStyle w:val="14"/>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sz w:val="30"/>
          <w:szCs w:val="30"/>
          <w:highlight w:val="none"/>
          <w:u w:val="single"/>
          <w:lang w:eastAsia="zh-CN"/>
        </w:rPr>
        <w:t>滁州市滁宁城际铁路开发建设有限公司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w:t>
      </w:r>
      <w:r>
        <w:rPr>
          <w:rFonts w:hint="eastAsia" w:ascii="宋体" w:hAnsi="宋体"/>
          <w:color w:val="auto"/>
          <w:sz w:val="30"/>
          <w:szCs w:val="30"/>
          <w:highlight w:val="none"/>
        </w:rPr>
        <w:t>月</w:t>
      </w:r>
    </w:p>
    <w:p w14:paraId="68344BF2">
      <w:pPr>
        <w:jc w:val="center"/>
        <w:rPr>
          <w:sz w:val="44"/>
          <w:szCs w:val="44"/>
          <w:highlight w:val="none"/>
        </w:rPr>
        <w:sectPr>
          <w:headerReference r:id="rId4" w:type="first"/>
          <w:footerReference r:id="rId6" w:type="first"/>
          <w:headerReference r:id="rId3" w:type="default"/>
          <w:footerReference r:id="rId5"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79632527"/>
      <w:bookmarkStart w:id="14" w:name="_Toc144974479"/>
      <w:bookmarkStart w:id="15" w:name="_Toc152045511"/>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w:t>
      </w:r>
      <w:r>
        <w:rPr>
          <w:rFonts w:hint="eastAsia" w:ascii="宋体" w:hAnsi="宋体" w:cs="宋体"/>
          <w:color w:val="000000"/>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w:t>
      </w:r>
      <w:r>
        <w:rPr>
          <w:rFonts w:hint="eastAsia" w:ascii="宋体" w:hAnsi="宋体" w:cs="宋体"/>
          <w:color w:val="000000"/>
          <w:kern w:val="0"/>
          <w:sz w:val="24"/>
          <w:szCs w:val="24"/>
          <w:highlight w:val="none"/>
          <w:u w:color="000000"/>
          <w:lang w:val="en-US" w:eastAsia="zh-CN" w:bidi="ar"/>
        </w:rPr>
        <w:t>21</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w:t>
      </w:r>
      <w:r>
        <w:rPr>
          <w:rFonts w:hint="eastAsia" w:ascii="宋体" w:hAnsi="宋体" w:cs="宋体"/>
          <w:color w:val="000000"/>
          <w:kern w:val="0"/>
          <w:sz w:val="24"/>
          <w:szCs w:val="24"/>
          <w:highlight w:val="none"/>
          <w:u w:color="000000"/>
          <w:lang w:val="en-US" w:eastAsia="zh-CN" w:bidi="ar"/>
        </w:rPr>
        <w:t>3</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w:t>
      </w:r>
      <w:r>
        <w:rPr>
          <w:rFonts w:hint="eastAsia" w:ascii="宋体" w:hAnsi="宋体" w:cs="宋体"/>
          <w:color w:val="000000"/>
          <w:kern w:val="0"/>
          <w:sz w:val="24"/>
          <w:szCs w:val="24"/>
          <w:highlight w:val="none"/>
          <w:u w:color="000000"/>
          <w:lang w:val="en-US" w:eastAsia="zh-CN" w:bidi="ar"/>
        </w:rPr>
        <w:t>29</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w:t>
      </w:r>
      <w:r>
        <w:rPr>
          <w:rFonts w:hint="eastAsia" w:ascii="宋体" w:hAnsi="宋体" w:cs="宋体"/>
          <w:color w:val="000000"/>
          <w:kern w:val="0"/>
          <w:sz w:val="24"/>
          <w:szCs w:val="24"/>
          <w:highlight w:val="none"/>
          <w:u w:color="000000"/>
          <w:lang w:val="en-US" w:eastAsia="zh-CN" w:bidi="ar"/>
        </w:rPr>
        <w:t>39</w:t>
      </w:r>
    </w:p>
    <w:p w14:paraId="6F3E9F9B">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7"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szCs w:val="32"/>
          <w:highlight w:val="none"/>
          <w:lang w:val="en-US"/>
        </w:rPr>
      </w:pPr>
      <w:bookmarkStart w:id="16" w:name="_Toc246996916"/>
      <w:bookmarkStart w:id="17" w:name="_Toc35425050"/>
      <w:bookmarkStart w:id="18" w:name="_Toc35424883"/>
      <w:bookmarkStart w:id="19" w:name="_Toc15058844"/>
      <w:bookmarkStart w:id="20" w:name="_Toc144974495"/>
      <w:bookmarkStart w:id="21" w:name="_Toc152045527"/>
      <w:bookmarkStart w:id="22" w:name="_Toc152042303"/>
      <w:bookmarkStart w:id="23" w:name="_Toc179632544"/>
      <w:bookmarkStart w:id="24" w:name="_Toc506107267"/>
      <w:bookmarkStart w:id="25" w:name="_Toc247085687"/>
      <w:bookmarkStart w:id="26" w:name="_Toc246996173"/>
      <w:bookmarkStart w:id="27" w:name="_Toc78803321"/>
      <w:bookmarkStart w:id="28" w:name="_Toc324404813"/>
      <w:r>
        <w:rPr>
          <w:rFonts w:hint="eastAsia"/>
          <w:bCs/>
          <w:szCs w:val="32"/>
          <w:highlight w:val="none"/>
          <w:lang w:eastAsia="zh-CN"/>
        </w:rPr>
        <w:t>第一章</w:t>
      </w:r>
      <w:r>
        <w:rPr>
          <w:rFonts w:hint="eastAsia"/>
          <w:bCs/>
          <w:szCs w:val="32"/>
          <w:highlight w:val="none"/>
          <w:lang w:val="en-US"/>
        </w:rPr>
        <w:t xml:space="preserve">  </w:t>
      </w:r>
      <w:bookmarkStart w:id="29" w:name="_Toc18980_WPSOffice_Level1"/>
      <w:bookmarkEnd w:id="29"/>
      <w:bookmarkStart w:id="30" w:name="_Toc7358"/>
      <w:bookmarkEnd w:id="30"/>
      <w:r>
        <w:rPr>
          <w:rFonts w:hint="eastAsia"/>
          <w:bCs/>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31" w:name="_Toc58430305"/>
      <w:bookmarkEnd w:id="31"/>
      <w:bookmarkStart w:id="32" w:name="_Toc35393621"/>
      <w:bookmarkEnd w:id="32"/>
      <w:bookmarkStart w:id="33" w:name="_Toc28359079"/>
      <w:bookmarkEnd w:id="33"/>
      <w:bookmarkStart w:id="34" w:name="_Toc28359002"/>
      <w:bookmarkEnd w:id="34"/>
      <w:bookmarkStart w:id="35" w:name="_Toc35393790"/>
      <w:r>
        <w:rPr>
          <w:rFonts w:hint="eastAsia" w:ascii="宋体" w:hAnsi="宋体" w:eastAsia="宋体" w:cs="宋体"/>
          <w:color w:val="000000"/>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cs="宋体"/>
          <w:color w:val="000000"/>
          <w:kern w:val="0"/>
          <w:sz w:val="24"/>
          <w:szCs w:val="24"/>
          <w:highlight w:val="none"/>
          <w:u w:color="000000"/>
          <w:lang w:val="en-US" w:eastAsia="zh-CN" w:bidi="ar"/>
        </w:rPr>
        <w:t>滁宁城铁电客车高级修修程修制（控制性关键项点）研究服务项目</w:t>
      </w:r>
      <w:r>
        <w:rPr>
          <w:rFonts w:hint="eastAsia" w:ascii="宋体" w:hAnsi="宋体" w:eastAsia="宋体" w:cs="宋体"/>
          <w:color w:val="000000"/>
          <w:kern w:val="0"/>
          <w:sz w:val="24"/>
          <w:szCs w:val="24"/>
          <w:highlight w:val="none"/>
          <w:u w:color="000000"/>
          <w:lang w:val="en-US" w:eastAsia="zh-CN" w:bidi="ar"/>
        </w:rPr>
        <w:t>的潜在投标人应在滁州市滁宁城际铁路开发建设有限公司网站（http://czctgs.cn/）获取招标文件，并于202</w:t>
      </w:r>
      <w:r>
        <w:rPr>
          <w:rFonts w:hint="eastAsia" w:ascii="宋体" w:hAnsi="宋体" w:cs="宋体"/>
          <w:color w:val="000000"/>
          <w:kern w:val="0"/>
          <w:sz w:val="24"/>
          <w:szCs w:val="24"/>
          <w:highlight w:val="none"/>
          <w:u w:color="000000"/>
          <w:lang w:val="en-US" w:eastAsia="zh-CN" w:bidi="ar"/>
        </w:rPr>
        <w:t>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color="000000"/>
          <w:lang w:val="en-US" w:eastAsia="zh-CN" w:bidi="ar"/>
        </w:rPr>
        <w:t xml:space="preserve">1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15</w:t>
      </w:r>
      <w:r>
        <w:rPr>
          <w:rFonts w:hint="eastAsia" w:ascii="宋体" w:hAnsi="宋体" w:eastAsia="宋体" w:cs="宋体"/>
          <w:color w:val="000000"/>
          <w:kern w:val="0"/>
          <w:sz w:val="24"/>
          <w:szCs w:val="24"/>
          <w:highlight w:val="none"/>
          <w:u w:color="000000"/>
          <w:lang w:val="en-US" w:eastAsia="zh-CN" w:bidi="ar"/>
        </w:rPr>
        <w:t>日15时00分（北京时间）前递交投标文件。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35"/>
    </w:p>
    <w:p w14:paraId="7B2A09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sz w:val="24"/>
          <w:szCs w:val="28"/>
          <w:highlight w:val="none"/>
          <w:lang w:val="en-US" w:eastAsia="zh-CN"/>
        </w:rPr>
      </w:pPr>
      <w:r>
        <w:rPr>
          <w:rFonts w:hint="eastAsia" w:ascii="宋体" w:hAnsi="宋体" w:eastAsia="宋体"/>
          <w:sz w:val="24"/>
          <w:szCs w:val="28"/>
          <w:highlight w:val="none"/>
          <w:lang w:val="en-US" w:eastAsia="zh-CN"/>
        </w:rPr>
        <w:t>项目名称：</w:t>
      </w:r>
      <w:r>
        <w:rPr>
          <w:rFonts w:hint="eastAsia" w:ascii="宋体" w:hAnsi="宋体"/>
          <w:sz w:val="24"/>
          <w:szCs w:val="28"/>
          <w:highlight w:val="none"/>
          <w:lang w:val="en-US" w:eastAsia="zh-CN"/>
        </w:rPr>
        <w:t>滁宁城铁电客车高级修修程修制（控制性关键项点）研究服务项目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479"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cs="宋体"/>
          <w:color w:val="000000"/>
          <w:kern w:val="0"/>
          <w:sz w:val="24"/>
          <w:szCs w:val="24"/>
          <w:highlight w:val="none"/>
          <w:u w:color="000000"/>
          <w:lang w:val="en-US" w:eastAsia="zh-CN" w:bidi="ar"/>
        </w:rPr>
        <w:t>280</w:t>
      </w:r>
      <w:r>
        <w:rPr>
          <w:rFonts w:hint="eastAsia" w:ascii="宋体" w:hAnsi="宋体" w:cs="宋体"/>
          <w:b w:val="0"/>
          <w:bCs w:val="0"/>
          <w:color w:val="000000"/>
          <w:kern w:val="0"/>
          <w:sz w:val="24"/>
          <w:szCs w:val="24"/>
          <w:highlight w:val="none"/>
          <w:u w:color="000000"/>
          <w:lang w:val="en-US" w:eastAsia="zh-CN" w:bidi="ar"/>
        </w:rPr>
        <w:t>000.00</w:t>
      </w:r>
      <w:r>
        <w:rPr>
          <w:rFonts w:hint="eastAsia" w:ascii="宋体" w:hAnsi="宋体" w:eastAsia="宋体" w:cs="宋体"/>
          <w:b w:val="0"/>
          <w:bCs w:val="0"/>
          <w:color w:val="000000"/>
          <w:kern w:val="0"/>
          <w:sz w:val="24"/>
          <w:szCs w:val="24"/>
          <w:highlight w:val="none"/>
          <w:u w:color="000000"/>
          <w:lang w:val="en-US" w:eastAsia="zh-CN" w:bidi="ar"/>
        </w:rPr>
        <w:t>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最高限价：本项目最高限价为（人民币）280000.00元，投标报价不得超过最高限价，否则按无效投标处理。</w:t>
      </w:r>
    </w:p>
    <w:p w14:paraId="22C948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采购需求：对主机厂提供的现有高级修修制中检修项点覆盖完整性、工艺标准可操作性、特殊部件检修授权、安全性等内容进行评审，并确立滁宁城际电客车高级修修制。详见</w:t>
      </w:r>
    </w:p>
    <w:p w14:paraId="0178D7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服务期：2026年2月底之前提交所有成果文件，并完成评审。</w:t>
      </w:r>
    </w:p>
    <w:p w14:paraId="7C79C6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0A8F7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en-US" w:eastAsia="zh-CN"/>
        </w:rPr>
        <w:t>1.投标人须具备相应服务能力且具有独立法人资格或事业单位法人证书。</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9</w:t>
      </w:r>
      <w:r>
        <w:rPr>
          <w:rFonts w:hint="eastAsia" w:ascii="宋体" w:hAnsi="宋体" w:eastAsia="宋体" w:cs="宋体"/>
          <w:color w:val="000000"/>
          <w:kern w:val="0"/>
          <w:sz w:val="24"/>
          <w:szCs w:val="24"/>
          <w:highlight w:val="none"/>
          <w:u w:val="single" w:color="000000"/>
          <w:lang w:val="en-US" w:eastAsia="zh-CN" w:bidi="ar"/>
        </w:rPr>
        <w:t>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1</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15</w:t>
      </w:r>
      <w:r>
        <w:rPr>
          <w:rFonts w:hint="eastAsia" w:ascii="宋体" w:hAnsi="宋体" w:eastAsia="宋体" w:cs="宋体"/>
          <w:color w:val="000000"/>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7730048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sz w:val="24"/>
          <w:szCs w:val="24"/>
          <w:highlight w:val="none"/>
          <w:lang w:val="en-US" w:eastAsia="zh-CN"/>
        </w:rPr>
      </w:pPr>
      <w:bookmarkStart w:id="36" w:name="_Toc58430308"/>
      <w:bookmarkEnd w:id="36"/>
      <w:bookmarkStart w:id="37" w:name="_Toc28359005"/>
      <w:bookmarkEnd w:id="37"/>
      <w:bookmarkStart w:id="38" w:name="_Toc28359082"/>
      <w:bookmarkEnd w:id="38"/>
      <w:bookmarkStart w:id="39" w:name="_Toc35393793"/>
      <w:bookmarkEnd w:id="39"/>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递交方式</w:t>
      </w:r>
    </w:p>
    <w:p w14:paraId="7607F4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w:t>
      </w:r>
      <w:r>
        <w:rPr>
          <w:rFonts w:hint="eastAsia" w:ascii="宋体" w:hAnsi="宋体" w:cs="宋体"/>
          <w:bCs/>
          <w:color w:val="000000"/>
          <w:kern w:val="0"/>
          <w:sz w:val="24"/>
          <w:szCs w:val="24"/>
          <w:highlight w:val="none"/>
          <w:u w:val="single" w:color="000000"/>
          <w:lang w:val="en-US" w:eastAsia="zh-CN" w:bidi="ar"/>
        </w:rPr>
        <w:t>6</w:t>
      </w:r>
      <w:r>
        <w:rPr>
          <w:rFonts w:hint="eastAsia" w:ascii="宋体" w:hAnsi="宋体" w:eastAsia="宋体" w:cs="宋体"/>
          <w:bCs/>
          <w:color w:val="000000"/>
          <w:kern w:val="0"/>
          <w:sz w:val="24"/>
          <w:szCs w:val="24"/>
          <w:highlight w:val="none"/>
          <w:u w:val="single" w:color="000000"/>
          <w:lang w:val="en-US" w:eastAsia="zh-CN" w:bidi="ar"/>
        </w:rPr>
        <w:t>年</w:t>
      </w:r>
      <w:r>
        <w:rPr>
          <w:rFonts w:hint="eastAsia" w:ascii="宋体" w:hAnsi="宋体" w:cs="宋体"/>
          <w:bCs/>
          <w:color w:val="000000"/>
          <w:kern w:val="0"/>
          <w:sz w:val="24"/>
          <w:szCs w:val="24"/>
          <w:highlight w:val="none"/>
          <w:u w:val="single" w:color="000000"/>
          <w:lang w:val="en-US" w:eastAsia="zh-CN" w:bidi="ar"/>
        </w:rPr>
        <w:t>1</w:t>
      </w:r>
      <w:r>
        <w:rPr>
          <w:rFonts w:hint="eastAsia" w:ascii="宋体" w:hAnsi="宋体" w:eastAsia="宋体" w:cs="宋体"/>
          <w:bCs/>
          <w:color w:val="000000"/>
          <w:kern w:val="0"/>
          <w:sz w:val="24"/>
          <w:szCs w:val="24"/>
          <w:highlight w:val="none"/>
          <w:u w:val="single" w:color="000000"/>
          <w:lang w:val="en-US" w:eastAsia="zh-CN" w:bidi="ar"/>
        </w:rPr>
        <w:t>月</w:t>
      </w:r>
      <w:r>
        <w:rPr>
          <w:rFonts w:hint="eastAsia" w:ascii="宋体" w:hAnsi="宋体" w:cs="宋体"/>
          <w:bCs/>
          <w:color w:val="000000"/>
          <w:kern w:val="0"/>
          <w:sz w:val="24"/>
          <w:szCs w:val="24"/>
          <w:highlight w:val="none"/>
          <w:u w:val="single" w:color="000000"/>
          <w:lang w:val="en-US" w:eastAsia="zh-CN" w:bidi="ar"/>
        </w:rPr>
        <w:t>15</w:t>
      </w:r>
      <w:r>
        <w:rPr>
          <w:rFonts w:hint="eastAsia" w:ascii="宋体" w:hAnsi="宋体" w:eastAsia="宋体" w:cs="宋体"/>
          <w:bCs/>
          <w:color w:val="000000"/>
          <w:kern w:val="0"/>
          <w:sz w:val="24"/>
          <w:szCs w:val="24"/>
          <w:highlight w:val="none"/>
          <w:u w:val="single" w:color="000000"/>
          <w:lang w:val="en-US" w:eastAsia="zh-CN" w:bidi="ar"/>
        </w:rPr>
        <w:t>日15时00分</w:t>
      </w:r>
      <w:r>
        <w:rPr>
          <w:rFonts w:hint="eastAsia" w:ascii="宋体" w:hAnsi="宋体" w:eastAsia="宋体" w:cs="宋体"/>
          <w:bCs/>
          <w:color w:val="000000"/>
          <w:kern w:val="0"/>
          <w:sz w:val="24"/>
          <w:szCs w:val="24"/>
          <w:highlight w:val="none"/>
          <w:u w:color="000000"/>
          <w:lang w:val="en-US" w:eastAsia="zh-CN" w:bidi="ar"/>
        </w:rPr>
        <w:t>（北京时间）</w:t>
      </w:r>
    </w:p>
    <w:p w14:paraId="75F86DE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Calibri" w:eastAsia="宋体" w:cs="Times New Roman"/>
          <w:color w:val="auto"/>
          <w:sz w:val="21"/>
          <w:szCs w:val="21"/>
          <w:highlight w:val="none"/>
          <w:lang w:val="en-US" w:eastAsia="zh-CN"/>
        </w:rPr>
      </w:pPr>
      <w:r>
        <w:rPr>
          <w:rFonts w:hint="eastAsia" w:ascii="宋体" w:hAnsi="宋体" w:cs="宋体"/>
          <w:color w:val="auto"/>
          <w:sz w:val="24"/>
          <w:szCs w:val="24"/>
          <w:highlight w:val="none"/>
          <w:lang w:val="en-US" w:eastAsia="zh-CN"/>
        </w:rPr>
        <w:t>投标文件递交方式：</w:t>
      </w:r>
      <w:r>
        <w:rPr>
          <w:rFonts w:hint="default" w:ascii="宋体" w:hAnsi="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"mailto:2、在递交截止时间后30分钟内，将解压密码通过邮箱发送至代理机构邮箱（czsctgczx@163.com）" </w:instrText>
      </w:r>
      <w:r>
        <w:rPr>
          <w:rFonts w:hint="eastAsia"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在投标截止时间后30分钟内，将投标文件密码通过邮箱发送至滁州市城投工程咨询管理有限公司邮箱（czsctzx@163.com）</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8238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40" w:name="_Toc28359087"/>
      <w:r>
        <w:rPr>
          <w:rFonts w:hint="eastAsia" w:ascii="宋体" w:hAnsi="宋体" w:eastAsia="宋体" w:cs="宋体"/>
          <w:bCs/>
          <w:color w:val="000000"/>
          <w:kern w:val="0"/>
          <w:sz w:val="24"/>
          <w:highlight w:val="none"/>
          <w:u w:color="000000"/>
          <w:lang w:bidi="ar"/>
        </w:rPr>
        <w:t>名称：</w:t>
      </w:r>
      <w:r>
        <w:rPr>
          <w:rFonts w:hint="eastAsia" w:ascii="宋体" w:hAnsi="宋体" w:eastAsia="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eastAsia="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 xml:space="preserve"> </w:t>
      </w:r>
      <w:bookmarkStart w:id="41" w:name="_Toc28359009"/>
      <w:bookmarkStart w:id="42" w:name="_Toc28359086"/>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40"/>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7C1F8FDB">
      <w:pPr>
        <w:pStyle w:val="44"/>
        <w:spacing w:beforeLines="50" w:afterLines="50" w:line="440" w:lineRule="exact"/>
        <w:rPr>
          <w:rFonts w:hint="eastAsia"/>
          <w:bCs/>
          <w:szCs w:val="32"/>
          <w:highlight w:val="none"/>
          <w:lang w:val="en-US" w:eastAsia="zh-CN"/>
        </w:rPr>
      </w:pPr>
      <w:r>
        <w:rPr>
          <w:rFonts w:hint="eastAsia"/>
          <w:bCs/>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szCs w:val="32"/>
          <w:highlight w:val="none"/>
          <w:lang w:val="en-US" w:eastAsia="zh-CN"/>
        </w:rPr>
        <w:t xml:space="preserve">  第二章 投标人须知</w:t>
      </w:r>
      <w:bookmarkStart w:id="43" w:name="_Toc9559"/>
      <w:bookmarkEnd w:id="43"/>
      <w:bookmarkStart w:id="44" w:name="_Toc35424884"/>
      <w:bookmarkStart w:id="45" w:name="_Toc152042304"/>
      <w:bookmarkStart w:id="46" w:name="_Toc247085688"/>
      <w:bookmarkStart w:id="47" w:name="_Toc144974496"/>
      <w:bookmarkStart w:id="48" w:name="_Toc246996917"/>
      <w:bookmarkStart w:id="49" w:name="_Toc35425051"/>
      <w:bookmarkStart w:id="50" w:name="_Toc179632545"/>
      <w:bookmarkStart w:id="51" w:name="_Toc324404814"/>
      <w:bookmarkStart w:id="52" w:name="_Toc152045528"/>
      <w:bookmarkStart w:id="53" w:name="_Toc15058845"/>
      <w:bookmarkStart w:id="54" w:name="_Toc506107268"/>
      <w:bookmarkStart w:id="55" w:name="_Toc246996174"/>
    </w:p>
    <w:p w14:paraId="594BBBF6">
      <w:pPr>
        <w:pStyle w:val="44"/>
        <w:spacing w:beforeLines="50" w:afterLines="50" w:line="440" w:lineRule="exact"/>
        <w:rPr>
          <w:b/>
          <w:bCs/>
          <w:sz w:val="28"/>
          <w:szCs w:val="28"/>
          <w:highlight w:val="none"/>
        </w:rPr>
      </w:pPr>
      <w:r>
        <w:rPr>
          <w:rFonts w:hint="eastAsia"/>
          <w:b/>
          <w:bCs/>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bookmarkStart w:id="56" w:name="_Toc5813"/>
            <w:bookmarkStart w:id="57" w:name="_Toc152045529"/>
            <w:bookmarkStart w:id="58" w:name="_Toc324404815"/>
            <w:bookmarkStart w:id="59" w:name="_Toc152042305"/>
            <w:bookmarkStart w:id="60" w:name="_Toc246996175"/>
            <w:bookmarkStart w:id="61" w:name="_Toc179632546"/>
            <w:bookmarkStart w:id="62" w:name="_Toc247085689"/>
            <w:bookmarkStart w:id="63" w:name="_Toc246996918"/>
            <w:bookmarkStart w:id="64" w:name="_Toc78803322"/>
            <w:bookmarkStart w:id="65" w:name="_Toc35425053"/>
            <w:bookmarkStart w:id="66" w:name="_Toc15058846"/>
            <w:bookmarkStart w:id="67" w:name="_Toc35424887"/>
            <w:bookmarkStart w:id="68" w:name="_Toc144974497"/>
            <w:bookmarkStart w:id="69" w:name="_Toc506107269"/>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highlight w:val="none"/>
                <w:lang w:val="en-US" w:eastAsia="zh-CN"/>
              </w:rPr>
            </w:pPr>
            <w:r>
              <w:rPr>
                <w:rFonts w:hint="eastAsia" w:cs="Times New Roman"/>
                <w:highlight w:val="none"/>
                <w:lang w:val="en-US" w:eastAsia="zh-CN"/>
              </w:rPr>
              <w:t>滁宁城铁电客车高级修修程修制（控制性关键项点）研究服务项目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建设</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highlight w:val="none"/>
                <w:lang w:val="en-US"/>
              </w:rPr>
            </w:pPr>
            <w:r>
              <w:rPr>
                <w:rFonts w:hint="eastAsia" w:ascii="宋体" w:hAnsi="宋体" w:eastAsia="宋体" w:cs="宋体"/>
                <w:color w:val="000000"/>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lang w:eastAsia="zh-CN"/>
              </w:rPr>
              <w:t>杨雅辰</w:t>
            </w:r>
            <w:r>
              <w:rPr>
                <w:rFonts w:hint="eastAsia" w:ascii="宋体" w:hAnsi="宋体" w:eastAsia="宋体" w:cs="宋体"/>
                <w:highlight w:val="none"/>
              </w:rPr>
              <w:t xml:space="preserve">  </w:t>
            </w:r>
            <w:r>
              <w:rPr>
                <w:rFonts w:hint="eastAsia" w:ascii="宋体" w:hAnsi="宋体" w:eastAsia="宋体" w:cs="宋体"/>
                <w:highlight w:val="none"/>
                <w:lang w:eastAsia="zh-CN"/>
              </w:rPr>
              <w:t>13339207910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rPr>
              <w:t xml:space="preserve">周蓓蕾 </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280000.00元</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ascii="宋体" w:hAnsi="宋体" w:cs="宋体"/>
                <w:bCs/>
                <w:color w:val="000000"/>
                <w:szCs w:val="21"/>
                <w:highlight w:val="none"/>
                <w:lang w:val="en-US" w:eastAsia="zh-CN"/>
              </w:rPr>
              <w:t>280000.00元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A31F89">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rPr>
              <w:t>招标人不组织踏勘</w:t>
            </w:r>
            <w:r>
              <w:rPr>
                <w:rFonts w:hint="eastAsia" w:cs="Times New Roman"/>
                <w:highlight w:val="none"/>
                <w:lang w:eastAsia="zh-CN"/>
              </w:rPr>
              <w:t>，</w:t>
            </w:r>
            <w:r>
              <w:rPr>
                <w:rFonts w:cs="Times New Roman"/>
                <w:highlight w:val="none"/>
              </w:rPr>
              <w:t>投标人自行踏勘现场</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月</w:t>
            </w:r>
            <w:r>
              <w:rPr>
                <w:rFonts w:hint="eastAsia" w:ascii="宋体" w:hAnsi="宋体" w:cs="宋体"/>
                <w:b w:val="0"/>
                <w:bCs w:val="0"/>
                <w:highlight w:val="none"/>
                <w:lang w:val="en-US" w:eastAsia="zh-CN"/>
              </w:rPr>
              <w:t>12</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w:t>
            </w:r>
            <w:r>
              <w:rPr>
                <w:rFonts w:hint="eastAsia" w:ascii="宋体" w:hAnsi="宋体" w:cs="宋体"/>
                <w:b w:val="0"/>
                <w:bCs w:val="0"/>
                <w:color w:val="auto"/>
                <w:kern w:val="2"/>
                <w:sz w:val="21"/>
                <w:szCs w:val="21"/>
                <w:highlight w:val="none"/>
                <w:u w:color="auto"/>
                <w:lang w:val="en-US" w:eastAsia="zh-CN" w:bidi="ar"/>
              </w:rPr>
              <w:t>6</w:t>
            </w:r>
            <w:r>
              <w:rPr>
                <w:rFonts w:hint="eastAsia" w:ascii="宋体" w:hAnsi="宋体" w:eastAsia="宋体" w:cs="宋体"/>
                <w:b w:val="0"/>
                <w:bCs w:val="0"/>
                <w:color w:val="auto"/>
                <w:kern w:val="2"/>
                <w:sz w:val="21"/>
                <w:szCs w:val="21"/>
                <w:highlight w:val="none"/>
                <w:u w:color="auto"/>
                <w:lang w:val="en-US" w:eastAsia="zh-CN" w:bidi="ar"/>
              </w:rPr>
              <w:t>年</w:t>
            </w:r>
            <w:r>
              <w:rPr>
                <w:rFonts w:hint="eastAsia" w:ascii="宋体" w:hAnsi="宋体" w:cs="宋体"/>
                <w:b w:val="0"/>
                <w:bCs w:val="0"/>
                <w:color w:val="auto"/>
                <w:kern w:val="2"/>
                <w:sz w:val="21"/>
                <w:szCs w:val="21"/>
                <w:highlight w:val="none"/>
                <w:u w:color="auto"/>
                <w:lang w:val="en-US" w:eastAsia="zh-CN" w:bidi="ar"/>
              </w:rPr>
              <w:t>1</w:t>
            </w:r>
            <w:r>
              <w:rPr>
                <w:rFonts w:hint="eastAsia" w:ascii="宋体" w:hAnsi="宋体" w:eastAsia="宋体" w:cs="宋体"/>
                <w:b w:val="0"/>
                <w:bCs w:val="0"/>
                <w:color w:val="auto"/>
                <w:kern w:val="2"/>
                <w:sz w:val="21"/>
                <w:szCs w:val="21"/>
                <w:highlight w:val="none"/>
                <w:u w:color="auto"/>
                <w:lang w:val="en-US" w:eastAsia="zh-CN" w:bidi="ar"/>
              </w:rPr>
              <w:t>月</w:t>
            </w:r>
            <w:r>
              <w:rPr>
                <w:rFonts w:hint="eastAsia" w:ascii="宋体" w:hAnsi="宋体" w:cs="宋体"/>
                <w:b w:val="0"/>
                <w:bCs w:val="0"/>
                <w:color w:val="auto"/>
                <w:kern w:val="2"/>
                <w:sz w:val="21"/>
                <w:szCs w:val="21"/>
                <w:highlight w:val="none"/>
                <w:u w:color="auto"/>
                <w:lang w:val="en-US" w:eastAsia="zh-CN" w:bidi="ar"/>
              </w:rPr>
              <w:t>12</w:t>
            </w:r>
            <w:r>
              <w:rPr>
                <w:rFonts w:hint="eastAsia" w:ascii="宋体" w:hAnsi="宋体" w:eastAsia="宋体" w:cs="宋体"/>
                <w:b w:val="0"/>
                <w:bCs w:val="0"/>
                <w:color w:val="auto"/>
                <w:kern w:val="2"/>
                <w:sz w:val="21"/>
                <w:szCs w:val="21"/>
                <w:highlight w:val="none"/>
                <w:u w:color="auto"/>
                <w:lang w:val="en-US" w:eastAsia="zh-CN" w:bidi="ar"/>
              </w:rPr>
              <w:t>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hAnsi="宋体" w:eastAsia="宋体" w:cs="宋体"/>
                <w:szCs w:val="21"/>
                <w:highlight w:val="none"/>
                <w:lang w:eastAsia="zh-CN"/>
              </w:rPr>
              <w:t>滁州市滁宁城际铁路开发建设有限公司</w:t>
            </w:r>
            <w:r>
              <w:rPr>
                <w:rFonts w:hint="eastAsia" w:ascii="宋体" w:hAnsi="宋体" w:eastAsia="宋体" w:cs="宋体"/>
                <w:szCs w:val="21"/>
                <w:highlight w:val="none"/>
                <w:lang w:val="en-US" w:eastAsia="zh-CN"/>
              </w:rPr>
              <w:t>网站</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http://czctgs.cn/</w:t>
            </w:r>
            <w:r>
              <w:rPr>
                <w:rFonts w:hint="eastAsia" w:ascii="宋体" w:hAnsi="宋体" w:eastAsia="宋体" w:cs="宋体"/>
                <w:szCs w:val="21"/>
                <w:highlight w:val="none"/>
              </w:rPr>
              <w:t>）发布。</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代理服务费金额：招标代理费3000元，不含专家评审费（专家评审费用以实际支付为准，预计2000元整）。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hint="eastAsia" w:ascii="宋体" w:hAnsi="宋体" w:eastAsia="宋体" w:cs="宋体"/>
                <w:highlight w:val="none"/>
                <w:u w:val="single"/>
                <w:lang w:val="en-US"/>
              </w:rPr>
              <w:t xml:space="preserve"> </w:t>
            </w:r>
            <w:r>
              <w:rPr>
                <w:rFonts w:hint="eastAsia" w:ascii="宋体" w:hAnsi="宋体" w:eastAsia="宋体" w:cs="宋体"/>
                <w:highlight w:val="none"/>
                <w:u w:val="single"/>
                <w:lang w:val="en-US" w:eastAsia="zh-CN"/>
              </w:rPr>
              <w:t>6</w:t>
            </w:r>
            <w:r>
              <w:rPr>
                <w:rFonts w:hint="eastAsia" w:ascii="宋体" w:hAnsi="宋体" w:eastAsia="宋体" w:cs="宋体"/>
                <w:highlight w:val="none"/>
                <w:u w:val="single"/>
                <w:lang w:val="en-US"/>
              </w:rPr>
              <w:t xml:space="preserve">0 </w:t>
            </w:r>
            <w:r>
              <w:rPr>
                <w:rFonts w:hint="eastAsia" w:ascii="宋体" w:hAnsi="宋体" w:eastAsia="宋体" w:cs="宋体"/>
                <w:highlight w:val="none"/>
              </w:rPr>
              <w:t>日历</w:t>
            </w:r>
            <w:r>
              <w:rPr>
                <w:rFonts w:cs="Times New Roman"/>
                <w:highlight w:val="none"/>
              </w:rPr>
              <w:t>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5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6</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15</w:t>
            </w:r>
            <w:r>
              <w:rPr>
                <w:rFonts w:hint="eastAsia" w:ascii="宋体" w:hAnsi="宋体" w:eastAsia="宋体" w:cs="宋体"/>
                <w:color w:val="000000"/>
                <w:kern w:val="2"/>
                <w:sz w:val="21"/>
                <w:szCs w:val="21"/>
                <w:highlight w:val="none"/>
                <w:u w:color="000000"/>
                <w:lang w:val="en-US" w:eastAsia="zh-CN" w:bidi="ar"/>
              </w:rPr>
              <w:t>日15时00分（北京时间）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开标地点：滁州市滁宁城际铁路开发建设有限公司七楼会议室 (滁州市徽州路与扬子路交叉口东南侧)。</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bookmarkStart w:id="360" w:name="_GoBack"/>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中标合同金额</w:t>
            </w:r>
            <w:r>
              <w:rPr>
                <w:rFonts w:hint="default" w:ascii="Arial" w:hAnsi="Arial" w:cs="Arial"/>
                <w:color w:val="auto"/>
                <w:sz w:val="21"/>
                <w:szCs w:val="21"/>
                <w:highlight w:val="none"/>
                <w:lang w:val="en-US" w:eastAsia="zh-CN"/>
              </w:rPr>
              <w:t>×</w:t>
            </w:r>
            <w:r>
              <w:rPr>
                <w:rFonts w:hint="eastAsia" w:cs="宋体"/>
                <w:color w:val="auto"/>
                <w:sz w:val="21"/>
                <w:szCs w:val="21"/>
                <w:highlight w:val="none"/>
                <w:lang w:val="en-US" w:eastAsia="zh-CN"/>
              </w:rPr>
              <w:t>5%</w:t>
            </w:r>
          </w:p>
          <w:p w14:paraId="0AB68E0F">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bookmarkEnd w:id="360"/>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73"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47144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中标人提交成果文件且通过专家评审</w:t>
            </w:r>
            <w:r>
              <w:rPr>
                <w:rFonts w:hint="eastAsia" w:ascii="宋体" w:hAnsi="宋体" w:cs="宋体"/>
                <w:color w:val="000000"/>
                <w:kern w:val="2"/>
                <w:sz w:val="21"/>
                <w:szCs w:val="21"/>
                <w:highlight w:val="none"/>
                <w:u w:color="000000"/>
                <w:lang w:val="en-US" w:eastAsia="zh-CN" w:bidi="ar"/>
              </w:rPr>
              <w:t>，并报招标人同意后</w:t>
            </w:r>
            <w:r>
              <w:rPr>
                <w:rFonts w:hint="eastAsia" w:ascii="宋体" w:hAnsi="宋体" w:eastAsia="宋体" w:cs="宋体"/>
                <w:color w:val="000000"/>
                <w:kern w:val="2"/>
                <w:sz w:val="21"/>
                <w:szCs w:val="21"/>
                <w:highlight w:val="none"/>
                <w:u w:color="000000"/>
                <w:lang w:val="en-US" w:eastAsia="zh-CN" w:bidi="ar"/>
              </w:rPr>
              <w:t>一次性付清合同价款。</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5AFEB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11CF7E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437F6B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①</w:t>
            </w:r>
            <w:r>
              <w:rPr>
                <w:rFonts w:hint="eastAsia" w:ascii="Times New Roman" w:hAnsi="Times New Roman" w:eastAsia="宋体" w:cs="Times New Roman"/>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"mailto:2、在递交截止时间后30分钟内，将解压密码通过邮箱发送至代理机构邮箱（czsctgczx@163.com）" </w:instrText>
            </w:r>
            <w:r>
              <w:rPr>
                <w:rFonts w:hint="eastAsia" w:ascii="Times New Roman" w:hAnsi="Times New Roman" w:eastAsia="宋体" w:cs="Times New Roman"/>
                <w:highlight w:val="none"/>
                <w:lang w:val="en-US" w:eastAsia="zh-CN"/>
              </w:rPr>
              <w:fldChar w:fldCharType="separate"/>
            </w:r>
            <w:r>
              <w:rPr>
                <w:rFonts w:hint="default" w:ascii="Times New Roman" w:hAnsi="Times New Roman" w:eastAsia="宋体" w:cs="Times New Roman"/>
                <w:highlight w:val="none"/>
                <w:lang w:val="en-US" w:eastAsia="zh-CN"/>
              </w:rPr>
              <w:t>②</w:t>
            </w:r>
            <w:r>
              <w:rPr>
                <w:rFonts w:hint="eastAsia" w:ascii="Times New Roman" w:hAnsi="Times New Roman" w:eastAsia="宋体" w:cs="Times New Roman"/>
                <w:highlight w:val="none"/>
                <w:lang w:val="en-US" w:eastAsia="zh-CN"/>
              </w:rPr>
              <w:t>在投标截止时间后30分钟内，将投标文件密码通过邮箱发送至滁州市城投工程咨询管理有限公司邮箱（czsctzx@163.com）</w:t>
            </w:r>
            <w:r>
              <w:rPr>
                <w:rFonts w:hint="eastAsia" w:ascii="Times New Roman" w:hAnsi="Times New Roman" w:eastAsia="宋体" w:cs="Times New Roman"/>
                <w:highlight w:val="none"/>
                <w:lang w:val="en-US" w:eastAsia="zh-CN"/>
              </w:rPr>
              <w:fldChar w:fldCharType="end"/>
            </w:r>
            <w:r>
              <w:rPr>
                <w:rFonts w:hint="eastAsia" w:ascii="Times New Roman" w:hAnsi="Times New Roman" w:eastAsia="宋体" w:cs="Times New Roman"/>
                <w:highlight w:val="none"/>
                <w:lang w:val="en-US" w:eastAsia="zh-CN"/>
              </w:rPr>
              <w:t>，未在规定时间内发送密码或发送的密码无法正确打开投标文件的，投标文件将被拒绝。</w:t>
            </w:r>
          </w:p>
          <w:p w14:paraId="553C0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5D962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highlight w:val="none"/>
                <w:lang w:val="en-US" w:eastAsia="zh-CN"/>
              </w:rPr>
            </w:pPr>
            <w:r>
              <w:rPr>
                <w:rFonts w:hint="eastAsia"/>
                <w:highlight w:val="none"/>
                <w:lang w:val="en-US" w:eastAsia="zh-CN"/>
              </w:rPr>
              <w:t>6、招标人对本项目执行过程中的所有争议拥有最终的裁决权，投标人应无条件地服从招标人的裁决，不得以任何理由提出增加本项目合同费用和延误本项目工期。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eastAsia="宋体"/>
                <w:highlight w:val="none"/>
                <w:lang w:val="en-US" w:eastAsia="zh-CN"/>
              </w:rPr>
            </w:pPr>
            <w:r>
              <w:rPr>
                <w:rFonts w:hint="eastAsia"/>
                <w:highlight w:val="none"/>
                <w:lang w:val="en-US" w:eastAsia="zh-CN"/>
              </w:rPr>
              <w:t>7、本项目严禁非法转包，一经发现，招标人依法处理。</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70" w:name="_Toc14421_WPSOffice_Level3"/>
      <w:bookmarkStart w:id="71" w:name="_Toc324404864"/>
      <w:bookmarkStart w:id="72" w:name="_Toc506107317"/>
      <w:bookmarkStart w:id="73" w:name="_Toc35425105"/>
      <w:bookmarkStart w:id="74" w:name="_Toc15058902"/>
      <w:bookmarkStart w:id="75" w:name="_Toc35424939"/>
      <w:bookmarkStart w:id="76" w:name="_Toc296602475"/>
      <w:r>
        <w:rPr>
          <w:rFonts w:hint="eastAsia" w:ascii="宋体" w:hAnsi="宋体" w:eastAsia="宋体" w:cs="宋体"/>
          <w:b/>
          <w:bCs w:val="0"/>
          <w:color w:val="000000"/>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建设地点：见投标人须知前附表。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w:t>
      </w:r>
      <w:r>
        <w:rPr>
          <w:rFonts w:hint="eastAsia" w:ascii="宋体" w:hAnsi="宋体" w:cs="宋体"/>
          <w:color w:val="000000"/>
          <w:kern w:val="0"/>
          <w:sz w:val="21"/>
          <w:szCs w:val="21"/>
          <w:highlight w:val="none"/>
          <w:u w:val="single" w:color="000000"/>
          <w:lang w:val="en-US" w:eastAsia="zh-CN" w:bidi="ar"/>
        </w:rPr>
        <w:t>总</w:t>
      </w:r>
      <w:r>
        <w:rPr>
          <w:rFonts w:hint="eastAsia" w:ascii="宋体" w:hAnsi="宋体" w:eastAsia="宋体" w:cs="宋体"/>
          <w:color w:val="000000"/>
          <w:kern w:val="0"/>
          <w:sz w:val="21"/>
          <w:szCs w:val="21"/>
          <w:highlight w:val="none"/>
          <w:u w:val="single" w:color="000000"/>
          <w:lang w:val="en-US" w:eastAsia="zh-CN" w:bidi="ar"/>
        </w:rPr>
        <w:t>价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77" w:name="_Toc296602429"/>
      <w:bookmarkEnd w:id="77"/>
      <w:bookmarkStart w:id="78" w:name="_Toc247527563"/>
      <w:bookmarkEnd w:id="78"/>
      <w:bookmarkStart w:id="79" w:name="_Toc144974507"/>
      <w:bookmarkEnd w:id="79"/>
      <w:bookmarkStart w:id="80" w:name="_Toc247513962"/>
      <w:bookmarkEnd w:id="80"/>
      <w:bookmarkStart w:id="81" w:name="_Toc152042315"/>
      <w:bookmarkEnd w:id="81"/>
      <w:bookmarkStart w:id="82" w:name="_Toc152045539"/>
      <w:bookmarkEnd w:id="82"/>
      <w:bookmarkStart w:id="83"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83"/>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84" w:name="_Toc24655"/>
      <w:bookmarkEnd w:id="84"/>
      <w:bookmarkStart w:id="85" w:name="_Toc10668_WPSOffice_Level3"/>
      <w:bookmarkEnd w:id="85"/>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000000"/>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51897AE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22.3投标报价包括完成本项目全部供货及服务的一切费用：包括但不限于</w:t>
      </w:r>
      <w:r>
        <w:rPr>
          <w:rFonts w:hint="eastAsia" w:ascii="宋体" w:hAnsi="宋体" w:cs="宋体"/>
          <w:bCs/>
          <w:color w:val="000000"/>
          <w:kern w:val="0"/>
          <w:sz w:val="21"/>
          <w:szCs w:val="21"/>
          <w:highlight w:val="none"/>
          <w:u w:color="000000"/>
          <w:lang w:val="en-US" w:eastAsia="zh-CN" w:bidi="ar"/>
        </w:rPr>
        <w:t>设计费、人工费、</w:t>
      </w:r>
      <w:r>
        <w:rPr>
          <w:rFonts w:hint="eastAsia" w:ascii="宋体" w:hAnsi="宋体" w:eastAsia="宋体" w:cs="宋体"/>
          <w:bCs/>
          <w:color w:val="000000"/>
          <w:kern w:val="0"/>
          <w:sz w:val="21"/>
          <w:szCs w:val="21"/>
          <w:highlight w:val="none"/>
          <w:u w:color="000000"/>
          <w:lang w:val="en-US" w:eastAsia="zh-CN" w:bidi="ar"/>
        </w:rPr>
        <w:t>材料费、装卸费、运输费、管理费、安装费、其他费用（如包装费、仓储费、保管费）</w:t>
      </w:r>
      <w:r>
        <w:rPr>
          <w:rFonts w:hint="eastAsia" w:ascii="宋体" w:hAnsi="宋体" w:cs="宋体"/>
          <w:bCs/>
          <w:color w:val="000000"/>
          <w:kern w:val="0"/>
          <w:sz w:val="21"/>
          <w:szCs w:val="21"/>
          <w:highlight w:val="none"/>
          <w:u w:color="000000"/>
          <w:lang w:val="en-US" w:eastAsia="zh-CN" w:bidi="ar"/>
        </w:rPr>
        <w:t>、</w:t>
      </w:r>
      <w:r>
        <w:rPr>
          <w:rFonts w:hint="eastAsia" w:ascii="宋体" w:hAnsi="宋体" w:eastAsia="宋体" w:cs="宋体"/>
          <w:bCs/>
          <w:color w:val="000000"/>
          <w:kern w:val="0"/>
          <w:sz w:val="21"/>
          <w:szCs w:val="21"/>
          <w:highlight w:val="none"/>
          <w:u w:color="000000"/>
          <w:lang w:val="en-US" w:eastAsia="zh-CN" w:bidi="ar"/>
        </w:rPr>
        <w:t>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w:t>
      </w:r>
      <w:r>
        <w:rPr>
          <w:rFonts w:hint="eastAsia" w:ascii="宋体" w:hAnsi="宋体" w:eastAsia="宋体" w:cs="宋体"/>
          <w:color w:val="000000"/>
          <w:kern w:val="0"/>
          <w:sz w:val="21"/>
          <w:szCs w:val="21"/>
          <w:highlight w:val="none"/>
          <w:u w:color="000000"/>
          <w:lang w:val="en-US" w:eastAsia="zh-CN" w:bidi="ar"/>
        </w:rPr>
        <w:t>投标报价的价格是完成项目全部内容（包括后期的相关服务）的价格，其</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价即为履行合同的固定</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0" w:name="_Toc30407_WPSOffice_Level3"/>
      <w:bookmarkEnd w:id="90"/>
      <w:bookmarkStart w:id="91" w:name="_Toc490"/>
      <w:bookmarkEnd w:id="91"/>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94" w:name="_Toc15542_WPSOffice_Level3"/>
      <w:bookmarkEnd w:id="94"/>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95" w:name="_Toc5272_WPSOffice_Level3"/>
      <w:bookmarkEnd w:id="95"/>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96" w:name="_Toc7247"/>
      <w:bookmarkEnd w:id="96"/>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97" w:name="_Toc217446068"/>
      <w:r>
        <w:rPr>
          <w:rFonts w:hint="eastAsia" w:ascii="宋体" w:hAnsi="宋体" w:eastAsia="宋体" w:cs="宋体"/>
          <w:b/>
          <w:color w:val="000000"/>
          <w:kern w:val="0"/>
          <w:szCs w:val="21"/>
          <w:highlight w:val="none"/>
          <w:u w:color="000000"/>
          <w:lang w:bidi="ar"/>
        </w:rPr>
        <w:t>履约保证金</w:t>
      </w:r>
      <w:bookmarkEnd w:id="97"/>
    </w:p>
    <w:p w14:paraId="1331EEB6">
      <w:pPr>
        <w:spacing w:line="420" w:lineRule="exact"/>
        <w:ind w:firstLine="420" w:firstLineChars="200"/>
        <w:jc w:val="left"/>
        <w:rPr>
          <w:rFonts w:ascii="宋体" w:hAnsi="Times New Roman" w:eastAsia="宋体" w:cs="Times New Roman"/>
          <w:szCs w:val="21"/>
          <w:highlight w:val="none"/>
        </w:rPr>
      </w:pPr>
      <w:bookmarkStart w:id="98" w:name="_Toc316_WPSOffice_Level3"/>
      <w:bookmarkEnd w:id="98"/>
      <w:bookmarkStart w:id="99"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99"/>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100"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71"/>
      <w:r>
        <w:rPr>
          <w:rFonts w:hint="eastAsia" w:ascii="宋体"/>
          <w:b/>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bookmarkStart w:id="101" w:name="_Toc15058912"/>
      <w:bookmarkStart w:id="102" w:name="_Toc35425111"/>
      <w:bookmarkStart w:id="103" w:name="_Toc35424945"/>
      <w:bookmarkStart w:id="104" w:name="_Toc506107323"/>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4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spacing w:line="320" w:lineRule="exac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300AFC1F">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widowControl/>
              <w:autoSpaceDE w:val="0"/>
              <w:spacing w:line="480" w:lineRule="exact"/>
              <w:jc w:val="both"/>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）诚信投标承诺书</w:t>
            </w:r>
          </w:p>
        </w:tc>
        <w:tc>
          <w:tcPr>
            <w:tcW w:w="3929" w:type="dxa"/>
            <w:vAlign w:val="center"/>
          </w:tcPr>
          <w:p w14:paraId="1B6F7B2F">
            <w:pPr>
              <w:spacing w:line="360" w:lineRule="exact"/>
              <w:jc w:val="both"/>
              <w:rPr>
                <w:rFonts w:ascii="宋体"/>
                <w:b/>
                <w:color w:val="000000"/>
                <w:szCs w:val="21"/>
                <w:highlight w:val="none"/>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4</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5" w:name="_Toc506107320"/>
      <w:bookmarkStart w:id="106" w:name="_Toc95223395"/>
      <w:bookmarkStart w:id="107" w:name="_Toc60061492"/>
      <w:bookmarkStart w:id="108" w:name="_Toc15058909"/>
      <w:r>
        <w:rPr>
          <w:rFonts w:hint="eastAsia" w:ascii="Times New Roman" w:hAnsi="Times New Roman" w:eastAsia="宋体" w:cs="Times New Roman"/>
          <w:color w:val="000000"/>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9" w:name="_Toc506107321"/>
      <w:bookmarkStart w:id="110" w:name="_Toc324404868"/>
      <w:bookmarkStart w:id="111" w:name="_Toc15058910"/>
      <w:bookmarkStart w:id="112" w:name="_Toc60061493"/>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3" w:name="_Toc95223396"/>
      <w:r>
        <w:rPr>
          <w:rFonts w:hint="eastAsia" w:ascii="Times New Roman" w:hAnsi="Times New Roman" w:eastAsia="宋体" w:cs="Times New Roman"/>
          <w:color w:val="000000"/>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4" w:name="_Toc15058911"/>
      <w:bookmarkStart w:id="115" w:name="_Toc506107322"/>
      <w:bookmarkStart w:id="116" w:name="_Toc60061494"/>
      <w:bookmarkStart w:id="117" w:name="_Toc324404869"/>
      <w:bookmarkStart w:id="118" w:name="_Toc95223397"/>
      <w:r>
        <w:rPr>
          <w:rFonts w:hint="eastAsia" w:ascii="Times New Roman" w:hAnsi="Times New Roman" w:eastAsia="宋体" w:cs="Times New Roman"/>
          <w:color w:val="000000"/>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500CB5F4">
      <w:pPr>
        <w:pStyle w:val="2"/>
        <w:spacing w:beforeLines="50" w:afterLines="50"/>
        <w:rPr>
          <w:highlight w:val="none"/>
        </w:rPr>
      </w:pPr>
      <w:r>
        <w:rPr>
          <w:rFonts w:hint="eastAsia"/>
          <w:highlight w:val="none"/>
        </w:rPr>
        <w:br w:type="page"/>
      </w:r>
      <w:bookmarkStart w:id="119"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sz w:val="28"/>
          <w:szCs w:val="28"/>
          <w:highlight w:val="none"/>
        </w:rPr>
      </w:pPr>
      <w:bookmarkStart w:id="120" w:name="_Toc35425112"/>
      <w:bookmarkStart w:id="121" w:name="_Toc35424946"/>
      <w:r>
        <w:rPr>
          <w:rFonts w:hint="eastAsia" w:ascii="宋体" w:hAnsi="宋体" w:cs="宋体"/>
          <w:b/>
          <w:bCs/>
          <w:sz w:val="28"/>
          <w:szCs w:val="28"/>
          <w:highlight w:val="none"/>
        </w:rPr>
        <w:t>评标办法前附表</w:t>
      </w:r>
      <w:bookmarkEnd w:id="120"/>
      <w:bookmarkEnd w:id="121"/>
    </w:p>
    <w:p w14:paraId="0701628E">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（一）资信标评分细则（</w:t>
      </w:r>
      <w:r>
        <w:rPr>
          <w:rFonts w:hint="eastAsia" w:cs="Times New Roman"/>
          <w:b/>
          <w:color w:val="auto"/>
          <w:sz w:val="28"/>
          <w:szCs w:val="21"/>
          <w:highlight w:val="none"/>
          <w:lang w:val="en-US" w:eastAsia="zh-CN"/>
        </w:rPr>
        <w:t>3</w:t>
      </w:r>
      <w:r>
        <w:rPr>
          <w:rFonts w:hint="eastAsia" w:ascii="Times New Roman" w:hAnsi="Times New Roman" w:eastAsia="宋体" w:cs="Times New Roman"/>
          <w:b/>
          <w:color w:val="auto"/>
          <w:sz w:val="28"/>
          <w:szCs w:val="21"/>
          <w:highlight w:val="none"/>
          <w:lang w:val="en-US" w:eastAsia="zh-CN"/>
        </w:rPr>
        <w:t>0分）</w:t>
      </w:r>
    </w:p>
    <w:tbl>
      <w:tblPr>
        <w:tblStyle w:val="47"/>
        <w:tblW w:w="540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555"/>
        <w:gridCol w:w="7551"/>
      </w:tblGrid>
      <w:tr w14:paraId="3CC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2" w:type="pct"/>
            <w:vAlign w:val="center"/>
          </w:tcPr>
          <w:p w14:paraId="0F663B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b/>
                <w:bCs/>
                <w:color w:val="auto"/>
                <w:sz w:val="21"/>
                <w:szCs w:val="21"/>
                <w:highlight w:val="none"/>
                <w:lang w:val="en-US" w:eastAsia="zh-CN"/>
              </w:rPr>
              <w:t>序号</w:t>
            </w:r>
          </w:p>
        </w:tc>
        <w:tc>
          <w:tcPr>
            <w:tcW w:w="1552" w:type="dxa"/>
            <w:vAlign w:val="center"/>
          </w:tcPr>
          <w:p w14:paraId="13FEA0D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3763" w:type="pct"/>
            <w:vAlign w:val="center"/>
          </w:tcPr>
          <w:p w14:paraId="16800E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2" w:firstLineChars="20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612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2" w:type="pct"/>
            <w:vAlign w:val="center"/>
          </w:tcPr>
          <w:p w14:paraId="1C5B2E0E">
            <w:pPr>
              <w:spacing w:before="69" w:line="360" w:lineRule="exact"/>
              <w:jc w:val="center"/>
              <w:rPr>
                <w:rFonts w:hint="eastAsia" w:ascii="宋体" w:hAnsi="宋体" w:eastAsia="宋体" w:cs="宋体"/>
                <w:spacing w:val="-2"/>
                <w:position w:val="11"/>
                <w:sz w:val="21"/>
                <w:szCs w:val="21"/>
                <w:highlight w:val="none"/>
                <w:lang w:val="en-US" w:eastAsia="zh-CN"/>
              </w:rPr>
            </w:pPr>
            <w:r>
              <w:rPr>
                <w:rFonts w:hint="eastAsia" w:ascii="宋体" w:hAnsi="宋体" w:cs="宋体"/>
                <w:spacing w:val="-2"/>
                <w:position w:val="11"/>
                <w:sz w:val="21"/>
                <w:szCs w:val="21"/>
                <w:highlight w:val="none"/>
                <w:lang w:val="en-US" w:eastAsia="zh-CN"/>
              </w:rPr>
              <w:t>1</w:t>
            </w:r>
          </w:p>
        </w:tc>
        <w:tc>
          <w:tcPr>
            <w:tcW w:w="1552" w:type="dxa"/>
            <w:vAlign w:val="center"/>
          </w:tcPr>
          <w:p w14:paraId="1AC5B925">
            <w:pPr>
              <w:spacing w:before="69" w:line="360" w:lineRule="exact"/>
              <w:jc w:val="center"/>
              <w:rPr>
                <w:rFonts w:hint="eastAsia" w:ascii="宋体" w:hAnsi="宋体" w:eastAsia="宋体" w:cs="宋体"/>
                <w:color w:val="auto"/>
                <w:spacing w:val="-2"/>
                <w:position w:val="11"/>
                <w:sz w:val="21"/>
                <w:szCs w:val="21"/>
                <w:highlight w:val="none"/>
                <w:lang w:val="en-US" w:eastAsia="zh-CN"/>
              </w:rPr>
            </w:pPr>
            <w:r>
              <w:rPr>
                <w:rFonts w:hint="eastAsia" w:ascii="宋体" w:hAnsi="宋体" w:eastAsia="宋体" w:cs="宋体"/>
                <w:color w:val="auto"/>
                <w:spacing w:val="-2"/>
                <w:position w:val="11"/>
                <w:sz w:val="21"/>
                <w:szCs w:val="21"/>
                <w:highlight w:val="none"/>
                <w:lang w:val="en-US" w:eastAsia="zh-CN"/>
              </w:rPr>
              <w:t>企业业绩</w:t>
            </w:r>
          </w:p>
          <w:p w14:paraId="26972311">
            <w:pPr>
              <w:spacing w:before="69" w:line="360" w:lineRule="exact"/>
              <w:jc w:val="center"/>
              <w:rPr>
                <w:rFonts w:hint="eastAsia" w:ascii="宋体" w:hAnsi="宋体" w:eastAsia="宋体" w:cs="宋体"/>
                <w:color w:val="auto"/>
                <w:spacing w:val="-2"/>
                <w:position w:val="11"/>
                <w:sz w:val="21"/>
                <w:szCs w:val="21"/>
                <w:highlight w:val="none"/>
                <w:lang w:val="en-US" w:eastAsia="zh-CN"/>
              </w:rPr>
            </w:pPr>
            <w:r>
              <w:rPr>
                <w:rFonts w:hint="eastAsia" w:ascii="宋体" w:hAnsi="宋体" w:eastAsia="宋体" w:cs="宋体"/>
                <w:color w:val="auto"/>
                <w:spacing w:val="-2"/>
                <w:position w:val="11"/>
                <w:sz w:val="21"/>
                <w:szCs w:val="21"/>
                <w:highlight w:val="none"/>
                <w:lang w:val="en-US" w:eastAsia="zh-CN"/>
              </w:rPr>
              <w:t>（</w:t>
            </w:r>
            <w:r>
              <w:rPr>
                <w:rFonts w:hint="eastAsia" w:ascii="宋体" w:hAnsi="宋体" w:cs="宋体"/>
                <w:color w:val="auto"/>
                <w:spacing w:val="-2"/>
                <w:position w:val="11"/>
                <w:sz w:val="21"/>
                <w:szCs w:val="21"/>
                <w:highlight w:val="none"/>
                <w:lang w:val="en-US" w:eastAsia="zh-CN"/>
              </w:rPr>
              <w:t>1</w:t>
            </w:r>
            <w:r>
              <w:rPr>
                <w:rFonts w:hint="eastAsia" w:ascii="宋体" w:hAnsi="宋体" w:eastAsia="宋体" w:cs="宋体"/>
                <w:color w:val="auto"/>
                <w:spacing w:val="-2"/>
                <w:position w:val="11"/>
                <w:sz w:val="21"/>
                <w:szCs w:val="21"/>
                <w:highlight w:val="none"/>
                <w:lang w:val="en-US" w:eastAsia="zh-CN"/>
              </w:rPr>
              <w:t>0分）</w:t>
            </w:r>
          </w:p>
        </w:tc>
        <w:tc>
          <w:tcPr>
            <w:tcW w:w="3763" w:type="pct"/>
            <w:vAlign w:val="top"/>
          </w:tcPr>
          <w:p w14:paraId="415C650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自2021年1月1日至投标截止日（以合同签订时间为准），投标人每提供一个</w:t>
            </w:r>
            <w:r>
              <w:rPr>
                <w:rFonts w:hint="eastAsia" w:ascii="宋体" w:hAnsi="宋体" w:eastAsia="宋体" w:cs="宋体"/>
                <w:b w:val="0"/>
                <w:bCs/>
                <w:color w:val="auto"/>
                <w:sz w:val="21"/>
                <w:szCs w:val="21"/>
                <w:highlight w:val="none"/>
                <w:lang w:val="zh-CN" w:eastAsia="zh-CN"/>
              </w:rPr>
              <w:t>城际铁路安全评价（</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lang w:val="zh-CN" w:eastAsia="zh-CN"/>
              </w:rPr>
              <w:t>评估）相关</w:t>
            </w:r>
            <w:r>
              <w:rPr>
                <w:rFonts w:hint="eastAsia" w:ascii="宋体" w:hAnsi="宋体" w:eastAsia="宋体" w:cs="宋体"/>
                <w:b w:val="0"/>
                <w:bCs/>
                <w:color w:val="auto"/>
                <w:sz w:val="21"/>
                <w:szCs w:val="21"/>
                <w:highlight w:val="none"/>
                <w:lang w:val="en-US" w:eastAsia="zh-CN"/>
              </w:rPr>
              <w:t>业绩的得5分；其他的不得分，本项满分10分。</w:t>
            </w:r>
          </w:p>
          <w:p w14:paraId="776760AE">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【投标文件中须提供合同扫描件；若上述材料均未体现评分内容的还须另外提供业主证明材料扫描件。】</w:t>
            </w:r>
          </w:p>
          <w:p w14:paraId="7BBB90AC">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r w14:paraId="2930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2" w:type="pct"/>
            <w:vAlign w:val="center"/>
          </w:tcPr>
          <w:p w14:paraId="23D47182">
            <w:pPr>
              <w:spacing w:before="69" w:line="360" w:lineRule="exact"/>
              <w:jc w:val="center"/>
              <w:rPr>
                <w:rFonts w:hint="default" w:ascii="宋体" w:hAnsi="宋体" w:eastAsia="宋体" w:cs="宋体"/>
                <w:spacing w:val="-2"/>
                <w:position w:val="11"/>
                <w:sz w:val="21"/>
                <w:szCs w:val="21"/>
                <w:highlight w:val="none"/>
                <w:lang w:val="en-US" w:eastAsia="zh-CN"/>
              </w:rPr>
            </w:pPr>
            <w:r>
              <w:rPr>
                <w:rFonts w:hint="eastAsia" w:ascii="宋体" w:hAnsi="宋体" w:cs="宋体"/>
                <w:spacing w:val="-2"/>
                <w:position w:val="11"/>
                <w:sz w:val="21"/>
                <w:szCs w:val="21"/>
                <w:highlight w:val="none"/>
                <w:lang w:val="en-US" w:eastAsia="zh-CN"/>
              </w:rPr>
              <w:t>2</w:t>
            </w:r>
          </w:p>
        </w:tc>
        <w:tc>
          <w:tcPr>
            <w:tcW w:w="1552" w:type="dxa"/>
            <w:vAlign w:val="center"/>
          </w:tcPr>
          <w:p w14:paraId="3B69CF9E">
            <w:pPr>
              <w:spacing w:before="69" w:line="360" w:lineRule="exact"/>
              <w:jc w:val="center"/>
              <w:rPr>
                <w:rFonts w:hint="eastAsia" w:ascii="宋体" w:hAnsi="宋体" w:cs="宋体"/>
                <w:color w:val="auto"/>
                <w:spacing w:val="-2"/>
                <w:position w:val="11"/>
                <w:sz w:val="21"/>
                <w:szCs w:val="21"/>
                <w:highlight w:val="none"/>
                <w:lang w:val="en-US" w:eastAsia="zh-CN"/>
              </w:rPr>
            </w:pPr>
            <w:r>
              <w:rPr>
                <w:rFonts w:hint="eastAsia" w:ascii="宋体" w:hAnsi="宋体" w:cs="宋体"/>
                <w:color w:val="auto"/>
                <w:spacing w:val="-2"/>
                <w:position w:val="11"/>
                <w:sz w:val="21"/>
                <w:szCs w:val="21"/>
                <w:highlight w:val="none"/>
                <w:lang w:val="en-US" w:eastAsia="zh-CN"/>
              </w:rPr>
              <w:t>企业实力</w:t>
            </w:r>
          </w:p>
          <w:p w14:paraId="736B7E68">
            <w:pPr>
              <w:spacing w:before="69" w:line="360" w:lineRule="exact"/>
              <w:jc w:val="center"/>
              <w:rPr>
                <w:rFonts w:hint="default" w:ascii="宋体" w:hAnsi="宋体" w:eastAsia="宋体" w:cs="宋体"/>
                <w:color w:val="auto"/>
                <w:spacing w:val="-2"/>
                <w:position w:val="11"/>
                <w:sz w:val="21"/>
                <w:szCs w:val="21"/>
                <w:highlight w:val="none"/>
                <w:lang w:val="en-US" w:eastAsia="zh-CN"/>
              </w:rPr>
            </w:pPr>
            <w:r>
              <w:rPr>
                <w:rFonts w:hint="eastAsia" w:ascii="宋体" w:hAnsi="宋体" w:cs="宋体"/>
                <w:color w:val="auto"/>
                <w:spacing w:val="-2"/>
                <w:position w:val="11"/>
                <w:sz w:val="21"/>
                <w:szCs w:val="21"/>
                <w:highlight w:val="none"/>
                <w:lang w:val="en-US" w:eastAsia="zh-CN"/>
              </w:rPr>
              <w:t>（8分）</w:t>
            </w:r>
          </w:p>
        </w:tc>
        <w:tc>
          <w:tcPr>
            <w:tcW w:w="3763" w:type="pct"/>
            <w:vAlign w:val="top"/>
          </w:tcPr>
          <w:p w14:paraId="0AABCBE3">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投标人参与起草（或编写）城际铁路</w:t>
            </w:r>
            <w:r>
              <w:rPr>
                <w:rFonts w:hint="eastAsia" w:ascii="宋体" w:hAnsi="宋体" w:cs="宋体"/>
                <w:b w:val="0"/>
                <w:bCs/>
                <w:color w:val="auto"/>
                <w:sz w:val="21"/>
                <w:szCs w:val="21"/>
                <w:highlight w:val="none"/>
                <w:lang w:val="en-US" w:eastAsia="zh-CN"/>
              </w:rPr>
              <w:t>方面</w:t>
            </w:r>
            <w:r>
              <w:rPr>
                <w:rFonts w:hint="eastAsia" w:ascii="宋体" w:hAnsi="宋体" w:eastAsia="宋体" w:cs="宋体"/>
                <w:b w:val="0"/>
                <w:bCs/>
                <w:color w:val="auto"/>
                <w:sz w:val="21"/>
                <w:szCs w:val="21"/>
                <w:highlight w:val="none"/>
                <w:lang w:val="en-US" w:eastAsia="zh-CN"/>
              </w:rPr>
              <w:t>的国家（或行业或团体）标准，每提供1个得4分，其他的不得分，其他的不得分，本项满分8分。</w:t>
            </w:r>
          </w:p>
          <w:p w14:paraId="74C3BFBA">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【投标文件中须提供有效的证明材料扫描件。】</w:t>
            </w:r>
          </w:p>
          <w:p w14:paraId="4EA58983">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投标人投标时只须提供2个评审标准，若投标人提供标准个数超过2个，则按照排列顺序从首个标准开始评审至对应数量（2个），超出部分标准不进行评审。对应数量（2个）标准不符合招标文件要求不得分的，不再补充评审超出部分标准。如：提供2个标准即得满分的，按照投标文件排序评审第一、第二项标准，其余超出部分不再评审。</w:t>
            </w:r>
          </w:p>
        </w:tc>
      </w:tr>
      <w:tr w14:paraId="35D6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2" w:type="pct"/>
            <w:vAlign w:val="center"/>
          </w:tcPr>
          <w:p w14:paraId="55C0DB32">
            <w:pPr>
              <w:spacing w:before="69" w:line="360" w:lineRule="exact"/>
              <w:jc w:val="center"/>
              <w:rPr>
                <w:rFonts w:hint="default" w:ascii="宋体" w:hAnsi="宋体" w:eastAsia="宋体" w:cs="宋体"/>
                <w:spacing w:val="-2"/>
                <w:position w:val="11"/>
                <w:sz w:val="21"/>
                <w:szCs w:val="21"/>
                <w:highlight w:val="none"/>
                <w:lang w:val="en-US" w:eastAsia="zh-CN"/>
              </w:rPr>
            </w:pPr>
            <w:r>
              <w:rPr>
                <w:rFonts w:hint="eastAsia" w:ascii="宋体" w:hAnsi="宋体" w:cs="宋体"/>
                <w:spacing w:val="-2"/>
                <w:position w:val="11"/>
                <w:sz w:val="21"/>
                <w:szCs w:val="21"/>
                <w:highlight w:val="none"/>
                <w:lang w:val="en-US" w:eastAsia="zh-CN"/>
              </w:rPr>
              <w:t>3</w:t>
            </w:r>
          </w:p>
        </w:tc>
        <w:tc>
          <w:tcPr>
            <w:tcW w:w="1552" w:type="dxa"/>
            <w:vAlign w:val="center"/>
          </w:tcPr>
          <w:p w14:paraId="0FF449D8">
            <w:pPr>
              <w:spacing w:before="69" w:line="360" w:lineRule="exact"/>
              <w:jc w:val="center"/>
              <w:rPr>
                <w:rFonts w:hint="eastAsia" w:ascii="宋体" w:hAnsi="宋体" w:cs="宋体"/>
                <w:color w:val="auto"/>
                <w:spacing w:val="-2"/>
                <w:position w:val="11"/>
                <w:sz w:val="21"/>
                <w:szCs w:val="21"/>
                <w:highlight w:val="none"/>
                <w:lang w:val="en-US" w:eastAsia="zh-CN"/>
              </w:rPr>
            </w:pPr>
            <w:r>
              <w:rPr>
                <w:rFonts w:hint="eastAsia" w:ascii="宋体" w:hAnsi="宋体" w:cs="宋体"/>
                <w:color w:val="auto"/>
                <w:spacing w:val="-2"/>
                <w:position w:val="11"/>
                <w:sz w:val="21"/>
                <w:szCs w:val="21"/>
                <w:highlight w:val="none"/>
                <w:lang w:val="en-US" w:eastAsia="zh-CN"/>
              </w:rPr>
              <w:t>项目负责人</w:t>
            </w:r>
          </w:p>
          <w:p w14:paraId="4B3FA07A">
            <w:pPr>
              <w:spacing w:before="69" w:line="360" w:lineRule="exact"/>
              <w:jc w:val="center"/>
              <w:rPr>
                <w:rFonts w:hint="default" w:ascii="宋体" w:hAnsi="宋体" w:eastAsia="宋体" w:cs="宋体"/>
                <w:color w:val="auto"/>
                <w:spacing w:val="-2"/>
                <w:position w:val="11"/>
                <w:sz w:val="21"/>
                <w:szCs w:val="21"/>
                <w:highlight w:val="none"/>
                <w:lang w:val="en-US" w:eastAsia="zh-CN"/>
              </w:rPr>
            </w:pPr>
            <w:r>
              <w:rPr>
                <w:rFonts w:hint="eastAsia" w:ascii="宋体" w:hAnsi="宋体" w:cs="宋体"/>
                <w:color w:val="auto"/>
                <w:spacing w:val="-2"/>
                <w:position w:val="11"/>
                <w:sz w:val="21"/>
                <w:szCs w:val="21"/>
                <w:highlight w:val="none"/>
                <w:lang w:val="en-US" w:eastAsia="zh-CN"/>
              </w:rPr>
              <w:t>（12分）</w:t>
            </w:r>
          </w:p>
        </w:tc>
        <w:tc>
          <w:tcPr>
            <w:tcW w:w="3763" w:type="pct"/>
            <w:vAlign w:val="top"/>
          </w:tcPr>
          <w:p w14:paraId="47B4929A">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1.项目负责人作为主编，主持起草（或编写）城际铁路</w:t>
            </w:r>
            <w:r>
              <w:rPr>
                <w:rFonts w:hint="eastAsia" w:ascii="宋体" w:hAnsi="宋体" w:cs="宋体"/>
                <w:b w:val="0"/>
                <w:bCs/>
                <w:color w:val="auto"/>
                <w:sz w:val="21"/>
                <w:szCs w:val="21"/>
                <w:highlight w:val="none"/>
                <w:lang w:val="en-US" w:eastAsia="zh-CN"/>
              </w:rPr>
              <w:t>方面</w:t>
            </w:r>
            <w:r>
              <w:rPr>
                <w:rFonts w:hint="eastAsia" w:ascii="宋体" w:hAnsi="宋体" w:eastAsia="宋体" w:cs="宋体"/>
                <w:b w:val="0"/>
                <w:bCs/>
                <w:color w:val="auto"/>
                <w:sz w:val="21"/>
                <w:szCs w:val="21"/>
                <w:highlight w:val="none"/>
                <w:lang w:val="en-US" w:eastAsia="zh-CN"/>
              </w:rPr>
              <w:t>的国家（或行业或团体）标准的得4分，其他的不得分，本项满分8分。</w:t>
            </w:r>
          </w:p>
          <w:p w14:paraId="0EEAB7B3">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2.项目负责人具有正高级专业技术职称的得4分；具有高级专业技术职称的得2分；其他的不得分，本项满分4分。</w:t>
            </w:r>
          </w:p>
          <w:p w14:paraId="15A2B0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【投标文件中须同时提供①相关证书，②投标前近三个月连续的社（医）保证明扫描件。】</w:t>
            </w:r>
          </w:p>
          <w:p w14:paraId="1800AFF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注：证明材料须体现项目负责人姓名或标准（或导则）姓名排名第一。</w:t>
            </w:r>
          </w:p>
        </w:tc>
      </w:tr>
    </w:tbl>
    <w:p w14:paraId="6EF3540D">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4</w:t>
      </w:r>
      <w:r>
        <w:rPr>
          <w:rFonts w:hint="eastAsia" w:ascii="Times New Roman" w:hAnsi="Times New Roman" w:cs="Times New Roman"/>
          <w:b/>
          <w:color w:val="auto"/>
          <w:sz w:val="28"/>
          <w:szCs w:val="21"/>
          <w:highlight w:val="none"/>
          <w:lang w:val="en-US" w:eastAsia="zh-CN"/>
        </w:rPr>
        <w:t>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17EB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014AC285">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780A823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2B31D8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0F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23B8D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735CB3D0">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233E2358">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04ED4DB0">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20C290B1">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512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28588E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6236784C">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212240FF">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6963AA3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5F26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C518B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ADE36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5315AF10">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795F7743">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3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F84E0DA">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2D216A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4708DFB7">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1C062D2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69E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74FBA37C">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3B23C83">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1021268F">
            <w:pPr>
              <w:spacing w:before="69" w:line="360" w:lineRule="exact"/>
              <w:jc w:val="center"/>
              <w:rPr>
                <w:rFonts w:hint="eastAsia" w:ascii="宋体" w:hAnsi="宋体" w:cs="宋体"/>
                <w:bCs/>
                <w:sz w:val="21"/>
                <w:szCs w:val="21"/>
              </w:rPr>
            </w:pPr>
            <w:r>
              <w:rPr>
                <w:rFonts w:hint="eastAsia" w:ascii="宋体" w:hAnsi="宋体" w:cs="宋体"/>
                <w:bCs/>
                <w:sz w:val="21"/>
                <w:szCs w:val="21"/>
              </w:rPr>
              <w:t>项目实施方案</w:t>
            </w:r>
          </w:p>
          <w:p w14:paraId="6CBA725B">
            <w:pPr>
              <w:spacing w:before="69" w:line="360" w:lineRule="exact"/>
              <w:jc w:val="center"/>
              <w:rPr>
                <w:rFonts w:hint="default" w:ascii="宋体" w:hAnsi="宋体" w:eastAsia="宋体" w:cs="宋体"/>
                <w:spacing w:val="-2"/>
                <w:position w:val="11"/>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12分）</w:t>
            </w:r>
          </w:p>
        </w:tc>
        <w:tc>
          <w:tcPr>
            <w:tcW w:w="5985" w:type="dxa"/>
            <w:shd w:val="clear" w:color="auto" w:fill="auto"/>
            <w:noWrap w:val="0"/>
            <w:vAlign w:val="center"/>
          </w:tcPr>
          <w:p w14:paraId="491F4A10">
            <w:pPr>
              <w:ind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Cs/>
                <w:sz w:val="21"/>
                <w:szCs w:val="21"/>
              </w:rPr>
              <w:t>本项目实施方案系统全面，科学可行的。优秀的得12分</w:t>
            </w:r>
            <w:r>
              <w:rPr>
                <w:rFonts w:hint="eastAsia" w:ascii="宋体" w:hAnsi="宋体" w:cs="宋体"/>
                <w:bCs/>
                <w:sz w:val="21"/>
                <w:szCs w:val="21"/>
                <w:lang w:eastAsia="zh-CN"/>
              </w:rPr>
              <w:t>；</w:t>
            </w:r>
            <w:r>
              <w:rPr>
                <w:rFonts w:hint="eastAsia" w:ascii="宋体" w:hAnsi="宋体" w:cs="宋体"/>
                <w:bCs/>
                <w:sz w:val="21"/>
                <w:szCs w:val="21"/>
              </w:rPr>
              <w:t>良好的得8分</w:t>
            </w:r>
            <w:r>
              <w:rPr>
                <w:rFonts w:hint="eastAsia" w:ascii="宋体" w:hAnsi="宋体" w:cs="宋体"/>
                <w:bCs/>
                <w:sz w:val="21"/>
                <w:szCs w:val="21"/>
                <w:lang w:eastAsia="zh-CN"/>
              </w:rPr>
              <w:t>；</w:t>
            </w:r>
            <w:r>
              <w:rPr>
                <w:rFonts w:hint="eastAsia" w:ascii="宋体" w:hAnsi="宋体" w:cs="宋体"/>
                <w:bCs/>
                <w:sz w:val="21"/>
                <w:szCs w:val="21"/>
              </w:rPr>
              <w:t>一般的得6分</w:t>
            </w:r>
            <w:r>
              <w:rPr>
                <w:rFonts w:hint="eastAsia" w:ascii="宋体" w:hAnsi="宋体" w:cs="宋体"/>
                <w:bCs/>
                <w:sz w:val="21"/>
                <w:szCs w:val="21"/>
                <w:lang w:eastAsia="zh-CN"/>
              </w:rPr>
              <w:t>；</w:t>
            </w:r>
            <w:r>
              <w:rPr>
                <w:rFonts w:hint="eastAsia" w:ascii="宋体" w:hAnsi="宋体" w:cs="宋体"/>
                <w:bCs/>
                <w:sz w:val="21"/>
                <w:szCs w:val="21"/>
                <w:lang w:val="zh-CN"/>
              </w:rPr>
              <w:t>未提供的不得分，本条满分</w:t>
            </w:r>
            <w:r>
              <w:rPr>
                <w:rFonts w:hint="eastAsia" w:ascii="宋体" w:hAnsi="宋体" w:cs="宋体"/>
                <w:bCs/>
                <w:sz w:val="21"/>
                <w:szCs w:val="21"/>
                <w:lang w:val="en-US" w:eastAsia="zh-CN"/>
              </w:rPr>
              <w:t>12</w:t>
            </w:r>
            <w:r>
              <w:rPr>
                <w:rFonts w:hint="eastAsia" w:ascii="宋体" w:hAnsi="宋体" w:cs="宋体"/>
                <w:bCs/>
                <w:sz w:val="21"/>
                <w:szCs w:val="21"/>
                <w:lang w:val="zh-CN"/>
              </w:rPr>
              <w:t>分。</w:t>
            </w:r>
          </w:p>
        </w:tc>
      </w:tr>
      <w:tr w14:paraId="0960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72B1656C">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79E0F7D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7DD6EEF0">
            <w:pPr>
              <w:spacing w:before="69" w:line="360" w:lineRule="exact"/>
              <w:jc w:val="center"/>
              <w:rPr>
                <w:rFonts w:hint="default" w:ascii="宋体" w:hAnsi="宋体" w:eastAsia="宋体" w:cs="宋体"/>
                <w:spacing w:val="-2"/>
                <w:position w:val="11"/>
                <w:sz w:val="21"/>
                <w:szCs w:val="21"/>
                <w:highlight w:val="none"/>
                <w:lang w:val="en-US" w:eastAsia="zh-CN"/>
              </w:rPr>
            </w:pPr>
            <w:r>
              <w:rPr>
                <w:rFonts w:hint="eastAsia" w:ascii="宋体" w:hAnsi="宋体" w:cs="宋体"/>
                <w:bCs/>
                <w:sz w:val="21"/>
                <w:szCs w:val="21"/>
              </w:rPr>
              <w:t>进度计划及保证措施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12分）</w:t>
            </w:r>
          </w:p>
        </w:tc>
        <w:tc>
          <w:tcPr>
            <w:tcW w:w="5985" w:type="dxa"/>
            <w:shd w:val="clear" w:color="auto" w:fill="auto"/>
            <w:noWrap w:val="0"/>
            <w:vAlign w:val="center"/>
          </w:tcPr>
          <w:p w14:paraId="31D48637">
            <w:pPr>
              <w:ind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Cs/>
                <w:sz w:val="21"/>
                <w:szCs w:val="21"/>
              </w:rPr>
              <w:t>项目组织及工作计划安排完整、合理、可行，咨询服务进度保障科学系统。优秀的得12分</w:t>
            </w:r>
            <w:r>
              <w:rPr>
                <w:rFonts w:hint="eastAsia" w:ascii="宋体" w:hAnsi="宋体" w:cs="宋体"/>
                <w:bCs/>
                <w:sz w:val="21"/>
                <w:szCs w:val="21"/>
                <w:lang w:eastAsia="zh-CN"/>
              </w:rPr>
              <w:t>；</w:t>
            </w:r>
            <w:r>
              <w:rPr>
                <w:rFonts w:hint="eastAsia" w:ascii="宋体" w:hAnsi="宋体" w:cs="宋体"/>
                <w:bCs/>
                <w:sz w:val="21"/>
                <w:szCs w:val="21"/>
              </w:rPr>
              <w:t>良好的得8分</w:t>
            </w:r>
            <w:r>
              <w:rPr>
                <w:rFonts w:hint="eastAsia" w:ascii="宋体" w:hAnsi="宋体" w:cs="宋体"/>
                <w:bCs/>
                <w:sz w:val="21"/>
                <w:szCs w:val="21"/>
                <w:lang w:eastAsia="zh-CN"/>
              </w:rPr>
              <w:t>；</w:t>
            </w:r>
            <w:r>
              <w:rPr>
                <w:rFonts w:hint="eastAsia" w:ascii="宋体" w:hAnsi="宋体" w:cs="宋体"/>
                <w:bCs/>
                <w:sz w:val="21"/>
                <w:szCs w:val="21"/>
              </w:rPr>
              <w:t>一般的得6分</w:t>
            </w:r>
            <w:r>
              <w:rPr>
                <w:rFonts w:hint="eastAsia" w:ascii="宋体" w:hAnsi="宋体" w:cs="宋体"/>
                <w:bCs/>
                <w:sz w:val="21"/>
                <w:szCs w:val="21"/>
                <w:lang w:eastAsia="zh-CN"/>
              </w:rPr>
              <w:t>；</w:t>
            </w:r>
            <w:r>
              <w:rPr>
                <w:rFonts w:hint="eastAsia" w:ascii="宋体" w:hAnsi="宋体" w:cs="宋体"/>
                <w:bCs/>
                <w:sz w:val="21"/>
                <w:szCs w:val="21"/>
                <w:lang w:val="zh-CN"/>
              </w:rPr>
              <w:t>未提供的不得分，本条满分</w:t>
            </w:r>
            <w:r>
              <w:rPr>
                <w:rFonts w:hint="eastAsia" w:ascii="宋体" w:hAnsi="宋体" w:cs="宋体"/>
                <w:bCs/>
                <w:sz w:val="21"/>
                <w:szCs w:val="21"/>
                <w:lang w:val="en-US" w:eastAsia="zh-CN"/>
              </w:rPr>
              <w:t>12</w:t>
            </w:r>
            <w:r>
              <w:rPr>
                <w:rFonts w:hint="eastAsia" w:ascii="宋体" w:hAnsi="宋体" w:cs="宋体"/>
                <w:bCs/>
                <w:sz w:val="21"/>
                <w:szCs w:val="21"/>
                <w:lang w:val="zh-CN"/>
              </w:rPr>
              <w:t>分。</w:t>
            </w:r>
          </w:p>
        </w:tc>
      </w:tr>
      <w:tr w14:paraId="27D8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526A7AC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D10583F">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5E8CD026">
            <w:pPr>
              <w:spacing w:before="69" w:line="360" w:lineRule="exact"/>
              <w:jc w:val="center"/>
              <w:rPr>
                <w:rFonts w:hint="eastAsia" w:ascii="宋体" w:hAnsi="宋体" w:eastAsia="宋体" w:cs="宋体"/>
                <w:bCs/>
                <w:sz w:val="21"/>
                <w:szCs w:val="21"/>
              </w:rPr>
            </w:pPr>
            <w:r>
              <w:rPr>
                <w:rFonts w:hint="eastAsia" w:ascii="宋体" w:hAnsi="宋体" w:eastAsia="宋体" w:cs="宋体"/>
                <w:bCs/>
                <w:sz w:val="21"/>
                <w:szCs w:val="21"/>
              </w:rPr>
              <w:t>质量保障措施</w:t>
            </w:r>
          </w:p>
          <w:p w14:paraId="0CB0EAF2">
            <w:pPr>
              <w:spacing w:before="69" w:line="360" w:lineRule="exac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（10分）</w:t>
            </w:r>
          </w:p>
        </w:tc>
        <w:tc>
          <w:tcPr>
            <w:tcW w:w="5985" w:type="dxa"/>
            <w:shd w:val="clear" w:color="auto" w:fill="auto"/>
            <w:noWrap w:val="0"/>
            <w:vAlign w:val="center"/>
          </w:tcPr>
          <w:p w14:paraId="2122A9A7">
            <w:pPr>
              <w:ind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Cs/>
                <w:sz w:val="21"/>
                <w:szCs w:val="21"/>
              </w:rPr>
              <w:t>项目质量保障措施科学系统，后期跟踪服务好。优秀的得10分</w:t>
            </w:r>
            <w:r>
              <w:rPr>
                <w:rFonts w:hint="eastAsia" w:ascii="宋体" w:hAnsi="宋体" w:cs="宋体"/>
                <w:bCs/>
                <w:sz w:val="21"/>
                <w:szCs w:val="21"/>
                <w:lang w:eastAsia="zh-CN"/>
              </w:rPr>
              <w:t>；</w:t>
            </w:r>
            <w:r>
              <w:rPr>
                <w:rFonts w:hint="eastAsia" w:ascii="宋体" w:hAnsi="宋体" w:cs="宋体"/>
                <w:bCs/>
                <w:sz w:val="21"/>
                <w:szCs w:val="21"/>
              </w:rPr>
              <w:t>良好的得6分</w:t>
            </w:r>
            <w:r>
              <w:rPr>
                <w:rFonts w:hint="eastAsia" w:ascii="宋体" w:hAnsi="宋体" w:cs="宋体"/>
                <w:bCs/>
                <w:sz w:val="21"/>
                <w:szCs w:val="21"/>
                <w:lang w:eastAsia="zh-CN"/>
              </w:rPr>
              <w:t>；</w:t>
            </w:r>
            <w:r>
              <w:rPr>
                <w:rFonts w:hint="eastAsia" w:ascii="宋体" w:hAnsi="宋体" w:cs="宋体"/>
                <w:bCs/>
                <w:sz w:val="21"/>
                <w:szCs w:val="21"/>
              </w:rPr>
              <w:t>一般的得4分</w:t>
            </w:r>
            <w:r>
              <w:rPr>
                <w:rFonts w:hint="eastAsia" w:ascii="宋体" w:hAnsi="宋体" w:cs="宋体"/>
                <w:bCs/>
                <w:sz w:val="21"/>
                <w:szCs w:val="21"/>
                <w:lang w:eastAsia="zh-CN"/>
              </w:rPr>
              <w:t>；</w:t>
            </w:r>
            <w:r>
              <w:rPr>
                <w:rFonts w:hint="eastAsia" w:ascii="宋体" w:hAnsi="宋体" w:cs="宋体"/>
                <w:bCs/>
                <w:sz w:val="21"/>
                <w:szCs w:val="21"/>
                <w:lang w:val="zh-CN"/>
              </w:rPr>
              <w:t>未提供的不得分，本条满分</w:t>
            </w:r>
            <w:r>
              <w:rPr>
                <w:rFonts w:hint="eastAsia" w:ascii="宋体" w:hAnsi="宋体" w:cs="宋体"/>
                <w:bCs/>
                <w:sz w:val="21"/>
                <w:szCs w:val="21"/>
              </w:rPr>
              <w:t>10</w:t>
            </w:r>
            <w:r>
              <w:rPr>
                <w:rFonts w:hint="eastAsia" w:ascii="宋体" w:hAnsi="宋体" w:cs="宋体"/>
                <w:bCs/>
                <w:sz w:val="21"/>
                <w:szCs w:val="21"/>
                <w:lang w:val="zh-CN"/>
              </w:rPr>
              <w:t>分。</w:t>
            </w:r>
          </w:p>
        </w:tc>
      </w:tr>
      <w:tr w14:paraId="334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2A38E1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F07C46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770A955F">
            <w:pPr>
              <w:spacing w:before="69" w:line="360" w:lineRule="exact"/>
              <w:jc w:val="center"/>
              <w:rPr>
                <w:rFonts w:hint="eastAsia" w:ascii="宋体" w:hAnsi="宋体" w:eastAsia="宋体" w:cs="宋体"/>
                <w:bCs/>
                <w:sz w:val="21"/>
                <w:szCs w:val="21"/>
                <w:lang w:val="zh-CN"/>
              </w:rPr>
            </w:pPr>
            <w:r>
              <w:rPr>
                <w:rFonts w:hint="eastAsia" w:ascii="宋体" w:hAnsi="宋体" w:eastAsia="宋体" w:cs="宋体"/>
                <w:bCs/>
                <w:sz w:val="21"/>
                <w:szCs w:val="21"/>
                <w:lang w:val="en-US" w:eastAsia="zh-CN"/>
              </w:rPr>
              <w:t>保密</w:t>
            </w:r>
            <w:r>
              <w:rPr>
                <w:rFonts w:hint="eastAsia" w:ascii="宋体" w:hAnsi="宋体" w:eastAsia="宋体" w:cs="宋体"/>
                <w:bCs/>
                <w:sz w:val="21"/>
                <w:szCs w:val="21"/>
                <w:lang w:val="zh-CN"/>
              </w:rPr>
              <w:t>措施</w:t>
            </w:r>
          </w:p>
          <w:p w14:paraId="1BC02E79">
            <w:pPr>
              <w:spacing w:before="69" w:line="360" w:lineRule="exact"/>
              <w:jc w:val="center"/>
              <w:rPr>
                <w:rFonts w:hint="default" w:ascii="宋体" w:hAnsi="宋体" w:eastAsia="宋体" w:cs="宋体"/>
                <w:bCs/>
                <w:sz w:val="21"/>
                <w:szCs w:val="21"/>
                <w:lang w:val="en-US"/>
              </w:rPr>
            </w:pPr>
            <w:r>
              <w:rPr>
                <w:rFonts w:hint="eastAsia" w:ascii="宋体" w:hAnsi="宋体" w:eastAsia="宋体" w:cs="宋体"/>
                <w:bCs/>
                <w:sz w:val="21"/>
                <w:szCs w:val="21"/>
                <w:lang w:val="zh-CN"/>
              </w:rPr>
              <w:t>（</w:t>
            </w:r>
            <w:r>
              <w:rPr>
                <w:rFonts w:hint="eastAsia" w:ascii="宋体" w:hAnsi="宋体" w:eastAsia="宋体" w:cs="宋体"/>
                <w:bCs/>
                <w:sz w:val="21"/>
                <w:szCs w:val="21"/>
                <w:lang w:val="en-US" w:eastAsia="zh-CN"/>
              </w:rPr>
              <w:t>6</w:t>
            </w:r>
            <w:r>
              <w:rPr>
                <w:rFonts w:hint="eastAsia" w:ascii="宋体" w:hAnsi="宋体" w:eastAsia="宋体" w:cs="宋体"/>
                <w:bCs/>
                <w:sz w:val="21"/>
                <w:szCs w:val="21"/>
                <w:lang w:val="en-US"/>
              </w:rPr>
              <w:t>分）</w:t>
            </w:r>
          </w:p>
        </w:tc>
        <w:tc>
          <w:tcPr>
            <w:tcW w:w="5985" w:type="dxa"/>
            <w:shd w:val="clear" w:color="auto" w:fill="auto"/>
            <w:noWrap w:val="0"/>
            <w:vAlign w:val="center"/>
          </w:tcPr>
          <w:p w14:paraId="07BFE3F1">
            <w:pPr>
              <w:ind w:firstLine="0" w:firstLineChars="0"/>
              <w:jc w:val="left"/>
              <w:rPr>
                <w:rFonts w:hint="eastAsia" w:ascii="宋体" w:hAnsi="宋体" w:eastAsia="宋体" w:cs="宋体"/>
                <w:color w:val="auto"/>
                <w:sz w:val="21"/>
                <w:szCs w:val="21"/>
                <w:highlight w:val="none"/>
              </w:rPr>
            </w:pPr>
            <w:r>
              <w:rPr>
                <w:rFonts w:hint="eastAsia" w:ascii="宋体" w:hAnsi="宋体" w:cs="宋体"/>
                <w:bCs/>
                <w:sz w:val="21"/>
                <w:szCs w:val="21"/>
              </w:rPr>
              <w:t>提供严格的保密措施，包括针对本项目的安全责任承诺、违约责任承诺、保密措施和承诺，每提供一个承诺得2分，</w:t>
            </w:r>
            <w:r>
              <w:rPr>
                <w:rFonts w:hint="eastAsia" w:ascii="宋体" w:hAnsi="宋体" w:cs="宋体"/>
                <w:bCs/>
                <w:sz w:val="21"/>
                <w:szCs w:val="21"/>
                <w:lang w:val="zh-CN"/>
              </w:rPr>
              <w:t>未提供的不得分，本条满分</w:t>
            </w:r>
            <w:r>
              <w:rPr>
                <w:rFonts w:hint="eastAsia" w:ascii="宋体" w:hAnsi="宋体" w:cs="宋体"/>
                <w:bCs/>
                <w:sz w:val="21"/>
                <w:szCs w:val="21"/>
                <w:lang w:val="en-US" w:eastAsia="zh-CN"/>
              </w:rPr>
              <w:t>6</w:t>
            </w:r>
            <w:r>
              <w:rPr>
                <w:rFonts w:hint="eastAsia" w:ascii="宋体" w:hAnsi="宋体" w:cs="宋体"/>
                <w:bCs/>
                <w:sz w:val="21"/>
                <w:szCs w:val="21"/>
                <w:lang w:val="zh-CN"/>
              </w:rPr>
              <w:t>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rPr>
        <w:t>该项由专家评委评审打分，取所有评委评分的平均值为最终得分，保留两位小数点，第三位四舍五入</w:t>
      </w:r>
      <w:r>
        <w:rPr>
          <w:rFonts w:hint="eastAsia" w:ascii="宋体" w:hAnsi="宋体" w:cs="宋体"/>
          <w:b/>
          <w:bCs/>
          <w:szCs w:val="21"/>
          <w:highlight w:val="none"/>
          <w:lang w:eastAsia="zh-CN"/>
        </w:rPr>
        <w:t>。</w:t>
      </w:r>
    </w:p>
    <w:p w14:paraId="0B4C772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（三）商务标评审（</w:t>
      </w:r>
      <w:r>
        <w:rPr>
          <w:rFonts w:hint="eastAsia" w:cs="Times New Roman"/>
          <w:b/>
          <w:color w:val="auto"/>
          <w:sz w:val="28"/>
          <w:szCs w:val="21"/>
          <w:highlight w:val="none"/>
          <w:lang w:val="en-US" w:eastAsia="zh-CN"/>
        </w:rPr>
        <w:t>3</w:t>
      </w:r>
      <w:r>
        <w:rPr>
          <w:rFonts w:hint="eastAsia" w:ascii="Times New Roman" w:hAnsi="Times New Roman" w:eastAsia="宋体" w:cs="Times New Roman"/>
          <w:b/>
          <w:color w:val="auto"/>
          <w:sz w:val="28"/>
          <w:szCs w:val="21"/>
          <w:highlight w:val="none"/>
          <w:lang w:val="en-US" w:eastAsia="zh-CN"/>
        </w:rPr>
        <w:t>0分）</w:t>
      </w:r>
    </w:p>
    <w:tbl>
      <w:tblPr>
        <w:tblStyle w:val="4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szCs w:val="21"/>
                <w:highlight w:val="none"/>
              </w:rPr>
            </w:pPr>
            <w:r>
              <w:rPr>
                <w:rFonts w:hint="eastAsia" w:ascii="宋体" w:hAnsi="宋体" w:cs="宋体"/>
                <w:b/>
                <w:bCs/>
                <w:szCs w:val="21"/>
                <w:highlight w:val="none"/>
              </w:rPr>
              <w:t>条款号</w:t>
            </w:r>
          </w:p>
        </w:tc>
        <w:tc>
          <w:tcPr>
            <w:tcW w:w="2158" w:type="dxa"/>
            <w:noWrap/>
            <w:vAlign w:val="center"/>
          </w:tcPr>
          <w:p w14:paraId="1CF92DDF">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5008" w:type="dxa"/>
            <w:noWrap/>
            <w:vAlign w:val="center"/>
          </w:tcPr>
          <w:p w14:paraId="10027A3D">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szCs w:val="21"/>
                <w:highlight w:val="none"/>
              </w:rPr>
            </w:pPr>
            <w:r>
              <w:rPr>
                <w:rFonts w:hint="eastAsia" w:ascii="宋体" w:hAnsi="宋体" w:cs="宋体"/>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2158" w:type="dxa"/>
            <w:noWrap/>
            <w:vAlign w:val="center"/>
          </w:tcPr>
          <w:p w14:paraId="73517A2E">
            <w:pPr>
              <w:spacing w:line="440" w:lineRule="exact"/>
              <w:rPr>
                <w:rFonts w:ascii="宋体" w:hAnsi="宋体" w:cs="宋体"/>
                <w:szCs w:val="21"/>
                <w:highlight w:val="none"/>
              </w:rPr>
            </w:pPr>
            <w:r>
              <w:rPr>
                <w:rFonts w:hint="eastAsia" w:ascii="宋体" w:hAnsi="宋体" w:cs="宋体"/>
                <w:szCs w:val="21"/>
                <w:highlight w:val="none"/>
              </w:rPr>
              <w:t>投标函签字盖章</w:t>
            </w:r>
          </w:p>
        </w:tc>
        <w:tc>
          <w:tcPr>
            <w:tcW w:w="5008" w:type="dxa"/>
            <w:noWrap/>
          </w:tcPr>
          <w:p w14:paraId="2DBE6DD3">
            <w:pPr>
              <w:spacing w:line="440" w:lineRule="exact"/>
              <w:rPr>
                <w:rFonts w:ascii="宋体" w:hAnsi="宋体" w:cs="宋体"/>
                <w:szCs w:val="21"/>
                <w:highlight w:val="none"/>
              </w:rPr>
            </w:pPr>
            <w:r>
              <w:rPr>
                <w:rFonts w:hint="eastAsia" w:ascii="宋体" w:hAnsi="宋体" w:cs="宋体"/>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szCs w:val="21"/>
                <w:highlight w:val="none"/>
              </w:rPr>
            </w:pPr>
          </w:p>
        </w:tc>
        <w:tc>
          <w:tcPr>
            <w:tcW w:w="1860" w:type="dxa"/>
            <w:gridSpan w:val="2"/>
            <w:vMerge w:val="continue"/>
            <w:noWrap/>
          </w:tcPr>
          <w:p w14:paraId="7570E8C7">
            <w:pPr>
              <w:spacing w:line="440" w:lineRule="exact"/>
              <w:rPr>
                <w:rFonts w:ascii="宋体" w:hAnsi="宋体" w:cs="宋体"/>
                <w:szCs w:val="21"/>
                <w:highlight w:val="none"/>
              </w:rPr>
            </w:pPr>
          </w:p>
        </w:tc>
        <w:tc>
          <w:tcPr>
            <w:tcW w:w="2158" w:type="dxa"/>
            <w:noWrap/>
            <w:vAlign w:val="center"/>
          </w:tcPr>
          <w:p w14:paraId="45179B0C">
            <w:pPr>
              <w:spacing w:line="440" w:lineRule="exact"/>
              <w:rPr>
                <w:rFonts w:ascii="宋体" w:hAnsi="宋体" w:cs="宋体"/>
                <w:szCs w:val="21"/>
                <w:highlight w:val="none"/>
              </w:rPr>
            </w:pPr>
            <w:r>
              <w:rPr>
                <w:rFonts w:hint="eastAsia" w:ascii="宋体" w:hAnsi="宋体" w:cs="宋体"/>
                <w:szCs w:val="21"/>
                <w:highlight w:val="none"/>
              </w:rPr>
              <w:t>投标文件格式</w:t>
            </w:r>
          </w:p>
        </w:tc>
        <w:tc>
          <w:tcPr>
            <w:tcW w:w="5008" w:type="dxa"/>
            <w:noWrap/>
          </w:tcPr>
          <w:p w14:paraId="24166B6D">
            <w:pPr>
              <w:spacing w:line="440" w:lineRule="exact"/>
              <w:jc w:val="left"/>
              <w:rPr>
                <w:rFonts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szCs w:val="21"/>
                <w:highlight w:val="none"/>
              </w:rPr>
            </w:pPr>
          </w:p>
        </w:tc>
        <w:tc>
          <w:tcPr>
            <w:tcW w:w="1860" w:type="dxa"/>
            <w:gridSpan w:val="2"/>
            <w:vMerge w:val="continue"/>
            <w:noWrap/>
          </w:tcPr>
          <w:p w14:paraId="083A6289">
            <w:pPr>
              <w:spacing w:line="440" w:lineRule="exact"/>
              <w:rPr>
                <w:rFonts w:ascii="宋体" w:hAnsi="宋体" w:cs="宋体"/>
                <w:szCs w:val="21"/>
                <w:highlight w:val="none"/>
              </w:rPr>
            </w:pPr>
          </w:p>
        </w:tc>
        <w:tc>
          <w:tcPr>
            <w:tcW w:w="2158" w:type="dxa"/>
            <w:noWrap/>
            <w:vAlign w:val="center"/>
          </w:tcPr>
          <w:p w14:paraId="5EC25201">
            <w:pPr>
              <w:spacing w:line="440" w:lineRule="exact"/>
              <w:rPr>
                <w:rFonts w:ascii="宋体" w:hAnsi="宋体" w:cs="宋体"/>
                <w:szCs w:val="21"/>
                <w:highlight w:val="none"/>
              </w:rPr>
            </w:pPr>
            <w:r>
              <w:rPr>
                <w:rFonts w:hint="eastAsia" w:ascii="宋体" w:hAnsi="宋体" w:cs="宋体"/>
                <w:szCs w:val="21"/>
                <w:highlight w:val="none"/>
              </w:rPr>
              <w:t>报价唯一</w:t>
            </w:r>
          </w:p>
        </w:tc>
        <w:tc>
          <w:tcPr>
            <w:tcW w:w="5008" w:type="dxa"/>
            <w:noWrap/>
          </w:tcPr>
          <w:p w14:paraId="1080A4B7">
            <w:pPr>
              <w:spacing w:line="440" w:lineRule="exact"/>
              <w:jc w:val="left"/>
              <w:rPr>
                <w:rFonts w:ascii="宋体" w:hAnsi="宋体" w:cs="宋体"/>
                <w:szCs w:val="21"/>
                <w:highlight w:val="none"/>
              </w:rPr>
            </w:pPr>
            <w:r>
              <w:rPr>
                <w:rFonts w:hint="eastAsia" w:ascii="宋体" w:hAnsi="宋体" w:cs="宋体"/>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860" w:type="dxa"/>
            <w:gridSpan w:val="2"/>
            <w:vMerge w:val="restart"/>
            <w:noWrap/>
            <w:vAlign w:val="center"/>
          </w:tcPr>
          <w:p w14:paraId="477FB6B5">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2158" w:type="dxa"/>
            <w:noWrap/>
            <w:vAlign w:val="center"/>
          </w:tcPr>
          <w:p w14:paraId="341144D6">
            <w:pPr>
              <w:spacing w:line="440" w:lineRule="exact"/>
              <w:rPr>
                <w:rFonts w:ascii="宋体" w:hAnsi="宋体" w:cs="宋体"/>
                <w:szCs w:val="21"/>
                <w:highlight w:val="none"/>
              </w:rPr>
            </w:pPr>
            <w:r>
              <w:rPr>
                <w:rFonts w:hint="eastAsia" w:ascii="宋体" w:hAnsi="宋体" w:cs="宋体"/>
                <w:szCs w:val="21"/>
                <w:highlight w:val="none"/>
                <w:lang w:val="en-US" w:eastAsia="zh-CN"/>
              </w:rPr>
              <w:t>工期</w:t>
            </w:r>
            <w:r>
              <w:rPr>
                <w:rFonts w:hint="eastAsia" w:ascii="宋体" w:hAnsi="宋体" w:cs="宋体"/>
                <w:szCs w:val="21"/>
                <w:highlight w:val="none"/>
              </w:rPr>
              <w:t>期限</w:t>
            </w:r>
          </w:p>
        </w:tc>
        <w:tc>
          <w:tcPr>
            <w:tcW w:w="5008" w:type="dxa"/>
            <w:noWrap/>
            <w:vAlign w:val="center"/>
          </w:tcPr>
          <w:p w14:paraId="37215412">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szCs w:val="21"/>
                <w:highlight w:val="none"/>
              </w:rPr>
            </w:pPr>
          </w:p>
        </w:tc>
        <w:tc>
          <w:tcPr>
            <w:tcW w:w="1860" w:type="dxa"/>
            <w:gridSpan w:val="2"/>
            <w:vMerge w:val="continue"/>
            <w:noWrap/>
          </w:tcPr>
          <w:p w14:paraId="7B4C01AA">
            <w:pPr>
              <w:spacing w:line="440" w:lineRule="exact"/>
              <w:rPr>
                <w:rFonts w:ascii="宋体" w:hAnsi="宋体" w:cs="宋体"/>
                <w:szCs w:val="21"/>
                <w:highlight w:val="none"/>
              </w:rPr>
            </w:pPr>
          </w:p>
        </w:tc>
        <w:tc>
          <w:tcPr>
            <w:tcW w:w="2158" w:type="dxa"/>
            <w:noWrap/>
            <w:vAlign w:val="center"/>
          </w:tcPr>
          <w:p w14:paraId="1A3A3F53">
            <w:pPr>
              <w:spacing w:line="440" w:lineRule="exact"/>
              <w:rPr>
                <w:rFonts w:ascii="宋体" w:hAnsi="宋体" w:cs="宋体"/>
                <w:szCs w:val="21"/>
                <w:highlight w:val="none"/>
              </w:rPr>
            </w:pPr>
            <w:r>
              <w:rPr>
                <w:rFonts w:hint="eastAsia" w:ascii="宋体" w:hAnsi="宋体" w:cs="宋体"/>
                <w:szCs w:val="21"/>
                <w:highlight w:val="none"/>
              </w:rPr>
              <w:t>投标有效期</w:t>
            </w:r>
          </w:p>
        </w:tc>
        <w:tc>
          <w:tcPr>
            <w:tcW w:w="5008" w:type="dxa"/>
            <w:noWrap/>
            <w:vAlign w:val="center"/>
          </w:tcPr>
          <w:p w14:paraId="4CC287BA">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szCs w:val="21"/>
                <w:highlight w:val="none"/>
              </w:rPr>
            </w:pPr>
          </w:p>
        </w:tc>
        <w:tc>
          <w:tcPr>
            <w:tcW w:w="1860" w:type="dxa"/>
            <w:gridSpan w:val="2"/>
            <w:vMerge w:val="continue"/>
            <w:noWrap/>
          </w:tcPr>
          <w:p w14:paraId="6058B882">
            <w:pPr>
              <w:spacing w:line="440" w:lineRule="exact"/>
              <w:rPr>
                <w:rFonts w:ascii="宋体" w:hAnsi="宋体" w:cs="宋体"/>
                <w:szCs w:val="21"/>
                <w:highlight w:val="none"/>
              </w:rPr>
            </w:pPr>
          </w:p>
        </w:tc>
        <w:tc>
          <w:tcPr>
            <w:tcW w:w="2158" w:type="dxa"/>
            <w:noWrap/>
            <w:vAlign w:val="center"/>
          </w:tcPr>
          <w:p w14:paraId="59243F41">
            <w:pPr>
              <w:spacing w:line="440" w:lineRule="exact"/>
              <w:rPr>
                <w:rFonts w:ascii="宋体" w:hAnsi="宋体" w:cs="宋体"/>
                <w:szCs w:val="21"/>
                <w:highlight w:val="none"/>
              </w:rPr>
            </w:pPr>
            <w:r>
              <w:rPr>
                <w:rFonts w:hint="eastAsia" w:ascii="宋体" w:hAnsi="宋体" w:cs="宋体"/>
                <w:szCs w:val="21"/>
                <w:highlight w:val="none"/>
              </w:rPr>
              <w:t>工程质量</w:t>
            </w:r>
          </w:p>
        </w:tc>
        <w:tc>
          <w:tcPr>
            <w:tcW w:w="5008" w:type="dxa"/>
            <w:noWrap/>
            <w:vAlign w:val="center"/>
          </w:tcPr>
          <w:p w14:paraId="6B69FB9B">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szCs w:val="21"/>
                <w:highlight w:val="none"/>
              </w:rPr>
            </w:pPr>
          </w:p>
        </w:tc>
        <w:tc>
          <w:tcPr>
            <w:tcW w:w="1860" w:type="dxa"/>
            <w:gridSpan w:val="2"/>
            <w:vMerge w:val="continue"/>
            <w:noWrap/>
          </w:tcPr>
          <w:p w14:paraId="03CDB8FB">
            <w:pPr>
              <w:spacing w:line="440" w:lineRule="exact"/>
              <w:rPr>
                <w:rFonts w:ascii="宋体" w:hAnsi="宋体" w:cs="宋体"/>
                <w:szCs w:val="21"/>
                <w:highlight w:val="none"/>
              </w:rPr>
            </w:pPr>
          </w:p>
        </w:tc>
        <w:tc>
          <w:tcPr>
            <w:tcW w:w="2158" w:type="dxa"/>
            <w:noWrap/>
            <w:vAlign w:val="center"/>
          </w:tcPr>
          <w:p w14:paraId="68CD3BA7">
            <w:pPr>
              <w:spacing w:line="440" w:lineRule="exact"/>
              <w:rPr>
                <w:rFonts w:ascii="宋体" w:hAnsi="宋体" w:cs="宋体"/>
                <w:szCs w:val="21"/>
                <w:highlight w:val="none"/>
              </w:rPr>
            </w:pPr>
            <w:r>
              <w:rPr>
                <w:rFonts w:hint="eastAsia" w:ascii="宋体" w:hAnsi="宋体" w:cs="宋体"/>
                <w:szCs w:val="21"/>
                <w:highlight w:val="none"/>
              </w:rPr>
              <w:t>投标文件内容</w:t>
            </w:r>
          </w:p>
        </w:tc>
        <w:tc>
          <w:tcPr>
            <w:tcW w:w="5008" w:type="dxa"/>
            <w:noWrap/>
            <w:vAlign w:val="center"/>
          </w:tcPr>
          <w:p w14:paraId="7A7D463D">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szCs w:val="21"/>
                <w:highlight w:val="none"/>
              </w:rPr>
            </w:pPr>
          </w:p>
        </w:tc>
        <w:tc>
          <w:tcPr>
            <w:tcW w:w="1860" w:type="dxa"/>
            <w:gridSpan w:val="2"/>
            <w:vMerge w:val="continue"/>
            <w:noWrap/>
          </w:tcPr>
          <w:p w14:paraId="6C3BBE5A">
            <w:pPr>
              <w:spacing w:line="440" w:lineRule="exact"/>
              <w:rPr>
                <w:rFonts w:ascii="宋体" w:hAnsi="宋体" w:cs="宋体"/>
                <w:szCs w:val="21"/>
                <w:highlight w:val="none"/>
              </w:rPr>
            </w:pPr>
          </w:p>
        </w:tc>
        <w:tc>
          <w:tcPr>
            <w:tcW w:w="2158" w:type="dxa"/>
            <w:noWrap/>
            <w:vAlign w:val="center"/>
          </w:tcPr>
          <w:p w14:paraId="7B8E7F30">
            <w:pPr>
              <w:spacing w:line="440" w:lineRule="exact"/>
              <w:rPr>
                <w:rFonts w:ascii="宋体" w:hAnsi="宋体" w:cs="宋体"/>
                <w:szCs w:val="21"/>
                <w:highlight w:val="none"/>
              </w:rPr>
            </w:pPr>
            <w:r>
              <w:rPr>
                <w:rFonts w:hint="eastAsia" w:ascii="宋体" w:hAnsi="宋体" w:cs="宋体"/>
                <w:szCs w:val="21"/>
                <w:highlight w:val="none"/>
              </w:rPr>
              <w:t>投标报价</w:t>
            </w:r>
          </w:p>
        </w:tc>
        <w:tc>
          <w:tcPr>
            <w:tcW w:w="5008" w:type="dxa"/>
            <w:noWrap/>
            <w:vAlign w:val="center"/>
          </w:tcPr>
          <w:p w14:paraId="2BF22B2C">
            <w:pPr>
              <w:spacing w:line="440" w:lineRule="exact"/>
              <w:rPr>
                <w:rFonts w:ascii="宋体" w:hAnsi="宋体" w:cs="宋体"/>
                <w:szCs w:val="21"/>
                <w:highlight w:val="none"/>
              </w:rPr>
            </w:pPr>
            <w:r>
              <w:rPr>
                <w:rFonts w:hint="eastAsia" w:ascii="宋体" w:hAnsi="宋体" w:cs="宋体"/>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8111" w:type="dxa"/>
            <w:gridSpan w:val="3"/>
            <w:noWrap/>
            <w:vAlign w:val="center"/>
          </w:tcPr>
          <w:p w14:paraId="0ED839D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1.本项目最高限价为：</w:t>
            </w:r>
            <w:r>
              <w:rPr>
                <w:rFonts w:hint="eastAsia" w:ascii="宋体" w:hAnsi="宋体" w:cs="宋体"/>
                <w:b w:val="0"/>
                <w:bCs/>
                <w:color w:val="auto"/>
                <w:sz w:val="21"/>
                <w:szCs w:val="21"/>
                <w:highlight w:val="none"/>
                <w:lang w:val="en-US" w:eastAsia="zh-CN"/>
              </w:rPr>
              <w:t>280</w:t>
            </w:r>
            <w:r>
              <w:rPr>
                <w:rFonts w:hint="eastAsia" w:ascii="宋体" w:hAnsi="宋体" w:eastAsia="宋体" w:cs="宋体"/>
                <w:b w:val="0"/>
                <w:bCs/>
                <w:color w:val="auto"/>
                <w:sz w:val="21"/>
                <w:szCs w:val="21"/>
                <w:highlight w:val="none"/>
                <w:lang w:val="en-US" w:eastAsia="zh-CN"/>
              </w:rPr>
              <w:t>000元；投标单位投标报价不得高于招标人发布的最高限价，否则按无效标处理。</w:t>
            </w:r>
          </w:p>
          <w:p w14:paraId="1214DE4D">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2.评标基准价为B，B值为通过详细评审的所有有效投标人投标报价的算术平均值。</w:t>
            </w:r>
          </w:p>
          <w:p w14:paraId="3C222F91">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3.计算报价偏差率，偏差率=|（投标报价-评标基准价）/评标基准价|×100%</w:t>
            </w:r>
          </w:p>
          <w:p w14:paraId="25EA7D4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4、计算报价得分</w:t>
            </w:r>
          </w:p>
          <w:p w14:paraId="34D45E3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①投标报价等于评标基准价的得满分。</w:t>
            </w:r>
          </w:p>
          <w:p w14:paraId="2F2E5F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②投标报价高于评标基准价的，投标报价得分=报价满分值-偏差率×100×0.2</w:t>
            </w:r>
          </w:p>
          <w:p w14:paraId="7C1D08EF">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③投标报价低于评标基准价的，投标报价得分=报价满分值-偏差率×100×0.1</w:t>
            </w:r>
          </w:p>
          <w:p w14:paraId="03F4BDD2">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color w:val="auto"/>
                <w:highlight w:val="none"/>
              </w:rPr>
            </w:pPr>
            <w:r>
              <w:rPr>
                <w:rFonts w:hint="eastAsia" w:ascii="宋体" w:hAnsi="宋体" w:eastAsia="宋体" w:cs="宋体"/>
                <w:b w:val="0"/>
                <w:bCs/>
                <w:color w:val="auto"/>
                <w:sz w:val="21"/>
                <w:szCs w:val="21"/>
                <w:highlight w:val="none"/>
                <w:lang w:val="en-US" w:eastAsia="zh-CN"/>
              </w:rPr>
              <w:t>5、本项分值由评标委员会负责组织计算，计算过程中，评标基准价B值、偏差率、报价得分均保留两位小数，小数点后第三位四舍五入。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506107324"/>
      <w:bookmarkStart w:id="123" w:name="_Toc246996232"/>
      <w:bookmarkStart w:id="124" w:name="_Toc152045589"/>
      <w:bookmarkStart w:id="125" w:name="_Toc247085747"/>
      <w:bookmarkStart w:id="126" w:name="_Toc35425113"/>
      <w:bookmarkStart w:id="127" w:name="_Toc6491"/>
      <w:bookmarkStart w:id="128" w:name="_Toc144974556"/>
      <w:bookmarkStart w:id="129" w:name="_Toc78803381"/>
      <w:bookmarkStart w:id="130" w:name="_Toc152042366"/>
      <w:bookmarkStart w:id="131" w:name="_Toc324404872"/>
      <w:bookmarkStart w:id="132" w:name="_Toc35424947"/>
      <w:bookmarkStart w:id="133" w:name="_Toc246996975"/>
      <w:bookmarkStart w:id="134" w:name="_Toc179632607"/>
      <w:bookmarkStart w:id="135" w:name="_Toc15058913"/>
      <w:r>
        <w:rPr>
          <w:rFonts w:hint="eastAsia" w:ascii="黑体" w:hAnsi="黑体" w:eastAsia="黑体" w:cs="黑体"/>
          <w:b/>
          <w:color w:val="auto"/>
          <w:szCs w:val="21"/>
          <w:highlight w:val="none"/>
        </w:rPr>
        <w:t>商务标评审表注：</w:t>
      </w:r>
    </w:p>
    <w:p w14:paraId="7CFC35BA">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、只有通过详细评审的投标人才能参加评分。</w:t>
      </w:r>
    </w:p>
    <w:p w14:paraId="723FCFE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、本表所称投标报价是指按招标文件规定修正后的投标</w:t>
      </w:r>
      <w:r>
        <w:rPr>
          <w:rFonts w:hint="eastAsia" w:ascii="宋体" w:hAnsi="宋体" w:cs="宋体"/>
          <w:color w:val="auto"/>
          <w:szCs w:val="21"/>
          <w:highlight w:val="none"/>
          <w:lang w:val="en-US" w:eastAsia="zh-CN"/>
        </w:rPr>
        <w:t>单</w:t>
      </w:r>
      <w:r>
        <w:rPr>
          <w:rFonts w:hint="eastAsia" w:ascii="宋体" w:hAnsi="宋体" w:cs="宋体"/>
          <w:color w:val="auto"/>
          <w:szCs w:val="21"/>
          <w:highlight w:val="none"/>
        </w:rPr>
        <w:t>价（多算投标报价、多报费用不扣减）。</w:t>
      </w:r>
    </w:p>
    <w:p w14:paraId="59E5148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szCs w:val="21"/>
          <w:highlight w:val="none"/>
        </w:rPr>
      </w:pPr>
      <w:bookmarkStart w:id="136" w:name="_Toc324404873"/>
      <w:bookmarkStart w:id="137" w:name="_Toc246996976"/>
      <w:bookmarkStart w:id="138" w:name="_Toc144974557"/>
      <w:bookmarkStart w:id="139" w:name="_Toc296602478"/>
      <w:bookmarkStart w:id="140" w:name="_Toc152042367"/>
      <w:bookmarkStart w:id="141" w:name="_Toc247085748"/>
      <w:bookmarkStart w:id="142" w:name="_Toc152045590"/>
      <w:bookmarkStart w:id="143" w:name="_Toc246996233"/>
      <w:bookmarkStart w:id="144" w:name="_Toc179632608"/>
      <w:r>
        <w:rPr>
          <w:rFonts w:hint="eastAsia" w:ascii="宋体" w:hAnsi="宋体" w:cs="宋体"/>
          <w:szCs w:val="21"/>
          <w:highlight w:val="none"/>
        </w:rPr>
        <w:t>本次评标采用综合评估法。评标委员会对满足招标文件实质性要求的投标文件，按照本章规定的评分标准进行打分，并按总得分（</w:t>
      </w:r>
      <w:r>
        <w:rPr>
          <w:rFonts w:hint="eastAsia" w:ascii="宋体" w:hAnsi="宋体" w:cs="宋体"/>
          <w:szCs w:val="21"/>
          <w:highlight w:val="none"/>
          <w:lang w:val="en-US" w:eastAsia="zh-CN"/>
        </w:rPr>
        <w:t>资信分+</w:t>
      </w:r>
      <w:r>
        <w:rPr>
          <w:rFonts w:hint="eastAsia" w:ascii="宋体" w:hAnsi="宋体" w:cs="宋体"/>
          <w:szCs w:val="21"/>
          <w:highlight w:val="none"/>
        </w:rPr>
        <w:t>技术分+商务分）由高到低顺序推荐中标候选人</w:t>
      </w:r>
      <w:r>
        <w:rPr>
          <w:rFonts w:hint="eastAsia" w:ascii="宋体" w:hAnsi="宋体" w:cs="宋体"/>
          <w:szCs w:val="21"/>
          <w:highlight w:val="none"/>
          <w:lang w:val="en-US" w:eastAsia="zh-CN"/>
        </w:rPr>
        <w:t>3</w:t>
      </w:r>
      <w:r>
        <w:rPr>
          <w:rFonts w:hint="eastAsia" w:ascii="宋体" w:hAnsi="宋体" w:cs="宋体"/>
          <w:szCs w:val="21"/>
          <w:highlight w:val="none"/>
        </w:rPr>
        <w:t>名，并标明</w:t>
      </w:r>
      <w:r>
        <w:rPr>
          <w:rFonts w:hint="eastAsia" w:ascii="宋体" w:hAnsi="宋体" w:cs="宋体"/>
          <w:color w:val="auto"/>
          <w:szCs w:val="21"/>
          <w:highlight w:val="none"/>
        </w:rPr>
        <w:t>排序，但投标报价低于其成本的除外。总评分相等时，以投标报价低的优先；若投标报价也相等，由</w:t>
      </w:r>
      <w:r>
        <w:rPr>
          <w:rFonts w:hint="eastAsia" w:ascii="宋体" w:hAnsi="宋体" w:cs="宋体"/>
          <w:szCs w:val="21"/>
          <w:highlight w:val="none"/>
        </w:rPr>
        <w:t>招标人抽签确定。</w:t>
      </w:r>
    </w:p>
    <w:p w14:paraId="3F12DD3B">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45" w:name="_Toc35425114"/>
      <w:bookmarkStart w:id="146" w:name="_Toc78803382"/>
      <w:bookmarkStart w:id="147" w:name="_Toc11945"/>
      <w:bookmarkStart w:id="148" w:name="_Toc35424948"/>
      <w:bookmarkStart w:id="149" w:name="_Toc15058914"/>
      <w:bookmarkStart w:id="150" w:name="_Toc506107325"/>
      <w:r>
        <w:rPr>
          <w:rFonts w:hint="eastAsia" w:ascii="宋体" w:hAnsi="宋体" w:eastAsia="宋体" w:cs="宋体"/>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bookmarkStart w:id="151" w:name="_Toc78803383"/>
      <w:r>
        <w:rPr>
          <w:rFonts w:hint="eastAsia" w:ascii="宋体" w:hAnsi="宋体" w:cs="宋体"/>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52" w:name="_Toc506107326"/>
      <w:bookmarkStart w:id="153" w:name="_Toc78803384"/>
      <w:bookmarkStart w:id="154" w:name="_Toc35425115"/>
      <w:bookmarkStart w:id="155" w:name="_Toc17377"/>
      <w:bookmarkStart w:id="156" w:name="_Toc35424949"/>
      <w:bookmarkStart w:id="157" w:name="_Toc15058915"/>
      <w:bookmarkStart w:id="158" w:name="_Toc324404874"/>
      <w:r>
        <w:rPr>
          <w:rFonts w:hint="eastAsia" w:ascii="宋体" w:hAnsi="宋体" w:eastAsia="宋体" w:cs="宋体"/>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评标先做准备工作，先进行</w:t>
      </w:r>
      <w:r>
        <w:rPr>
          <w:rFonts w:hint="eastAsia" w:ascii="宋体" w:hAnsi="宋体" w:cs="宋体"/>
          <w:szCs w:val="21"/>
          <w:highlight w:val="none"/>
          <w:lang w:val="en-US" w:eastAsia="zh-CN"/>
        </w:rPr>
        <w:t>资格审查</w:t>
      </w:r>
      <w:r>
        <w:rPr>
          <w:rFonts w:hint="eastAsia" w:ascii="宋体" w:hAnsi="宋体" w:cs="宋体"/>
          <w:szCs w:val="21"/>
          <w:highlight w:val="none"/>
        </w:rPr>
        <w:t>，然后进行技术标评审，最后进行商务标评审。</w:t>
      </w:r>
    </w:p>
    <w:p w14:paraId="6E980930">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59" w:name="_Toc27389"/>
      <w:bookmarkStart w:id="160" w:name="_Toc35425116"/>
      <w:bookmarkStart w:id="161" w:name="_Toc78803385"/>
      <w:bookmarkStart w:id="162" w:name="_Toc35424950"/>
      <w:bookmarkStart w:id="163" w:name="_Toc15058916"/>
      <w:r>
        <w:rPr>
          <w:rFonts w:hint="eastAsia" w:ascii="宋体" w:hAnsi="宋体" w:eastAsia="宋体" w:cs="宋体"/>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36FCFB9">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64" w:name="_Toc78803386"/>
      <w:bookmarkStart w:id="165" w:name="_Toc35424951"/>
      <w:bookmarkStart w:id="166" w:name="_Toc35425117"/>
      <w:bookmarkStart w:id="167" w:name="_Toc24650"/>
      <w:bookmarkStart w:id="168" w:name="_Toc15058917"/>
      <w:bookmarkStart w:id="169" w:name="_Toc1299"/>
      <w:bookmarkStart w:id="170" w:name="_Toc35425120"/>
      <w:bookmarkStart w:id="171" w:name="_Toc12200"/>
      <w:bookmarkStart w:id="172" w:name="_Toc35424954"/>
      <w:bookmarkStart w:id="173" w:name="_Toc506107327"/>
      <w:bookmarkStart w:id="174" w:name="_Toc15058919"/>
      <w:bookmarkStart w:id="175" w:name="_Toc324404875"/>
      <w:r>
        <w:rPr>
          <w:rFonts w:hint="eastAsia" w:ascii="宋体" w:hAnsi="宋体" w:eastAsia="宋体" w:cs="宋体"/>
          <w:highlight w:val="none"/>
        </w:rPr>
        <w:t>3.2</w:t>
      </w:r>
      <w:r>
        <w:rPr>
          <w:rFonts w:hint="eastAsia" w:ascii="宋体" w:hAnsi="宋体" w:eastAsia="宋体" w:cs="宋体"/>
          <w:highlight w:val="none"/>
          <w:lang w:val="en-US" w:eastAsia="zh-CN"/>
        </w:rPr>
        <w:t>资信</w:t>
      </w:r>
      <w:r>
        <w:rPr>
          <w:rFonts w:hint="eastAsia" w:ascii="宋体" w:hAnsi="宋体" w:eastAsia="宋体" w:cs="宋体"/>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cs="宋体"/>
          <w:szCs w:val="21"/>
          <w:highlight w:val="none"/>
        </w:rPr>
        <w:t>详见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13E391E0">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3</w:t>
      </w:r>
      <w:r>
        <w:rPr>
          <w:rFonts w:hint="eastAsia" w:ascii="宋体" w:hAnsi="宋体" w:eastAsia="宋体" w:cs="宋体"/>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14:paraId="3DC15C5A">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76" w:name="_Toc11990"/>
      <w:bookmarkStart w:id="177" w:name="_Toc35425118"/>
      <w:bookmarkStart w:id="178" w:name="_Toc35424952"/>
      <w:bookmarkStart w:id="179" w:name="_Toc15058918"/>
      <w:bookmarkStart w:id="180" w:name="_Toc78803387"/>
      <w:bookmarkStart w:id="181" w:name="_Toc17468"/>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26895"/>
      <w:bookmarkStart w:id="183" w:name="_Toc18087"/>
      <w:bookmarkStart w:id="184" w:name="_Toc35424953"/>
      <w:bookmarkStart w:id="185" w:name="_Toc78803388"/>
      <w:bookmarkStart w:id="186" w:name="_Toc35425119"/>
      <w:r>
        <w:rPr>
          <w:rStyle w:val="198"/>
          <w:rFonts w:hint="eastAsia" w:ascii="宋体" w:hAnsi="宋体" w:eastAsia="宋体" w:cs="宋体"/>
          <w:highlight w:val="none"/>
        </w:rPr>
        <w:t>3.</w:t>
      </w:r>
      <w:r>
        <w:rPr>
          <w:rStyle w:val="198"/>
          <w:rFonts w:hint="eastAsia" w:ascii="宋体" w:hAnsi="宋体" w:cs="宋体"/>
          <w:highlight w:val="none"/>
          <w:lang w:val="en-US"/>
        </w:rPr>
        <w:t>5</w:t>
      </w:r>
      <w:r>
        <w:rPr>
          <w:rStyle w:val="198"/>
          <w:rFonts w:hint="eastAsia" w:ascii="宋体" w:hAnsi="宋体" w:eastAsia="宋体" w:cs="宋体"/>
          <w:highlight w:val="none"/>
        </w:rPr>
        <w:t>推荐中标候选人</w:t>
      </w:r>
      <w:bookmarkEnd w:id="182"/>
      <w:bookmarkEnd w:id="183"/>
      <w:bookmarkEnd w:id="184"/>
      <w:bookmarkEnd w:id="185"/>
      <w:bookmarkEnd w:id="186"/>
      <w:r>
        <w:rPr>
          <w:rFonts w:hint="eastAsia" w:ascii="宋体" w:hAnsi="宋体" w:cs="宋体"/>
          <w:b/>
          <w:bCs/>
          <w:highlight w:val="none"/>
        </w:rPr>
        <w:t>：</w:t>
      </w:r>
      <w:r>
        <w:rPr>
          <w:rFonts w:hint="eastAsia" w:ascii="宋体" w:hAnsi="宋体" w:cs="宋体"/>
          <w:highlight w:val="none"/>
        </w:rPr>
        <w:t>资</w:t>
      </w:r>
      <w:r>
        <w:rPr>
          <w:rFonts w:hint="eastAsia" w:ascii="宋体" w:hAnsi="宋体" w:cs="宋体"/>
          <w:highlight w:val="none"/>
          <w:lang w:val="en-US" w:eastAsia="zh-CN"/>
        </w:rPr>
        <w:t>格审查</w:t>
      </w:r>
      <w:r>
        <w:rPr>
          <w:rFonts w:hint="eastAsia" w:ascii="宋体" w:hAnsi="宋体" w:cs="宋体"/>
          <w:highlight w:val="none"/>
        </w:rPr>
        <w:t>、技术标评审、商务标</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87" w:name="_Toc78803389"/>
      <w:r>
        <w:rPr>
          <w:rFonts w:hint="eastAsia" w:ascii="宋体" w:hAnsi="宋体" w:eastAsia="宋体" w:cs="宋体"/>
          <w:highlight w:val="none"/>
        </w:rPr>
        <w:t>4.评审内容</w:t>
      </w:r>
      <w:bookmarkEnd w:id="170"/>
      <w:bookmarkEnd w:id="171"/>
      <w:bookmarkEnd w:id="172"/>
      <w:bookmarkEnd w:id="173"/>
      <w:bookmarkEnd w:id="174"/>
      <w:bookmarkEnd w:id="175"/>
      <w:bookmarkEnd w:id="187"/>
    </w:p>
    <w:p w14:paraId="0F1392E9">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88" w:name="_Toc9630"/>
      <w:bookmarkStart w:id="189" w:name="_Toc78803390"/>
      <w:r>
        <w:rPr>
          <w:rFonts w:hint="eastAsia" w:ascii="宋体" w:hAnsi="宋体" w:eastAsia="宋体" w:cs="宋体"/>
          <w:highlight w:val="none"/>
        </w:rPr>
        <w:t>4.1</w:t>
      </w:r>
      <w:bookmarkEnd w:id="188"/>
      <w:bookmarkEnd w:id="189"/>
      <w:bookmarkStart w:id="190" w:name="_Toc3531"/>
      <w:bookmarkStart w:id="191" w:name="_Toc15058921"/>
      <w:bookmarkStart w:id="192" w:name="_Toc35424956"/>
      <w:bookmarkStart w:id="193" w:name="_Toc78803391"/>
      <w:bookmarkStart w:id="194" w:name="_Toc35425122"/>
      <w:bookmarkStart w:id="195" w:name="_Toc324404876"/>
      <w:r>
        <w:rPr>
          <w:rFonts w:hint="eastAsia" w:ascii="宋体" w:hAnsi="宋体" w:eastAsia="宋体" w:cs="宋体"/>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96" w:name="_Toc35425123"/>
      <w:bookmarkStart w:id="197" w:name="_Toc506107328"/>
      <w:bookmarkStart w:id="198" w:name="_Toc78803392"/>
      <w:bookmarkStart w:id="199" w:name="_Toc13125"/>
      <w:bookmarkStart w:id="200" w:name="_Toc15058922"/>
      <w:bookmarkStart w:id="201" w:name="_Toc35424957"/>
      <w:r>
        <w:rPr>
          <w:rFonts w:hint="eastAsia" w:ascii="宋体" w:hAnsi="宋体" w:eastAsia="宋体" w:cs="宋体"/>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6C2FB7F4">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2" w:name="_Toc27846"/>
      <w:bookmarkStart w:id="203" w:name="_Toc324404877"/>
      <w:bookmarkStart w:id="204" w:name="_Toc35425124"/>
      <w:bookmarkStart w:id="205" w:name="_Toc506107329"/>
      <w:bookmarkStart w:id="206" w:name="_Toc35424958"/>
      <w:bookmarkStart w:id="207" w:name="_Toc15058923"/>
      <w:bookmarkStart w:id="208" w:name="_Toc78803393"/>
      <w:r>
        <w:rPr>
          <w:rFonts w:hint="eastAsia" w:ascii="宋体" w:hAnsi="宋体" w:eastAsia="宋体" w:cs="宋体"/>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9" w:name="_Toc13990"/>
      <w:bookmarkStart w:id="210" w:name="_Toc506107330"/>
      <w:bookmarkStart w:id="211" w:name="_Toc15058924"/>
      <w:bookmarkStart w:id="212" w:name="_Toc324404878"/>
      <w:bookmarkStart w:id="213" w:name="_Toc35425125"/>
      <w:bookmarkStart w:id="214" w:name="_Toc35424959"/>
      <w:bookmarkStart w:id="215" w:name="_Toc78803394"/>
      <w:r>
        <w:rPr>
          <w:rFonts w:hint="eastAsia" w:ascii="宋体" w:hAnsi="宋体" w:eastAsia="宋体" w:cs="宋体"/>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bookmarkStart w:id="216" w:name="_Toc22863"/>
      <w:bookmarkStart w:id="217" w:name="_Toc78803395"/>
      <w:bookmarkStart w:id="218" w:name="_Toc35425126"/>
      <w:bookmarkStart w:id="219" w:name="_Toc15058925"/>
      <w:bookmarkStart w:id="220" w:name="_Toc35424960"/>
      <w:bookmarkStart w:id="221" w:name="_Toc506107331"/>
      <w:bookmarkStart w:id="222" w:name="_Toc324404879"/>
      <w:r>
        <w:rPr>
          <w:rFonts w:hint="eastAsia" w:ascii="宋体" w:hAnsi="宋体" w:cs="宋体"/>
          <w:szCs w:val="21"/>
          <w:highlight w:val="none"/>
          <w:lang w:val="en-US" w:eastAsia="zh-CN"/>
        </w:rPr>
        <w:t>资信</w:t>
      </w:r>
      <w:r>
        <w:rPr>
          <w:rFonts w:hint="eastAsia" w:ascii="宋体" w:hAnsi="宋体" w:cs="宋体"/>
          <w:szCs w:val="21"/>
          <w:highlight w:val="none"/>
        </w:rPr>
        <w:t>标评分标准：见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14:paraId="26B2972C">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23" w:name="_Toc506107332"/>
      <w:bookmarkStart w:id="224" w:name="_Toc35425127"/>
      <w:bookmarkStart w:id="225" w:name="_Toc15058926"/>
      <w:bookmarkStart w:id="226" w:name="_Toc324404880"/>
      <w:bookmarkStart w:id="227" w:name="_Toc1576"/>
      <w:bookmarkStart w:id="228" w:name="_Toc78803396"/>
      <w:bookmarkStart w:id="229" w:name="_Toc35424961"/>
      <w:r>
        <w:rPr>
          <w:rFonts w:hint="eastAsia" w:ascii="宋体" w:hAnsi="宋体" w:eastAsia="宋体" w:cs="宋体"/>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宋体" w:hAnsi="宋体" w:cs="宋体"/>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152045609"/>
      <w:bookmarkStart w:id="231" w:name="_Toc152042387"/>
      <w:bookmarkStart w:id="232" w:name="_Toc246996995"/>
      <w:bookmarkStart w:id="233" w:name="_Toc246996252"/>
      <w:bookmarkStart w:id="234" w:name="_Toc417623601"/>
      <w:bookmarkStart w:id="235" w:name="_Toc324404881"/>
      <w:bookmarkStart w:id="236" w:name="_Toc144974577"/>
      <w:bookmarkStart w:id="237" w:name="_Toc179632627"/>
      <w:bookmarkStart w:id="238" w:name="_Toc247085767"/>
    </w:p>
    <w:bookmarkEnd w:id="230"/>
    <w:bookmarkEnd w:id="231"/>
    <w:bookmarkEnd w:id="232"/>
    <w:bookmarkEnd w:id="233"/>
    <w:bookmarkEnd w:id="234"/>
    <w:bookmarkEnd w:id="235"/>
    <w:bookmarkEnd w:id="236"/>
    <w:bookmarkEnd w:id="237"/>
    <w:bookmarkEnd w:id="238"/>
    <w:p w14:paraId="01EE8AAD">
      <w:pPr>
        <w:rPr>
          <w:highlight w:val="none"/>
        </w:rPr>
      </w:pPr>
      <w:bookmarkStart w:id="239" w:name="_Toc35424962"/>
      <w:bookmarkStart w:id="240" w:name="_Toc179632785"/>
      <w:bookmarkStart w:id="241" w:name="_Toc15058927"/>
      <w:bookmarkStart w:id="242" w:name="_Toc506107333"/>
      <w:bookmarkStart w:id="243" w:name="_Toc35425128"/>
      <w:bookmarkStart w:id="244" w:name="_Toc144974826"/>
      <w:bookmarkStart w:id="245" w:name="_Toc152045767"/>
      <w:bookmarkStart w:id="246" w:name="_Toc152042546"/>
    </w:p>
    <w:p w14:paraId="65923B12">
      <w:pPr>
        <w:rPr>
          <w:rFonts w:hint="eastAsia"/>
          <w:highlight w:val="none"/>
        </w:rPr>
      </w:pPr>
      <w:r>
        <w:rPr>
          <w:rFonts w:hint="eastAsia"/>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szCs w:val="32"/>
          <w:highlight w:val="none"/>
          <w:lang w:val="en-US" w:eastAsia="zh-CN"/>
        </w:rPr>
      </w:pPr>
      <w:bookmarkStart w:id="248" w:name="_Toc78803398"/>
      <w:bookmarkStart w:id="249" w:name="_Toc152045786"/>
      <w:bookmarkStart w:id="250" w:name="_Toc179632806"/>
      <w:bookmarkStart w:id="251" w:name="_Toc324404888"/>
      <w:bookmarkStart w:id="252" w:name="_Toc144974855"/>
      <w:bookmarkStart w:id="253" w:name="_Toc506107340"/>
      <w:bookmarkStart w:id="254" w:name="_Toc35424970"/>
      <w:bookmarkStart w:id="255" w:name="_Toc247085872"/>
      <w:bookmarkStart w:id="256" w:name="_Toc246996354"/>
      <w:bookmarkStart w:id="257" w:name="_Toc15058934"/>
      <w:bookmarkStart w:id="258" w:name="_Toc152042575"/>
      <w:bookmarkStart w:id="259" w:name="_Toc246997097"/>
      <w:bookmarkStart w:id="260" w:name="_Toc35425136"/>
      <w:r>
        <w:rPr>
          <w:rFonts w:hint="eastAsia" w:eastAsia="宋体" w:cs="Times New Roman"/>
          <w:bCs/>
          <w:szCs w:val="32"/>
          <w:highlight w:val="none"/>
        </w:rPr>
        <w:t>第</w:t>
      </w:r>
      <w:r>
        <w:rPr>
          <w:rFonts w:hint="eastAsia" w:eastAsia="宋体" w:cs="Times New Roman"/>
          <w:bCs/>
          <w:szCs w:val="32"/>
          <w:highlight w:val="none"/>
          <w:lang w:val="en-US" w:eastAsia="zh-CN"/>
        </w:rPr>
        <w:t>五</w:t>
      </w:r>
      <w:r>
        <w:rPr>
          <w:rFonts w:hint="eastAsia" w:eastAsia="宋体" w:cs="Times New Roman"/>
          <w:bCs/>
          <w:szCs w:val="32"/>
          <w:highlight w:val="none"/>
        </w:rPr>
        <w:t xml:space="preserve">章 </w:t>
      </w:r>
      <w:r>
        <w:rPr>
          <w:rFonts w:hint="eastAsia" w:cs="Times New Roman"/>
          <w:bCs/>
          <w:szCs w:val="32"/>
          <w:highlight w:val="none"/>
          <w:lang w:val="en-US" w:eastAsia="zh-CN"/>
        </w:rPr>
        <w:t>采购需求</w:t>
      </w:r>
    </w:p>
    <w:p w14:paraId="04F7BF0B">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一、项目</w:t>
      </w:r>
      <w:r>
        <w:rPr>
          <w:rFonts w:hint="eastAsia" w:ascii="宋体" w:hAnsi="宋体" w:cs="宋体"/>
          <w:b/>
          <w:sz w:val="21"/>
          <w:szCs w:val="21"/>
          <w:highlight w:val="none"/>
          <w:lang w:val="en-US" w:eastAsia="zh-CN"/>
        </w:rPr>
        <w:t>背景</w:t>
      </w:r>
    </w:p>
    <w:p w14:paraId="3DC4F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滁宁城际铁路（滁州段）2023年6月28日开通，目前电客车最大里程数达62万公里。滁州轨道运营公司根据主机厂推荐的修程修制（120万公里/4年组织完成三级修），初步编制服役电客车三级修计划：2026年三季度末开展电客车高级修（三级修）首列试修工作，2027年底完成所有现役电客车高级修（三级修）工作，其中首列车试修周期为3-6个月。</w:t>
      </w:r>
    </w:p>
    <w:p w14:paraId="79C3E9AE">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w:t>
      </w:r>
      <w:r>
        <w:rPr>
          <w:rFonts w:hint="eastAsia" w:ascii="宋体" w:hAnsi="宋体" w:cs="宋体"/>
          <w:b/>
          <w:sz w:val="21"/>
          <w:szCs w:val="21"/>
          <w:highlight w:val="none"/>
          <w:lang w:val="en-US" w:eastAsia="zh-CN"/>
        </w:rPr>
        <w:t>采购内容及服务要求</w:t>
      </w:r>
    </w:p>
    <w:p w14:paraId="0A5795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1.采购内容</w:t>
      </w:r>
    </w:p>
    <w:p w14:paraId="567E59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为保障滁宁城际铁路（滁州段）电客车高级修（三级修）工作顺利开展，现需第三方专业机构开展以下工作并给出明确意见：</w:t>
      </w:r>
    </w:p>
    <w:p w14:paraId="1E1C39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（1）以交通行业标准和现有案例开展调研，研究并明确本次高级修（三级修）应遵循和参照的国家规范、行业标准及地方标准；</w:t>
      </w:r>
    </w:p>
    <w:p w14:paraId="2D12B6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（2）对主机厂提供的现有高级修修制中检修项点覆盖完整性、工艺标准可操作性、特殊部件检修授权、安全性等内容进行评审，并确立滁宁城际电客车高级修修制；</w:t>
      </w:r>
    </w:p>
    <w:p w14:paraId="71CDF3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（3）依据交通运输部要求，开展车辆现状客观评估，对高级修（三级修）检修规程及《电客车状态评估报告》进行评审，明确检修规程修正意见及试修、全面检修的开展时机；</w:t>
      </w:r>
    </w:p>
    <w:p w14:paraId="231939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highlight w:val="none"/>
          <w:lang w:val="en-US" w:eastAsia="zh-CN"/>
        </w:rPr>
      </w:pPr>
      <w:r>
        <w:rPr>
          <w:rFonts w:hint="eastAsia" w:ascii="宋体" w:hAnsi="宋体" w:eastAsia="宋体" w:cs="宋体"/>
          <w:szCs w:val="21"/>
          <w:highlight w:val="none"/>
          <w:lang w:val="en-US" w:eastAsia="zh-CN"/>
        </w:rPr>
        <w:t>（4）研究三、四级修等高级别招标工作同步推进（合并招标）的可行性。</w:t>
      </w:r>
    </w:p>
    <w:p w14:paraId="5E110F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2.服务要求</w:t>
      </w:r>
    </w:p>
    <w:p w14:paraId="6AE6A3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根据滁宁城际电客车车型、速度等级、运营工况、设计规范等情况，结合国标规范、行业标准及地方标准等规范、标准，对滁宁城际电客车高级修参考国家标准、行业标准及地方标准的关联性评估并明确本次高级修（三级修）应遵循和参照的国家规范、行业标准及地方标准；</w:t>
      </w:r>
    </w:p>
    <w:p w14:paraId="4DD58A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根据第一项工作中对国家标准、行业标准及地方标准，对主机厂提供的现有高级修修制进行评审，确立滁宁城际电客车高级修修制，构建滁宁城际电客车三、四、五级修框架，指导滁宁城际电客车三、四、五级修工作开展；</w:t>
      </w:r>
    </w:p>
    <w:p w14:paraId="0504A1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以前两项工作成果为依据，结合滁宁城际电客车车型、速度等级、运营工况、设计规范等，对《电客车状态评估报告》《滁宁城际电客车三级修维修规程》两项文件进行评估，并明确检修规程修正意见及试修、全面检修的开展时机。</w:t>
      </w:r>
    </w:p>
    <w:p w14:paraId="7BDD9E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（4）结合滁宁城际运营现状，研究三、四级修等高级别招标工作同步推进（合并招标）的可行性。</w:t>
      </w:r>
    </w:p>
    <w:p w14:paraId="064316EA">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w:t>
      </w:r>
      <w:r>
        <w:rPr>
          <w:rFonts w:hint="eastAsia" w:ascii="宋体" w:hAnsi="宋体" w:cs="宋体"/>
          <w:b/>
          <w:sz w:val="21"/>
          <w:szCs w:val="21"/>
          <w:highlight w:val="none"/>
          <w:lang w:val="en-US" w:eastAsia="zh-CN"/>
        </w:rPr>
        <w:t>成果要求</w:t>
      </w:r>
    </w:p>
    <w:p w14:paraId="4D5C89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1.形成时速140公里市域D型电客车三、四、五级修修程修制需参考的标准及规范清单。</w:t>
      </w:r>
    </w:p>
    <w:p w14:paraId="7201BF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2.提交完整的三、四、五级修框架及明确各级别修程开关门里程及时间。</w:t>
      </w:r>
    </w:p>
    <w:p w14:paraId="480F7E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3.2026年2月前提交《滁宁城际电客车三级修维修规程》的修正意见及试修、全面检修的开展时机。</w:t>
      </w:r>
    </w:p>
    <w:p w14:paraId="1566AA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4.三、四级修等高级别招标工作同步推进（合并招标）可行性分析报告，并提供参考意见。</w:t>
      </w:r>
    </w:p>
    <w:p w14:paraId="1E9899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5.成果的内容必须符合本项目采购需求的有关要求和国家的相关标准。</w:t>
      </w:r>
    </w:p>
    <w:p w14:paraId="5F5094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6.成果构成：成果应充分表达项目内容，主要包括文本、相关文件附件等。</w:t>
      </w:r>
    </w:p>
    <w:p w14:paraId="316D36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7.提交要求：提交的成果必须装订成册（电子文件除外）。</w:t>
      </w:r>
    </w:p>
    <w:p w14:paraId="57C02299">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四、服务周期</w:t>
      </w:r>
    </w:p>
    <w:p w14:paraId="5CA955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2026年2月底之前提交所有成果文件，并完成评审。</w:t>
      </w:r>
    </w:p>
    <w:p w14:paraId="3F279AE1">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sz w:val="21"/>
          <w:szCs w:val="21"/>
          <w:highlight w:val="none"/>
          <w:lang w:val="en-US" w:eastAsia="zh-CN"/>
        </w:rPr>
      </w:pPr>
      <w:bookmarkStart w:id="261" w:name="_Toc12958"/>
      <w:r>
        <w:rPr>
          <w:rFonts w:hint="eastAsia" w:ascii="宋体" w:hAnsi="宋体" w:eastAsia="宋体" w:cs="宋体"/>
          <w:b/>
          <w:sz w:val="21"/>
          <w:szCs w:val="21"/>
          <w:highlight w:val="none"/>
          <w:lang w:val="en-US" w:eastAsia="zh-CN"/>
        </w:rPr>
        <w:t>五、知识产权相关约定</w:t>
      </w:r>
      <w:bookmarkEnd w:id="261"/>
    </w:p>
    <w:p w14:paraId="6D6D82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（1）中标人应保证所提供的服务及其任何一部分均不会侵犯任何第三方的知识产权。</w:t>
      </w:r>
    </w:p>
    <w:p w14:paraId="1D2CB8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（2）中标人提交的所有文本内容的知识产权归招标人所有，包括但不限于著作权、版权、专利权、使用权、文字和图像等元素。</w:t>
      </w:r>
    </w:p>
    <w:p w14:paraId="57B4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（3）中标人须保证响应文件及资料均未侵犯他人的知识产权，否则应承担全部责任。</w:t>
      </w:r>
    </w:p>
    <w:p w14:paraId="3309F9EA">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六、技术情报和资料的保密</w:t>
      </w:r>
    </w:p>
    <w:p w14:paraId="20C563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（1）对招标人提供的文件、报告等技术资料保密；</w:t>
      </w:r>
    </w:p>
    <w:p w14:paraId="4F7953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（2）提供给招标人的报告未经同意不得向第三方提供。</w:t>
      </w:r>
    </w:p>
    <w:p w14:paraId="7C913670">
      <w:pPr>
        <w:pStyle w:val="6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sz w:val="21"/>
          <w:szCs w:val="21"/>
          <w:highlight w:val="none"/>
          <w:lang w:val="en-US" w:eastAsia="zh-CN"/>
        </w:rPr>
      </w:pPr>
      <w:bookmarkStart w:id="262" w:name="_Toc2317"/>
      <w:r>
        <w:rPr>
          <w:rFonts w:hint="eastAsia" w:ascii="宋体" w:hAnsi="宋体" w:eastAsia="宋体" w:cs="宋体"/>
          <w:b/>
          <w:sz w:val="21"/>
          <w:szCs w:val="21"/>
          <w:highlight w:val="none"/>
          <w:lang w:val="en-US" w:eastAsia="zh-CN"/>
        </w:rPr>
        <w:t>七、项目验收</w:t>
      </w:r>
      <w:bookmarkEnd w:id="262"/>
    </w:p>
    <w:p w14:paraId="69E26B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中标人提交验收资料，由招标单位自行组织验收。</w:t>
      </w:r>
    </w:p>
    <w:p w14:paraId="72E89606">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szCs w:val="21"/>
          <w:highlight w:val="none"/>
          <w:lang w:val="en-US" w:eastAsia="zh-CN"/>
        </w:rPr>
      </w:pPr>
    </w:p>
    <w:p w14:paraId="4233ACF1">
      <w:pPr>
        <w:rPr>
          <w:rFonts w:hint="eastAsia"/>
          <w:bCs/>
          <w:szCs w:val="32"/>
          <w:highlight w:val="none"/>
        </w:rPr>
      </w:pPr>
    </w:p>
    <w:p w14:paraId="64EB90CF">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66C85E43">
      <w:pPr>
        <w:pageBreakBefore w:val="0"/>
        <w:widowControl w:val="0"/>
        <w:kinsoku/>
        <w:wordWrap/>
        <w:overflowPunct/>
        <w:topLinePunct w:val="0"/>
        <w:autoSpaceDE/>
        <w:autoSpaceDN/>
        <w:bidi w:val="0"/>
        <w:adjustRightInd w:val="0"/>
        <w:snapToGrid w:val="0"/>
        <w:spacing w:line="440" w:lineRule="exact"/>
        <w:ind w:firstLine="480"/>
        <w:jc w:val="left"/>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委托方（甲方）：</w:t>
      </w:r>
      <w:r>
        <w:rPr>
          <w:rFonts w:hint="eastAsia" w:ascii="宋体" w:hAnsi="宋体" w:eastAsia="宋体" w:cs="宋体"/>
          <w:sz w:val="21"/>
          <w:szCs w:val="21"/>
          <w:highlight w:val="none"/>
          <w:u w:val="single"/>
          <w:lang w:eastAsia="zh-CN"/>
        </w:rPr>
        <w:t>滁州市滁宁城际铁路开发建设有限公司</w:t>
      </w:r>
    </w:p>
    <w:p w14:paraId="381DF45B">
      <w:pPr>
        <w:pageBreakBefore w:val="0"/>
        <w:widowControl w:val="0"/>
        <w:kinsoku/>
        <w:wordWrap/>
        <w:overflowPunct/>
        <w:topLinePunct w:val="0"/>
        <w:autoSpaceDE/>
        <w:autoSpaceDN/>
        <w:bidi w:val="0"/>
        <w:adjustRightInd w:val="0"/>
        <w:snapToGrid w:val="0"/>
        <w:spacing w:line="44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受托方（乙方）：</w:t>
      </w:r>
      <w:r>
        <w:rPr>
          <w:rFonts w:hint="eastAsia" w:ascii="宋体" w:hAnsi="宋体" w:eastAsia="宋体" w:cs="宋体"/>
          <w:sz w:val="21"/>
          <w:szCs w:val="21"/>
          <w:highlight w:val="none"/>
          <w:u w:val="single"/>
        </w:rPr>
        <w:t xml:space="preserve">                      </w:t>
      </w:r>
    </w:p>
    <w:p w14:paraId="58188D54">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依据《中华人民共和国民法典》</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的规定，滁州市滁宁城际铁路开发建设有限公司委托乙方进行滁宁城铁电客车高级修修程修制（控制性关键项点）研究服务工作，并支付相应的技术服务报酬。双方经过平等协商，在真实、充分地表达各自意愿的基础上，结合本工程具体情况，为明确责任，确保</w:t>
      </w:r>
      <w:r>
        <w:rPr>
          <w:rFonts w:hint="eastAsia" w:ascii="宋体" w:hAnsi="宋体" w:eastAsia="宋体" w:cs="宋体"/>
          <w:sz w:val="21"/>
          <w:szCs w:val="21"/>
          <w:highlight w:val="none"/>
          <w:lang w:val="en-US" w:eastAsia="zh-CN"/>
        </w:rPr>
        <w:t>成果文件</w:t>
      </w:r>
      <w:r>
        <w:rPr>
          <w:rFonts w:hint="eastAsia" w:ascii="宋体" w:hAnsi="宋体" w:eastAsia="宋体" w:cs="宋体"/>
          <w:sz w:val="21"/>
          <w:szCs w:val="21"/>
          <w:highlight w:val="none"/>
          <w:lang w:eastAsia="zh-CN"/>
        </w:rPr>
        <w:t>的质量，经双方协商一致，签订本合同，以资共同遵守。</w:t>
      </w:r>
    </w:p>
    <w:p w14:paraId="2FC11489">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lang w:eastAsia="zh-CN"/>
        </w:rPr>
      </w:pPr>
      <w:bookmarkStart w:id="263" w:name="_Toc15044"/>
      <w:bookmarkStart w:id="264" w:name="_Toc9904"/>
      <w:bookmarkStart w:id="265" w:name="_Toc8565"/>
      <w:bookmarkStart w:id="266" w:name="_Toc21672"/>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项目</w:t>
      </w:r>
      <w:bookmarkEnd w:id="263"/>
      <w:bookmarkEnd w:id="264"/>
      <w:bookmarkEnd w:id="265"/>
      <w:bookmarkEnd w:id="266"/>
      <w:r>
        <w:rPr>
          <w:rFonts w:hint="eastAsia" w:ascii="宋体" w:hAnsi="宋体" w:eastAsia="宋体" w:cs="宋体"/>
          <w:sz w:val="21"/>
          <w:szCs w:val="21"/>
          <w:highlight w:val="none"/>
          <w:lang w:val="en-US" w:eastAsia="zh-CN"/>
        </w:rPr>
        <w:t>背景</w:t>
      </w:r>
    </w:p>
    <w:p w14:paraId="3BCDAE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bookmarkStart w:id="267" w:name="_Toc4014"/>
      <w:bookmarkStart w:id="268" w:name="_Toc23083"/>
      <w:bookmarkStart w:id="269" w:name="_Toc30373"/>
      <w:bookmarkStart w:id="270" w:name="_Toc18720"/>
      <w:r>
        <w:rPr>
          <w:rFonts w:hint="eastAsia" w:ascii="宋体" w:hAnsi="宋体" w:eastAsia="宋体" w:cs="宋体"/>
          <w:szCs w:val="21"/>
          <w:highlight w:val="none"/>
          <w:lang w:val="en-US" w:eastAsia="zh-CN"/>
        </w:rPr>
        <w:t>滁宁城际铁路（滁州段）2023年6月28日开通，目前电客车最大里程数达62万公里。滁州轨道运营公司根据主机厂推荐的修程修制（120万公里/4年组织完成三级修），初步编制服役电客车三级修计划：2026年三季度末开展电客车高级修（三级修）首列试修工作，2027年底完成所有现役电客车高级修（三级修）工作，其中首列车试修周期为3-6个月。</w:t>
      </w:r>
    </w:p>
    <w:p w14:paraId="093AB8FA">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val="en-US" w:eastAsia="zh-CN"/>
        </w:rPr>
        <w:t>内容及</w:t>
      </w:r>
      <w:r>
        <w:rPr>
          <w:rFonts w:hint="eastAsia" w:ascii="宋体" w:hAnsi="宋体" w:eastAsia="宋体" w:cs="宋体"/>
          <w:sz w:val="21"/>
          <w:szCs w:val="21"/>
          <w:highlight w:val="none"/>
        </w:rPr>
        <w:t>要求</w:t>
      </w:r>
      <w:bookmarkEnd w:id="267"/>
      <w:bookmarkEnd w:id="268"/>
      <w:bookmarkEnd w:id="269"/>
      <w:bookmarkEnd w:id="270"/>
    </w:p>
    <w:p w14:paraId="502C13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bookmarkStart w:id="271" w:name="_Toc18867"/>
      <w:bookmarkStart w:id="272" w:name="_Toc867"/>
      <w:bookmarkStart w:id="273" w:name="_Toc21709"/>
      <w:bookmarkStart w:id="274" w:name="_Toc20221"/>
      <w:r>
        <w:rPr>
          <w:rFonts w:hint="eastAsia" w:ascii="宋体" w:hAnsi="宋体" w:eastAsia="宋体" w:cs="宋体"/>
          <w:szCs w:val="21"/>
          <w:highlight w:val="none"/>
          <w:lang w:val="en-US" w:eastAsia="zh-CN"/>
        </w:rPr>
        <w:t>2.1服务内容</w:t>
      </w:r>
    </w:p>
    <w:p w14:paraId="30AC1C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为保障滁宁城际铁路（滁州段）电客车高级修（三级修）工作顺利开展，现需第三方专业机构开展以下工作并给出明确意见：</w:t>
      </w:r>
    </w:p>
    <w:p w14:paraId="740717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（1）以交通行业标准和现有案例开展调研，研究并明确本次高级修（三级修）应遵循和参照的国家规范、行业标准及地方标准；</w:t>
      </w:r>
    </w:p>
    <w:p w14:paraId="650C58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（2）对主机厂提供的现有高级修修制中检修项点覆盖完整性、工艺标准可操作性、特殊部件检修授权、安全性等内容进行评审，并确立滁宁城际电客车高级修修制；</w:t>
      </w:r>
    </w:p>
    <w:p w14:paraId="012777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（3）依据交通运输部要求，开展车辆现状客观评估，对高级修（三级修）检修规程及《电客车状态评估报告》进行评审，明确检修规程修正意见及试修、全面检修的开展时机；</w:t>
      </w:r>
    </w:p>
    <w:p w14:paraId="1AB574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（4）研究三、四级修等高级别招标工作同步推进（合并招标）的可行性。</w:t>
      </w:r>
    </w:p>
    <w:p w14:paraId="22BA36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2.2服务要求</w:t>
      </w:r>
    </w:p>
    <w:p w14:paraId="7ABC4F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根据滁宁城际电客车车型、速度等级、运营工况、设计规范等情况，结合国标规范、行业标准及地方标准等规范、标准，对滁宁城际电客车高级修参考国家标准、行业标准及地方标准的关联性评估并明确本次高级修（三级修）应遵循和参照的国家规范、行业标准及地方标准；</w:t>
      </w:r>
    </w:p>
    <w:p w14:paraId="7FA875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根据第一项工作中对国家标准、行业标准及地方标准，对主机厂提供的现有高级修修制进行评审，确立滁宁城际电客车高级修修制，构建滁宁城际电客车三、四、五级修框架，指导滁宁城际电客车三、四、五级修工作开展；</w:t>
      </w:r>
    </w:p>
    <w:p w14:paraId="2E572B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以前两项工作成果为依据，结合滁宁城际电客车车型、速度等级、运营工况、设计规范等，对《电客车状态评估报告》《滁宁城际电客车三级修维修规程》两项文件进行评估，并明确检修规程修正意见及试修、全面检修的开展时机。</w:t>
      </w:r>
    </w:p>
    <w:p w14:paraId="307E1E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（4）结合滁宁城际运营现状，研究三、四级修等高级别招标工作同步推进（合并招标）的可行性。</w:t>
      </w:r>
    </w:p>
    <w:p w14:paraId="49C590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2.3服务期</w:t>
      </w:r>
    </w:p>
    <w:p w14:paraId="2CB993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2026年2月底之前提交所有成果文件，并完成评审。</w:t>
      </w:r>
    </w:p>
    <w:p w14:paraId="1A6BAC07">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合同价款</w:t>
      </w:r>
      <w:bookmarkEnd w:id="271"/>
      <w:bookmarkEnd w:id="272"/>
      <w:bookmarkEnd w:id="273"/>
      <w:bookmarkEnd w:id="274"/>
    </w:p>
    <w:p w14:paraId="46D9A9EA">
      <w:pPr>
        <w:pageBreakBefore w:val="0"/>
        <w:widowControl w:val="0"/>
        <w:kinsoku/>
        <w:wordWrap/>
        <w:overflowPunct/>
        <w:topLinePunct w:val="0"/>
        <w:autoSpaceDE/>
        <w:autoSpaceDN/>
        <w:bidi w:val="0"/>
        <w:adjustRightInd w:val="0"/>
        <w:snapToGrid w:val="0"/>
        <w:spacing w:line="44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费用合计：    元（大写：         整 ）</w:t>
      </w:r>
    </w:p>
    <w:p w14:paraId="1A0E4BEC">
      <w:pPr>
        <w:pageBreakBefore w:val="0"/>
        <w:widowControl w:val="0"/>
        <w:kinsoku/>
        <w:wordWrap/>
        <w:overflowPunct/>
        <w:topLinePunct w:val="0"/>
        <w:autoSpaceDE/>
        <w:autoSpaceDN/>
        <w:bidi w:val="0"/>
        <w:adjustRightInd w:val="0"/>
        <w:snapToGrid w:val="0"/>
        <w:spacing w:line="44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税率：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%（如遇国家税率调整，税额进行相应调整，除税金额保持不变）</w:t>
      </w:r>
    </w:p>
    <w:p w14:paraId="00D2884B">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rPr>
      </w:pPr>
      <w:bookmarkStart w:id="275" w:name="_Toc26330"/>
      <w:bookmarkStart w:id="276" w:name="_Toc19703"/>
      <w:bookmarkStart w:id="277" w:name="_Toc25987"/>
      <w:bookmarkStart w:id="278" w:name="_Toc10252"/>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支付</w:t>
      </w:r>
      <w:bookmarkEnd w:id="275"/>
      <w:bookmarkEnd w:id="276"/>
      <w:bookmarkEnd w:id="277"/>
      <w:bookmarkEnd w:id="278"/>
    </w:p>
    <w:p w14:paraId="52365BB1">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w:t>
      </w:r>
      <w:r>
        <w:rPr>
          <w:rFonts w:hint="eastAsia" w:ascii="宋体" w:hAnsi="宋体" w:eastAsia="宋体" w:cs="宋体"/>
          <w:b/>
          <w:bCs/>
          <w:sz w:val="21"/>
          <w:szCs w:val="21"/>
          <w:highlight w:val="none"/>
          <w:lang w:val="en-US" w:eastAsia="zh-CN"/>
        </w:rPr>
        <w:t>合同</w:t>
      </w:r>
      <w:r>
        <w:rPr>
          <w:rFonts w:hint="eastAsia" w:ascii="宋体" w:hAnsi="宋体" w:eastAsia="宋体" w:cs="宋体"/>
          <w:b/>
          <w:bCs/>
          <w:sz w:val="21"/>
          <w:szCs w:val="21"/>
          <w:highlight w:val="none"/>
        </w:rPr>
        <w:t>价格</w:t>
      </w:r>
      <w:r>
        <w:rPr>
          <w:rFonts w:hint="eastAsia" w:ascii="宋体" w:hAnsi="宋体" w:eastAsia="宋体" w:cs="宋体"/>
          <w:b/>
          <w:bCs/>
          <w:sz w:val="21"/>
          <w:szCs w:val="21"/>
          <w:highlight w:val="none"/>
          <w:lang w:val="en-US" w:eastAsia="zh-CN"/>
        </w:rPr>
        <w:t>包含</w:t>
      </w:r>
      <w:r>
        <w:rPr>
          <w:rFonts w:hint="eastAsia" w:ascii="宋体" w:hAnsi="宋体" w:eastAsia="宋体" w:cs="宋体"/>
          <w:b/>
          <w:bCs/>
          <w:sz w:val="21"/>
          <w:szCs w:val="21"/>
          <w:highlight w:val="none"/>
          <w:lang w:eastAsia="zh-CN"/>
        </w:rPr>
        <w:t>完成本项目</w:t>
      </w:r>
      <w:r>
        <w:rPr>
          <w:rFonts w:hint="eastAsia" w:ascii="宋体" w:hAnsi="宋体" w:eastAsia="宋体" w:cs="宋体"/>
          <w:b/>
          <w:bCs/>
          <w:sz w:val="21"/>
          <w:szCs w:val="21"/>
          <w:highlight w:val="none"/>
          <w:lang w:val="en-US" w:eastAsia="zh-CN"/>
        </w:rPr>
        <w:t>服务所需的服务费</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人员工资（含所需的人员和专家顾问的薪金、现场服务、福利、交通、食宿和通讯费用）</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管理费、专家评审</w:t>
      </w:r>
      <w:r>
        <w:rPr>
          <w:rFonts w:hint="eastAsia" w:ascii="宋体" w:hAnsi="宋体" w:eastAsia="宋体" w:cs="宋体"/>
          <w:b/>
          <w:bCs/>
          <w:sz w:val="21"/>
          <w:szCs w:val="21"/>
          <w:highlight w:val="none"/>
          <w:lang w:eastAsia="zh-CN"/>
        </w:rPr>
        <w:t>费、会务费、交通费、调研费用、差旅费、保险、利润、风险费用、招标代理费、办公设备、文件制作及相应各项杂费及国家对</w:t>
      </w:r>
      <w:r>
        <w:rPr>
          <w:rFonts w:hint="eastAsia" w:ascii="宋体" w:hAnsi="宋体" w:eastAsia="宋体" w:cs="宋体"/>
          <w:b/>
          <w:bCs/>
          <w:sz w:val="21"/>
          <w:szCs w:val="21"/>
          <w:highlight w:val="none"/>
          <w:lang w:val="en-US" w:eastAsia="zh-CN"/>
        </w:rPr>
        <w:t>乙方</w:t>
      </w:r>
      <w:r>
        <w:rPr>
          <w:rFonts w:hint="eastAsia" w:ascii="宋体" w:hAnsi="宋体" w:eastAsia="宋体" w:cs="宋体"/>
          <w:b/>
          <w:bCs/>
          <w:sz w:val="21"/>
          <w:szCs w:val="21"/>
          <w:highlight w:val="none"/>
        </w:rPr>
        <w:t>征收的各种税费等所有一切费用。</w:t>
      </w:r>
      <w:r>
        <w:rPr>
          <w:rFonts w:hint="eastAsia" w:ascii="宋体" w:hAnsi="宋体" w:eastAsia="宋体" w:cs="宋体"/>
          <w:b/>
          <w:bCs/>
          <w:sz w:val="21"/>
          <w:szCs w:val="21"/>
          <w:highlight w:val="none"/>
          <w:lang w:val="en-US" w:eastAsia="zh-CN"/>
        </w:rPr>
        <w:t>合同价款</w:t>
      </w:r>
      <w:r>
        <w:rPr>
          <w:rFonts w:hint="eastAsia" w:ascii="宋体" w:hAnsi="宋体" w:eastAsia="宋体" w:cs="宋体"/>
          <w:b/>
          <w:bCs/>
          <w:sz w:val="21"/>
          <w:szCs w:val="21"/>
          <w:highlight w:val="none"/>
        </w:rPr>
        <w:t>今后将不作任何调整。</w:t>
      </w:r>
    </w:p>
    <w:p w14:paraId="35BC78E6">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2乙方因提供服务而发生的第一条约定费用以外的实际费用应由乙方承担。</w:t>
      </w:r>
    </w:p>
    <w:p w14:paraId="0B684F7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.3.支付方式及条件</w:t>
      </w:r>
      <w:r>
        <w:rPr>
          <w:rFonts w:hint="eastAsia" w:ascii="宋体" w:hAnsi="宋体" w:eastAsia="宋体" w:cs="宋体"/>
          <w:sz w:val="21"/>
          <w:szCs w:val="21"/>
          <w:highlight w:val="none"/>
          <w:lang w:eastAsia="zh-CN"/>
        </w:rPr>
        <w:t>：</w:t>
      </w:r>
      <w:bookmarkStart w:id="279" w:name="_Toc6285"/>
      <w:bookmarkStart w:id="280" w:name="_Toc7556"/>
      <w:bookmarkStart w:id="281" w:name="_Toc17485"/>
      <w:bookmarkStart w:id="282" w:name="_Toc17635"/>
      <w:r>
        <w:rPr>
          <w:rFonts w:hint="eastAsia" w:ascii="宋体" w:hAnsi="宋体" w:eastAsia="宋体" w:cs="宋体"/>
          <w:color w:val="000000"/>
          <w:kern w:val="2"/>
          <w:sz w:val="21"/>
          <w:szCs w:val="21"/>
          <w:highlight w:val="none"/>
          <w:u w:color="000000"/>
          <w:lang w:val="en-US" w:eastAsia="zh-CN" w:bidi="ar"/>
        </w:rPr>
        <w:t>中标人提交成果文件且通过专家评审</w:t>
      </w:r>
      <w:r>
        <w:rPr>
          <w:rFonts w:hint="eastAsia" w:ascii="宋体" w:hAnsi="宋体" w:cs="宋体"/>
          <w:color w:val="000000"/>
          <w:kern w:val="2"/>
          <w:sz w:val="21"/>
          <w:szCs w:val="21"/>
          <w:highlight w:val="none"/>
          <w:u w:color="000000"/>
          <w:lang w:val="en-US" w:eastAsia="zh-CN" w:bidi="ar"/>
        </w:rPr>
        <w:t>，并报招标人同意后</w:t>
      </w:r>
      <w:r>
        <w:rPr>
          <w:rFonts w:hint="eastAsia" w:ascii="宋体" w:hAnsi="宋体" w:eastAsia="宋体" w:cs="宋体"/>
          <w:color w:val="000000"/>
          <w:kern w:val="2"/>
          <w:sz w:val="21"/>
          <w:szCs w:val="21"/>
          <w:highlight w:val="none"/>
          <w:u w:color="000000"/>
          <w:lang w:val="en-US" w:eastAsia="zh-CN" w:bidi="ar"/>
        </w:rPr>
        <w:t>一次性付清合同价款。</w:t>
      </w:r>
    </w:p>
    <w:bookmarkEnd w:id="279"/>
    <w:bookmarkEnd w:id="280"/>
    <w:bookmarkEnd w:id="281"/>
    <w:bookmarkEnd w:id="282"/>
    <w:p w14:paraId="631412EA">
      <w:pPr>
        <w:pageBreakBefore w:val="0"/>
        <w:widowControl w:val="0"/>
        <w:kinsoku/>
        <w:wordWrap/>
        <w:overflowPunct/>
        <w:topLinePunct w:val="0"/>
        <w:autoSpaceDE/>
        <w:autoSpaceDN/>
        <w:bidi w:val="0"/>
        <w:adjustRightInd w:val="0"/>
        <w:snapToGrid w:val="0"/>
        <w:spacing w:line="440" w:lineRule="exact"/>
        <w:ind w:firstLine="480"/>
        <w:contextualSpacing/>
        <w:jc w:val="left"/>
        <w:rPr>
          <w:rFonts w:hint="eastAsia" w:ascii="宋体" w:hAnsi="宋体" w:eastAsia="宋体" w:cs="宋体"/>
          <w:sz w:val="21"/>
          <w:szCs w:val="21"/>
          <w:highlight w:val="none"/>
          <w:lang w:val="en-US" w:eastAsia="zh-CN"/>
        </w:rPr>
      </w:pPr>
      <w:bookmarkStart w:id="283" w:name="_Toc10289"/>
      <w:bookmarkStart w:id="284" w:name="_Toc1075"/>
      <w:bookmarkStart w:id="285" w:name="_Toc24165"/>
      <w:bookmarkStart w:id="286" w:name="_Toc18939"/>
      <w:r>
        <w:rPr>
          <w:rFonts w:hint="eastAsia" w:ascii="宋体" w:hAnsi="宋体" w:eastAsia="宋体" w:cs="宋体"/>
          <w:sz w:val="21"/>
          <w:szCs w:val="21"/>
          <w:highlight w:val="none"/>
          <w:lang w:val="en-US" w:eastAsia="zh-CN"/>
        </w:rPr>
        <w:t>5.履约担保</w:t>
      </w:r>
    </w:p>
    <w:p w14:paraId="4B46AC77">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银行转账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银行保函（见索即付无条件保函）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担保保函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商业保险</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第三方担保（无条件担保）</w:t>
      </w:r>
    </w:p>
    <w:p w14:paraId="44D81C2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金额：中标合同金额×</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%，取整到千位；</w:t>
      </w:r>
    </w:p>
    <w:p w14:paraId="7F10FF11">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收款单位：另行通知        </w:t>
      </w:r>
    </w:p>
    <w:p w14:paraId="28CA94ED">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开户</w:t>
      </w:r>
      <w:r>
        <w:rPr>
          <w:rFonts w:hint="eastAsia" w:ascii="宋体" w:hAnsi="宋体" w:eastAsia="宋体" w:cs="宋体"/>
          <w:sz w:val="21"/>
          <w:szCs w:val="21"/>
          <w:highlight w:val="none"/>
          <w:lang w:val="en-US" w:eastAsia="zh-CN"/>
        </w:rPr>
        <w:t xml:space="preserve">银行：另行通知 </w:t>
      </w:r>
    </w:p>
    <w:p w14:paraId="3906440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银行帐号：另行通知</w:t>
      </w:r>
    </w:p>
    <w:p w14:paraId="3943BE88">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缴纳时限：乙方须在领取中标通知书后，30个日历天内完成履约保证金缴纳和合同签订。否则，取消中标资格，投标保证金不予退还。</w:t>
      </w:r>
    </w:p>
    <w:p w14:paraId="087019B2">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退还时限：履约保证金在合同履行期满后一个月内无息退还。</w:t>
      </w:r>
    </w:p>
    <w:p w14:paraId="2ABFEAB7">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6.双方的合作性义务</w:t>
      </w:r>
      <w:bookmarkEnd w:id="283"/>
      <w:bookmarkEnd w:id="284"/>
      <w:bookmarkEnd w:id="285"/>
      <w:bookmarkEnd w:id="286"/>
    </w:p>
    <w:p w14:paraId="0F8C142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在本协议有效期内，乙方将按照甲方的要求提供服务。</w:t>
      </w:r>
    </w:p>
    <w:p w14:paraId="58EC2EB6">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在本协议有效期内，甲方保证其向乙方提供所需的数据、文件和信息以及其他必要帮助以保证乙方按时并准确地提供服务。</w:t>
      </w:r>
    </w:p>
    <w:p w14:paraId="2FF1ED0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287" w:name="_Toc7888"/>
      <w:bookmarkStart w:id="288" w:name="_Toc3904"/>
      <w:bookmarkStart w:id="289" w:name="_Toc191"/>
      <w:bookmarkStart w:id="290" w:name="_Toc7797"/>
      <w:r>
        <w:rPr>
          <w:rFonts w:hint="eastAsia" w:ascii="宋体" w:hAnsi="宋体" w:eastAsia="宋体" w:cs="宋体"/>
          <w:sz w:val="21"/>
          <w:szCs w:val="21"/>
          <w:highlight w:val="none"/>
          <w:lang w:val="en-US" w:eastAsia="zh-CN"/>
        </w:rPr>
        <w:t>7. 甲方的权利</w:t>
      </w:r>
      <w:bookmarkEnd w:id="287"/>
      <w:bookmarkEnd w:id="288"/>
      <w:bookmarkEnd w:id="289"/>
      <w:bookmarkEnd w:id="290"/>
    </w:p>
    <w:p w14:paraId="105E6E36">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享有对</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的服务工作进行指导、监督、考评的权利。</w:t>
      </w:r>
    </w:p>
    <w:p w14:paraId="260F0B0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享有依法或依本合同约定，解除本服务合同的权利。</w:t>
      </w:r>
    </w:p>
    <w:p w14:paraId="2D8530A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291" w:name="_Toc15159"/>
      <w:bookmarkStart w:id="292" w:name="_Toc7882"/>
      <w:bookmarkStart w:id="293" w:name="_Toc11221"/>
      <w:bookmarkStart w:id="294" w:name="_Toc32598"/>
      <w:r>
        <w:rPr>
          <w:rFonts w:hint="eastAsia" w:ascii="宋体" w:hAnsi="宋体" w:eastAsia="宋体" w:cs="宋体"/>
          <w:sz w:val="21"/>
          <w:szCs w:val="21"/>
          <w:highlight w:val="none"/>
          <w:lang w:val="en-US" w:eastAsia="zh-CN"/>
        </w:rPr>
        <w:t>8. 甲方的义务</w:t>
      </w:r>
      <w:bookmarkEnd w:id="291"/>
      <w:bookmarkEnd w:id="292"/>
      <w:bookmarkEnd w:id="293"/>
      <w:bookmarkEnd w:id="294"/>
      <w:r>
        <w:rPr>
          <w:rFonts w:hint="eastAsia" w:ascii="宋体" w:hAnsi="宋体" w:eastAsia="宋体" w:cs="宋体"/>
          <w:sz w:val="21"/>
          <w:szCs w:val="21"/>
          <w:highlight w:val="none"/>
          <w:lang w:val="en-US" w:eastAsia="zh-CN"/>
        </w:rPr>
        <w:t xml:space="preserve"> </w:t>
      </w:r>
    </w:p>
    <w:p w14:paraId="72F61012">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根据本合同和相关规定向乙方支付费用。</w:t>
      </w:r>
    </w:p>
    <w:p w14:paraId="1022B7B9">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bookmarkStart w:id="295" w:name="_Toc251886136"/>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甲方负责指导、监督、评价乙方工作，定期或不定期检查乙方工作情况，如因乙方管理不善，造成重大经济损失或管理失误，甲方有权对其进行处罚乃至解除本合同。</w:t>
      </w:r>
    </w:p>
    <w:p w14:paraId="02F70978">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296" w:name="_Toc14242"/>
      <w:bookmarkStart w:id="297" w:name="_Toc764"/>
      <w:bookmarkStart w:id="298" w:name="_Toc28599"/>
      <w:bookmarkStart w:id="299" w:name="_Toc26991"/>
      <w:r>
        <w:rPr>
          <w:rFonts w:hint="eastAsia" w:ascii="宋体" w:hAnsi="宋体" w:eastAsia="宋体" w:cs="宋体"/>
          <w:sz w:val="21"/>
          <w:szCs w:val="21"/>
          <w:highlight w:val="none"/>
          <w:lang w:val="en-US" w:eastAsia="zh-CN"/>
        </w:rPr>
        <w:t>9. 乙方的权利</w:t>
      </w:r>
      <w:bookmarkEnd w:id="295"/>
      <w:bookmarkEnd w:id="296"/>
      <w:bookmarkEnd w:id="297"/>
      <w:bookmarkEnd w:id="298"/>
      <w:bookmarkEnd w:id="299"/>
    </w:p>
    <w:p w14:paraId="3E435BAC">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享有按照本合同约定向甲方收取相关费用的权利。</w:t>
      </w:r>
    </w:p>
    <w:p w14:paraId="3F58849D">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享有在遵守国家电力法律、法规、行业规范的前提下，对</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开展相关工作的权利。</w:t>
      </w:r>
    </w:p>
    <w:p w14:paraId="507D250D">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00" w:name="_Toc20544"/>
      <w:bookmarkStart w:id="301" w:name="_Toc26091"/>
      <w:bookmarkStart w:id="302" w:name="_Toc15300"/>
      <w:bookmarkStart w:id="303" w:name="_Toc915"/>
      <w:r>
        <w:rPr>
          <w:rFonts w:hint="eastAsia" w:ascii="宋体" w:hAnsi="宋体" w:eastAsia="宋体" w:cs="宋体"/>
          <w:sz w:val="21"/>
          <w:szCs w:val="21"/>
          <w:highlight w:val="none"/>
          <w:lang w:val="en-US" w:eastAsia="zh-CN"/>
        </w:rPr>
        <w:t>10. 乙方的义务</w:t>
      </w:r>
      <w:bookmarkEnd w:id="300"/>
      <w:bookmarkEnd w:id="301"/>
      <w:bookmarkEnd w:id="302"/>
      <w:bookmarkEnd w:id="303"/>
    </w:p>
    <w:p w14:paraId="037ED1E3">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乙方应按照甲方关于</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运行管理的有关规定，做好</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的相关工作，及时处理</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的运行问题，确保</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安全可靠运行。</w:t>
      </w:r>
    </w:p>
    <w:p w14:paraId="13F3CCF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严格按照国家现行规范及相关要求做好本项目工作；</w:t>
      </w:r>
    </w:p>
    <w:p w14:paraId="218BF362">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按照合同约定的范围和内容严格进行本项目工作，不得漏项；</w:t>
      </w:r>
    </w:p>
    <w:p w14:paraId="76F7CC47">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乙方应对甲方提出与报告相关的问题及时进行答复；</w:t>
      </w:r>
    </w:p>
    <w:p w14:paraId="6E604640">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乙方负责按照相关部门和甲方的意见对项目报告进行必要的补充、修改和完善，期间不再向甲方另行追加费用。</w:t>
      </w:r>
    </w:p>
    <w:p w14:paraId="30D3F831">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04" w:name="_Toc31214"/>
      <w:bookmarkStart w:id="305" w:name="_Toc9209"/>
      <w:bookmarkStart w:id="306" w:name="_Toc18913"/>
      <w:bookmarkStart w:id="307" w:name="_Toc11879"/>
      <w:r>
        <w:rPr>
          <w:rFonts w:hint="eastAsia" w:ascii="宋体" w:hAnsi="宋体" w:eastAsia="宋体" w:cs="宋体"/>
          <w:sz w:val="21"/>
          <w:szCs w:val="21"/>
          <w:highlight w:val="none"/>
          <w:lang w:val="en-US" w:eastAsia="zh-CN"/>
        </w:rPr>
        <w:t>11. 违约处理</w:t>
      </w:r>
      <w:bookmarkEnd w:id="304"/>
      <w:bookmarkEnd w:id="305"/>
      <w:bookmarkEnd w:id="306"/>
      <w:bookmarkEnd w:id="307"/>
      <w:r>
        <w:rPr>
          <w:rFonts w:hint="eastAsia" w:ascii="宋体" w:hAnsi="宋体" w:eastAsia="宋体" w:cs="宋体"/>
          <w:sz w:val="21"/>
          <w:szCs w:val="21"/>
          <w:highlight w:val="none"/>
          <w:lang w:val="en-US" w:eastAsia="zh-CN"/>
        </w:rPr>
        <w:t xml:space="preserve"> </w:t>
      </w:r>
    </w:p>
    <w:p w14:paraId="17FEC700">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.1任何一方不履行本合同义务或者履行义务不符合约定的，应向守约方承担继续履行、赔偿损失和/或支付违约金等责任。</w:t>
      </w:r>
    </w:p>
    <w:p w14:paraId="11696DD7">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.2乙方未按照约定时间提交项目报告，每逾期一天给付甲方合同价款金额0.1%的违约金。超过 10 天仍未能提交的，甲方有权解除合同。</w:t>
      </w:r>
    </w:p>
    <w:p w14:paraId="65D6476F">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.3乙方按合同约定应支付的违约金低于给甲方造成的损失的，还应就差额部分向甲方进行赔偿，且乙方承担的赔偿金额不以合同价格为限。</w:t>
      </w:r>
    </w:p>
    <w:p w14:paraId="07051DFE">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.4在合同履行期间，如乙方要求中途停止或解除合同，乙方应向甲方支付本合同费用总额作为赔偿金。</w:t>
      </w:r>
    </w:p>
    <w:p w14:paraId="0BABD05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08" w:name="_Toc6960"/>
      <w:bookmarkStart w:id="309" w:name="_Toc22605"/>
      <w:bookmarkStart w:id="310" w:name="_Toc11440"/>
      <w:bookmarkStart w:id="311" w:name="_Toc7752"/>
      <w:r>
        <w:rPr>
          <w:rFonts w:hint="eastAsia" w:ascii="宋体" w:hAnsi="宋体" w:eastAsia="宋体" w:cs="宋体"/>
          <w:sz w:val="21"/>
          <w:szCs w:val="21"/>
          <w:highlight w:val="none"/>
          <w:lang w:val="en-US" w:eastAsia="zh-CN"/>
        </w:rPr>
        <w:t>12.通知</w:t>
      </w:r>
      <w:bookmarkEnd w:id="308"/>
      <w:bookmarkEnd w:id="309"/>
      <w:bookmarkEnd w:id="310"/>
      <w:bookmarkEnd w:id="311"/>
    </w:p>
    <w:p w14:paraId="3100915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根据本合同需要，一方向另一方发出的全部通知以及双方的文件往来等，必须用书面形式，可采用邮件、书信、传真、电报、当面送交等方式传递。以上方式无法送达的，方可采取公告送达的方式。</w:t>
      </w:r>
    </w:p>
    <w:p w14:paraId="7A4987A8">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一方变更名称、电话、通讯地址或其他资料，应自变更之日起7日内，以书面形式通知对方；否则，由未通知方承担由此而引起的相关责任。</w:t>
      </w:r>
    </w:p>
    <w:p w14:paraId="39B1E900">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12" w:name="_Toc6443"/>
      <w:bookmarkStart w:id="313" w:name="_Toc15417"/>
      <w:bookmarkStart w:id="314" w:name="_Toc12180"/>
      <w:bookmarkStart w:id="315" w:name="_Toc22810"/>
      <w:r>
        <w:rPr>
          <w:rFonts w:hint="eastAsia" w:ascii="宋体" w:hAnsi="宋体" w:eastAsia="宋体" w:cs="宋体"/>
          <w:sz w:val="21"/>
          <w:szCs w:val="21"/>
          <w:highlight w:val="none"/>
          <w:lang w:val="en-US" w:eastAsia="zh-CN"/>
        </w:rPr>
        <w:t>13.保密</w:t>
      </w:r>
      <w:bookmarkEnd w:id="312"/>
      <w:bookmarkEnd w:id="313"/>
      <w:bookmarkEnd w:id="314"/>
      <w:bookmarkEnd w:id="315"/>
    </w:p>
    <w:p w14:paraId="1C4ADE8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13.1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10年，自双方知悉保密内容之日起。</w:t>
      </w:r>
    </w:p>
    <w:p w14:paraId="1E014F0C">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13.2保密条款独立于合同其他条款，合同其他条款的效力，不影响保密条款的效力。</w:t>
      </w:r>
    </w:p>
    <w:p w14:paraId="1EB03C02">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16" w:name="_Toc13852"/>
      <w:bookmarkStart w:id="317" w:name="_Toc20671"/>
      <w:bookmarkStart w:id="318" w:name="_Toc1166"/>
      <w:bookmarkStart w:id="319" w:name="_Toc3941"/>
      <w:r>
        <w:rPr>
          <w:rFonts w:hint="eastAsia" w:ascii="宋体" w:hAnsi="宋体" w:eastAsia="宋体" w:cs="宋体"/>
          <w:sz w:val="21"/>
          <w:szCs w:val="21"/>
          <w:highlight w:val="none"/>
          <w:lang w:val="en-US" w:eastAsia="zh-CN"/>
        </w:rPr>
        <w:t>14.补充与附件</w:t>
      </w:r>
      <w:bookmarkEnd w:id="316"/>
      <w:bookmarkEnd w:id="317"/>
      <w:bookmarkEnd w:id="318"/>
      <w:bookmarkEnd w:id="319"/>
    </w:p>
    <w:p w14:paraId="6CFE35F5">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14.1本合同未尽事宜，依照有关法律、法规执行，法律、法规未作规定的，双方可以达成书面补充合同。本合同的附件和补充合同均为本合同不可分割的组成部分，与本合同具有同等的法律效力。</w:t>
      </w:r>
    </w:p>
    <w:p w14:paraId="48B24889">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20" w:name="_Toc9776"/>
      <w:bookmarkStart w:id="321" w:name="_Toc26077"/>
      <w:bookmarkStart w:id="322" w:name="_Toc11497"/>
      <w:bookmarkStart w:id="323" w:name="_Toc27821"/>
      <w:r>
        <w:rPr>
          <w:rFonts w:hint="eastAsia" w:ascii="宋体" w:hAnsi="宋体" w:eastAsia="宋体" w:cs="宋体"/>
          <w:sz w:val="21"/>
          <w:szCs w:val="21"/>
          <w:highlight w:val="none"/>
          <w:lang w:val="en-US" w:eastAsia="zh-CN"/>
        </w:rPr>
        <w:t>15.合同的解除</w:t>
      </w:r>
      <w:bookmarkEnd w:id="320"/>
      <w:bookmarkEnd w:id="321"/>
      <w:bookmarkEnd w:id="322"/>
      <w:bookmarkEnd w:id="323"/>
    </w:p>
    <w:p w14:paraId="4578CB9E">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15.1 双方可以通过书面协议解除本合同； </w:t>
      </w:r>
    </w:p>
    <w:p w14:paraId="5AE1AC0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15.2 因不可抗力致使合同目的不能实现的，合同双方可以协商解除合同； </w:t>
      </w:r>
    </w:p>
    <w:p w14:paraId="54D7F1A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15.3 当事人一方明确表示或以自己的行为表明不履行合同主要义务的，另一方可以解除合同；</w:t>
      </w:r>
    </w:p>
    <w:p w14:paraId="16746C3D">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15.4 当事人一方迟延履行合同主要义务，经催告后在合理期限内仍未履行，另一方可以解除合同；</w:t>
      </w:r>
    </w:p>
    <w:p w14:paraId="006A72F6">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15.5 当事人一方有其他违约或违法行为致使合同目的不能实现的，另一方可以解除合同； </w:t>
      </w:r>
    </w:p>
    <w:p w14:paraId="293F9DB9">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15.6 甲方可以随时解除合同，但应支付乙方实际发生的工作费用，支付数额按照乙方实际服务期限与合同期限的比例计算。</w:t>
      </w:r>
    </w:p>
    <w:p w14:paraId="77BD1664">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15.7</w:t>
      </w:r>
      <w:r>
        <w:rPr>
          <w:rFonts w:hint="eastAsia" w:ascii="宋体" w:hAnsi="宋体" w:eastAsia="宋体" w:cs="宋体"/>
          <w:sz w:val="21"/>
          <w:szCs w:val="21"/>
          <w:highlight w:val="none"/>
        </w:rPr>
        <w:t>双方当事人因上述16.3、16.4、16.5、16.6款原因解除合同的，应提前5个工作日通知对方，自通知到达对方时合同解除。</w:t>
      </w:r>
    </w:p>
    <w:p w14:paraId="21ABE781">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24" w:name="_Toc19481"/>
      <w:bookmarkStart w:id="325" w:name="_Toc2394"/>
      <w:bookmarkStart w:id="326" w:name="_Toc29230"/>
      <w:bookmarkStart w:id="327" w:name="_Toc16169"/>
      <w:r>
        <w:rPr>
          <w:rFonts w:hint="eastAsia" w:ascii="宋体" w:hAnsi="宋体" w:eastAsia="宋体" w:cs="宋体"/>
          <w:sz w:val="21"/>
          <w:szCs w:val="21"/>
          <w:highlight w:val="none"/>
          <w:lang w:val="en-US" w:eastAsia="zh-CN"/>
        </w:rPr>
        <w:t>16.合同的变更</w:t>
      </w:r>
      <w:bookmarkEnd w:id="324"/>
      <w:bookmarkEnd w:id="325"/>
      <w:bookmarkEnd w:id="326"/>
      <w:bookmarkEnd w:id="327"/>
    </w:p>
    <w:p w14:paraId="1597905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14:paraId="349B1C06">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28" w:name="_Toc31905"/>
      <w:bookmarkStart w:id="329" w:name="_Toc7020"/>
      <w:bookmarkStart w:id="330" w:name="_Toc9911"/>
      <w:bookmarkStart w:id="331" w:name="_Toc20845"/>
      <w:r>
        <w:rPr>
          <w:rFonts w:hint="eastAsia" w:ascii="宋体" w:hAnsi="宋体" w:eastAsia="宋体" w:cs="宋体"/>
          <w:sz w:val="21"/>
          <w:szCs w:val="21"/>
          <w:highlight w:val="none"/>
          <w:lang w:val="en-US" w:eastAsia="zh-CN"/>
        </w:rPr>
        <w:t>17.合同的转让</w:t>
      </w:r>
      <w:bookmarkEnd w:id="328"/>
      <w:bookmarkEnd w:id="329"/>
      <w:bookmarkEnd w:id="330"/>
      <w:bookmarkEnd w:id="331"/>
    </w:p>
    <w:p w14:paraId="63D67381">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17.1除合同中另有规定外或经双方协商同意外，本合同所规定双方的任何权利和义务，任何一方在未经征得另一方书面同意之前，不得转让给第三者。任何转让，未经另一方书面明确同意，均属无效。</w:t>
      </w:r>
    </w:p>
    <w:p w14:paraId="4E24E4AE">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32" w:name="_Toc10893"/>
      <w:bookmarkStart w:id="333" w:name="_Toc4211"/>
      <w:bookmarkStart w:id="334" w:name="_Toc14338"/>
      <w:bookmarkStart w:id="335" w:name="_Toc25892"/>
      <w:r>
        <w:rPr>
          <w:rFonts w:hint="eastAsia" w:ascii="宋体" w:hAnsi="宋体" w:eastAsia="宋体" w:cs="宋体"/>
          <w:sz w:val="21"/>
          <w:szCs w:val="21"/>
          <w:highlight w:val="none"/>
          <w:lang w:val="en-US" w:eastAsia="zh-CN"/>
        </w:rPr>
        <w:t>18.争议的处理</w:t>
      </w:r>
      <w:bookmarkEnd w:id="332"/>
      <w:bookmarkEnd w:id="333"/>
      <w:bookmarkEnd w:id="334"/>
      <w:bookmarkEnd w:id="335"/>
    </w:p>
    <w:p w14:paraId="21F91E27">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合同双方应通过友好协商解决因解释﹑执行本合同所发生的和本合同有关的一切争议，经协商仍不能解决的，任何一方均有权向甲方所在地有管辖权的人民法院提起诉讼解决。</w:t>
      </w:r>
    </w:p>
    <w:p w14:paraId="05F4F434">
      <w:pPr>
        <w:spacing w:line="360" w:lineRule="auto"/>
        <w:ind w:firstLine="48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本合同</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rPr>
        <w:t>正本</w:t>
      </w:r>
      <w:r>
        <w:rPr>
          <w:rFonts w:hint="eastAsia" w:ascii="宋体" w:hAnsi="宋体" w:eastAsia="宋体" w:cs="宋体"/>
          <w:sz w:val="21"/>
          <w:szCs w:val="21"/>
          <w:highlight w:val="none"/>
          <w:lang w:val="en-US" w:eastAsia="zh-CN"/>
        </w:rPr>
        <w:t>及副本</w:t>
      </w:r>
      <w:r>
        <w:rPr>
          <w:rFonts w:hint="eastAsia" w:ascii="宋体" w:hAnsi="宋体" w:eastAsia="宋体" w:cs="宋体"/>
          <w:sz w:val="21"/>
          <w:szCs w:val="21"/>
          <w:highlight w:val="none"/>
        </w:rPr>
        <w:t>具有同等法律效力</w:t>
      </w:r>
      <w:r>
        <w:rPr>
          <w:rFonts w:hint="eastAsia" w:ascii="宋体" w:hAnsi="宋体" w:eastAsia="宋体" w:cs="宋体"/>
          <w:sz w:val="21"/>
          <w:szCs w:val="21"/>
          <w:highlight w:val="none"/>
          <w:lang w:eastAsia="zh-CN"/>
        </w:rPr>
        <w:t>。</w:t>
      </w:r>
    </w:p>
    <w:p w14:paraId="5825DBC2">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本合同双方签字并加盖公章或合同专用章之日起生效，双方当事人应全面履行合同约定的义务，任何一方不得擅自变更或解除。</w:t>
      </w:r>
    </w:p>
    <w:p w14:paraId="3C237470">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本合同执行日期：在合同生效后，即开始执行。</w:t>
      </w:r>
    </w:p>
    <w:p w14:paraId="7ADC001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36" w:name="_Toc15435"/>
      <w:bookmarkStart w:id="337" w:name="_Toc19998"/>
      <w:bookmarkStart w:id="338" w:name="_Toc18887"/>
      <w:bookmarkStart w:id="339" w:name="_Toc16208"/>
      <w:r>
        <w:rPr>
          <w:rFonts w:hint="eastAsia" w:ascii="宋体" w:hAnsi="宋体" w:eastAsia="宋体" w:cs="宋体"/>
          <w:sz w:val="21"/>
          <w:szCs w:val="21"/>
          <w:highlight w:val="none"/>
          <w:lang w:val="en-US" w:eastAsia="zh-CN"/>
        </w:rPr>
        <w:t>19.不可抗力</w:t>
      </w:r>
      <w:bookmarkEnd w:id="336"/>
      <w:bookmarkEnd w:id="337"/>
      <w:bookmarkEnd w:id="338"/>
      <w:bookmarkEnd w:id="339"/>
    </w:p>
    <w:p w14:paraId="7A5B9A3C">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19.1 如果本合同任何一方因受不可抗力事件影响而未能履行其在本合同下的全部或部分义务，该义务的履行在不可抗力事件妨碍其履行期间应予中止。</w:t>
      </w:r>
    </w:p>
    <w:p w14:paraId="31CF3214">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19.2 声称受到不可抗力事件影响的一方应尽可能在不可抗力发生后最短的时间内（最长不超过15日）通过书面形式将不可抗力事件的发生通知另一方，并在该不可抗力事件发生后15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6E9EBAAA">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且遭遇不可抗力一方无须为此承担责任。当事人迟延履行后发生不可抗力的，不能免除责任。</w:t>
      </w:r>
    </w:p>
    <w:p w14:paraId="6F62129F">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19.4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14:paraId="7B5A91BB">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40" w:name="_Toc32391"/>
      <w:bookmarkStart w:id="341" w:name="_Toc27073"/>
      <w:bookmarkStart w:id="342" w:name="_Toc26211"/>
      <w:bookmarkStart w:id="343" w:name="_Toc6624"/>
      <w:r>
        <w:rPr>
          <w:rFonts w:hint="eastAsia" w:ascii="宋体" w:hAnsi="宋体" w:eastAsia="宋体" w:cs="宋体"/>
          <w:sz w:val="21"/>
          <w:szCs w:val="21"/>
          <w:highlight w:val="none"/>
          <w:lang w:val="en-US" w:eastAsia="zh-CN"/>
        </w:rPr>
        <w:t>20.附加条款</w:t>
      </w:r>
      <w:bookmarkEnd w:id="340"/>
      <w:bookmarkEnd w:id="341"/>
      <w:bookmarkEnd w:id="342"/>
      <w:bookmarkEnd w:id="343"/>
      <w:r>
        <w:rPr>
          <w:rFonts w:hint="eastAsia" w:ascii="宋体" w:hAnsi="宋体" w:eastAsia="宋体" w:cs="宋体"/>
          <w:sz w:val="21"/>
          <w:szCs w:val="21"/>
          <w:highlight w:val="none"/>
          <w:lang w:val="en-US" w:eastAsia="zh-CN"/>
        </w:rPr>
        <w:t>　</w:t>
      </w:r>
    </w:p>
    <w:p w14:paraId="0C2B048D">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20.1</w:t>
      </w:r>
      <w:r>
        <w:rPr>
          <w:rFonts w:hint="eastAsia" w:ascii="宋体" w:hAnsi="宋体" w:eastAsia="宋体" w:cs="宋体"/>
          <w:sz w:val="21"/>
          <w:szCs w:val="21"/>
          <w:highlight w:val="none"/>
        </w:rPr>
        <w:t>双方已就本合同的上述条款完全达成共识，任何一方的口头要求均不能影响本合同条款的效力。</w:t>
      </w:r>
    </w:p>
    <w:p w14:paraId="505D1BEE">
      <w:pPr>
        <w:pageBreakBefore w:val="0"/>
        <w:widowControl w:val="0"/>
        <w:kinsoku/>
        <w:wordWrap/>
        <w:overflowPunct/>
        <w:topLinePunct w:val="0"/>
        <w:autoSpaceDE/>
        <w:autoSpaceDN/>
        <w:bidi w:val="0"/>
        <w:adjustRightInd w:val="0"/>
        <w:snapToGrid w:val="0"/>
        <w:spacing w:line="440" w:lineRule="exact"/>
        <w:ind w:firstLine="480"/>
        <w:contextualSpacing/>
        <w:jc w:val="left"/>
        <w:textAlignment w:val="auto"/>
        <w:rPr>
          <w:rFonts w:hint="eastAsia" w:ascii="宋体" w:hAnsi="宋体" w:eastAsia="宋体" w:cs="宋体"/>
          <w:sz w:val="21"/>
          <w:szCs w:val="21"/>
          <w:highlight w:val="none"/>
          <w:lang w:val="en-US" w:eastAsia="zh-CN"/>
        </w:rPr>
      </w:pPr>
      <w:bookmarkStart w:id="344" w:name="_Toc13333"/>
      <w:bookmarkStart w:id="345" w:name="_Toc16576"/>
      <w:bookmarkStart w:id="346" w:name="_Toc2344"/>
      <w:bookmarkStart w:id="347" w:name="_Toc5101"/>
      <w:r>
        <w:rPr>
          <w:rFonts w:hint="eastAsia" w:ascii="宋体" w:hAnsi="宋体" w:eastAsia="宋体" w:cs="宋体"/>
          <w:sz w:val="21"/>
          <w:szCs w:val="21"/>
          <w:highlight w:val="none"/>
          <w:lang w:val="en-US" w:eastAsia="zh-CN"/>
        </w:rPr>
        <w:t>21.合同的效力</w:t>
      </w:r>
      <w:bookmarkEnd w:id="344"/>
      <w:bookmarkEnd w:id="345"/>
      <w:bookmarkEnd w:id="346"/>
      <w:bookmarkEnd w:id="347"/>
    </w:p>
    <w:p w14:paraId="448CC15A">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21.1</w:t>
      </w:r>
      <w:r>
        <w:rPr>
          <w:rFonts w:hint="eastAsia" w:ascii="宋体" w:hAnsi="宋体" w:eastAsia="宋体" w:cs="宋体"/>
          <w:sz w:val="21"/>
          <w:szCs w:val="21"/>
          <w:highlight w:val="none"/>
        </w:rPr>
        <w:t>本合同自双方或双方法定代表人或其授权代表人签字并加盖单位公章或合同专用章之日起生效。</w:t>
      </w:r>
    </w:p>
    <w:p w14:paraId="65BD2D61">
      <w:pPr>
        <w:spacing w:line="360" w:lineRule="auto"/>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21.2</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份，其中正本2份，甲乙双方各执1份，副本</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份，甲方</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份，乙方</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份。正副本具有同等法律效力，本合同由甲乙双方授权代表签字并加盖双方公章后生效，至甲乙双方在本合同项下的权利义务及与本合同有关的债权、债务履行完毕之日止。</w:t>
      </w:r>
    </w:p>
    <w:p w14:paraId="34924173">
      <w:pPr>
        <w:ind w:firstLine="480"/>
        <w:jc w:val="left"/>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以下空白</w:t>
      </w:r>
    </w:p>
    <w:p w14:paraId="2DEFCCED">
      <w:pPr>
        <w:spacing w:line="480" w:lineRule="exact"/>
        <w:ind w:firstLine="422" w:firstLineChars="20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签 署 页</w:t>
      </w:r>
    </w:p>
    <w:tbl>
      <w:tblPr>
        <w:tblStyle w:val="46"/>
        <w:tblpPr w:leftFromText="180" w:rightFromText="180" w:vertAnchor="text" w:horzAnchor="page" w:tblpX="1521" w:tblpY="464"/>
        <w:tblOverlap w:val="never"/>
        <w:tblW w:w="0" w:type="auto"/>
        <w:tblInd w:w="0" w:type="dxa"/>
        <w:tblLayout w:type="fixed"/>
        <w:tblCellMar>
          <w:top w:w="0" w:type="dxa"/>
          <w:left w:w="108" w:type="dxa"/>
          <w:bottom w:w="0" w:type="dxa"/>
          <w:right w:w="108" w:type="dxa"/>
        </w:tblCellMar>
      </w:tblPr>
      <w:tblGrid>
        <w:gridCol w:w="4595"/>
        <w:gridCol w:w="4603"/>
      </w:tblGrid>
      <w:tr w14:paraId="070EC40D">
        <w:tblPrEx>
          <w:tblCellMar>
            <w:top w:w="0" w:type="dxa"/>
            <w:left w:w="108" w:type="dxa"/>
            <w:bottom w:w="0" w:type="dxa"/>
            <w:right w:w="108" w:type="dxa"/>
          </w:tblCellMar>
        </w:tblPrEx>
        <w:trPr>
          <w:cantSplit/>
          <w:trHeight w:val="1642" w:hRule="exact"/>
        </w:trPr>
        <w:tc>
          <w:tcPr>
            <w:tcW w:w="4595" w:type="dxa"/>
            <w:noWrap w:val="0"/>
            <w:vAlign w:val="center"/>
          </w:tcPr>
          <w:p w14:paraId="0FE1EE34">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滁州市滁宁城际铁路开发建设有限公司</w:t>
            </w:r>
          </w:p>
          <w:p w14:paraId="5E77004C">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tc>
        <w:tc>
          <w:tcPr>
            <w:tcW w:w="4603" w:type="dxa"/>
            <w:noWrap w:val="0"/>
            <w:vAlign w:val="center"/>
          </w:tcPr>
          <w:p w14:paraId="20607B73">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14:paraId="045E7306">
            <w:pPr>
              <w:keepNext w:val="0"/>
              <w:keepLines w:val="0"/>
              <w:suppressLineNumbers w:val="0"/>
              <w:spacing w:before="0" w:beforeAutospacing="0" w:after="0" w:afterAutospacing="0" w:line="480" w:lineRule="exact"/>
              <w:ind w:left="0" w:right="0"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tc>
      </w:tr>
      <w:tr w14:paraId="2F6FAEA9">
        <w:tblPrEx>
          <w:tblCellMar>
            <w:top w:w="0" w:type="dxa"/>
            <w:left w:w="108" w:type="dxa"/>
            <w:bottom w:w="0" w:type="dxa"/>
            <w:right w:w="108" w:type="dxa"/>
          </w:tblCellMar>
        </w:tblPrEx>
        <w:trPr>
          <w:cantSplit/>
          <w:trHeight w:val="1453" w:hRule="exact"/>
        </w:trPr>
        <w:tc>
          <w:tcPr>
            <w:tcW w:w="4595" w:type="dxa"/>
            <w:noWrap w:val="0"/>
            <w:vAlign w:val="top"/>
          </w:tcPr>
          <w:p w14:paraId="5E8A176F">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法定代表人(负责人)或</w:t>
            </w:r>
          </w:p>
          <w:p w14:paraId="4B8F6F43">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授权代理人（签字）：</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top"/>
          </w:tcPr>
          <w:p w14:paraId="4E31AD46">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法定代表人（负责人）或</w:t>
            </w:r>
          </w:p>
          <w:p w14:paraId="2BFB2BE2">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授权代理人（签字）：</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7E834D72">
        <w:tblPrEx>
          <w:tblCellMar>
            <w:top w:w="0" w:type="dxa"/>
            <w:left w:w="108" w:type="dxa"/>
            <w:bottom w:w="0" w:type="dxa"/>
            <w:right w:w="108" w:type="dxa"/>
          </w:tblCellMar>
        </w:tblPrEx>
        <w:trPr>
          <w:cantSplit/>
          <w:trHeight w:val="461" w:hRule="exact"/>
        </w:trPr>
        <w:tc>
          <w:tcPr>
            <w:tcW w:w="4595" w:type="dxa"/>
            <w:noWrap w:val="0"/>
            <w:vAlign w:val="center"/>
          </w:tcPr>
          <w:p w14:paraId="009A81FB">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签订日期：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25D84F4E">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签订日期：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5C16E8EC">
        <w:tblPrEx>
          <w:tblCellMar>
            <w:top w:w="0" w:type="dxa"/>
            <w:left w:w="108" w:type="dxa"/>
            <w:bottom w:w="0" w:type="dxa"/>
            <w:right w:w="108" w:type="dxa"/>
          </w:tblCellMar>
        </w:tblPrEx>
        <w:trPr>
          <w:cantSplit/>
          <w:trHeight w:val="1014" w:hRule="exact"/>
        </w:trPr>
        <w:tc>
          <w:tcPr>
            <w:tcW w:w="4595" w:type="dxa"/>
            <w:noWrap w:val="0"/>
            <w:vAlign w:val="center"/>
          </w:tcPr>
          <w:p w14:paraId="40A9DCA9">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594C0B91">
            <w:pPr>
              <w:keepNext w:val="0"/>
              <w:keepLines w:val="0"/>
              <w:suppressLineNumbers w:val="0"/>
              <w:spacing w:before="0" w:beforeAutospacing="0" w:after="0" w:afterAutospacing="0"/>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2314B89A">
        <w:tblPrEx>
          <w:tblCellMar>
            <w:top w:w="0" w:type="dxa"/>
            <w:left w:w="108" w:type="dxa"/>
            <w:bottom w:w="0" w:type="dxa"/>
            <w:right w:w="108" w:type="dxa"/>
          </w:tblCellMar>
        </w:tblPrEx>
        <w:trPr>
          <w:cantSplit/>
          <w:trHeight w:val="466" w:hRule="exact"/>
        </w:trPr>
        <w:tc>
          <w:tcPr>
            <w:tcW w:w="4595" w:type="dxa"/>
            <w:noWrap w:val="0"/>
            <w:vAlign w:val="center"/>
          </w:tcPr>
          <w:p w14:paraId="24F3D49B">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1D54788C">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253452BB">
        <w:tblPrEx>
          <w:tblCellMar>
            <w:top w:w="0" w:type="dxa"/>
            <w:left w:w="108" w:type="dxa"/>
            <w:bottom w:w="0" w:type="dxa"/>
            <w:right w:w="108" w:type="dxa"/>
          </w:tblCellMar>
        </w:tblPrEx>
        <w:trPr>
          <w:cantSplit/>
          <w:trHeight w:val="466" w:hRule="exact"/>
        </w:trPr>
        <w:tc>
          <w:tcPr>
            <w:tcW w:w="4595" w:type="dxa"/>
            <w:noWrap w:val="0"/>
            <w:vAlign w:val="center"/>
          </w:tcPr>
          <w:p w14:paraId="4A34F489">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042D268C">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0E55F376">
        <w:tblPrEx>
          <w:tblCellMar>
            <w:top w:w="0" w:type="dxa"/>
            <w:left w:w="108" w:type="dxa"/>
            <w:bottom w:w="0" w:type="dxa"/>
            <w:right w:w="108" w:type="dxa"/>
          </w:tblCellMar>
        </w:tblPrEx>
        <w:trPr>
          <w:cantSplit/>
          <w:trHeight w:val="466" w:hRule="exact"/>
        </w:trPr>
        <w:tc>
          <w:tcPr>
            <w:tcW w:w="4595" w:type="dxa"/>
            <w:noWrap w:val="0"/>
            <w:vAlign w:val="center"/>
          </w:tcPr>
          <w:p w14:paraId="74D61CAC">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4316EEFF">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72EE03A5">
        <w:tblPrEx>
          <w:tblCellMar>
            <w:top w:w="0" w:type="dxa"/>
            <w:left w:w="108" w:type="dxa"/>
            <w:bottom w:w="0" w:type="dxa"/>
            <w:right w:w="108" w:type="dxa"/>
          </w:tblCellMar>
        </w:tblPrEx>
        <w:trPr>
          <w:cantSplit/>
          <w:trHeight w:val="466" w:hRule="exact"/>
        </w:trPr>
        <w:tc>
          <w:tcPr>
            <w:tcW w:w="4595" w:type="dxa"/>
            <w:noWrap w:val="0"/>
            <w:vAlign w:val="center"/>
          </w:tcPr>
          <w:p w14:paraId="4353B3F8">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Email:</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3500CDFE">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Email：</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07727614">
        <w:tblPrEx>
          <w:tblCellMar>
            <w:top w:w="0" w:type="dxa"/>
            <w:left w:w="108" w:type="dxa"/>
            <w:bottom w:w="0" w:type="dxa"/>
            <w:right w:w="108" w:type="dxa"/>
          </w:tblCellMar>
        </w:tblPrEx>
        <w:trPr>
          <w:cantSplit/>
          <w:trHeight w:val="466" w:hRule="exact"/>
        </w:trPr>
        <w:tc>
          <w:tcPr>
            <w:tcW w:w="4595" w:type="dxa"/>
            <w:noWrap w:val="0"/>
            <w:vAlign w:val="center"/>
          </w:tcPr>
          <w:p w14:paraId="4C552C26">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57575D07">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56E887C5">
        <w:tblPrEx>
          <w:tblCellMar>
            <w:top w:w="0" w:type="dxa"/>
            <w:left w:w="108" w:type="dxa"/>
            <w:bottom w:w="0" w:type="dxa"/>
            <w:right w:w="108" w:type="dxa"/>
          </w:tblCellMar>
        </w:tblPrEx>
        <w:trPr>
          <w:cantSplit/>
          <w:trHeight w:val="466" w:hRule="exact"/>
        </w:trPr>
        <w:tc>
          <w:tcPr>
            <w:tcW w:w="4595" w:type="dxa"/>
            <w:noWrap w:val="0"/>
            <w:vAlign w:val="center"/>
          </w:tcPr>
          <w:p w14:paraId="283DE78E">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0058AB44">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r w14:paraId="3CB50013">
        <w:tblPrEx>
          <w:tblCellMar>
            <w:top w:w="0" w:type="dxa"/>
            <w:left w:w="108" w:type="dxa"/>
            <w:bottom w:w="0" w:type="dxa"/>
            <w:right w:w="108" w:type="dxa"/>
          </w:tblCellMar>
        </w:tblPrEx>
        <w:trPr>
          <w:cantSplit/>
          <w:trHeight w:val="998" w:hRule="exact"/>
        </w:trPr>
        <w:tc>
          <w:tcPr>
            <w:tcW w:w="4595" w:type="dxa"/>
            <w:noWrap w:val="0"/>
            <w:vAlign w:val="center"/>
          </w:tcPr>
          <w:p w14:paraId="44D4437E">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税号：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c>
          <w:tcPr>
            <w:tcW w:w="4603" w:type="dxa"/>
            <w:noWrap w:val="0"/>
            <w:vAlign w:val="center"/>
          </w:tcPr>
          <w:p w14:paraId="607BF8C6">
            <w:pPr>
              <w:keepNext w:val="0"/>
              <w:keepLines w:val="0"/>
              <w:suppressLineNumbers w:val="0"/>
              <w:spacing w:before="0" w:beforeAutospacing="0" w:after="0" w:afterAutospacing="0" w:line="480" w:lineRule="exact"/>
              <w:ind w:left="0" w:right="0" w:firstLine="56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税号：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w:t>
            </w:r>
          </w:p>
        </w:tc>
      </w:tr>
    </w:tbl>
    <w:p w14:paraId="6600D7C8"/>
    <w:p w14:paraId="0DE69005">
      <w:pPr>
        <w:spacing w:line="360" w:lineRule="auto"/>
        <w:jc w:val="center"/>
        <w:rPr>
          <w:rFonts w:hint="eastAsia" w:ascii="Times New Roman" w:hAnsi="Times New Roman" w:eastAsia="微软雅黑" w:cs="Times New Roman"/>
          <w:b/>
          <w:bCs/>
          <w:color w:val="000000" w:themeColor="text1"/>
          <w:sz w:val="44"/>
          <w:szCs w:val="44"/>
          <w:highlight w:val="none"/>
          <w:lang w:eastAsia="zh-CN"/>
          <w14:textFill>
            <w14:solidFill>
              <w14:schemeClr w14:val="tx1"/>
            </w14:solidFill>
          </w14:textFill>
        </w:rPr>
      </w:pPr>
    </w:p>
    <w:p w14:paraId="2B39FAA3">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0B28D98A">
      <w:pPr>
        <w:jc w:val="center"/>
        <w:rPr>
          <w:rFonts w:eastAsia="黑体"/>
          <w:sz w:val="44"/>
          <w:szCs w:val="44"/>
          <w:highlight w:val="none"/>
        </w:rPr>
      </w:pPr>
      <w:r>
        <w:rPr>
          <w:rFonts w:hint="eastAsia" w:eastAsia="黑体"/>
          <w:sz w:val="44"/>
          <w:szCs w:val="44"/>
          <w:highlight w:val="none"/>
        </w:rPr>
        <w:t>（资信证明文件）</w:t>
      </w:r>
    </w:p>
    <w:p w14:paraId="4404D72F">
      <w:pPr>
        <w:jc w:val="center"/>
        <w:rPr>
          <w:rFonts w:eastAsia="黑体"/>
          <w:sz w:val="44"/>
          <w:szCs w:val="44"/>
          <w:highlight w:val="none"/>
        </w:rPr>
      </w:pPr>
      <w:r>
        <w:rPr>
          <w:rFonts w:hint="eastAsia" w:eastAsia="黑体"/>
          <w:sz w:val="44"/>
          <w:szCs w:val="44"/>
          <w:highlight w:val="none"/>
        </w:rPr>
        <w:t xml:space="preserve"> </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rPr>
          <w:highlight w:val="none"/>
        </w:rPr>
      </w:pPr>
    </w:p>
    <w:p w14:paraId="0799C826">
      <w:pPr>
        <w:pStyle w:val="14"/>
        <w:ind w:firstLine="420"/>
        <w:rPr>
          <w:highlight w:val="none"/>
        </w:rPr>
      </w:pPr>
    </w:p>
    <w:p w14:paraId="63F5BB9B">
      <w:pPr>
        <w:rPr>
          <w:rFonts w:eastAsia="黑体"/>
          <w:sz w:val="28"/>
          <w:szCs w:val="28"/>
          <w:highlight w:val="none"/>
        </w:rPr>
      </w:pPr>
    </w:p>
    <w:p w14:paraId="6ECEBDFF">
      <w:pPr>
        <w:rPr>
          <w:rFonts w:eastAsia="黑体"/>
          <w:sz w:val="28"/>
          <w:szCs w:val="28"/>
          <w:highlight w:val="none"/>
        </w:rPr>
      </w:pPr>
    </w:p>
    <w:p w14:paraId="62522776">
      <w:pPr>
        <w:jc w:val="center"/>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211A5DCF">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348" w:name="_Toc35424971"/>
      <w:bookmarkStart w:id="349" w:name="_Toc35425137"/>
      <w:bookmarkStart w:id="350" w:name="_Toc12683"/>
    </w:p>
    <w:p w14:paraId="5288B7B1">
      <w:pPr>
        <w:spacing w:beforeLines="50" w:afterLines="50" w:line="440" w:lineRule="exact"/>
        <w:ind w:firstLine="643" w:firstLineChars="200"/>
        <w:jc w:val="center"/>
        <w:rPr>
          <w:rStyle w:val="121"/>
          <w:rFonts w:hint="eastAsia" w:ascii="宋体" w:hAnsi="宋体" w:cs="宋体"/>
          <w:sz w:val="32"/>
          <w:highlight w:val="none"/>
        </w:rPr>
      </w:pPr>
      <w:bookmarkStart w:id="351" w:name="_Toc78803399"/>
      <w:r>
        <w:rPr>
          <w:rStyle w:val="121"/>
          <w:rFonts w:hint="eastAsia" w:ascii="宋体" w:hAnsi="宋体" w:cs="宋体"/>
          <w:sz w:val="32"/>
          <w:highlight w:val="none"/>
        </w:rPr>
        <w:br w:type="page"/>
      </w:r>
      <w:bookmarkEnd w:id="348"/>
      <w:bookmarkEnd w:id="349"/>
      <w:bookmarkEnd w:id="350"/>
      <w:bookmarkEnd w:id="351"/>
    </w:p>
    <w:p w14:paraId="28C89471">
      <w:pPr>
        <w:spacing w:beforeLines="50" w:afterLines="50" w:line="440" w:lineRule="exact"/>
        <w:ind w:firstLine="643" w:firstLineChars="200"/>
        <w:jc w:val="center"/>
        <w:rPr>
          <w:rStyle w:val="121"/>
          <w:rFonts w:hint="eastAsia" w:ascii="宋体" w:hAnsi="宋体" w:cs="宋体"/>
          <w:sz w:val="32"/>
          <w:highlight w:val="none"/>
        </w:rPr>
      </w:pPr>
    </w:p>
    <w:p w14:paraId="0EBCA57C">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（1）法人代表人身份证明及其有效身份证（或法人代表授权委托书及其有效身份证）（格式见附件）；</w:t>
      </w:r>
    </w:p>
    <w:p w14:paraId="042AC233">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（2）投标人有效的营业执照、税务登记证、组织机构代码证（或三合一证书），投标人是事业单位的，提供事业单位法人证书；</w:t>
      </w:r>
    </w:p>
    <w:p w14:paraId="476E7636">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（3）诚信投标承诺书（格式见附件）；</w:t>
      </w:r>
    </w:p>
    <w:p w14:paraId="5220DE43">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（4）服务承诺：是否响应招标文件要求的书面说明和服务承诺书（格式见附件）；</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（5）招标文件中要求的资信评审（评分）的支持资料。</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352" w:name="_Toc506107356"/>
      <w:bookmarkStart w:id="353" w:name="_Toc503196197"/>
      <w:bookmarkStart w:id="354"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352"/>
      <w:bookmarkEnd w:id="353"/>
      <w:bookmarkEnd w:id="354"/>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1FA482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000000"/>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8B8A18">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000000"/>
          <w:szCs w:val="21"/>
          <w:highlight w:val="none"/>
        </w:rPr>
      </w:pPr>
    </w:p>
    <w:p w14:paraId="2BC6E2D1">
      <w:pPr>
        <w:jc w:val="center"/>
        <w:rPr>
          <w:rFonts w:eastAsia="黑体"/>
          <w:sz w:val="28"/>
          <w:szCs w:val="28"/>
          <w:highlight w:val="none"/>
        </w:rPr>
      </w:pPr>
    </w:p>
    <w:p w14:paraId="66E43672">
      <w:pPr>
        <w:jc w:val="center"/>
        <w:rPr>
          <w:rFonts w:eastAsia="黑体"/>
          <w:sz w:val="28"/>
          <w:szCs w:val="28"/>
          <w:highlight w:val="none"/>
        </w:rPr>
      </w:pPr>
    </w:p>
    <w:p w14:paraId="20447F5C">
      <w:pPr>
        <w:jc w:val="center"/>
        <w:rPr>
          <w:rFonts w:eastAsia="黑体"/>
          <w:sz w:val="20"/>
          <w:szCs w:val="20"/>
          <w:highlight w:val="none"/>
        </w:rPr>
      </w:pPr>
      <w:r>
        <w:rPr>
          <w:rFonts w:eastAsia="黑体"/>
          <w:sz w:val="28"/>
          <w:szCs w:val="28"/>
          <w:highlight w:val="none"/>
        </w:rPr>
        <w:t>（项目名称）</w:t>
      </w:r>
    </w:p>
    <w:p w14:paraId="66B855F2">
      <w:pPr>
        <w:jc w:val="center"/>
        <w:rPr>
          <w:rFonts w:eastAsia="黑体"/>
          <w:sz w:val="20"/>
          <w:szCs w:val="20"/>
          <w:highlight w:val="none"/>
        </w:rPr>
      </w:pPr>
    </w:p>
    <w:p w14:paraId="792DB5BC">
      <w:pPr>
        <w:rPr>
          <w:rFonts w:eastAsia="黑体"/>
          <w:sz w:val="20"/>
          <w:szCs w:val="20"/>
          <w:highlight w:val="none"/>
        </w:rPr>
      </w:pPr>
    </w:p>
    <w:p w14:paraId="60025CC7">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14:paraId="11881936">
      <w:pPr>
        <w:jc w:val="center"/>
        <w:rPr>
          <w:rFonts w:eastAsia="黑体"/>
          <w:sz w:val="44"/>
          <w:szCs w:val="44"/>
          <w:highlight w:val="none"/>
        </w:rPr>
      </w:pPr>
      <w:r>
        <w:rPr>
          <w:rFonts w:hint="eastAsia" w:eastAsia="黑体"/>
          <w:sz w:val="44"/>
          <w:szCs w:val="44"/>
          <w:highlight w:val="none"/>
        </w:rPr>
        <w:t>（技术标文件）</w:t>
      </w:r>
    </w:p>
    <w:p w14:paraId="78C47936">
      <w:pPr>
        <w:rPr>
          <w:rFonts w:eastAsia="黑体"/>
          <w:sz w:val="28"/>
          <w:szCs w:val="28"/>
          <w:highlight w:val="none"/>
        </w:rPr>
      </w:pPr>
    </w:p>
    <w:p w14:paraId="13EF90FD">
      <w:pPr>
        <w:rPr>
          <w:rFonts w:eastAsia="黑体"/>
          <w:sz w:val="28"/>
          <w:szCs w:val="28"/>
          <w:highlight w:val="none"/>
        </w:rPr>
      </w:pPr>
    </w:p>
    <w:p w14:paraId="4307D5B0">
      <w:pPr>
        <w:rPr>
          <w:rFonts w:eastAsia="黑体"/>
          <w:sz w:val="28"/>
          <w:szCs w:val="28"/>
          <w:highlight w:val="none"/>
        </w:rPr>
      </w:pPr>
    </w:p>
    <w:p w14:paraId="6B2C05F0">
      <w:pPr>
        <w:pStyle w:val="14"/>
        <w:ind w:firstLine="560"/>
        <w:rPr>
          <w:rFonts w:eastAsia="黑体"/>
          <w:sz w:val="28"/>
          <w:szCs w:val="28"/>
          <w:highlight w:val="none"/>
        </w:rPr>
      </w:pPr>
    </w:p>
    <w:p w14:paraId="1D0BEC5C">
      <w:pPr>
        <w:rPr>
          <w:rFonts w:eastAsia="黑体"/>
          <w:sz w:val="28"/>
          <w:szCs w:val="28"/>
          <w:highlight w:val="none"/>
        </w:rPr>
      </w:pPr>
    </w:p>
    <w:p w14:paraId="28D93157">
      <w:pPr>
        <w:pStyle w:val="14"/>
        <w:ind w:firstLine="560"/>
        <w:rPr>
          <w:rFonts w:eastAsia="黑体"/>
          <w:sz w:val="28"/>
          <w:szCs w:val="28"/>
          <w:highlight w:val="none"/>
        </w:rPr>
      </w:pPr>
    </w:p>
    <w:p w14:paraId="1FFAD3CF">
      <w:pPr>
        <w:rPr>
          <w:highlight w:val="none"/>
        </w:rPr>
      </w:pPr>
    </w:p>
    <w:p w14:paraId="0D2C3844">
      <w:pPr>
        <w:rPr>
          <w:rFonts w:eastAsia="黑体"/>
          <w:sz w:val="28"/>
          <w:szCs w:val="28"/>
          <w:highlight w:val="none"/>
        </w:rPr>
      </w:pPr>
    </w:p>
    <w:p w14:paraId="3D9426D8">
      <w:pPr>
        <w:rPr>
          <w:rFonts w:eastAsia="黑体"/>
          <w:sz w:val="28"/>
          <w:szCs w:val="28"/>
          <w:highlight w:val="none"/>
        </w:rPr>
      </w:pPr>
    </w:p>
    <w:p w14:paraId="21A6EBE5">
      <w:pPr>
        <w:rPr>
          <w:rFonts w:eastAsia="黑体"/>
          <w:sz w:val="28"/>
          <w:szCs w:val="28"/>
          <w:highlight w:val="none"/>
        </w:rPr>
      </w:pPr>
    </w:p>
    <w:p w14:paraId="02F825C3">
      <w:pPr>
        <w:rPr>
          <w:rFonts w:eastAsia="黑体"/>
          <w:sz w:val="28"/>
          <w:szCs w:val="28"/>
          <w:highlight w:val="none"/>
        </w:rPr>
      </w:pPr>
    </w:p>
    <w:p w14:paraId="65C29CBB">
      <w:pPr>
        <w:rPr>
          <w:rFonts w:eastAsia="黑体"/>
          <w:sz w:val="28"/>
          <w:szCs w:val="28"/>
          <w:highlight w:val="none"/>
        </w:rPr>
      </w:pPr>
    </w:p>
    <w:p w14:paraId="10883D19">
      <w:pPr>
        <w:jc w:val="center"/>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3B6C62B9">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1FCEEEFE">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3CA1B276">
      <w:pPr>
        <w:rPr>
          <w:rFonts w:hint="eastAsia" w:ascii="宋体" w:hAnsi="宋体"/>
          <w:b/>
          <w:sz w:val="32"/>
          <w:szCs w:val="32"/>
          <w:highlight w:val="none"/>
        </w:rPr>
      </w:pPr>
      <w:r>
        <w:rPr>
          <w:rFonts w:hint="eastAsia" w:ascii="宋体" w:hAnsi="宋体"/>
          <w:b/>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sz w:val="32"/>
          <w:highlight w:val="none"/>
        </w:rPr>
      </w:pPr>
    </w:p>
    <w:p w14:paraId="43AB31C5">
      <w:pPr>
        <w:spacing w:beforeLines="50" w:afterLines="50" w:line="440" w:lineRule="exact"/>
        <w:jc w:val="center"/>
        <w:rPr>
          <w:rStyle w:val="121"/>
          <w:rFonts w:ascii="宋体" w:hAnsi="宋体" w:cs="宋体"/>
          <w:sz w:val="32"/>
          <w:highlight w:val="none"/>
        </w:rPr>
      </w:pPr>
      <w:r>
        <w:rPr>
          <w:rStyle w:val="121"/>
          <w:rFonts w:hint="eastAsia" w:ascii="宋体" w:hAnsi="宋体" w:cs="宋体"/>
          <w:sz w:val="32"/>
          <w:highlight w:val="none"/>
        </w:rPr>
        <w:t>目</w:t>
      </w:r>
      <w:r>
        <w:rPr>
          <w:rStyle w:val="121"/>
          <w:rFonts w:hint="eastAsia" w:ascii="宋体" w:hAnsi="宋体" w:cs="宋体"/>
          <w:sz w:val="32"/>
          <w:highlight w:val="none"/>
          <w:lang w:val="en-US"/>
        </w:rPr>
        <w:t xml:space="preserve">  </w:t>
      </w:r>
      <w:r>
        <w:rPr>
          <w:rStyle w:val="121"/>
          <w:rFonts w:hint="eastAsia" w:ascii="宋体" w:hAnsi="宋体" w:cs="宋体"/>
          <w:sz w:val="32"/>
          <w:highlight w:val="none"/>
        </w:rPr>
        <w:t>录</w:t>
      </w:r>
    </w:p>
    <w:p w14:paraId="6824ABB0">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bCs/>
          <w:sz w:val="21"/>
          <w:szCs w:val="21"/>
        </w:rPr>
        <w:t>项目实施方案</w:t>
      </w:r>
      <w:r>
        <w:rPr>
          <w:rFonts w:hint="eastAsia" w:ascii="宋体" w:hAnsi="宋体" w:cs="宋体"/>
          <w:szCs w:val="21"/>
          <w:highlight w:val="none"/>
          <w:lang w:eastAsia="zh-CN"/>
        </w:rPr>
        <w:t>；</w:t>
      </w:r>
    </w:p>
    <w:p w14:paraId="5C237D59">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bCs/>
          <w:sz w:val="21"/>
          <w:szCs w:val="21"/>
        </w:rPr>
        <w:t>进度计划及保证措施</w:t>
      </w:r>
      <w:r>
        <w:rPr>
          <w:rFonts w:hint="eastAsia" w:ascii="宋体" w:hAnsi="宋体" w:cs="宋体"/>
          <w:szCs w:val="21"/>
          <w:highlight w:val="none"/>
          <w:lang w:eastAsia="zh-CN"/>
        </w:rPr>
        <w:t>；</w:t>
      </w:r>
    </w:p>
    <w:p w14:paraId="7B5FA9D1">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bCs/>
          <w:sz w:val="21"/>
          <w:szCs w:val="21"/>
        </w:rPr>
        <w:t>质量保障措施</w:t>
      </w:r>
      <w:r>
        <w:rPr>
          <w:rFonts w:hint="eastAsia" w:ascii="宋体" w:hAnsi="宋体" w:cs="宋体"/>
          <w:szCs w:val="21"/>
          <w:highlight w:val="none"/>
          <w:lang w:eastAsia="zh-CN"/>
        </w:rPr>
        <w:t>；</w:t>
      </w:r>
    </w:p>
    <w:p w14:paraId="6B938E32">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bCs/>
          <w:sz w:val="21"/>
          <w:szCs w:val="21"/>
        </w:rPr>
        <w:t>保密措施</w:t>
      </w:r>
      <w:r>
        <w:rPr>
          <w:rFonts w:hint="eastAsia" w:ascii="宋体" w:hAnsi="宋体" w:cs="宋体"/>
          <w:szCs w:val="21"/>
          <w:highlight w:val="none"/>
          <w:lang w:eastAsia="zh-CN"/>
        </w:rPr>
        <w:t>。</w:t>
      </w:r>
    </w:p>
    <w:p w14:paraId="2EEC4B9E">
      <w:pPr>
        <w:pStyle w:val="14"/>
        <w:rPr>
          <w:rFonts w:hint="eastAsia"/>
          <w:highlight w:val="none"/>
        </w:rPr>
      </w:pPr>
    </w:p>
    <w:p w14:paraId="1B05D583">
      <w:pPr>
        <w:rPr>
          <w:rFonts w:hint="eastAsia" w:ascii="宋体" w:hAnsi="宋体"/>
          <w:b/>
          <w:sz w:val="32"/>
          <w:szCs w:val="32"/>
          <w:highlight w:val="none"/>
        </w:rPr>
      </w:pPr>
      <w:r>
        <w:rPr>
          <w:rFonts w:hint="eastAsia" w:ascii="宋体" w:hAnsi="宋体"/>
          <w:b/>
          <w:sz w:val="32"/>
          <w:szCs w:val="32"/>
          <w:highlight w:val="none"/>
        </w:rPr>
        <w:br w:type="page"/>
      </w:r>
    </w:p>
    <w:p w14:paraId="7537EA8B">
      <w:pPr>
        <w:jc w:val="center"/>
        <w:rPr>
          <w:rFonts w:eastAsia="黑体"/>
          <w:sz w:val="28"/>
          <w:szCs w:val="28"/>
          <w:highlight w:val="none"/>
        </w:rPr>
      </w:pPr>
    </w:p>
    <w:p w14:paraId="22366C21">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jc w:val="center"/>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DBB5CC">
      <w:pPr>
        <w:rPr>
          <w:rFonts w:hint="eastAsia" w:ascii="宋体" w:hAnsi="宋体"/>
          <w:b/>
          <w:sz w:val="32"/>
          <w:szCs w:val="32"/>
          <w:highlight w:val="none"/>
        </w:rPr>
      </w:pPr>
      <w:r>
        <w:rPr>
          <w:rFonts w:hint="eastAsia" w:ascii="宋体" w:hAnsi="宋体"/>
          <w:b/>
          <w:sz w:val="32"/>
          <w:szCs w:val="32"/>
          <w:highlight w:val="none"/>
        </w:rPr>
        <w:br w:type="page"/>
      </w:r>
    </w:p>
    <w:p w14:paraId="239E86E0">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D9F7386">
      <w:pPr>
        <w:numPr>
          <w:ilvl w:val="0"/>
          <w:numId w:val="1"/>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485A9E6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sz w:val="32"/>
          <w:szCs w:val="32"/>
          <w:highlight w:val="none"/>
        </w:rPr>
      </w:pPr>
      <w:r>
        <w:rPr>
          <w:rFonts w:hint="eastAsia" w:ascii="宋体" w:hAnsi="宋体"/>
          <w:b/>
          <w:sz w:val="32"/>
          <w:szCs w:val="32"/>
          <w:highlight w:val="none"/>
        </w:rPr>
        <w:br w:type="page"/>
      </w:r>
    </w:p>
    <w:p w14:paraId="5D358DCD">
      <w:pPr>
        <w:jc w:val="center"/>
        <w:rPr>
          <w:rFonts w:ascii="宋体" w:hAnsi="宋体"/>
          <w:b/>
          <w:sz w:val="32"/>
          <w:szCs w:val="32"/>
          <w:highlight w:val="none"/>
        </w:rPr>
      </w:pPr>
      <w:r>
        <w:rPr>
          <w:rFonts w:hint="eastAsia" w:ascii="宋体" w:hAnsi="宋体"/>
          <w:b/>
          <w:sz w:val="32"/>
          <w:szCs w:val="32"/>
          <w:highlight w:val="none"/>
        </w:rPr>
        <w:t>（1）投 标 函</w:t>
      </w:r>
    </w:p>
    <w:p w14:paraId="04586C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lang w:val="en-US"/>
        </w:rPr>
      </w:pPr>
      <w:bookmarkStart w:id="355" w:name="_Toc506107366"/>
      <w:bookmarkStart w:id="356" w:name="_Toc35425140"/>
      <w:bookmarkStart w:id="357" w:name="_Toc15058950"/>
      <w:bookmarkStart w:id="358" w:name="_Toc35424974"/>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8D725E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3F4F18A1">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2.我方愿意按照招标文件规定的各项要求，向招标人提供本项目的服务，投标</w:t>
      </w:r>
      <w:r>
        <w:rPr>
          <w:rFonts w:hint="eastAsia" w:ascii="宋体" w:hAnsi="宋体" w:cs="宋体"/>
          <w:color w:val="000000"/>
          <w:kern w:val="0"/>
          <w:sz w:val="24"/>
          <w:szCs w:val="24"/>
          <w:highlight w:val="none"/>
          <w:u w:color="000000"/>
          <w:lang w:val="en-US" w:eastAsia="zh-CN" w:bidi="ar"/>
        </w:rPr>
        <w:t>报</w:t>
      </w:r>
      <w:r>
        <w:rPr>
          <w:rFonts w:hint="eastAsia" w:ascii="宋体" w:hAnsi="宋体" w:eastAsia="宋体" w:cs="宋体"/>
          <w:color w:val="000000"/>
          <w:kern w:val="0"/>
          <w:sz w:val="24"/>
          <w:szCs w:val="24"/>
          <w:highlight w:val="none"/>
          <w:u w:color="000000"/>
          <w:lang w:val="en-US" w:eastAsia="zh-CN" w:bidi="ar"/>
        </w:rPr>
        <w:t>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p>
    <w:p w14:paraId="31A3CD0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7D5229C3">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w:t>
      </w:r>
      <w:r>
        <w:rPr>
          <w:rFonts w:hint="eastAsia" w:ascii="宋体" w:hAnsi="宋体" w:cs="宋体"/>
          <w:color w:val="000000"/>
          <w:kern w:val="0"/>
          <w:sz w:val="24"/>
          <w:szCs w:val="24"/>
          <w:highlight w:val="none"/>
          <w:u w:val="single" w:color="auto"/>
          <w:lang w:val="en-US" w:eastAsia="zh-CN" w:bidi="ar"/>
        </w:rPr>
        <w:t>6</w:t>
      </w:r>
      <w:r>
        <w:rPr>
          <w:rFonts w:hint="eastAsia" w:ascii="宋体" w:hAnsi="宋体" w:eastAsia="宋体" w:cs="宋体"/>
          <w:color w:val="000000"/>
          <w:kern w:val="0"/>
          <w:sz w:val="24"/>
          <w:szCs w:val="24"/>
          <w:highlight w:val="none"/>
          <w:u w:val="single" w:color="auto"/>
          <w:lang w:val="en-US" w:eastAsia="zh-CN" w:bidi="ar"/>
        </w:rPr>
        <w:t xml:space="preserve">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7407AE6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如果我方中标我方将按照招标文件的规定提交履约担保。项目验收合格后，方</w:t>
      </w:r>
      <w:r>
        <w:rPr>
          <w:rFonts w:hint="eastAsia" w:ascii="宋体" w:hAnsi="宋体" w:eastAsia="宋体" w:cs="宋体"/>
          <w:color w:val="000000"/>
          <w:kern w:val="0"/>
          <w:sz w:val="24"/>
          <w:szCs w:val="24"/>
          <w:highlight w:val="none"/>
          <w:u w:color="000000"/>
          <w:lang w:val="en-US" w:eastAsia="zh-CN" w:bidi="ar"/>
        </w:rPr>
        <w:t>可退还。</w:t>
      </w:r>
    </w:p>
    <w:p w14:paraId="3F2B18F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6.我方愿意提供可能另外要求的、与投标有关的文件资料，并保证我方已提供和将要提供的文件是真实的、准确的。</w:t>
      </w:r>
    </w:p>
    <w:p w14:paraId="6C7E71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7.我单位提供如下通讯地址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158215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kern w:val="0"/>
          <w:sz w:val="24"/>
          <w:szCs w:val="24"/>
          <w:highlight w:val="none"/>
          <w:u w:color="000000"/>
          <w:lang w:val="en-US" w:eastAsia="zh-CN" w:bidi="ar"/>
        </w:rPr>
      </w:pPr>
    </w:p>
    <w:p w14:paraId="6FAD6C6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5F1A06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8B5F2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08A2C3E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C097334">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1AD9791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bookmarkEnd w:id="7"/>
    <w:bookmarkEnd w:id="8"/>
    <w:bookmarkEnd w:id="9"/>
    <w:bookmarkEnd w:id="10"/>
    <w:bookmarkEnd w:id="11"/>
    <w:bookmarkEnd w:id="355"/>
    <w:bookmarkEnd w:id="356"/>
    <w:bookmarkEnd w:id="357"/>
    <w:bookmarkEnd w:id="358"/>
    <w:p w14:paraId="061EA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bookmarkStart w:id="359" w:name="_Toc78803402"/>
    </w:p>
    <w:p w14:paraId="3EF298C0">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359"/>
    </w:p>
    <w:p w14:paraId="7D391125">
      <w:pPr>
        <w:pStyle w:val="20"/>
        <w:rPr>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滁宁城铁电客车高级修修程修制（控制性关键项点）研究服务项目</w:t>
            </w:r>
            <w:r>
              <w:rPr>
                <w:rFonts w:hint="eastAsia"/>
                <w:sz w:val="28"/>
                <w:szCs w:val="28"/>
                <w:highlight w:val="none"/>
                <w:u w:val="single"/>
              </w:rPr>
              <w:t xml:space="preserve"> </w:t>
            </w:r>
            <w:r>
              <w:rPr>
                <w:rFonts w:hint="eastAsia"/>
                <w:sz w:val="28"/>
                <w:szCs w:val="28"/>
                <w:highlight w:val="none"/>
              </w:rPr>
              <w:t>的招标文件进行确认。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eastAsia="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4EDF8AEB">
            <w:pPr>
              <w:pStyle w:val="14"/>
              <w:ind w:firstLine="420"/>
              <w:rPr>
                <w:highlight w:val="none"/>
              </w:rPr>
            </w:pPr>
          </w:p>
        </w:tc>
      </w:tr>
    </w:tbl>
    <w:p w14:paraId="2D7DD9E9">
      <w:pPr>
        <w:rPr>
          <w:highlight w:val="none"/>
        </w:rPr>
      </w:pPr>
    </w:p>
    <w:sectPr>
      <w:headerReference r:id="rId8" w:type="default"/>
      <w:footerReference r:id="rId9"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30"/>
      <w:rPr>
        <w:rStyle w:val="50"/>
      </w:rPr>
    </w:pPr>
  </w:p>
  <w:p w14:paraId="5343591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30"/>
      <w:rPr>
        <w:rStyle w:val="50"/>
      </w:rPr>
    </w:pPr>
  </w:p>
  <w:p w14:paraId="78B0040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30"/>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BF03D"/>
    <w:multiLevelType w:val="singleLevel"/>
    <w:tmpl w:val="41BBF0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B547E"/>
    <w:rsid w:val="153E6FE7"/>
    <w:rsid w:val="15535F3F"/>
    <w:rsid w:val="155C3CBE"/>
    <w:rsid w:val="15697093"/>
    <w:rsid w:val="15760076"/>
    <w:rsid w:val="157E5DA4"/>
    <w:rsid w:val="159E3AF3"/>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96023"/>
    <w:rsid w:val="290F29AF"/>
    <w:rsid w:val="292D0766"/>
    <w:rsid w:val="292F7869"/>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50405"/>
    <w:rsid w:val="2D2E304F"/>
    <w:rsid w:val="2D3C07FE"/>
    <w:rsid w:val="2D5756FC"/>
    <w:rsid w:val="2D5D5591"/>
    <w:rsid w:val="2D74743A"/>
    <w:rsid w:val="2D7C11D4"/>
    <w:rsid w:val="2D7F4766"/>
    <w:rsid w:val="2D8D3A62"/>
    <w:rsid w:val="2DAF3E40"/>
    <w:rsid w:val="2DBE7F60"/>
    <w:rsid w:val="2DBF2EFF"/>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DC5C3F"/>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37DC3"/>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15B1B"/>
    <w:rsid w:val="3E5717D0"/>
    <w:rsid w:val="3E5E04B0"/>
    <w:rsid w:val="3E5F4189"/>
    <w:rsid w:val="3E6C1A3F"/>
    <w:rsid w:val="3E734A16"/>
    <w:rsid w:val="3E752133"/>
    <w:rsid w:val="3E7A5DA4"/>
    <w:rsid w:val="3E953235"/>
    <w:rsid w:val="3E9B10A4"/>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3A149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41AC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next w:val="21"/>
    <w:link w:val="143"/>
    <w:qFormat/>
    <w:uiPriority w:val="0"/>
  </w:style>
  <w:style w:type="paragraph" w:styleId="21">
    <w:name w:val="Body Text First Indent"/>
    <w:basedOn w:val="20"/>
    <w:qFormat/>
    <w:uiPriority w:val="0"/>
    <w:pPr>
      <w:ind w:firstLine="420" w:firstLineChars="100"/>
    </w:pPr>
  </w:style>
  <w:style w:type="paragraph" w:styleId="2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paragraph" w:customStyle="1" w:styleId="64">
    <w:name w:val="Default"/>
    <w:next w:val="39"/>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8"/>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8"/>
    <w:qFormat/>
    <w:uiPriority w:val="0"/>
  </w:style>
  <w:style w:type="character" w:customStyle="1" w:styleId="111">
    <w:name w:val="img4"/>
    <w:basedOn w:val="48"/>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8"/>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8"/>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8"/>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BWTON_重点字符"/>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16757</Words>
  <Characters>17661</Characters>
  <Lines>411</Lines>
  <Paragraphs>115</Paragraphs>
  <TotalTime>3</TotalTime>
  <ScaleCrop>false</ScaleCrop>
  <LinksUpToDate>false</LinksUpToDate>
  <CharactersWithSpaces>18075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Administrator</cp:lastModifiedBy>
  <cp:lastPrinted>2023-06-08T00:43:00Z</cp:lastPrinted>
  <dcterms:modified xsi:type="dcterms:W3CDTF">2026-01-09T04:36:03Z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5A96E9D5DEA14287B230D772E27E32F1_13</vt:lpwstr>
  </property>
  <property fmtid="{D5CDD505-2E9C-101B-9397-08002B2CF9AE}" pid="4" name="KSOTemplateDocerSaveRecord">
    <vt:lpwstr>eyJoZGlkIjoiMTljMDcwYWJmYjExZWQzNTVmZDAzZTYwM2JlMzJmZDYiLCJ1c2VySWQiOiIzODU2Mzk2OTQifQ==</vt:lpwstr>
  </property>
</Properties>
</file>