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961B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18DAA561">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14:paraId="5851E150">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bookmarkStart w:id="0" w:name="_Hlk9544796"/>
      <w:r>
        <w:rPr>
          <w:rFonts w:hint="eastAsia" w:asciiTheme="minorEastAsia" w:hAnsiTheme="minorEastAsia" w:eastAsiaTheme="minorEastAsia"/>
          <w:b/>
          <w:bCs/>
          <w:color w:val="auto"/>
          <w:sz w:val="52"/>
          <w:szCs w:val="52"/>
          <w:highlight w:val="none"/>
        </w:rPr>
        <w:t>安徽省政府采购项目</w:t>
      </w:r>
    </w:p>
    <w:p w14:paraId="0FDC1A4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询价通知书示范文本（货物类）</w:t>
      </w:r>
    </w:p>
    <w:bookmarkEnd w:id="0"/>
    <w:p w14:paraId="2BA3405C">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（2024年版）</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78ABBD46">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B80F994">
      <w:pPr>
        <w:pStyle w:val="3"/>
        <w:rPr>
          <w:rFonts w:asciiTheme="minorEastAsia" w:hAnsiTheme="minorEastAsia" w:eastAsiaTheme="minorEastAsia"/>
          <w:b/>
          <w:bCs/>
          <w:color w:val="auto"/>
          <w:sz w:val="44"/>
          <w:szCs w:val="44"/>
          <w:highlight w:val="none"/>
        </w:rPr>
      </w:pPr>
    </w:p>
    <w:p w14:paraId="0F6DB3E5">
      <w:pPr>
        <w:rPr>
          <w:color w:val="auto"/>
          <w:highlight w:val="none"/>
        </w:rPr>
      </w:pPr>
    </w:p>
    <w:p w14:paraId="0BFFF10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0AD22A1">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z w:val="36"/>
          <w:highlight w:val="none"/>
          <w:u w:val="single"/>
          <w:lang w:val="en-US" w:eastAsia="zh-CN"/>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z w:val="36"/>
          <w:highlight w:val="none"/>
          <w:u w:val="single"/>
        </w:rPr>
        <w:t>来安县人民检察院特种车辆囚车采购项目</w:t>
      </w:r>
    </w:p>
    <w:p w14:paraId="323627E9">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z w:val="36"/>
          <w:highlight w:val="none"/>
          <w:u w:val="single"/>
          <w:lang w:val="en-US" w:eastAsia="zh-CN"/>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z w:val="36"/>
          <w:highlight w:val="none"/>
          <w:u w:val="single"/>
        </w:rPr>
        <w:t>czsjcg202511-03</w:t>
      </w:r>
      <w:r>
        <w:rPr>
          <w:rFonts w:hint="eastAsia" w:asciiTheme="minorEastAsia" w:hAnsiTheme="minorEastAsia" w:eastAsiaTheme="minorEastAsia"/>
          <w:b/>
          <w:color w:val="auto"/>
          <w:sz w:val="36"/>
          <w:highlight w:val="none"/>
          <w:u w:val="single"/>
          <w:lang w:val="en-US" w:eastAsia="zh-CN"/>
        </w:rPr>
        <w:t>8</w:t>
      </w:r>
    </w:p>
    <w:p w14:paraId="4EEE9F50">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6"/>
          <w:highlight w:val="none"/>
          <w:u w:val="single"/>
        </w:rPr>
        <w:t>来安县人民检察院</w:t>
      </w: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采购代理机构：</w:t>
      </w:r>
      <w:r>
        <w:rPr>
          <w:rFonts w:hint="eastAsia" w:asciiTheme="minorEastAsia" w:hAnsiTheme="minorEastAsia" w:eastAsiaTheme="minorEastAsia"/>
          <w:b/>
          <w:color w:val="auto"/>
          <w:sz w:val="36"/>
          <w:highlight w:val="none"/>
          <w:u w:val="single"/>
        </w:rPr>
        <w:t xml:space="preserve">滁州市政府采购中心 </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11</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20"/>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20"/>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6</w:t>
      </w:r>
      <w:r>
        <w:rPr>
          <w:rFonts w:hint="eastAsia"/>
          <w:color w:val="auto"/>
          <w:highlight w:val="none"/>
        </w:rPr>
        <w:fldChar w:fldCharType="end"/>
      </w:r>
    </w:p>
    <w:p w14:paraId="6AA34812">
      <w:pPr>
        <w:pStyle w:val="20"/>
        <w:tabs>
          <w:tab w:val="right" w:leader="dot" w:pos="8279"/>
        </w:tabs>
        <w:rPr>
          <w:rFonts w:hint="eastAsia" w:asciiTheme="minorEastAsia" w:hAnsiTheme="minorEastAsia" w:eastAsiaTheme="minorEastAsia"/>
          <w:bCs/>
          <w:color w:val="auto"/>
          <w:szCs w:val="24"/>
          <w:highlight w:val="none"/>
          <w:lang w:eastAsia="zh-CN"/>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lang w:val="en-US" w:eastAsia="zh-CN"/>
        </w:rPr>
        <w:t>2</w:t>
      </w:r>
    </w:p>
    <w:p w14:paraId="22BCF0E2">
      <w:pPr>
        <w:pStyle w:val="20"/>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lang w:val="en-US" w:eastAsia="zh-CN"/>
        </w:rPr>
        <w:t>2</w:t>
      </w:r>
      <w:r>
        <w:rPr>
          <w:rFonts w:hint="eastAsia"/>
          <w:color w:val="auto"/>
          <w:highlight w:val="none"/>
        </w:rPr>
        <w:fldChar w:fldCharType="end"/>
      </w:r>
      <w:r>
        <w:rPr>
          <w:rFonts w:hint="eastAsia"/>
          <w:color w:val="auto"/>
          <w:highlight w:val="none"/>
          <w:lang w:val="en-US" w:eastAsia="zh-CN"/>
        </w:rPr>
        <w:t>8</w:t>
      </w:r>
    </w:p>
    <w:p w14:paraId="1E6C7626">
      <w:pPr>
        <w:pStyle w:val="20"/>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lang w:val="en-US" w:eastAsia="zh-CN"/>
        </w:rPr>
        <w:t>2</w:t>
      </w:r>
    </w:p>
    <w:p w14:paraId="2A8FBFCB">
      <w:pPr>
        <w:pStyle w:val="20"/>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lang w:val="en-US" w:eastAsia="zh-CN"/>
        </w:rPr>
        <w:t>4</w:t>
      </w:r>
      <w:r>
        <w:rPr>
          <w:rFonts w:hint="eastAsia"/>
          <w:color w:val="auto"/>
          <w:highlight w:val="none"/>
        </w:rPr>
        <w:fldChar w:fldCharType="end"/>
      </w:r>
      <w:r>
        <w:rPr>
          <w:rFonts w:hint="eastAsia"/>
          <w:color w:val="auto"/>
          <w:highlight w:val="none"/>
          <w:lang w:val="en-US" w:eastAsia="zh-CN"/>
        </w:rPr>
        <w:t>1</w:t>
      </w:r>
    </w:p>
    <w:p w14:paraId="57637F0D">
      <w:pPr>
        <w:pStyle w:val="20"/>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lang w:val="en-US" w:eastAsia="zh-CN"/>
        </w:rPr>
        <w:t>3</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20"/>
        <w:tabs>
          <w:tab w:val="right" w:leader="dot" w:pos="8279"/>
        </w:tabs>
        <w:rPr>
          <w:rFonts w:asciiTheme="minorEastAsia" w:hAnsiTheme="minorEastAsia"/>
          <w:b/>
          <w:color w:val="auto"/>
          <w:sz w:val="28"/>
          <w:highlight w:val="none"/>
        </w:rPr>
        <w:sectPr>
          <w:headerReference r:id="rId3" w:type="default"/>
          <w:footerReference r:id="rId4" w:type="default"/>
          <w:pgSz w:w="11907" w:h="16840"/>
          <w:pgMar w:top="1474" w:right="1053" w:bottom="1474" w:left="1814" w:header="851" w:footer="851" w:gutter="0"/>
          <w:pgNumType w:fmt="decimal"/>
          <w:cols w:space="720" w:num="1"/>
          <w:docGrid w:linePitch="462"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260" w:after="260"/>
        <w:rPr>
          <w:rFonts w:ascii="黑体" w:hAnsi="黑体" w:eastAsia="黑体" w:cs="黑体"/>
          <w:color w:val="auto"/>
          <w:kern w:val="0"/>
          <w:sz w:val="28"/>
          <w:szCs w:val="28"/>
          <w:highlight w:val="none"/>
          <w:u w:color="000000"/>
        </w:rPr>
      </w:pPr>
      <w:bookmarkStart w:id="2" w:name="_Toc35393630"/>
      <w:bookmarkStart w:id="3" w:name="_Toc35393799"/>
      <w:bookmarkStart w:id="4" w:name="_Toc28359090"/>
      <w:bookmarkStart w:id="5" w:name="_Toc28359013"/>
      <w:r>
        <w:rPr>
          <w:rFonts w:hint="eastAsia" w:ascii="黑体" w:hAnsi="黑体" w:eastAsia="黑体" w:cs="黑体"/>
          <w:color w:val="auto"/>
          <w:kern w:val="0"/>
          <w:sz w:val="28"/>
          <w:szCs w:val="28"/>
          <w:highlight w:val="none"/>
          <w:u w:color="000000"/>
        </w:rPr>
        <w:t>一、项目基本情况</w:t>
      </w:r>
    </w:p>
    <w:p w14:paraId="6660098A">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项目编号：czsjcg202511-03</w:t>
      </w:r>
      <w:r>
        <w:rPr>
          <w:rFonts w:hint="eastAsia" w:ascii="仿宋" w:hAnsi="仿宋" w:eastAsia="仿宋" w:cs="Times New Roman"/>
          <w:color w:val="auto"/>
          <w:kern w:val="0"/>
          <w:sz w:val="28"/>
          <w:szCs w:val="28"/>
          <w:highlight w:val="none"/>
          <w:u w:color="000000"/>
          <w:lang w:val="en-US" w:eastAsia="zh-CN"/>
        </w:rPr>
        <w:t>8</w:t>
      </w:r>
      <w:r>
        <w:rPr>
          <w:rFonts w:hint="eastAsia" w:ascii="仿宋" w:hAnsi="仿宋" w:eastAsia="仿宋" w:cs="Times New Roman"/>
          <w:color w:val="auto"/>
          <w:kern w:val="0"/>
          <w:sz w:val="28"/>
          <w:szCs w:val="28"/>
          <w:highlight w:val="none"/>
          <w:u w:color="000000"/>
        </w:rPr>
        <w:t xml:space="preserve"> </w:t>
      </w:r>
    </w:p>
    <w:p w14:paraId="2B92CD3B">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项目名称：来安县人民检察院特种车辆囚车采购项目</w:t>
      </w:r>
    </w:p>
    <w:p w14:paraId="12535DE7">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230000.00</w:t>
      </w:r>
      <w:r>
        <w:rPr>
          <w:rFonts w:hint="eastAsia" w:ascii="仿宋" w:hAnsi="仿宋" w:eastAsia="仿宋" w:cs="Times New Roman"/>
          <w:color w:val="auto"/>
          <w:kern w:val="0"/>
          <w:sz w:val="28"/>
          <w:szCs w:val="28"/>
          <w:highlight w:val="none"/>
          <w:u w:color="000000"/>
        </w:rPr>
        <w:t>元</w:t>
      </w:r>
    </w:p>
    <w:p w14:paraId="108E59D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230000.00</w:t>
      </w:r>
      <w:r>
        <w:rPr>
          <w:rFonts w:hint="eastAsia" w:ascii="仿宋" w:hAnsi="仿宋" w:eastAsia="仿宋" w:cs="Times New Roman"/>
          <w:color w:val="auto"/>
          <w:kern w:val="0"/>
          <w:sz w:val="28"/>
          <w:szCs w:val="28"/>
          <w:highlight w:val="none"/>
          <w:u w:color="000000"/>
        </w:rPr>
        <w:t>元，响应报价不得高于最高限价，否则按无效响应处理。</w:t>
      </w:r>
      <w:bookmarkStart w:id="120" w:name="_GoBack"/>
      <w:bookmarkEnd w:id="120"/>
    </w:p>
    <w:p w14:paraId="00A6A24C">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1辆</w:t>
      </w:r>
      <w:r>
        <w:rPr>
          <w:rFonts w:hint="eastAsia" w:ascii="仿宋" w:hAnsi="仿宋" w:eastAsia="仿宋" w:cs="Times New Roman"/>
          <w:color w:val="auto"/>
          <w:kern w:val="0"/>
          <w:sz w:val="28"/>
          <w:szCs w:val="28"/>
          <w:highlight w:val="none"/>
          <w:u w:color="000000"/>
          <w:lang w:eastAsia="zh-CN"/>
        </w:rPr>
        <w:t>囚车采购</w:t>
      </w:r>
    </w:p>
    <w:p w14:paraId="13E3FEC9">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eastAsia="zh-CN"/>
        </w:rPr>
        <w:t>自合同签订后</w:t>
      </w:r>
      <w:r>
        <w:rPr>
          <w:rFonts w:hint="eastAsia" w:ascii="仿宋" w:hAnsi="仿宋" w:eastAsia="仿宋" w:cs="Times New Roman"/>
          <w:color w:val="auto"/>
          <w:kern w:val="0"/>
          <w:sz w:val="28"/>
          <w:szCs w:val="28"/>
          <w:highlight w:val="none"/>
          <w:u w:color="000000"/>
          <w:lang w:val="en-US" w:eastAsia="zh-CN"/>
        </w:rPr>
        <w:t>35</w:t>
      </w:r>
      <w:r>
        <w:rPr>
          <w:rFonts w:hint="eastAsia" w:ascii="仿宋" w:hAnsi="仿宋" w:eastAsia="仿宋" w:cs="Times New Roman"/>
          <w:color w:val="auto"/>
          <w:kern w:val="0"/>
          <w:sz w:val="28"/>
          <w:szCs w:val="28"/>
          <w:highlight w:val="none"/>
          <w:u w:color="000000"/>
          <w:lang w:eastAsia="zh-CN"/>
        </w:rPr>
        <w:t>个日历天内完成供货并将货物运送至采购人指定地点</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ascii="黑体" w:hAnsi="黑体" w:eastAsia="黑体" w:cs="黑体"/>
          <w:color w:val="auto"/>
          <w:kern w:val="0"/>
          <w:sz w:val="28"/>
          <w:szCs w:val="28"/>
          <w:highlight w:val="none"/>
          <w:u w:color="000000"/>
        </w:rPr>
      </w:pPr>
      <w:bookmarkStart w:id="6" w:name="_Toc35393631"/>
      <w:bookmarkStart w:id="7" w:name="_Toc35393800"/>
      <w:bookmarkStart w:id="8" w:name="_Toc28359091"/>
      <w:bookmarkStart w:id="9" w:name="_Toc28359014"/>
      <w:r>
        <w:rPr>
          <w:rFonts w:hint="eastAsia" w:ascii="黑体" w:hAnsi="黑体" w:eastAsia="黑体" w:cs="黑体"/>
          <w:color w:val="auto"/>
          <w:kern w:val="0"/>
          <w:sz w:val="28"/>
          <w:szCs w:val="28"/>
          <w:highlight w:val="none"/>
          <w:u w:color="000000"/>
        </w:rPr>
        <w:t>二、申请人的资格要求</w:t>
      </w:r>
    </w:p>
    <w:p w14:paraId="0950D6F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1.满足《中华人民共和国政府采购法》第二十二条规定；</w:t>
      </w:r>
    </w:p>
    <w:p w14:paraId="52370ACA">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落实政府采购政策需满足的资格要求：本项目符合财政部、工业和信息化部制定的《政府采购促进中小企业发展管理办法》第六条第3款之规定，为非专门面向中小企业采购项目。具体原因如下（本项目采购内容为</w:t>
      </w:r>
      <w:r>
        <w:rPr>
          <w:rFonts w:hint="eastAsia" w:ascii="仿宋" w:hAnsi="仿宋" w:eastAsia="仿宋" w:cs="Times New Roman"/>
          <w:color w:val="auto"/>
          <w:kern w:val="0"/>
          <w:sz w:val="28"/>
          <w:szCs w:val="28"/>
          <w:highlight w:val="none"/>
          <w:u w:color="000000"/>
          <w:lang w:val="en-US" w:eastAsia="zh-CN"/>
        </w:rPr>
        <w:t>特种</w:t>
      </w:r>
      <w:r>
        <w:rPr>
          <w:rFonts w:hint="eastAsia" w:ascii="仿宋" w:hAnsi="仿宋" w:eastAsia="仿宋" w:cs="Times New Roman"/>
          <w:color w:val="auto"/>
          <w:kern w:val="0"/>
          <w:sz w:val="28"/>
          <w:szCs w:val="28"/>
          <w:highlight w:val="none"/>
          <w:u w:color="000000"/>
        </w:rPr>
        <w:t>车辆，预留采购份额无法确保充分供应、充分竞争，或者存在可能影响政府采购目标实现。）。若中小企业对此有质疑，可按以下渠道递交质疑：①以书面材料递交至采购人或采购代理机构处；②在滁州市公共资源交易中心网电子交易系统中进行质疑，具体操作步骤和程序请参见服务指南〉交易须知〉在线异议、质疑和投诉操作手册；</w:t>
      </w:r>
    </w:p>
    <w:p w14:paraId="2F5BCE37">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3.本项目的特定资格要求：/；</w:t>
      </w:r>
    </w:p>
    <w:p w14:paraId="7144950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4.信誉要求：供应商不得存在以下情形：</w:t>
      </w:r>
    </w:p>
    <w:p w14:paraId="4F9ACCB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①被列入“信用中国”网站“失信被执行人”的；</w:t>
      </w:r>
    </w:p>
    <w:p w14:paraId="67DAF21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②被列入“信用中国”网站“重大税收违法失信主体”的；</w:t>
      </w:r>
    </w:p>
    <w:p w14:paraId="6025DBF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③被列入“信用中国”网站 “严重失信主体名单”的；</w:t>
      </w:r>
    </w:p>
    <w:p w14:paraId="086D4830">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④在</w:t>
      </w:r>
      <w:bookmarkStart w:id="10" w:name="OLE_LINK129"/>
      <w:bookmarkStart w:id="11" w:name="OLE_LINK128"/>
      <w:bookmarkStart w:id="12" w:name="OLE_LINK127"/>
      <w:r>
        <w:rPr>
          <w:rFonts w:hint="eastAsia" w:ascii="仿宋" w:hAnsi="仿宋" w:eastAsia="仿宋" w:cs="Times New Roman"/>
          <w:color w:val="auto"/>
          <w:kern w:val="0"/>
          <w:sz w:val="28"/>
          <w:szCs w:val="28"/>
          <w:highlight w:val="none"/>
          <w:u w:color="000000"/>
        </w:rPr>
        <w:t>“信用中国”网站</w:t>
      </w:r>
      <w:bookmarkEnd w:id="10"/>
      <w:bookmarkEnd w:id="11"/>
      <w:bookmarkEnd w:id="12"/>
      <w:r>
        <w:rPr>
          <w:rFonts w:hint="eastAsia" w:ascii="仿宋" w:hAnsi="仿宋" w:eastAsia="仿宋" w:cs="Times New Roman"/>
          <w:color w:val="auto"/>
          <w:kern w:val="0"/>
          <w:sz w:val="28"/>
          <w:szCs w:val="28"/>
          <w:highlight w:val="none"/>
          <w:u w:color="000000"/>
        </w:rPr>
        <w:t>上披露的仍在公示期的严重失信行为(具体行为类别及判定依据见“信用中国”查询的严重失信行为类别及判定依据)的。</w:t>
      </w:r>
    </w:p>
    <w:p w14:paraId="5146456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⑤被列入国家企业信用信息公示系统网站“经营异常名录”或者“严重违法失信名单”的。</w:t>
      </w:r>
    </w:p>
    <w:p w14:paraId="7BBD9533">
      <w:pPr>
        <w:widowControl/>
        <w:ind w:firstLine="560" w:firstLineChars="200"/>
        <w:textAlignment w:val="baseline"/>
        <w:rPr>
          <w:rFonts w:ascii="仿宋" w:hAnsi="仿宋" w:eastAsia="仿宋" w:cs="Times New Roman"/>
          <w:color w:val="auto"/>
          <w:kern w:val="0"/>
          <w:sz w:val="28"/>
          <w:szCs w:val="28"/>
          <w:highlight w:val="none"/>
          <w:u w:color="000000"/>
        </w:rPr>
      </w:pPr>
      <w:bookmarkStart w:id="13" w:name="OLE_LINK113"/>
      <w:bookmarkStart w:id="14" w:name="OLE_LINK114"/>
      <w:r>
        <w:rPr>
          <w:rFonts w:hint="eastAsia" w:ascii="仿宋" w:hAnsi="仿宋" w:eastAsia="仿宋" w:cs="Times New Roman"/>
          <w:color w:val="auto"/>
          <w:kern w:val="0"/>
          <w:sz w:val="28"/>
          <w:szCs w:val="28"/>
          <w:highlight w:val="none"/>
          <w:u w:color="000000"/>
        </w:rPr>
        <w:t>⑥</w:t>
      </w:r>
      <w:bookmarkEnd w:id="13"/>
      <w:bookmarkEnd w:id="14"/>
      <w:r>
        <w:rPr>
          <w:rFonts w:hint="eastAsia" w:ascii="仿宋" w:hAnsi="仿宋" w:eastAsia="仿宋" w:cs="Times New Roman"/>
          <w:color w:val="auto"/>
          <w:kern w:val="0"/>
          <w:sz w:val="28"/>
          <w:szCs w:val="28"/>
          <w:highlight w:val="none"/>
          <w:u w:color="000000"/>
        </w:rPr>
        <w:t>被列入中国政府采购网站“政府采购严重违法失信行为信息记录”的。</w:t>
      </w:r>
    </w:p>
    <w:p w14:paraId="50BEBC0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⑦前三年有行贿犯罪行为的单位和个人。</w:t>
      </w:r>
    </w:p>
    <w:p w14:paraId="3B82B88A">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5.供应商所属分公司、办事处等分支机构存在第4条信誉要求①-⑦项情形之一的，接受供应商参加本项目。</w:t>
      </w:r>
    </w:p>
    <w:p w14:paraId="6D4A05A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备注：第4、5条按照“关于联合惩戒失信行为加强信用查询管理的通知”查询或承诺。</w:t>
      </w:r>
    </w:p>
    <w:bookmarkEnd w:id="6"/>
    <w:bookmarkEnd w:id="7"/>
    <w:bookmarkEnd w:id="8"/>
    <w:bookmarkEnd w:id="9"/>
    <w:p w14:paraId="45A007AD">
      <w:pPr>
        <w:keepNext/>
        <w:keepLines/>
        <w:spacing w:before="260" w:after="260"/>
        <w:rPr>
          <w:rFonts w:ascii="黑体" w:hAnsi="黑体" w:eastAsia="黑体" w:cs="黑体"/>
          <w:color w:val="auto"/>
          <w:kern w:val="0"/>
          <w:sz w:val="28"/>
          <w:szCs w:val="28"/>
          <w:highlight w:val="none"/>
          <w:u w:color="000000"/>
        </w:rPr>
      </w:pPr>
      <w:bookmarkStart w:id="15" w:name="_Toc35393801"/>
      <w:bookmarkStart w:id="16" w:name="_Toc35393632"/>
      <w:bookmarkStart w:id="17" w:name="_Toc28359015"/>
      <w:bookmarkStart w:id="18" w:name="_Toc28359092"/>
      <w:r>
        <w:rPr>
          <w:rFonts w:hint="eastAsia" w:ascii="黑体" w:hAnsi="黑体" w:eastAsia="黑体" w:cs="黑体"/>
          <w:color w:val="auto"/>
          <w:kern w:val="0"/>
          <w:sz w:val="28"/>
          <w:szCs w:val="28"/>
          <w:highlight w:val="none"/>
          <w:u w:color="000000"/>
        </w:rPr>
        <w:t>三、获取采购文件</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24</w:t>
      </w:r>
      <w:r>
        <w:rPr>
          <w:rFonts w:hint="eastAsia" w:ascii="仿宋" w:hAnsi="仿宋" w:eastAsia="仿宋" w:cs="Times New Roman"/>
          <w:color w:val="auto"/>
          <w:kern w:val="0"/>
          <w:sz w:val="28"/>
          <w:szCs w:val="28"/>
          <w:highlight w:val="none"/>
          <w:u w:color="000000"/>
        </w:rPr>
        <w:t>日至2025年</w:t>
      </w:r>
      <w:r>
        <w:rPr>
          <w:rFonts w:hint="eastAsia" w:ascii="仿宋" w:hAnsi="仿宋" w:eastAsia="仿宋" w:cs="Times New Roman"/>
          <w:color w:val="auto"/>
          <w:kern w:val="0"/>
          <w:sz w:val="28"/>
          <w:szCs w:val="28"/>
          <w:highlight w:val="none"/>
          <w:u w:color="000000"/>
          <w:lang w:val="en-US" w:eastAsia="zh-CN"/>
        </w:rPr>
        <w:t>11月28日</w:t>
      </w:r>
    </w:p>
    <w:p w14:paraId="143208A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地点：滁州市公共资源交易中心网</w:t>
      </w:r>
    </w:p>
    <w:p w14:paraId="0551434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方式：网上下载</w:t>
      </w:r>
    </w:p>
    <w:p w14:paraId="06B0AE02">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售价：0元</w:t>
      </w:r>
    </w:p>
    <w:bookmarkEnd w:id="15"/>
    <w:bookmarkEnd w:id="16"/>
    <w:bookmarkEnd w:id="17"/>
    <w:bookmarkEnd w:id="18"/>
    <w:p w14:paraId="512A2CFF">
      <w:pPr>
        <w:keepNext/>
        <w:keepLines/>
        <w:spacing w:before="260" w:after="260"/>
        <w:rPr>
          <w:rFonts w:ascii="黑体" w:hAnsi="黑体" w:eastAsia="黑体" w:cs="黑体"/>
          <w:color w:val="auto"/>
          <w:kern w:val="0"/>
          <w:sz w:val="28"/>
          <w:szCs w:val="28"/>
          <w:highlight w:val="none"/>
          <w:u w:color="000000"/>
        </w:rPr>
      </w:pPr>
      <w:bookmarkStart w:id="19" w:name="_Toc35393633"/>
      <w:bookmarkStart w:id="20" w:name="_Toc28359093"/>
      <w:bookmarkStart w:id="21" w:name="_Toc28359016"/>
      <w:bookmarkStart w:id="22" w:name="_Toc35393802"/>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截止时间：2025年</w:t>
      </w:r>
      <w:r>
        <w:rPr>
          <w:rFonts w:hint="eastAsia" w:ascii="仿宋" w:hAnsi="仿宋" w:eastAsia="仿宋" w:cs="Times New Roman"/>
          <w:color w:val="auto"/>
          <w:kern w:val="0"/>
          <w:sz w:val="28"/>
          <w:szCs w:val="28"/>
          <w:highlight w:val="none"/>
          <w:u w:color="000000"/>
          <w:lang w:val="en-US" w:eastAsia="zh-CN"/>
        </w:rPr>
        <w:t>11月28日</w:t>
      </w:r>
      <w:r>
        <w:rPr>
          <w:rFonts w:hint="eastAsia" w:ascii="仿宋" w:hAnsi="仿宋" w:eastAsia="仿宋" w:cs="Times New Roman"/>
          <w:color w:val="auto"/>
          <w:kern w:val="0"/>
          <w:sz w:val="28"/>
          <w:szCs w:val="28"/>
          <w:highlight w:val="none"/>
          <w:u w:color="000000"/>
        </w:rPr>
        <w:t>8点00分（北京时间）（从询价通知书开始发出之日起至供应商提交响应文件截止之日止不得少于3个工作日）</w:t>
      </w:r>
    </w:p>
    <w:p w14:paraId="27C86F5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地点：滁州市公共资源交易平台电子交易系统</w:t>
      </w:r>
    </w:p>
    <w:bookmarkEnd w:id="19"/>
    <w:bookmarkEnd w:id="20"/>
    <w:bookmarkEnd w:id="21"/>
    <w:bookmarkEnd w:id="22"/>
    <w:p w14:paraId="2EB338CE">
      <w:pPr>
        <w:keepNext/>
        <w:keepLines/>
        <w:spacing w:before="260" w:after="260"/>
        <w:rPr>
          <w:rFonts w:ascii="黑体" w:hAnsi="黑体" w:eastAsia="黑体" w:cs="黑体"/>
          <w:color w:val="auto"/>
          <w:kern w:val="0"/>
          <w:sz w:val="28"/>
          <w:szCs w:val="28"/>
          <w:highlight w:val="none"/>
          <w:u w:color="000000"/>
        </w:rPr>
      </w:pPr>
      <w:bookmarkStart w:id="23" w:name="_Toc14529"/>
      <w:bookmarkStart w:id="24" w:name="_Toc2396"/>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11月28日</w:t>
      </w:r>
      <w:r>
        <w:rPr>
          <w:rFonts w:hint="eastAsia" w:ascii="仿宋" w:hAnsi="仿宋" w:eastAsia="仿宋" w:cs="Times New Roman"/>
          <w:color w:val="auto"/>
          <w:kern w:val="0"/>
          <w:sz w:val="28"/>
          <w:szCs w:val="28"/>
          <w:highlight w:val="none"/>
          <w:u w:color="000000"/>
        </w:rPr>
        <w:t>8点00分（北京时间）</w:t>
      </w:r>
    </w:p>
    <w:p w14:paraId="15776A90">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地点：滁州市公共资源交易平台电子交易系统</w:t>
      </w:r>
    </w:p>
    <w:p w14:paraId="3194547C">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23"/>
    <w:bookmarkEnd w:id="24"/>
    <w:p w14:paraId="41FD9EC3">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1206B12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本项目只接受在安徽省公共资源交易市场主体库（http://ggzy.ah.gov.cn/ahggfwpt-zhutiku/dengludenglu）登记并进行信息确认提交的供应商参加，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w:t>
      </w:r>
      <w:r>
        <w:rPr>
          <w:rFonts w:hint="eastAsia" w:ascii="仿宋" w:hAnsi="仿宋" w:eastAsia="仿宋" w:cs="Times New Roman"/>
          <w:color w:val="auto"/>
          <w:kern w:val="0"/>
          <w:sz w:val="28"/>
          <w:szCs w:val="28"/>
          <w:highlight w:val="none"/>
          <w:u w:color="000000"/>
          <w:lang w:eastAsia="zh-CN"/>
        </w:rPr>
        <w:t>0512-58188516</w:t>
      </w:r>
      <w:r>
        <w:rPr>
          <w:rFonts w:hint="eastAsia" w:ascii="仿宋" w:hAnsi="仿宋" w:eastAsia="仿宋" w:cs="Times New Roman"/>
          <w:color w:val="auto"/>
          <w:kern w:val="0"/>
          <w:sz w:val="28"/>
          <w:szCs w:val="28"/>
          <w:highlight w:val="none"/>
          <w:u w:color="000000"/>
        </w:rPr>
        <w:t>（8：00-21：00）、0550-3801701（工作日）。因未及时通过CA数字证书登录省主体库对相关信息进行补充完善并确认提交，导致无法响应的，责任自负。为保证系统使用过程中产生的问题能够及时得到解决，请各主体在工作时间进行主体信息登记、更新、响应文件制作等相关操作。</w:t>
      </w:r>
    </w:p>
    <w:p w14:paraId="78587B5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2.请供应商登录滁州市公共资源交易中心网站查看参加本项目的程序。（具体操作步骤和程序请参见服务指南&gt;交易须知&gt;投标人填写投标信息、下载文件及网上提问操作手册）。</w:t>
      </w:r>
    </w:p>
    <w:p w14:paraId="655088D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3.本项目采用不见面开标（远程解密)方式，开启时供应商无须至现场进行解密，</w:t>
      </w:r>
      <w:r>
        <w:rPr>
          <w:rFonts w:hint="eastAsia" w:ascii="仿宋" w:hAnsi="仿宋" w:eastAsia="仿宋" w:cs="Times New Roman"/>
          <w:color w:val="auto"/>
          <w:kern w:val="0"/>
          <w:sz w:val="28"/>
          <w:szCs w:val="28"/>
          <w:highlight w:val="none"/>
          <w:u w:color="000000"/>
          <w:lang w:val="en-US" w:eastAsia="zh-CN"/>
        </w:rPr>
        <w:t>开启</w:t>
      </w:r>
      <w:r>
        <w:rPr>
          <w:rFonts w:hint="eastAsia" w:ascii="仿宋" w:hAnsi="仿宋" w:eastAsia="仿宋" w:cs="Times New Roman"/>
          <w:color w:val="auto"/>
          <w:kern w:val="0"/>
          <w:sz w:val="28"/>
          <w:szCs w:val="28"/>
          <w:highlight w:val="none"/>
          <w:u w:color="000000"/>
        </w:rPr>
        <w:t>采取远程解密方式解密响应文件，供应商在开启时间前使用CA数字证书登录滁州市“不见面开标系统”，网址为https://ggzy.chuzhou.gov.cn/BidOpening,等待开启并按系统提示进行相应的供应商解密等事项，无需到现场。采用本方式可以观看现场音视频直播并进行互动交流。具体操作方法见中心网站&gt;服务指南&gt;交易须知中的《滁州市不见面开标系统操作手册》。</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07DAF5B2">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6DA839F0">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val="en-US" w:eastAsia="zh-CN"/>
        </w:rPr>
        <w:t>来安县人民检察院</w:t>
      </w:r>
    </w:p>
    <w:p w14:paraId="4785D0CE">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地  址：来安县来阳路与向阳路交叉口</w:t>
      </w:r>
    </w:p>
    <w:p w14:paraId="23C182F2">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lang w:eastAsia="zh-CN"/>
        </w:rPr>
        <w:t>联系人：</w:t>
      </w:r>
      <w:r>
        <w:rPr>
          <w:rFonts w:hint="eastAsia" w:ascii="仿宋" w:hAnsi="仿宋" w:eastAsia="仿宋" w:cs="Times New Roman"/>
          <w:color w:val="auto"/>
          <w:kern w:val="0"/>
          <w:sz w:val="28"/>
          <w:szCs w:val="28"/>
          <w:highlight w:val="none"/>
          <w:u w:color="000000"/>
          <w:lang w:val="en-US" w:eastAsia="zh-CN"/>
        </w:rPr>
        <w:t>史传凯</w:t>
      </w:r>
    </w:p>
    <w:p w14:paraId="3821BD6A">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eastAsia="zh-CN"/>
        </w:rPr>
        <w:t>联系方式：</w:t>
      </w:r>
      <w:r>
        <w:rPr>
          <w:rFonts w:hint="eastAsia" w:ascii="仿宋" w:hAnsi="仿宋" w:eastAsia="仿宋" w:cs="Times New Roman"/>
          <w:color w:val="auto"/>
          <w:kern w:val="0"/>
          <w:sz w:val="28"/>
          <w:szCs w:val="28"/>
          <w:highlight w:val="none"/>
          <w:u w:color="000000"/>
          <w:lang w:val="en-US" w:eastAsia="zh-CN"/>
        </w:rPr>
        <w:t>0550-2350830</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2.采购代理机构信息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称：滁州市政府采购中心</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址：滁州市龙蟠大道109号房产大厦二楼</w:t>
      </w:r>
    </w:p>
    <w:p w14:paraId="3EE40834">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杨韦</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0550-3519590、18005501210</w:t>
      </w:r>
    </w:p>
    <w:p w14:paraId="28D72DD0">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3.政府采购监督管理部门信息</w:t>
      </w:r>
    </w:p>
    <w:p w14:paraId="4B6237D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称：滁州市公共资源交易监督管理局</w:t>
      </w:r>
    </w:p>
    <w:p w14:paraId="72432DE7">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址：滁州市龙蟠大道109号房产大厦三楼</w:t>
      </w:r>
    </w:p>
    <w:p w14:paraId="6DF7FBC0">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联系方式：0550-3801656</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5"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5"/>
    </w:p>
    <w:p w14:paraId="68D88FAC">
      <w:pPr>
        <w:spacing w:line="360" w:lineRule="auto"/>
        <w:jc w:val="center"/>
        <w:outlineLvl w:val="1"/>
        <w:rPr>
          <w:rFonts w:asciiTheme="minorEastAsia" w:hAnsiTheme="minorEastAsia" w:eastAsiaTheme="minorEastAsia"/>
          <w:b/>
          <w:color w:val="auto"/>
          <w:sz w:val="24"/>
          <w:highlight w:val="none"/>
        </w:rPr>
      </w:pPr>
      <w:bookmarkStart w:id="26" w:name="_Toc12172"/>
      <w:bookmarkStart w:id="27"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6"/>
      <w:bookmarkEnd w:id="27"/>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809"/>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48"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82"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104" w:type="dxa"/>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228" w:type="dxa"/>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6370" w:type="dxa"/>
            <w:vAlign w:val="center"/>
          </w:tcPr>
          <w:p w14:paraId="4CEC42D4">
            <w:pPr>
              <w:spacing w:line="360" w:lineRule="auto"/>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2090C28F">
            <w:pPr>
              <w:spacing w:line="360" w:lineRule="auto"/>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1EDF940B">
            <w:pPr>
              <w:spacing w:line="360" w:lineRule="auto"/>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 </w:t>
            </w:r>
            <w:r>
              <w:rPr>
                <w:rFonts w:hint="eastAsia" w:ascii="宋体" w:hAnsi="宋体" w:eastAsia="宋体" w:cs="宋体"/>
                <w:bCs/>
                <w:color w:val="auto"/>
                <w:sz w:val="24"/>
                <w:highlight w:val="none"/>
              </w:rPr>
              <w:t>分</w:t>
            </w:r>
          </w:p>
          <w:p w14:paraId="7437883B">
            <w:pPr>
              <w:spacing w:line="360" w:lineRule="auto"/>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                  </w:t>
            </w:r>
          </w:p>
          <w:p w14:paraId="51591056">
            <w:pPr>
              <w:spacing w:line="360" w:lineRule="auto"/>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      </w:t>
            </w:r>
          </w:p>
          <w:p w14:paraId="607E78CC">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148"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282"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2025</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lang w:val="en-US" w:eastAsia="zh-CN"/>
              </w:rPr>
              <w:t xml:space="preserve"> 11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 xml:space="preserve"> 27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30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148"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282"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148"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282"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DD5C89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148" w:type="pct"/>
            <w:vAlign w:val="center"/>
          </w:tcPr>
          <w:p w14:paraId="7540227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282" w:type="pct"/>
            <w:vAlign w:val="center"/>
          </w:tcPr>
          <w:p w14:paraId="1BC62F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148"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282"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val="0"/>
                <w:color w:val="auto"/>
                <w:sz w:val="24"/>
                <w:highlight w:val="none"/>
                <w:u w:val="single"/>
              </w:rPr>
              <w:t xml:space="preserve"> 60</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7636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6351F86">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16</w:t>
            </w:r>
            <w:r>
              <w:rPr>
                <w:rFonts w:asciiTheme="minorEastAsia" w:hAnsiTheme="minorEastAsia" w:eastAsiaTheme="minorEastAsia"/>
                <w:bCs/>
                <w:color w:val="auto"/>
                <w:kern w:val="2"/>
                <w:highlight w:val="none"/>
              </w:rPr>
              <w:t>.1</w:t>
            </w:r>
          </w:p>
        </w:tc>
        <w:tc>
          <w:tcPr>
            <w:tcW w:w="1148" w:type="pct"/>
            <w:vAlign w:val="center"/>
          </w:tcPr>
          <w:p w14:paraId="778DE66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报价扣除</w:t>
            </w:r>
          </w:p>
        </w:tc>
        <w:tc>
          <w:tcPr>
            <w:tcW w:w="3282" w:type="pct"/>
            <w:vAlign w:val="center"/>
          </w:tcPr>
          <w:p w14:paraId="211AF68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cs="宋体"/>
                <w:b w:val="0"/>
                <w:color w:val="auto"/>
                <w:sz w:val="24"/>
                <w:highlight w:val="none"/>
                <w:u w:val="single"/>
              </w:rPr>
              <w:t>对小型和微型企业产品的价格给予10%的扣除后参与评审</w:t>
            </w:r>
            <w:r>
              <w:rPr>
                <w:rFonts w:hint="eastAsia" w:ascii="宋体" w:hAnsi="宋体" w:eastAsia="宋体"/>
                <w:b w:val="0"/>
                <w:color w:val="auto"/>
                <w:sz w:val="24"/>
                <w:highlight w:val="none"/>
              </w:rPr>
              <w:t>。</w:t>
            </w:r>
          </w:p>
          <w:p w14:paraId="3E4DD0A1">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2890783">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BE6E956">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 xml:space="preserve"> /  </w:t>
            </w:r>
            <w:r>
              <w:rPr>
                <w:rFonts w:ascii="宋体" w:hAnsi="宋体" w:eastAsia="宋体"/>
                <w:b w:val="0"/>
                <w:color w:val="auto"/>
                <w:sz w:val="24"/>
                <w:highlight w:val="none"/>
              </w:rPr>
              <w:t>%</w:t>
            </w:r>
            <w:r>
              <w:rPr>
                <w:rFonts w:hint="eastAsia" w:ascii="宋体" w:hAnsi="宋体" w:eastAsia="宋体"/>
                <w:b w:val="0"/>
                <w:color w:val="auto"/>
                <w:sz w:val="24"/>
                <w:highlight w:val="none"/>
              </w:rPr>
              <w:t>。</w:t>
            </w:r>
          </w:p>
          <w:p w14:paraId="099C9B2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ascii="宋体" w:hAnsi="宋体" w:eastAsia="宋体"/>
                <w:b w:val="0"/>
                <w:color w:val="auto"/>
                <w:sz w:val="24"/>
                <w:highlight w:val="none"/>
              </w:rPr>
              <w:t>%</w:t>
            </w:r>
            <w:r>
              <w:rPr>
                <w:rFonts w:hint="eastAsia" w:ascii="宋体" w:hAnsi="宋体" w:eastAsia="宋体"/>
                <w:b w:val="0"/>
                <w:color w:val="auto"/>
                <w:sz w:val="24"/>
                <w:highlight w:val="none"/>
              </w:rPr>
              <w:t>。</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148"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282"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5E9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644F9E6">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0</w:t>
            </w:r>
            <w:r>
              <w:rPr>
                <w:rFonts w:asciiTheme="minorEastAsia" w:hAnsiTheme="minorEastAsia" w:eastAsiaTheme="minorEastAsia"/>
                <w:bCs/>
                <w:color w:val="auto"/>
                <w:kern w:val="2"/>
                <w:highlight w:val="none"/>
              </w:rPr>
              <w:t>.3</w:t>
            </w:r>
          </w:p>
        </w:tc>
        <w:tc>
          <w:tcPr>
            <w:tcW w:w="1148" w:type="pct"/>
            <w:vAlign w:val="center"/>
          </w:tcPr>
          <w:p w14:paraId="7792B9C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随成交结果公告同时公告的内容</w:t>
            </w:r>
          </w:p>
        </w:tc>
        <w:tc>
          <w:tcPr>
            <w:tcW w:w="3282" w:type="pct"/>
            <w:vAlign w:val="center"/>
          </w:tcPr>
          <w:p w14:paraId="5FCCB050">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（1）中小企业声明函；</w:t>
            </w:r>
            <w:r>
              <w:rPr>
                <w:rFonts w:hint="eastAsia" w:asciiTheme="minorEastAsia" w:hAnsiTheme="minorEastAsia" w:eastAsiaTheme="minorEastAsia"/>
                <w:b w:val="0"/>
                <w:i/>
                <w:iCs/>
                <w:color w:val="auto"/>
                <w:sz w:val="24"/>
                <w:highlight w:val="none"/>
              </w:rPr>
              <w:t>（如有）</w:t>
            </w:r>
          </w:p>
          <w:p w14:paraId="16209F84">
            <w:pPr>
              <w:pStyle w:val="45"/>
              <w:widowControl w:val="0"/>
              <w:spacing w:before="0" w:beforeAutospacing="0" w:after="0" w:afterAutospacing="0" w:line="360" w:lineRule="auto"/>
              <w:jc w:val="both"/>
              <w:rPr>
                <w:rFonts w:asciiTheme="minorEastAsia" w:hAnsiTheme="minorEastAsia" w:eastAsiaTheme="minorEastAsia"/>
                <w:b w:val="0"/>
                <w:i/>
                <w:iCs/>
                <w:color w:val="auto"/>
                <w:sz w:val="24"/>
                <w:highlight w:val="none"/>
              </w:rPr>
            </w:pPr>
            <w:r>
              <w:rPr>
                <w:rFonts w:hint="eastAsia" w:asciiTheme="minorEastAsia" w:hAnsiTheme="minorEastAsia" w:eastAsiaTheme="minorEastAsia"/>
                <w:b w:val="0"/>
                <w:color w:val="auto"/>
                <w:sz w:val="24"/>
                <w:highlight w:val="none"/>
              </w:rPr>
              <w:t>（2）残疾人福利性单位声明函；</w:t>
            </w:r>
            <w:r>
              <w:rPr>
                <w:rFonts w:hint="eastAsia" w:asciiTheme="minorEastAsia" w:hAnsiTheme="minorEastAsia" w:eastAsiaTheme="minorEastAsia"/>
                <w:b w:val="0"/>
                <w:i/>
                <w:iCs/>
                <w:color w:val="auto"/>
                <w:sz w:val="24"/>
                <w:highlight w:val="none"/>
              </w:rPr>
              <w:t>（如有）</w:t>
            </w:r>
          </w:p>
          <w:p w14:paraId="4B43C42A">
            <w:pPr>
              <w:pStyle w:val="45"/>
              <w:widowControl w:val="0"/>
              <w:spacing w:before="0" w:beforeAutospacing="0" w:after="0" w:afterAutospacing="0" w:line="360" w:lineRule="auto"/>
              <w:jc w:val="both"/>
              <w:rPr>
                <w:rFonts w:eastAsia="宋体" w:asciiTheme="minorEastAsia" w:hAnsiTheme="minorEastAsia"/>
                <w:b w:val="0"/>
                <w:bCs w:val="0"/>
                <w:color w:val="auto"/>
                <w:sz w:val="24"/>
                <w:szCs w:val="24"/>
                <w:highlight w:val="none"/>
              </w:rPr>
            </w:pPr>
            <w:r>
              <w:rPr>
                <w:rFonts w:hint="eastAsia" w:ascii="宋体" w:hAnsi="宋体" w:eastAsia="宋体"/>
                <w:b w:val="0"/>
                <w:color w:val="auto"/>
                <w:sz w:val="24"/>
                <w:highlight w:val="none"/>
              </w:rPr>
              <w:t>（3）因落实政府采购政策等原因进行价格扣除后成交供应商的评审报价。</w:t>
            </w:r>
            <w:r>
              <w:rPr>
                <w:rFonts w:hint="eastAsia" w:asciiTheme="minorEastAsia" w:hAnsiTheme="minorEastAsia" w:eastAsiaTheme="minorEastAsia"/>
                <w:b w:val="0"/>
                <w:i/>
                <w:iCs/>
                <w:color w:val="auto"/>
                <w:sz w:val="24"/>
                <w:highlight w:val="none"/>
              </w:rPr>
              <w:t>（如有）</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148"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282"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148"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282"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148"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282" w:type="pct"/>
          </w:tcPr>
          <w:p w14:paraId="0088DFA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7B95B4E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028E17B1">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1E7BFA1">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74293C2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EF4724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617F884C">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D9F9F3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479EF8C0">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394629A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EBC746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DD73B7D">
            <w:pPr>
              <w:pStyle w:val="45"/>
              <w:widowControl w:val="0"/>
              <w:spacing w:before="0" w:beforeAutospacing="0" w:after="0" w:afterAutospacing="0" w:line="360" w:lineRule="auto"/>
              <w:jc w:val="both"/>
              <w:rPr>
                <w:rFonts w:asciiTheme="minorEastAsia" w:hAnsiTheme="minorEastAsia" w:eastAsiaTheme="minorEastAsia"/>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148" w:type="pct"/>
            <w:vAlign w:val="center"/>
          </w:tcPr>
          <w:p w14:paraId="55CD743D">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代理费用</w:t>
            </w:r>
          </w:p>
        </w:tc>
        <w:tc>
          <w:tcPr>
            <w:tcW w:w="3282"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eastAsia"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sz w:val="24"/>
                <w:szCs w:val="24"/>
                <w:highlight w:val="none"/>
                <w:u w:val="single"/>
                <w:lang w:val="en-US" w:eastAsia="zh-CN"/>
              </w:rPr>
              <w:t>参考</w:t>
            </w:r>
            <w:r>
              <w:rPr>
                <w:rFonts w:hint="eastAsia" w:ascii="宋体" w:hAnsi="宋体" w:eastAsia="宋体" w:cs="宋体"/>
                <w:b w:val="0"/>
                <w:bCs w:val="0"/>
                <w:color w:val="auto"/>
                <w:kern w:val="2"/>
                <w:sz w:val="24"/>
                <w:szCs w:val="24"/>
                <w:highlight w:val="none"/>
                <w:u w:val="single"/>
              </w:rPr>
              <w:t>《滁州市公共资源交易代理机构及从业人员管理暂行办法》滁公管〔2022〕5号</w:t>
            </w:r>
            <w:r>
              <w:rPr>
                <w:rFonts w:hint="eastAsia" w:ascii="宋体" w:hAnsi="宋体" w:eastAsia="宋体" w:cs="宋体"/>
                <w:b w:val="0"/>
                <w:bCs w:val="0"/>
                <w:color w:val="auto"/>
                <w:kern w:val="2"/>
                <w:sz w:val="24"/>
                <w:szCs w:val="24"/>
                <w:highlight w:val="none"/>
                <w:u w:val="single"/>
                <w:lang w:val="en-US" w:eastAsia="zh-CN"/>
              </w:rPr>
              <w:t>标准</w:t>
            </w:r>
            <w:r>
              <w:rPr>
                <w:rFonts w:hint="eastAsia" w:ascii="宋体" w:hAnsi="宋体" w:eastAsia="宋体" w:cs="宋体"/>
                <w:b w:val="0"/>
                <w:bCs w:val="0"/>
                <w:color w:val="auto"/>
                <w:kern w:val="2"/>
                <w:sz w:val="24"/>
                <w:szCs w:val="24"/>
                <w:highlight w:val="none"/>
                <w:u w:val="single"/>
                <w:lang w:eastAsia="zh-CN"/>
              </w:rPr>
              <w:t>。</w:t>
            </w:r>
          </w:p>
        </w:tc>
      </w:tr>
      <w:tr w14:paraId="7710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27EF4EA0">
            <w:pPr>
              <w:pStyle w:val="46"/>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25.1</w:t>
            </w:r>
          </w:p>
        </w:tc>
        <w:tc>
          <w:tcPr>
            <w:tcW w:w="1148" w:type="pct"/>
            <w:vAlign w:val="center"/>
          </w:tcPr>
          <w:p w14:paraId="1DA9E07A">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82" w:type="pct"/>
            <w:vAlign w:val="center"/>
          </w:tcPr>
          <w:p w14:paraId="5EC504E1">
            <w:pPr>
              <w:pStyle w:val="23"/>
              <w:widowControl/>
              <w:spacing w:before="0" w:beforeAutospacing="0" w:after="0" w:afterAutospacing="0"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（1）采购人与成交供应商应当自发出成交通知书之日起7个工作日内签订合同，采购合同签订之日起2个工作日内完成政府采购合同公开。</w:t>
            </w:r>
          </w:p>
          <w:p w14:paraId="4DD4A159">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bCs w:val="0"/>
                <w:color w:val="auto"/>
                <w:sz w:val="24"/>
                <w:szCs w:val="24"/>
                <w:highlight w:val="none"/>
              </w:rPr>
              <w:t>（2）采购人与成交供应商</w:t>
            </w:r>
            <w:r>
              <w:rPr>
                <w:rFonts w:ascii="宋体" w:hAnsi="宋体" w:eastAsia="宋体" w:cs="宋体"/>
                <w:b w:val="0"/>
                <w:bCs w:val="0"/>
                <w:color w:val="auto"/>
                <w:sz w:val="24"/>
                <w:szCs w:val="24"/>
                <w:highlight w:val="none"/>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rPr>
              <w:t>在安徽省政府采购网和滁州市公共资源交易中心网</w:t>
            </w:r>
            <w:r>
              <w:rPr>
                <w:rFonts w:ascii="宋体" w:hAnsi="宋体" w:eastAsia="宋体" w:cs="宋体"/>
                <w:b w:val="0"/>
                <w:bCs w:val="0"/>
                <w:color w:val="auto"/>
                <w:sz w:val="24"/>
                <w:szCs w:val="24"/>
                <w:highlight w:val="none"/>
              </w:rPr>
              <w:t>发布政府采购合同变更公告</w:t>
            </w:r>
            <w:r>
              <w:rPr>
                <w:rFonts w:hint="eastAsia" w:ascii="宋体" w:hAnsi="宋体" w:eastAsia="宋体" w:cs="宋体"/>
                <w:b w:val="0"/>
                <w:bCs w:val="0"/>
                <w:color w:val="auto"/>
                <w:sz w:val="24"/>
                <w:szCs w:val="24"/>
                <w:highlight w:val="none"/>
              </w:rPr>
              <w:t>，</w:t>
            </w:r>
            <w:r>
              <w:rPr>
                <w:rFonts w:ascii="宋体" w:hAnsi="宋体" w:eastAsia="宋体" w:cs="宋体"/>
                <w:b w:val="0"/>
                <w:bCs w:val="0"/>
                <w:color w:val="auto"/>
                <w:sz w:val="24"/>
                <w:szCs w:val="24"/>
                <w:highlight w:val="none"/>
              </w:rPr>
              <w:t>但涉及国家秘密、商业秘密的信息和其他依法不得公开的信息除外。</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148"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09" w:type="dxa"/>
            <w:vAlign w:val="center"/>
          </w:tcPr>
          <w:p w14:paraId="40B0BAAA">
            <w:pPr>
              <w:pStyle w:val="45"/>
              <w:widowControl w:val="0"/>
              <w:spacing w:before="0" w:beforeAutospacing="0" w:after="0" w:afterAutospacing="0" w:line="360" w:lineRule="auto"/>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r>
              <w:rPr>
                <w:rFonts w:hint="eastAsia" w:ascii="宋体" w:hAnsi="宋体" w:eastAsia="宋体" w:cs="宋体"/>
                <w:color w:val="auto"/>
                <w:sz w:val="24"/>
                <w:highlight w:val="none"/>
                <w:u w:val="single"/>
                <w:lang w:eastAsia="zh-CN"/>
              </w:rPr>
              <w:t>。</w:t>
            </w:r>
          </w:p>
          <w:p w14:paraId="03F17AF0">
            <w:pPr>
              <w:pStyle w:val="45"/>
              <w:widowControl w:val="0"/>
              <w:spacing w:before="0" w:beforeAutospacing="0" w:after="0" w:afterAutospacing="0" w:line="360" w:lineRule="auto"/>
              <w:jc w:val="both"/>
              <w:rPr>
                <w:rFonts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val="en-US" w:eastAsia="zh-CN"/>
              </w:rPr>
              <w:t>来安县人民检察院</w:t>
            </w:r>
            <w:r>
              <w:rPr>
                <w:rFonts w:hint="eastAsia" w:ascii="宋体" w:hAnsi="宋体" w:eastAsia="宋体" w:cs="宋体"/>
                <w:color w:val="auto"/>
                <w:sz w:val="24"/>
                <w:highlight w:val="none"/>
                <w:u w:val="single"/>
              </w:rPr>
              <w:t xml:space="preserve">、滁州市政府采购中心  </w:t>
            </w:r>
          </w:p>
          <w:p w14:paraId="2CC4952E">
            <w:pPr>
              <w:pStyle w:val="45"/>
              <w:widowControl w:val="0"/>
              <w:spacing w:before="0" w:beforeAutospacing="0" w:after="0" w:afterAutospacing="0" w:line="360" w:lineRule="auto"/>
              <w:jc w:val="both"/>
              <w:rPr>
                <w:rFonts w:hint="default" w:ascii="宋体" w:hAnsi="宋体" w:eastAsia="宋体" w:cs="宋体"/>
                <w:b w:val="0"/>
                <w:bCs w:val="0"/>
                <w:color w:val="auto"/>
                <w:sz w:val="24"/>
                <w:szCs w:val="18"/>
                <w:highlight w:val="none"/>
                <w:lang w:val="en-US"/>
              </w:rPr>
            </w:pPr>
            <w:r>
              <w:rPr>
                <w:rFonts w:hint="eastAsia" w:ascii="宋体" w:hAnsi="宋体" w:eastAsia="宋体" w:cs="宋体"/>
                <w:b w:val="0"/>
                <w:color w:val="auto"/>
                <w:sz w:val="24"/>
                <w:highlight w:val="none"/>
              </w:rPr>
              <w:t>联系电话：</w:t>
            </w:r>
            <w:r>
              <w:rPr>
                <w:rFonts w:hint="eastAsia" w:ascii="宋体" w:hAnsi="宋体" w:eastAsia="宋体" w:cs="宋体"/>
                <w:color w:val="auto"/>
                <w:sz w:val="24"/>
                <w:highlight w:val="none"/>
                <w:u w:val="single"/>
                <w:lang w:val="en-US" w:eastAsia="zh-CN"/>
              </w:rPr>
              <w:t>0550-2350830、0550-3519590</w:t>
            </w:r>
          </w:p>
          <w:p w14:paraId="646E8691">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rPr>
              <w:t xml:space="preserve">来安县来阳路与向阳路交叉口、滁州市龙蟠大道109号房产大厦二楼  </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9" w:type="pct"/>
            <w:vAlign w:val="center"/>
          </w:tcPr>
          <w:p w14:paraId="261A9FC3">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28</w:t>
            </w:r>
          </w:p>
        </w:tc>
        <w:tc>
          <w:tcPr>
            <w:tcW w:w="1148" w:type="pct"/>
            <w:vAlign w:val="center"/>
          </w:tcPr>
          <w:p w14:paraId="3FFCFFE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其他内容</w:t>
            </w:r>
          </w:p>
        </w:tc>
        <w:tc>
          <w:tcPr>
            <w:tcW w:w="3282" w:type="pct"/>
            <w:vAlign w:val="center"/>
          </w:tcPr>
          <w:p w14:paraId="7E3F2B1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68D7BF1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的各个组成文件应互为解释，互为说明；</w:t>
            </w:r>
          </w:p>
          <w:p w14:paraId="06135B7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AB1A23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1E50E0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询价通知书</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询价及响应文件提交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询价</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询价邀请、供应商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5D15B09">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6682955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416F96B6">
            <w:pPr>
              <w:pStyle w:val="45"/>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3、电子保函指引：成交供应商可访问安徽省政府采购网“融资/保函”栏目，申请办理电子保函（包括：履约保函、预付款保函）。</w:t>
            </w:r>
          </w:p>
          <w:p w14:paraId="40E83836">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cs="@仿宋_GB2312" w:asciiTheme="minorEastAsia" w:hAnsiTheme="minorEastAsia" w:eastAsiaTheme="minorEastAsia"/>
                <w:bCs/>
                <w:color w:val="auto"/>
                <w:kern w:val="2"/>
                <w:szCs w:val="24"/>
                <w:highlight w:val="none"/>
              </w:rPr>
              <w:t>4.</w:t>
            </w:r>
            <w:r>
              <w:rPr>
                <w:rFonts w:hint="eastAsia" w:ascii="宋体" w:hAnsi="宋体" w:eastAsia="宋体" w:cs="宋体"/>
                <w:bCs/>
                <w:color w:val="auto"/>
                <w:kern w:val="2"/>
                <w:szCs w:val="24"/>
                <w:highlight w:val="none"/>
                <w:lang w:bidi="ar"/>
              </w:rPr>
              <w:t>部分可提供线下政采贷的金融机构：</w:t>
            </w:r>
          </w:p>
          <w:p w14:paraId="770D7CC7">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市本级</w:t>
            </w:r>
          </w:p>
          <w:p w14:paraId="674224CD">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金融机构名称：兴业银行滁州分行</w:t>
            </w:r>
          </w:p>
          <w:p w14:paraId="194C550B">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安徽省滁州市琅琊区丰乐大道1090号</w:t>
            </w:r>
          </w:p>
          <w:p w14:paraId="3BAC8BE6">
            <w:pPr>
              <w:pStyle w:val="23"/>
              <w:spacing w:before="0" w:beforeAutospacing="0" w:after="0" w:afterAutospacing="0" w:line="360" w:lineRule="auto"/>
              <w:jc w:val="both"/>
              <w:rPr>
                <w:rFonts w:ascii="宋体" w:hAnsi="宋体" w:eastAsia="宋体" w:cs="宋体"/>
                <w:bCs/>
                <w:color w:val="auto"/>
                <w:kern w:val="2"/>
                <w:szCs w:val="24"/>
                <w:highlight w:val="none"/>
                <w:lang w:bidi="ar"/>
              </w:rPr>
            </w:pPr>
            <w:r>
              <w:rPr>
                <w:rFonts w:hint="eastAsia" w:ascii="宋体" w:hAnsi="宋体" w:eastAsia="宋体" w:cs="宋体"/>
                <w:bCs/>
                <w:color w:val="auto"/>
                <w:kern w:val="2"/>
                <w:szCs w:val="24"/>
                <w:highlight w:val="none"/>
                <w:lang w:bidi="ar"/>
              </w:rPr>
              <w:t>伏庚：17755080811</w:t>
            </w:r>
          </w:p>
          <w:p w14:paraId="4678842F">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5.特别提示：</w:t>
            </w:r>
          </w:p>
          <w:p w14:paraId="557A8BC9">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（1）供应商应填写信息并下载询价通知书，否则无法上传响应文件。</w:t>
            </w:r>
          </w:p>
          <w:p w14:paraId="0767CF81">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注：供应商如为联合体的，牵头人必须完善投标人信息，并在上传响应文件环节添加联合体投标信息。</w:t>
            </w:r>
          </w:p>
          <w:p w14:paraId="61792A0A">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投标文件制作错误，如因此导致评标委员会否决其投标，责任自负。如有技术问题请联系0550-3801701，4009980000。</w:t>
            </w:r>
          </w:p>
          <w:p w14:paraId="0B61C4F7">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（3）如果过程中出现询价通知书更改，应以最后发布的答疑澄清文件中的模板制作本项目最新响应文件。</w:t>
            </w:r>
          </w:p>
          <w:p w14:paraId="35BA8CF0">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 xml:space="preserve">（4）供应商应当用本单位CA数字证书制作响应文件，制作成功后进行响应文件上传。 </w:t>
            </w:r>
          </w:p>
          <w:p w14:paraId="678D806F">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参与的，责任自负。</w:t>
            </w:r>
          </w:p>
          <w:p w14:paraId="6F3579FF">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（6）请供应商注意加密响应文件CA数字证书的有效期，不在有效期的CA数字证书无法解密响应文件。</w:t>
            </w:r>
          </w:p>
          <w:p w14:paraId="12DDA84A">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（7）供应商响应MAC地址或供应商联系人或联系电话相同的，由询价小组否决其响应，并报告监管部门作不良行为处理和进一步调查。</w:t>
            </w:r>
          </w:p>
          <w:p w14:paraId="01B8C04A">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（8）供应商单方面出现其他供应商材料的，由询价小组否决其响应。</w:t>
            </w:r>
          </w:p>
          <w:p w14:paraId="5E5C0400">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9）评审时查询响应文件制作机器码、文件创建标识码及造价软件加密锁号。若存在响应文件制作机器码或创建标识码或造价软件加密锁号信息与其他供应商雷同的，由询价小组否决其响应，依法依规予以处理。</w:t>
            </w:r>
          </w:p>
          <w:p w14:paraId="59234068">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10）电子加密投标文件上传到系统后，需要供应商和代理公司到开标截止时间后共同解锁，不存在商务报价等信息通过系统泄密的风险；响应截止时间前，已上传的响应文件也可以撤回修改。集中到开标截止时间前上传电子加密响应文件，可能出现由于供应商制作电子投标文件不熟练、网络拥堵等不可预知的情况而且无法及时解决，丧失响应机会，请各供应商提前制作、上传电子加密响应文件，否则由于无法及时上传电子加密响应文件而无效响应的情况，责任自负！</w:t>
            </w:r>
          </w:p>
          <w:p w14:paraId="630A3655">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6.评标过程中的澄清、说明或补正：</w:t>
            </w:r>
          </w:p>
          <w:p w14:paraId="28EB0C44">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（1）询价小组通过网上招投标系统将需要澄清、说明或补正的内容以询标函的形式发送给供应商，供应商应安排专人登录网上招投标系统并保持在线状态，以便及时接收询价小组可能发出的询标函。</w:t>
            </w:r>
          </w:p>
          <w:p w14:paraId="4697F4B0">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p w14:paraId="7FFEDCF4">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7.同义词语：</w:t>
            </w:r>
          </w:p>
          <w:p w14:paraId="3EFA24D0">
            <w:pPr>
              <w:pStyle w:val="23"/>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ascii="宋体" w:hAnsi="宋体" w:eastAsia="宋体" w:cs="宋体"/>
                <w:bCs/>
                <w:color w:val="auto"/>
                <w:kern w:val="2"/>
                <w:szCs w:val="24"/>
                <w:highlight w:val="none"/>
                <w:lang w:bidi="ar"/>
              </w:rPr>
              <w:t>询价通知书第六章</w:t>
            </w:r>
            <w:r>
              <w:rPr>
                <w:rFonts w:hint="eastAsia" w:ascii="宋体" w:hAnsi="宋体" w:eastAsia="宋体" w:cs="@仿宋_GB2312"/>
                <w:bCs/>
                <w:color w:val="auto"/>
                <w:kern w:val="2"/>
                <w:szCs w:val="24"/>
                <w:highlight w:val="none"/>
                <w:lang w:bidi="ar"/>
              </w:rPr>
              <w:t xml:space="preserve">  </w:t>
            </w:r>
            <w:r>
              <w:rPr>
                <w:rFonts w:hint="eastAsia" w:ascii="宋体" w:hAnsi="宋体" w:eastAsia="宋体" w:cs="宋体"/>
                <w:bCs/>
                <w:color w:val="auto"/>
                <w:kern w:val="2"/>
                <w:szCs w:val="24"/>
                <w:highlight w:val="none"/>
                <w:lang w:bidi="ar"/>
              </w:rPr>
              <w:t>响应文件格式、附件1“关于联合惩戒失信行为 加强信用查询管理的通知”等章节中 “招标人”、“供应商”，等同于“采购人”、“投标人”。</w:t>
            </w:r>
          </w:p>
          <w:p w14:paraId="0BC3D5C3">
            <w:pPr>
              <w:pStyle w:val="45"/>
              <w:widowControl w:val="0"/>
              <w:spacing w:before="0" w:beforeAutospacing="0" w:after="0" w:afterAutospacing="0" w:line="360" w:lineRule="auto"/>
              <w:jc w:val="both"/>
              <w:rPr>
                <w:rFonts w:ascii="宋体" w:hAnsi="宋体" w:eastAsia="宋体" w:cs="宋体"/>
                <w:b w:val="0"/>
                <w:color w:val="auto"/>
                <w:kern w:val="2"/>
                <w:sz w:val="24"/>
                <w:szCs w:val="24"/>
                <w:highlight w:val="none"/>
                <w:lang w:bidi="ar"/>
              </w:rPr>
            </w:pPr>
            <w:r>
              <w:rPr>
                <w:rFonts w:hint="eastAsia" w:ascii="宋体" w:hAnsi="宋体" w:eastAsia="宋体" w:cs="宋体"/>
                <w:b w:val="0"/>
                <w:color w:val="auto"/>
                <w:kern w:val="2"/>
                <w:sz w:val="24"/>
                <w:szCs w:val="24"/>
                <w:highlight w:val="none"/>
                <w:lang w:bidi="ar"/>
              </w:rPr>
              <w:t>8.落实政府采购支持节能产品、环境标志产品政策。</w:t>
            </w:r>
          </w:p>
          <w:p w14:paraId="3A2A1FF8">
            <w:pPr>
              <w:pStyle w:val="45"/>
              <w:widowControl w:val="0"/>
              <w:spacing w:before="0" w:beforeAutospacing="0" w:after="0" w:afterAutospacing="0" w:line="360" w:lineRule="auto"/>
              <w:jc w:val="both"/>
              <w:rPr>
                <w:rFonts w:ascii="宋体" w:hAnsi="宋体" w:eastAsia="宋体" w:cs="宋体"/>
                <w:b w:val="0"/>
                <w:color w:val="auto"/>
                <w:kern w:val="2"/>
                <w:sz w:val="24"/>
                <w:szCs w:val="24"/>
                <w:highlight w:val="none"/>
                <w:lang w:bidi="ar"/>
              </w:rPr>
            </w:pPr>
            <w:r>
              <w:rPr>
                <w:rFonts w:hint="eastAsia" w:ascii="宋体" w:hAnsi="宋体" w:eastAsia="宋体" w:cs="宋体"/>
                <w:b w:val="0"/>
                <w:color w:val="auto"/>
                <w:kern w:val="2"/>
                <w:sz w:val="24"/>
                <w:szCs w:val="24"/>
                <w:highlight w:val="none"/>
              </w:rPr>
              <w:t>9.系统中提供的表格与询价通知书中不一致时，以询价通知书中提供的表格格式为准。</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8" w:name="_Toc29229"/>
      <w:bookmarkStart w:id="29" w:name="_Toc146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8"/>
      <w:bookmarkEnd w:id="29"/>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.1采购人：是指依法开展政府采购活动的国家机关、事业单位、团体组织。</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.2采购代理机构：是指集中采购机构或从事采购代理业务的社会中介机构。</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353B33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.4供应商：是指向采购人提供货物、工程或者服务的法人、</w:t>
      </w:r>
      <w:r>
        <w:rPr>
          <w:rFonts w:hint="eastAsia" w:asciiTheme="minorEastAsia" w:hAnsiTheme="minorEastAsia" w:eastAsiaTheme="minorEastAsia"/>
          <w:color w:val="auto"/>
          <w:sz w:val="24"/>
          <w:highlight w:val="none"/>
        </w:rPr>
        <w:t>其他</w:t>
      </w:r>
      <w:r>
        <w:rPr>
          <w:rFonts w:asciiTheme="minorEastAsia" w:hAnsiTheme="minorEastAsia" w:eastAsiaTheme="minorEastAsia"/>
          <w:color w:val="auto"/>
          <w:sz w:val="24"/>
          <w:highlight w:val="none"/>
        </w:rPr>
        <w:t>组织或者自然人。</w:t>
      </w:r>
      <w:r>
        <w:rPr>
          <w:rFonts w:hint="eastAsia" w:asciiTheme="minorEastAsia" w:hAnsiTheme="minorEastAsia" w:eastAsiaTheme="minorEastAsia"/>
          <w:color w:val="auto"/>
          <w:sz w:val="24"/>
          <w:highlight w:val="none"/>
        </w:rPr>
        <w:t>分支机构不得参加政府采购活动，但银行、保险、石油石化、电力、电信等特殊行业除外。</w:t>
      </w:r>
      <w:r>
        <w:rPr>
          <w:rFonts w:asciiTheme="minorEastAsia" w:hAnsiTheme="minorEastAsia" w:eastAsiaTheme="minorEastAsia"/>
          <w:color w:val="auto"/>
          <w:sz w:val="24"/>
          <w:highlight w:val="none"/>
        </w:rPr>
        <w:t>本项目的供应商须满足以下条件：</w:t>
      </w:r>
    </w:p>
    <w:p w14:paraId="40498DE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具备《中华人民共和国政府采购法》第二十二条关于供应商条件的规定，遵守本项目采购人本级和上级财政部门政府采购的有关规定。</w:t>
      </w:r>
    </w:p>
    <w:p w14:paraId="6B1EC96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以采购代理机构认可的方式获得了本项目的询价通知书。</w:t>
      </w:r>
    </w:p>
    <w:p w14:paraId="2D645C4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若</w:t>
      </w:r>
      <w:r>
        <w:rPr>
          <w:rFonts w:hint="eastAsia" w:ascii="宋体" w:hAnsi="宋体" w:eastAsia="宋体"/>
          <w:color w:val="auto"/>
          <w:sz w:val="24"/>
          <w:highlight w:val="none"/>
        </w:rPr>
        <w:t>采购需求</w:t>
      </w:r>
      <w:r>
        <w:rPr>
          <w:rFonts w:asciiTheme="minorEastAsia" w:hAnsiTheme="minorEastAsia" w:eastAsiaTheme="minorEastAsia"/>
          <w:color w:val="auto"/>
          <w:sz w:val="24"/>
          <w:highlight w:val="none"/>
        </w:rPr>
        <w:t>中写明允许采购进口产品，供应商应保证所投产品可履行合法报通关手续进入中国关境内。</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w:t>
      </w:r>
      <w:r>
        <w:rPr>
          <w:rFonts w:hint="eastAsia" w:ascii="宋体" w:hAnsi="宋体" w:eastAsia="宋体"/>
          <w:color w:val="auto"/>
          <w:sz w:val="24"/>
          <w:highlight w:val="none"/>
        </w:rPr>
        <w:t>采购需求</w:t>
      </w:r>
      <w:r>
        <w:rPr>
          <w:rFonts w:hint="eastAsia" w:asciiTheme="minorEastAsia" w:hAnsiTheme="minorEastAsia" w:eastAsiaTheme="minorEastAsia"/>
          <w:color w:val="auto"/>
          <w:sz w:val="24"/>
          <w:highlight w:val="none"/>
        </w:rPr>
        <w:t>中未写明允许采购进口产品，如供应商所投产品为进口产品，</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384E3E63">
      <w:pPr>
        <w:spacing w:line="460" w:lineRule="exact"/>
        <w:ind w:firstLine="435"/>
        <w:rPr>
          <w:rFonts w:asciiTheme="minorEastAsia" w:hAnsiTheme="minorEastAsia" w:eastAsiaTheme="minorEastAsia"/>
          <w:color w:val="auto"/>
          <w:sz w:val="24"/>
          <w:highlight w:val="none"/>
        </w:rPr>
      </w:pPr>
      <w:bookmarkStart w:id="30"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若询价公告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报价</w:t>
      </w:r>
      <w:r>
        <w:rPr>
          <w:rFonts w:ascii="宋体" w:hAnsi="宋体" w:eastAsia="宋体"/>
          <w:bCs/>
          <w:color w:val="auto"/>
          <w:kern w:val="0"/>
          <w:sz w:val="24"/>
          <w:szCs w:val="28"/>
          <w:highlight w:val="none"/>
        </w:rPr>
        <w:t>，对联合体规定如下：</w:t>
      </w:r>
    </w:p>
    <w:bookmarkEnd w:id="30"/>
    <w:p w14:paraId="37ACC4D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5.1两个以上供应商可以组成一个联合体，以一个供应商的身份</w:t>
      </w:r>
      <w:r>
        <w:rPr>
          <w:rFonts w:hint="eastAsia" w:asciiTheme="minorEastAsia" w:hAnsiTheme="minorEastAsia" w:eastAsiaTheme="minorEastAsia"/>
          <w:color w:val="auto"/>
          <w:sz w:val="24"/>
          <w:highlight w:val="none"/>
        </w:rPr>
        <w:t>参加政府采购</w:t>
      </w:r>
      <w:r>
        <w:rPr>
          <w:rFonts w:asciiTheme="minorEastAsia" w:hAnsiTheme="minorEastAsia" w:eastAsiaTheme="minorEastAsia"/>
          <w:color w:val="auto"/>
          <w:sz w:val="24"/>
          <w:highlight w:val="none"/>
        </w:rPr>
        <w:t>。</w:t>
      </w:r>
    </w:p>
    <w:p w14:paraId="777005BA">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5.2联合体各方均应符合《中华人民共和国政府采购法》第二十二条规定的条件。</w:t>
      </w:r>
    </w:p>
    <w:p w14:paraId="293C62C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5.3采购人根据采购项目对供应商的特殊要求，联合体中至少应当有一方符合相关规定。</w:t>
      </w:r>
    </w:p>
    <w:p w14:paraId="430BD5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5.4联合体各方应签订</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，明确约定联合体各方承担的工作和相应的责任，并将</w:t>
      </w:r>
      <w:r>
        <w:rPr>
          <w:rFonts w:hint="eastAsia" w:asciiTheme="minorEastAsia" w:hAnsiTheme="minorEastAsia" w:eastAsiaTheme="minorEastAsia"/>
          <w:color w:val="auto"/>
          <w:sz w:val="24"/>
          <w:highlight w:val="none"/>
        </w:rPr>
        <w:t>联合协议</w:t>
      </w:r>
      <w:r>
        <w:rPr>
          <w:rFonts w:asciiTheme="minorEastAsia" w:hAnsiTheme="minorEastAsia" w:eastAsiaTheme="minorEastAsia"/>
          <w:color w:val="auto"/>
          <w:sz w:val="24"/>
          <w:highlight w:val="none"/>
        </w:rPr>
        <w:t>作为响应文件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一部分提交。</w:t>
      </w:r>
    </w:p>
    <w:p w14:paraId="0D7D5DC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5.5大中型企业、其他自然人、法人或者非法人组织与小型、微型企业组成联合体共同参加</w:t>
      </w:r>
      <w:r>
        <w:rPr>
          <w:rFonts w:hint="eastAsia" w:asciiTheme="minorEastAsia" w:hAnsiTheme="minorEastAsia" w:eastAsiaTheme="minorEastAsia"/>
          <w:color w:val="auto"/>
          <w:sz w:val="24"/>
          <w:highlight w:val="none"/>
        </w:rPr>
        <w:t>政府采购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联合协议中</w:t>
      </w:r>
      <w:r>
        <w:rPr>
          <w:rFonts w:asciiTheme="minorEastAsia" w:hAnsiTheme="minorEastAsia" w:eastAsiaTheme="minorEastAsia"/>
          <w:color w:val="auto"/>
          <w:sz w:val="24"/>
          <w:highlight w:val="none"/>
        </w:rPr>
        <w:t>应写明小型、微型企业的协议合同金额占到</w:t>
      </w:r>
      <w:r>
        <w:rPr>
          <w:rFonts w:hint="eastAsia" w:asciiTheme="minorEastAsia" w:hAnsiTheme="minorEastAsia" w:eastAsiaTheme="minorEastAsia"/>
          <w:color w:val="auto"/>
          <w:sz w:val="24"/>
          <w:highlight w:val="none"/>
        </w:rPr>
        <w:t>联合协议合同</w:t>
      </w:r>
      <w:r>
        <w:rPr>
          <w:rFonts w:asciiTheme="minorEastAsia" w:hAnsiTheme="minorEastAsia" w:eastAsiaTheme="minorEastAsia"/>
          <w:color w:val="auto"/>
          <w:sz w:val="24"/>
          <w:highlight w:val="none"/>
        </w:rPr>
        <w:t>总金额的比例。</w:t>
      </w:r>
    </w:p>
    <w:p w14:paraId="1FF84B2A">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5.6</w:t>
      </w:r>
      <w:r>
        <w:rPr>
          <w:rFonts w:hint="eastAsia" w:asciiTheme="minorEastAsia" w:hAnsiTheme="minorEastAsia" w:eastAsiaTheme="minorEastAsia"/>
          <w:color w:val="auto"/>
          <w:sz w:val="24"/>
          <w:highlight w:val="none"/>
        </w:rPr>
        <w:t>联合体中有同类资质的供应商按照联合体分工承担相同工作的，</w:t>
      </w:r>
      <w:r>
        <w:rPr>
          <w:rFonts w:asciiTheme="minorEastAsia" w:hAnsiTheme="minorEastAsia" w:eastAsiaTheme="minorEastAsia"/>
          <w:color w:val="auto"/>
          <w:sz w:val="24"/>
          <w:highlight w:val="none"/>
        </w:rPr>
        <w:t>应当按照</w:t>
      </w:r>
      <w:r>
        <w:rPr>
          <w:rFonts w:hint="eastAsia" w:asciiTheme="minorEastAsia" w:hAnsiTheme="minorEastAsia" w:eastAsiaTheme="minorEastAsia"/>
          <w:color w:val="auto"/>
          <w:sz w:val="24"/>
          <w:highlight w:val="none"/>
        </w:rPr>
        <w:t>资质等级较低的供应商确定资质等级。</w:t>
      </w:r>
    </w:p>
    <w:p w14:paraId="4DE304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5.7以联合体形式参加政府采购活动的，联合体各方不得再单独参加或者与其他供应商另外组成联合体参加本项目政府采购活动，否则相关</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5.8对联合体的其他资格要求</w:t>
      </w:r>
      <w:r>
        <w:rPr>
          <w:rFonts w:ascii="宋体" w:hAnsi="宋体" w:eastAsia="宋体"/>
          <w:color w:val="auto"/>
          <w:sz w:val="24"/>
          <w:highlight w:val="none"/>
        </w:rPr>
        <w:t>见</w:t>
      </w:r>
      <w:r>
        <w:rPr>
          <w:rFonts w:hint="eastAsia" w:ascii="宋体" w:hAnsi="宋体" w:eastAsia="宋体"/>
          <w:color w:val="auto"/>
          <w:sz w:val="24"/>
          <w:highlight w:val="none"/>
        </w:rPr>
        <w:t>申请人的资格要求</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5.1询价通知书包括下列内容：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，对样品的评审方法及评审标准见询价通知书第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供应商应认真阅读询价通知书所有的事项、格式、条款和技术规范等。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询价通知书的澄清与修改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供应商如对询价通知书内容有疑问，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D1C2A6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2采购人可主动地或在答复供应商提出的询问时对询价通知书进行澄清与修改。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在安徽省政府采购网和滁州市公共资源交易中心网以发布更正公告的方式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澄清或修改询价通知书，更正公告的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为询价通知书</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采购代理机构在网上发布或书面通知，均作无效处理，不得作为询价通知书的组成部分。采购代理机构对供应商由此而做出的推论、理解和结论概不负责。</w:t>
      </w:r>
    </w:p>
    <w:p w14:paraId="79FAB4BF">
      <w:pPr>
        <w:spacing w:line="460" w:lineRule="exact"/>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询价通知书（含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分包询价通知书中“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31"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.3无论询价通知书中是否要求，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31"/>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除询价通知书中有特殊要求外，响应文件中所使用的计量单位，应采用中华人民共和国法定计量单位。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.1供应商应完整地按询价通知书提供的响应文件格式及要求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2供应商应提交询价通知书要求的证明文件，证明其响应内容符合询价通知书规定。该证明文件是响应文件的一部分。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2" w:name="_Hlk11703583"/>
      <w:r>
        <w:rPr>
          <w:rFonts w:asciiTheme="minorEastAsia" w:hAnsiTheme="minorEastAsia" w:eastAsiaTheme="minorEastAsia"/>
          <w:color w:val="auto"/>
          <w:sz w:val="24"/>
          <w:highlight w:val="none"/>
        </w:rPr>
        <w:t>。</w:t>
      </w:r>
    </w:p>
    <w:bookmarkEnd w:id="32"/>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33" w:name="_Hlk23199390"/>
      <w:r>
        <w:rPr>
          <w:rFonts w:asciiTheme="minorEastAsia" w:hAnsiTheme="minorEastAsia" w:eastAsiaTheme="minorEastAsia"/>
          <w:color w:val="auto"/>
          <w:sz w:val="24"/>
          <w:highlight w:val="none"/>
        </w:rPr>
        <w:t>除询价通知书中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33"/>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34"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34"/>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58B12D52">
      <w:pPr>
        <w:spacing w:line="460" w:lineRule="exact"/>
        <w:ind w:firstLine="435"/>
        <w:rPr>
          <w:rFonts w:ascii="宋体" w:hAnsi="宋体" w:eastAsia="宋体" w:cs="宋体"/>
          <w:color w:val="auto"/>
          <w:sz w:val="24"/>
          <w:szCs w:val="24"/>
          <w:highlight w:val="none"/>
        </w:rPr>
      </w:pPr>
      <w:bookmarkStart w:id="35" w:name="_Hlk24663244"/>
      <w:bookmarkStart w:id="36" w:name="_Hlk23204954"/>
      <w:r>
        <w:rPr>
          <w:rFonts w:hint="eastAsia" w:ascii="宋体" w:hAnsi="宋体" w:eastAsia="宋体" w:cs="宋体"/>
          <w:color w:val="auto"/>
          <w:sz w:val="24"/>
          <w:szCs w:val="24"/>
          <w:highlight w:val="none"/>
        </w:rPr>
        <w:t>13.1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52992D2">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以联合体形式参加询价的，联合体成员存在以上不良信用记录的，联合体询价将被认定为</w:t>
      </w:r>
      <w:r>
        <w:rPr>
          <w:rFonts w:hint="eastAsia" w:ascii="宋体" w:hAnsi="宋体" w:eastAsia="宋体" w:cs="宋体"/>
          <w:b/>
          <w:bCs/>
          <w:color w:val="auto"/>
          <w:sz w:val="24"/>
          <w:szCs w:val="24"/>
          <w:highlight w:val="none"/>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301B41D">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询价通知书规定的查询时间之外，网站信息发生的任何变更均不作为初审依据。供应商自行提供的与网站信息不一致的其他证明材料亦不作为初审依据。</w:t>
      </w:r>
    </w:p>
    <w:bookmarkEnd w:id="35"/>
    <w:bookmarkEnd w:id="36"/>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是指依据询价通知书的规定，从响应文件的有效性和完整性对询价通知书的响应程度进行审查，以确定是否对询价通知书的实质性要求做出响应。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认为采购人员及其相关人员有法律法规所列与其他供应商有利害关系的，可以向采购人或采购代理机构书面提出回避申请，并说明理由。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w:t>
      </w:r>
      <w:bookmarkStart w:id="37" w:name="_Hlk22478676"/>
      <w:r>
        <w:rPr>
          <w:rFonts w:asciiTheme="minorEastAsia" w:hAnsiTheme="minorEastAsia" w:eastAsiaTheme="minorEastAsia"/>
          <w:color w:val="auto"/>
          <w:sz w:val="24"/>
          <w:highlight w:val="none"/>
        </w:rPr>
        <w:t>终止询价</w:t>
      </w:r>
      <w:bookmarkEnd w:id="37"/>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本项目采用远程开标，具体操作方法详见服务指南&gt;交易须知&gt;开标大厅远程解密、质疑(异议)及回复以及评标过程中询标流程操作手册。</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52D02587">
      <w:pPr>
        <w:spacing w:line="460" w:lineRule="exact"/>
        <w:ind w:firstLine="435"/>
        <w:rPr>
          <w:rFonts w:asciiTheme="majorEastAsia" w:hAnsiTheme="majorEastAsia" w:eastAsiaTheme="majorEastAsia"/>
          <w:color w:val="auto"/>
          <w:sz w:val="24"/>
          <w:highlight w:val="none"/>
        </w:rPr>
      </w:pPr>
      <w:bookmarkStart w:id="38" w:name="_Hlk60605471"/>
      <w:r>
        <w:rPr>
          <w:rFonts w:hint="eastAsia" w:ascii="宋体" w:hAnsi="宋体" w:eastAsia="宋体"/>
          <w:color w:val="auto"/>
          <w:sz w:val="24"/>
          <w:highlight w:val="none"/>
        </w:rPr>
        <w:t>16.1根据《政府采购促进中小企业发展管理办法》（财库〔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hint="eastAsia" w:ascii="宋体" w:hAnsi="宋体" w:eastAsia="宋体"/>
          <w:color w:val="auto"/>
          <w:sz w:val="24"/>
          <w:highlight w:val="none"/>
        </w:rPr>
        <w:t>《</w:t>
      </w:r>
      <w:r>
        <w:rPr>
          <w:rFonts w:ascii="宋体" w:hAnsi="宋体" w:eastAsia="宋体"/>
          <w:color w:val="auto"/>
          <w:sz w:val="24"/>
          <w:highlight w:val="none"/>
        </w:rPr>
        <w:t>财政部 司法部关于政府</w:t>
      </w:r>
      <w:r>
        <w:rPr>
          <w:rFonts w:asciiTheme="majorEastAsia" w:hAnsiTheme="majorEastAsia" w:eastAsiaTheme="majorEastAsia"/>
          <w:color w:val="auto"/>
          <w:sz w:val="24"/>
          <w:highlight w:val="none"/>
        </w:rPr>
        <w:t>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中规定的标准扣除后的价格参与评审。对于同时属于小微企业、监狱企业或残疾人福利性单位的，不重复进行报价扣除。</w:t>
      </w:r>
    </w:p>
    <w:p w14:paraId="342D8979">
      <w:pPr>
        <w:spacing w:line="460" w:lineRule="exact"/>
        <w:ind w:firstLine="435"/>
        <w:rPr>
          <w:rFonts w:ascii="宋体" w:hAnsi="宋体" w:eastAsia="宋体"/>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w:t>
      </w:r>
      <w:r>
        <w:rPr>
          <w:rFonts w:hint="eastAsia" w:ascii="宋体" w:hAnsi="宋体" w:eastAsia="宋体"/>
          <w:color w:val="auto"/>
          <w:sz w:val="24"/>
          <w:highlight w:val="none"/>
        </w:rPr>
        <w:t>体或者接受分包的小微企业与联合体内其他企业、分包企业之间存在直接控股、管理关系的，不享受价格扣除优惠政策。</w:t>
      </w:r>
    </w:p>
    <w:p w14:paraId="7040D2A2">
      <w:pPr>
        <w:spacing w:line="460" w:lineRule="exact"/>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B4AA2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.2如一个分包内只有一种产品，不同供应商所投产品为同一品牌同一型号的，提供相同品牌相同型号产品的不同供应商，以其通过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所投产品为节能产品、环境标志产品、不发达地区或少数民族地区产品者优先；报价相同且所投产品同为节能产品、环境标志产品、不发达地区或少数民族地区产品的，则由询价小组采取随机抽取方式确定。</w:t>
      </w:r>
    </w:p>
    <w:p w14:paraId="7CAE4A5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中载明核心产品，多家供应商提供的核心产品品牌型号相同的，按第</w:t>
      </w: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.2款规定处理。</w:t>
      </w:r>
    </w:p>
    <w:p w14:paraId="27E6B22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4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随机抽取的方式确定成交候选顺序。</w:t>
      </w:r>
      <w:bookmarkEnd w:id="38"/>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询价小组应当从质量和服务均能满足询价通知书实质性响应要求的供应商中，按照报价（</w:t>
      </w:r>
      <w:r>
        <w:rPr>
          <w:rFonts w:hint="eastAsia" w:asciiTheme="minorEastAsia" w:hAnsiTheme="minorEastAsia" w:eastAsiaTheme="minorEastAsia"/>
          <w:b/>
          <w:bCs/>
          <w:color w:val="auto"/>
          <w:sz w:val="24"/>
          <w:highlight w:val="none"/>
        </w:rPr>
        <w:t>此处所指报价为价格优惠（如有）后报价</w:t>
      </w:r>
      <w:r>
        <w:rPr>
          <w:rFonts w:hint="eastAsia" w:asciiTheme="minorEastAsia" w:hAnsiTheme="minorEastAsia" w:eastAsiaTheme="minorEastAsia"/>
          <w:color w:val="auto"/>
          <w:sz w:val="24"/>
          <w:highlight w:val="none"/>
        </w:rPr>
        <w:t>）由低到高的顺序提出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候选人并列的，由采购人或者采购人委托询价小组按照询价通知书规定的方式确定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；询价通知书未规定的，采取随机抽取的方式确定。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在安徽省政府采购网（www.ccgp-anhui.gov.cn）和滁州市公共资源交易中心网上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3FF9886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20.3成交</w:t>
      </w:r>
      <w:r>
        <w:rPr>
          <w:rFonts w:asciiTheme="minorEastAsia" w:hAnsiTheme="minorEastAsia" w:eastAsiaTheme="minorEastAsia"/>
          <w:color w:val="auto"/>
          <w:sz w:val="24"/>
          <w:highlight w:val="none"/>
        </w:rPr>
        <w:t>公告内容应当包括采购人及其委托的采购代理机构的名称、地址、联系方式，项目名称和项目编号，</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名称、地址和</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金额，主要</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规格型号、数量、单价，</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中标通知书须加盖采购人、采购代理机构公章并经公共资源交易中心加盖见证章后，方可发出。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22.2采购代理机构对未成交的供应商不做未成交原因的解释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25.2询价通知书、成交供应商的响应文件及其澄清文件等，均为签订合同的依据。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0BD2686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3E6805C2">
      <w:pPr>
        <w:spacing w:line="460" w:lineRule="exact"/>
        <w:ind w:firstLine="435"/>
        <w:rPr>
          <w:rFonts w:asciiTheme="minorEastAsia" w:hAnsiTheme="minorEastAsia" w:eastAsiaTheme="minorEastAsia"/>
          <w:color w:val="auto"/>
          <w:sz w:val="24"/>
          <w:highlight w:val="none"/>
        </w:rPr>
      </w:pPr>
      <w:bookmarkStart w:id="39" w:name="_Hlk60264926"/>
      <w:r>
        <w:rPr>
          <w:rFonts w:hint="eastAsia" w:ascii="宋体" w:hAnsi="宋体" w:eastAsia="宋体"/>
          <w:color w:val="auto"/>
          <w:sz w:val="24"/>
          <w:highlight w:val="none"/>
        </w:rPr>
        <w:t>25.5依据《政府采购促进中小企业发展管理办法》（财库〔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39"/>
    </w:p>
    <w:p w14:paraId="70ECC754">
      <w:pPr>
        <w:spacing w:line="460" w:lineRule="exact"/>
        <w:ind w:firstLine="437"/>
        <w:outlineLvl w:val="2"/>
        <w:rPr>
          <w:rFonts w:asciiTheme="minorEastAsia" w:hAnsiTheme="minorEastAsia" w:eastAsiaTheme="minorEastAsia"/>
          <w:b/>
          <w:color w:val="auto"/>
          <w:sz w:val="24"/>
          <w:highlight w:val="none"/>
        </w:rPr>
      </w:pPr>
      <w:bookmarkStart w:id="40" w:name="_Toc518923100"/>
      <w:bookmarkStart w:id="41" w:name="_Toc2583661"/>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26.1采购代理机构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采购代理机构工作人员不得接受采购人或者供应商组织的宴请、旅游、娱乐，不得收受礼品、现金、有价证券等，不得向采购人或者供应商报销应当由个人承担的费用。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27.1供应商认为询价通知书、采购过程和成交结果使自己的权益受到损害的，可以在知道或者应知其权益受到损害之日起七个工作日内，以书面形式向采购人或其委托的采购代理机构提出质疑。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询价通知书）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27.3采购代理机构质疑函接收部门、联系电话和通讯地址，见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5860B6D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投诉</w:t>
      </w:r>
    </w:p>
    <w:p w14:paraId="0ACA0F61">
      <w:pPr>
        <w:wordWrap w:val="0"/>
        <w:spacing w:line="460" w:lineRule="exact"/>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30EEDFC2">
      <w:pPr>
        <w:wordWrap w:val="0"/>
        <w:spacing w:line="460" w:lineRule="exact"/>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47F3CDC7">
      <w:pPr>
        <w:wordWrap w:val="0"/>
        <w:spacing w:line="460" w:lineRule="exact"/>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28.3政府采购监督管理部门在处理投诉事项期间，可以视具体情况书面通知采购人暂停采购活动，但暂停时间最长不得超过30日。</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29.需要补充的其他内容</w:t>
      </w:r>
    </w:p>
    <w:p w14:paraId="078A10AF">
      <w:pPr>
        <w:spacing w:line="460" w:lineRule="exact"/>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102392E1">
      <w:pPr>
        <w:spacing w:line="380" w:lineRule="exact"/>
        <w:jc w:val="center"/>
        <w:outlineLvl w:val="0"/>
        <w:rPr>
          <w:rFonts w:asciiTheme="minorEastAsia" w:hAnsiTheme="minorEastAsia" w:eastAsiaTheme="minorEastAsia"/>
          <w:b/>
          <w:color w:val="auto"/>
          <w:sz w:val="28"/>
          <w:highlight w:val="none"/>
        </w:rPr>
      </w:pPr>
      <w:bookmarkStart w:id="42" w:name="_Toc1471"/>
      <w:r>
        <w:rPr>
          <w:rFonts w:hint="eastAsia" w:asciiTheme="minorEastAsia" w:hAnsiTheme="minorEastAsia" w:eastAsiaTheme="minorEastAsia"/>
          <w:b/>
          <w:color w:val="auto"/>
          <w:sz w:val="28"/>
          <w:highlight w:val="none"/>
        </w:rPr>
        <w:t>第三章  采购需求</w:t>
      </w:r>
      <w:bookmarkEnd w:id="42"/>
    </w:p>
    <w:p w14:paraId="1D07E1FD">
      <w:pPr>
        <w:spacing w:line="38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CBC6DC5">
      <w:pPr>
        <w:spacing w:line="380" w:lineRule="exact"/>
        <w:ind w:firstLine="480" w:firstLineChars="200"/>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szCs w:val="18"/>
          <w:highlight w:val="none"/>
        </w:rPr>
        <w:t>根据《</w:t>
      </w:r>
      <w:r>
        <w:rPr>
          <w:rFonts w:hint="eastAsia" w:asciiTheme="minorEastAsia" w:hAnsiTheme="minorEastAsia" w:eastAsiaTheme="minorEastAsia"/>
          <w:color w:val="auto"/>
          <w:sz w:val="24"/>
          <w:szCs w:val="18"/>
          <w:highlight w:val="none"/>
        </w:rPr>
        <w:t>政府采购进口产品管理办法</w:t>
      </w:r>
      <w:r>
        <w:rPr>
          <w:rFonts w:asciiTheme="minorEastAsia" w:hAnsiTheme="minorEastAsia" w:eastAsiaTheme="minorEastAsia"/>
          <w:color w:val="auto"/>
          <w:sz w:val="24"/>
          <w:szCs w:val="18"/>
          <w:highlight w:val="none"/>
        </w:rPr>
        <w:t>》及政府采购管理部门的相关规定，下列采购需求中</w:t>
      </w:r>
      <w:r>
        <w:rPr>
          <w:rFonts w:hint="eastAsia" w:asciiTheme="minorEastAsia" w:hAnsiTheme="minorEastAsia" w:eastAsiaTheme="minorEastAsia"/>
          <w:color w:val="auto"/>
          <w:sz w:val="24"/>
          <w:szCs w:val="18"/>
          <w:highlight w:val="none"/>
        </w:rPr>
        <w:t>标注进口产品的货物均</w:t>
      </w:r>
      <w:r>
        <w:rPr>
          <w:rFonts w:asciiTheme="minorEastAsia" w:hAnsiTheme="minorEastAsia" w:eastAsiaTheme="minorEastAsia"/>
          <w:color w:val="auto"/>
          <w:sz w:val="24"/>
          <w:szCs w:val="18"/>
          <w:highlight w:val="none"/>
        </w:rPr>
        <w:t>已履行相关论证手续，经核准采购进口</w:t>
      </w:r>
      <w:r>
        <w:rPr>
          <w:rFonts w:hint="eastAsia" w:asciiTheme="minorEastAsia" w:hAnsiTheme="minorEastAsia" w:eastAsiaTheme="minorEastAsia"/>
          <w:color w:val="auto"/>
          <w:sz w:val="24"/>
          <w:szCs w:val="18"/>
          <w:highlight w:val="none"/>
        </w:rPr>
        <w:t>产品</w:t>
      </w:r>
      <w:r>
        <w:rPr>
          <w:rFonts w:asciiTheme="minorEastAsia" w:hAnsiTheme="minorEastAsia" w:eastAsiaTheme="minorEastAsia"/>
          <w:color w:val="auto"/>
          <w:sz w:val="24"/>
          <w:szCs w:val="18"/>
          <w:highlight w:val="none"/>
        </w:rPr>
        <w:t>，但不限制满足询价通知书要求的国内产品参与竞争</w:t>
      </w:r>
      <w:r>
        <w:rPr>
          <w:rFonts w:hint="eastAsia" w:asciiTheme="minorEastAsia" w:hAnsiTheme="minorEastAsia" w:eastAsiaTheme="minorEastAsia"/>
          <w:color w:val="auto"/>
          <w:sz w:val="24"/>
          <w:szCs w:val="18"/>
          <w:highlight w:val="none"/>
        </w:rPr>
        <w:t>。未标注进口产品的货物均</w:t>
      </w:r>
      <w:r>
        <w:rPr>
          <w:rFonts w:asciiTheme="minorEastAsia" w:hAnsiTheme="minorEastAsia" w:eastAsiaTheme="minorEastAsia"/>
          <w:color w:val="auto"/>
          <w:sz w:val="24"/>
          <w:szCs w:val="18"/>
          <w:highlight w:val="none"/>
        </w:rPr>
        <w:t>为拒绝采购进口产品</w:t>
      </w:r>
      <w:r>
        <w:rPr>
          <w:rFonts w:hint="eastAsia" w:asciiTheme="minorEastAsia" w:hAnsiTheme="minorEastAsia" w:eastAsiaTheme="minorEastAsia"/>
          <w:color w:val="auto"/>
          <w:sz w:val="24"/>
          <w:szCs w:val="18"/>
          <w:highlight w:val="none"/>
        </w:rPr>
        <w:t>。</w:t>
      </w:r>
    </w:p>
    <w:p w14:paraId="48110369">
      <w:pPr>
        <w:spacing w:line="380" w:lineRule="exact"/>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5B0DC540">
      <w:pPr>
        <w:spacing w:line="38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在响应文件中提供所投产品须具有市场监管总局公布的《参与实施政府采购节能产品认证机构目录》中的认证机构出具的、处于有效期内的节能产品认证证书。</w:t>
      </w:r>
    </w:p>
    <w:p w14:paraId="6B1A83F9">
      <w:pPr>
        <w:spacing w:line="38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25F688E">
      <w:pPr>
        <w:spacing w:line="380" w:lineRule="exact"/>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p>
    <w:p w14:paraId="21BC0229">
      <w:pPr>
        <w:spacing w:line="380" w:lineRule="exact"/>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4.</w:t>
      </w:r>
      <w:r>
        <w:rPr>
          <w:rFonts w:hint="eastAsia" w:asciiTheme="minorEastAsia" w:hAnsiTheme="minorEastAsia" w:eastAsiaTheme="minorEastAsia"/>
          <w:color w:val="auto"/>
          <w:sz w:val="24"/>
          <w:szCs w:val="18"/>
          <w:highlight w:val="none"/>
          <w:lang w:val="en-US" w:eastAsia="zh-CN"/>
        </w:rPr>
        <w:t>本项目为询价项目，所有采购需求内容供货时均需满足，</w:t>
      </w:r>
      <w:r>
        <w:rPr>
          <w:rFonts w:hint="eastAsia" w:asciiTheme="minorEastAsia" w:hAnsiTheme="minorEastAsia" w:eastAsiaTheme="minorEastAsia"/>
          <w:color w:val="auto"/>
          <w:sz w:val="24"/>
          <w:szCs w:val="18"/>
          <w:highlight w:val="none"/>
        </w:rPr>
        <w:t>条款</w:t>
      </w:r>
      <w:r>
        <w:rPr>
          <w:rFonts w:hint="eastAsia" w:asciiTheme="minorEastAsia" w:hAnsiTheme="minorEastAsia" w:eastAsiaTheme="minorEastAsia"/>
          <w:color w:val="auto"/>
          <w:sz w:val="24"/>
          <w:szCs w:val="18"/>
          <w:highlight w:val="none"/>
          <w:u w:val="single"/>
        </w:rPr>
        <w:t xml:space="preserve"> 1</w:t>
      </w:r>
      <w:r>
        <w:rPr>
          <w:rFonts w:asciiTheme="minorEastAsia" w:hAnsiTheme="minorEastAsia" w:eastAsiaTheme="minorEastAsia"/>
          <w:color w:val="auto"/>
          <w:sz w:val="24"/>
          <w:szCs w:val="18"/>
          <w:highlight w:val="none"/>
          <w:u w:val="single"/>
        </w:rPr>
        <w:t xml:space="preserve"> </w:t>
      </w:r>
      <w:r>
        <w:rPr>
          <w:rFonts w:hint="eastAsia" w:asciiTheme="minorEastAsia" w:hAnsiTheme="minorEastAsia" w:eastAsiaTheme="minorEastAsia"/>
          <w:color w:val="auto"/>
          <w:sz w:val="24"/>
          <w:szCs w:val="18"/>
          <w:highlight w:val="none"/>
        </w:rPr>
        <w:t>条及以上未响应</w:t>
      </w:r>
      <w:r>
        <w:rPr>
          <w:rFonts w:hint="eastAsia" w:asciiTheme="minorEastAsia" w:hAnsiTheme="minorEastAsia" w:eastAsiaTheme="minorEastAsia"/>
          <w:color w:val="auto"/>
          <w:sz w:val="24"/>
          <w:szCs w:val="18"/>
          <w:highlight w:val="none"/>
          <w:lang w:val="en-US" w:eastAsia="zh-CN"/>
        </w:rPr>
        <w:t>或负偏离</w:t>
      </w:r>
      <w:r>
        <w:rPr>
          <w:rFonts w:hint="eastAsia" w:asciiTheme="minorEastAsia" w:hAnsiTheme="minorEastAsia" w:eastAsiaTheme="minorEastAsia"/>
          <w:color w:val="auto"/>
          <w:sz w:val="24"/>
          <w:szCs w:val="18"/>
          <w:highlight w:val="none"/>
        </w:rPr>
        <w:t>的，</w:t>
      </w:r>
      <w:r>
        <w:rPr>
          <w:rFonts w:hint="eastAsia" w:asciiTheme="minorEastAsia" w:hAnsiTheme="minorEastAsia" w:eastAsiaTheme="minorEastAsia"/>
          <w:b/>
          <w:bCs/>
          <w:color w:val="auto"/>
          <w:sz w:val="24"/>
          <w:szCs w:val="18"/>
          <w:highlight w:val="none"/>
        </w:rPr>
        <w:t>响应无效</w:t>
      </w:r>
      <w:r>
        <w:rPr>
          <w:rFonts w:hint="eastAsia" w:asciiTheme="minorEastAsia" w:hAnsiTheme="minorEastAsia" w:eastAsiaTheme="minorEastAsia"/>
          <w:color w:val="auto"/>
          <w:sz w:val="24"/>
          <w:szCs w:val="18"/>
          <w:highlight w:val="none"/>
        </w:rPr>
        <w:t>。</w:t>
      </w:r>
    </w:p>
    <w:p w14:paraId="6A840DB2">
      <w:pPr>
        <w:spacing w:line="380" w:lineRule="exact"/>
        <w:ind w:firstLine="437"/>
        <w:outlineLvl w:val="1"/>
        <w:rPr>
          <w:rFonts w:asciiTheme="minorEastAsia" w:hAnsiTheme="minorEastAsia" w:eastAsiaTheme="minorEastAsia"/>
          <w:b/>
          <w:color w:val="auto"/>
          <w:sz w:val="24"/>
          <w:szCs w:val="18"/>
          <w:highlight w:val="none"/>
        </w:rPr>
      </w:pPr>
      <w:bookmarkStart w:id="43" w:name="_Toc23627"/>
      <w:bookmarkStart w:id="44" w:name="_Toc23283"/>
      <w:r>
        <w:rPr>
          <w:rFonts w:hint="eastAsia" w:asciiTheme="minorEastAsia" w:hAnsiTheme="minorEastAsia" w:eastAsiaTheme="minorEastAsia"/>
          <w:b/>
          <w:color w:val="auto"/>
          <w:sz w:val="24"/>
          <w:szCs w:val="18"/>
          <w:highlight w:val="none"/>
        </w:rPr>
        <w:t>一、采购需求前附表</w:t>
      </w:r>
      <w:bookmarkEnd w:id="43"/>
      <w:bookmarkEnd w:id="44"/>
    </w:p>
    <w:tbl>
      <w:tblPr>
        <w:tblStyle w:val="26"/>
        <w:tblW w:w="55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22"/>
        <w:gridCol w:w="6449"/>
      </w:tblGrid>
      <w:tr w14:paraId="6F2C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2" w:type="pct"/>
            <w:vAlign w:val="center"/>
          </w:tcPr>
          <w:p w14:paraId="7FB0ED34">
            <w:pPr>
              <w:pStyle w:val="46"/>
              <w:pBdr>
                <w:bottom w:val="none" w:color="auto" w:sz="0" w:space="0"/>
              </w:pBdr>
              <w:tabs>
                <w:tab w:val="clear" w:pos="4153"/>
                <w:tab w:val="clear" w:pos="8306"/>
              </w:tabs>
              <w:adjustRightInd/>
              <w:spacing w:line="380" w:lineRule="exact"/>
              <w:textAlignment w:val="auto"/>
              <w:rPr>
                <w:rFonts w:asciiTheme="minorEastAsia" w:hAnsiTheme="minorEastAsia" w:eastAsiaTheme="minorEastAsia"/>
                <w:b/>
                <w:color w:val="auto"/>
                <w:kern w:val="2"/>
                <w:highlight w:val="none"/>
              </w:rPr>
            </w:pPr>
            <w:r>
              <w:rPr>
                <w:rFonts w:hint="eastAsia" w:asciiTheme="minorEastAsia" w:hAnsiTheme="minorEastAsia" w:eastAsiaTheme="minorEastAsia"/>
                <w:b/>
                <w:color w:val="auto"/>
                <w:kern w:val="2"/>
                <w:highlight w:val="none"/>
              </w:rPr>
              <w:t>序号</w:t>
            </w:r>
          </w:p>
        </w:tc>
        <w:tc>
          <w:tcPr>
            <w:tcW w:w="1165" w:type="pct"/>
            <w:vAlign w:val="center"/>
          </w:tcPr>
          <w:p w14:paraId="5230B673">
            <w:pPr>
              <w:pStyle w:val="45"/>
              <w:widowControl w:val="0"/>
              <w:spacing w:before="0" w:beforeAutospacing="0" w:after="0" w:afterAutospacing="0" w:line="380" w:lineRule="exact"/>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条款名称</w:t>
            </w:r>
          </w:p>
        </w:tc>
        <w:tc>
          <w:tcPr>
            <w:tcW w:w="3382" w:type="pct"/>
            <w:vAlign w:val="center"/>
          </w:tcPr>
          <w:p w14:paraId="67756091">
            <w:pPr>
              <w:pStyle w:val="45"/>
              <w:widowControl w:val="0"/>
              <w:spacing w:before="0" w:beforeAutospacing="0" w:after="0" w:afterAutospacing="0" w:line="380" w:lineRule="exact"/>
              <w:rPr>
                <w:rFonts w:asciiTheme="minorEastAsia" w:hAnsiTheme="minorEastAsia" w:eastAsiaTheme="minorEastAsia"/>
                <w:bCs w:val="0"/>
                <w:color w:val="auto"/>
                <w:sz w:val="24"/>
                <w:highlight w:val="none"/>
              </w:rPr>
            </w:pPr>
            <w:r>
              <w:rPr>
                <w:rFonts w:hint="eastAsia" w:asciiTheme="minorEastAsia" w:hAnsiTheme="minorEastAsia" w:eastAsiaTheme="minorEastAsia"/>
                <w:bCs w:val="0"/>
                <w:color w:val="auto"/>
                <w:sz w:val="24"/>
                <w:highlight w:val="none"/>
              </w:rPr>
              <w:t>内容、说明与要求</w:t>
            </w:r>
          </w:p>
        </w:tc>
      </w:tr>
      <w:tr w14:paraId="18DC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2" w:type="pct"/>
            <w:vAlign w:val="center"/>
          </w:tcPr>
          <w:p w14:paraId="631ACFA0">
            <w:pPr>
              <w:pStyle w:val="46"/>
              <w:pBdr>
                <w:bottom w:val="none" w:color="auto" w:sz="0" w:space="0"/>
              </w:pBdr>
              <w:tabs>
                <w:tab w:val="clear" w:pos="4153"/>
                <w:tab w:val="clear" w:pos="8306"/>
              </w:tabs>
              <w:adjustRightInd/>
              <w:spacing w:line="380" w:lineRule="exact"/>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w:t>
            </w:r>
          </w:p>
        </w:tc>
        <w:tc>
          <w:tcPr>
            <w:tcW w:w="1165" w:type="pct"/>
            <w:vAlign w:val="center"/>
          </w:tcPr>
          <w:p w14:paraId="5A910221">
            <w:pPr>
              <w:pStyle w:val="45"/>
              <w:widowControl w:val="0"/>
              <w:spacing w:before="0" w:beforeAutospacing="0" w:after="0" w:afterAutospacing="0" w:line="380" w:lineRule="exac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付款方式</w:t>
            </w:r>
          </w:p>
        </w:tc>
        <w:tc>
          <w:tcPr>
            <w:tcW w:w="3382" w:type="pct"/>
            <w:vAlign w:val="center"/>
          </w:tcPr>
          <w:p w14:paraId="1C97EE3F">
            <w:pPr>
              <w:pStyle w:val="45"/>
              <w:widowControl w:val="0"/>
              <w:spacing w:before="0" w:beforeAutospacing="0" w:after="0" w:afterAutospacing="0" w:line="380" w:lineRule="exact"/>
              <w:jc w:val="both"/>
              <w:rPr>
                <w:rFonts w:hint="eastAsia" w:asciiTheme="minorEastAsia" w:hAnsiTheme="minorEastAsia" w:eastAsiaTheme="minorEastAsia"/>
                <w:b w:val="0"/>
                <w:color w:val="auto"/>
                <w:sz w:val="24"/>
                <w:highlight w:val="none"/>
                <w:u w:val="none"/>
                <w:lang w:eastAsia="zh-CN"/>
              </w:rPr>
            </w:pPr>
            <w:r>
              <w:rPr>
                <w:rFonts w:hint="eastAsia" w:asciiTheme="minorEastAsia" w:hAnsiTheme="minorEastAsia" w:eastAsiaTheme="minorEastAsia"/>
                <w:b w:val="0"/>
                <w:color w:val="auto"/>
                <w:sz w:val="24"/>
                <w:highlight w:val="none"/>
                <w:u w:val="none"/>
                <w:lang w:eastAsia="zh-CN"/>
              </w:rPr>
              <w:t>合同签订生效并具备实施条件后5个工作日内支付合同价的40%预付款（预付款支付前，</w:t>
            </w:r>
            <w:r>
              <w:rPr>
                <w:rFonts w:hint="eastAsia" w:asciiTheme="minorEastAsia" w:hAnsiTheme="minorEastAsia" w:eastAsiaTheme="minorEastAsia"/>
                <w:b w:val="0"/>
                <w:color w:val="auto"/>
                <w:sz w:val="24"/>
                <w:highlight w:val="none"/>
                <w:u w:val="none"/>
                <w:lang w:val="en-US" w:eastAsia="zh-CN"/>
              </w:rPr>
              <w:t>成交人</w:t>
            </w:r>
            <w:r>
              <w:rPr>
                <w:rFonts w:hint="eastAsia" w:asciiTheme="minorEastAsia" w:hAnsiTheme="minorEastAsia" w:eastAsiaTheme="minorEastAsia"/>
                <w:b w:val="0"/>
                <w:color w:val="auto"/>
                <w:sz w:val="24"/>
                <w:highlight w:val="none"/>
                <w:u w:val="none"/>
                <w:lang w:eastAsia="zh-CN"/>
              </w:rPr>
              <w:t>须提供同等金额的见索即付预付款保函），</w:t>
            </w:r>
            <w:r>
              <w:rPr>
                <w:rFonts w:hint="eastAsia" w:asciiTheme="minorEastAsia" w:hAnsiTheme="minorEastAsia" w:eastAsiaTheme="minorEastAsia"/>
                <w:b w:val="0"/>
                <w:color w:val="auto"/>
                <w:sz w:val="24"/>
                <w:highlight w:val="none"/>
                <w:u w:val="none"/>
                <w:lang w:val="en-US" w:eastAsia="zh-CN"/>
              </w:rPr>
              <w:t>采购人与2025年12月25日前一次性</w:t>
            </w:r>
            <w:r>
              <w:rPr>
                <w:rFonts w:hint="eastAsia" w:asciiTheme="minorEastAsia" w:hAnsiTheme="minorEastAsia" w:eastAsiaTheme="minorEastAsia"/>
                <w:b w:val="0"/>
                <w:color w:val="auto"/>
                <w:sz w:val="24"/>
                <w:highlight w:val="none"/>
                <w:u w:val="none"/>
                <w:lang w:eastAsia="zh-CN"/>
              </w:rPr>
              <w:t>付清</w:t>
            </w:r>
            <w:r>
              <w:rPr>
                <w:rFonts w:hint="eastAsia" w:asciiTheme="minorEastAsia" w:hAnsiTheme="minorEastAsia" w:eastAsiaTheme="minorEastAsia"/>
                <w:b w:val="0"/>
                <w:color w:val="auto"/>
                <w:sz w:val="24"/>
                <w:highlight w:val="none"/>
                <w:u w:val="none"/>
                <w:lang w:val="en-US" w:eastAsia="zh-CN"/>
              </w:rPr>
              <w:t>合同价款</w:t>
            </w:r>
            <w:r>
              <w:rPr>
                <w:rFonts w:hint="eastAsia" w:asciiTheme="minorEastAsia" w:hAnsiTheme="minorEastAsia" w:eastAsiaTheme="minorEastAsia"/>
                <w:b w:val="0"/>
                <w:color w:val="auto"/>
                <w:sz w:val="24"/>
                <w:highlight w:val="none"/>
                <w:u w:val="none"/>
                <w:lang w:eastAsia="zh-CN"/>
              </w:rPr>
              <w:t>。</w:t>
            </w:r>
          </w:p>
        </w:tc>
      </w:tr>
      <w:tr w14:paraId="78AA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2" w:type="pct"/>
            <w:vAlign w:val="center"/>
          </w:tcPr>
          <w:p w14:paraId="64080162">
            <w:pPr>
              <w:pStyle w:val="46"/>
              <w:pBdr>
                <w:bottom w:val="none" w:color="auto" w:sz="0" w:space="0"/>
              </w:pBdr>
              <w:tabs>
                <w:tab w:val="clear" w:pos="4153"/>
                <w:tab w:val="clear" w:pos="8306"/>
              </w:tabs>
              <w:adjustRightInd/>
              <w:spacing w:line="380" w:lineRule="exact"/>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w:t>
            </w:r>
          </w:p>
        </w:tc>
        <w:tc>
          <w:tcPr>
            <w:tcW w:w="1165" w:type="pct"/>
            <w:vAlign w:val="center"/>
          </w:tcPr>
          <w:p w14:paraId="5E989789">
            <w:pPr>
              <w:pStyle w:val="45"/>
              <w:widowControl w:val="0"/>
              <w:spacing w:before="0" w:beforeAutospacing="0" w:after="0" w:afterAutospacing="0" w:line="380" w:lineRule="exac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供货及安装地点</w:t>
            </w:r>
          </w:p>
        </w:tc>
        <w:tc>
          <w:tcPr>
            <w:tcW w:w="3382" w:type="pct"/>
            <w:vAlign w:val="center"/>
          </w:tcPr>
          <w:p w14:paraId="05A002D0">
            <w:pPr>
              <w:pStyle w:val="45"/>
              <w:widowControl w:val="0"/>
              <w:spacing w:before="0" w:beforeAutospacing="0" w:after="0" w:afterAutospacing="0" w:line="380" w:lineRule="exact"/>
              <w:jc w:val="both"/>
              <w:rPr>
                <w:rFonts w:hint="eastAsia"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来安县人民检察院，采购人指定地点</w:t>
            </w:r>
          </w:p>
        </w:tc>
      </w:tr>
      <w:tr w14:paraId="5077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2" w:type="pct"/>
            <w:vAlign w:val="center"/>
          </w:tcPr>
          <w:p w14:paraId="19D6DB65">
            <w:pPr>
              <w:pStyle w:val="46"/>
              <w:pBdr>
                <w:bottom w:val="none" w:color="auto" w:sz="0" w:space="0"/>
              </w:pBdr>
              <w:tabs>
                <w:tab w:val="clear" w:pos="4153"/>
                <w:tab w:val="clear" w:pos="8306"/>
              </w:tabs>
              <w:adjustRightInd/>
              <w:spacing w:line="380" w:lineRule="exact"/>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3</w:t>
            </w:r>
          </w:p>
        </w:tc>
        <w:tc>
          <w:tcPr>
            <w:tcW w:w="1165" w:type="pct"/>
            <w:vAlign w:val="center"/>
          </w:tcPr>
          <w:p w14:paraId="04CCCA86">
            <w:pPr>
              <w:pStyle w:val="45"/>
              <w:widowControl w:val="0"/>
              <w:spacing w:before="0" w:beforeAutospacing="0" w:after="0" w:afterAutospacing="0" w:line="380" w:lineRule="exact"/>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供货及安装期限</w:t>
            </w:r>
          </w:p>
        </w:tc>
        <w:tc>
          <w:tcPr>
            <w:tcW w:w="3382" w:type="pct"/>
            <w:vAlign w:val="center"/>
          </w:tcPr>
          <w:p w14:paraId="707A0BFF">
            <w:pPr>
              <w:pStyle w:val="45"/>
              <w:widowControl w:val="0"/>
              <w:spacing w:before="0" w:beforeAutospacing="0" w:after="0" w:afterAutospacing="0" w:line="380" w:lineRule="exact"/>
              <w:jc w:val="both"/>
              <w:rPr>
                <w:rFonts w:hint="eastAsia"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lang w:val="en-US" w:eastAsia="zh-CN"/>
              </w:rPr>
              <w:t>自合同签订后35个日历天内完成供货并将货物运送至采购人指定地点</w:t>
            </w:r>
          </w:p>
        </w:tc>
      </w:tr>
      <w:tr w14:paraId="4250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2" w:type="pct"/>
            <w:vAlign w:val="center"/>
          </w:tcPr>
          <w:p w14:paraId="36B28218">
            <w:pPr>
              <w:pStyle w:val="46"/>
              <w:pBdr>
                <w:bottom w:val="none" w:color="auto" w:sz="0" w:space="0"/>
              </w:pBdr>
              <w:tabs>
                <w:tab w:val="clear" w:pos="4153"/>
                <w:tab w:val="clear" w:pos="8306"/>
              </w:tabs>
              <w:adjustRightInd/>
              <w:spacing w:line="380" w:lineRule="exact"/>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4</w:t>
            </w:r>
          </w:p>
        </w:tc>
        <w:tc>
          <w:tcPr>
            <w:tcW w:w="1165" w:type="pct"/>
            <w:vAlign w:val="center"/>
          </w:tcPr>
          <w:p w14:paraId="5C62D7F8">
            <w:pPr>
              <w:pStyle w:val="45"/>
              <w:widowControl w:val="0"/>
              <w:spacing w:before="0" w:beforeAutospacing="0" w:after="0" w:afterAutospacing="0" w:line="380" w:lineRule="exac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免费质保期</w:t>
            </w:r>
          </w:p>
        </w:tc>
        <w:tc>
          <w:tcPr>
            <w:tcW w:w="3382" w:type="pct"/>
            <w:vAlign w:val="center"/>
          </w:tcPr>
          <w:p w14:paraId="6FBC8A7D">
            <w:pPr>
              <w:pStyle w:val="45"/>
              <w:widowControl w:val="0"/>
              <w:spacing w:before="0" w:beforeAutospacing="0" w:after="0" w:afterAutospacing="0" w:line="380" w:lineRule="exact"/>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rPr>
              <w:t>不低于汽车生产厂家标准的原车质保</w:t>
            </w:r>
            <w:r>
              <w:rPr>
                <w:rFonts w:hint="eastAsia" w:asciiTheme="minorEastAsia" w:hAnsiTheme="minorEastAsia" w:eastAsiaTheme="minorEastAsia"/>
                <w:b w:val="0"/>
                <w:color w:val="auto"/>
                <w:sz w:val="24"/>
                <w:highlight w:val="none"/>
                <w:lang w:val="en-US" w:eastAsia="zh-CN"/>
              </w:rPr>
              <w:t>5万公里或者2年（以先到期为准)</w:t>
            </w:r>
            <w:r>
              <w:rPr>
                <w:rFonts w:hint="eastAsia" w:asciiTheme="minorEastAsia" w:hAnsiTheme="minorEastAsia" w:eastAsiaTheme="minorEastAsia"/>
                <w:b w:val="0"/>
                <w:color w:val="auto"/>
                <w:sz w:val="24"/>
                <w:highlight w:val="none"/>
                <w:lang w:val="en-US"/>
              </w:rPr>
              <w:t>。质保期内成交人须提供免费质保服务和软件免费升级服务，质保期满后，应提供优先的有偿售后服务供应原厂零配件等。</w:t>
            </w:r>
          </w:p>
        </w:tc>
      </w:tr>
    </w:tbl>
    <w:p w14:paraId="176A8898">
      <w:pPr>
        <w:spacing w:line="380" w:lineRule="exact"/>
        <w:ind w:firstLine="437"/>
        <w:outlineLvl w:val="1"/>
        <w:rPr>
          <w:rFonts w:asciiTheme="minorEastAsia" w:hAnsiTheme="minorEastAsia" w:eastAsiaTheme="minorEastAsia"/>
          <w:b/>
          <w:bCs/>
          <w:color w:val="auto"/>
          <w:sz w:val="24"/>
          <w:szCs w:val="18"/>
          <w:highlight w:val="none"/>
        </w:rPr>
      </w:pPr>
      <w:bookmarkStart w:id="45" w:name="_Toc30209"/>
      <w:bookmarkStart w:id="46" w:name="_Toc16847"/>
      <w:r>
        <w:rPr>
          <w:rFonts w:hint="eastAsia" w:asciiTheme="minorEastAsia" w:hAnsiTheme="minorEastAsia" w:eastAsiaTheme="minorEastAsia"/>
          <w:b/>
          <w:bCs/>
          <w:color w:val="auto"/>
          <w:sz w:val="24"/>
          <w:szCs w:val="18"/>
          <w:highlight w:val="none"/>
        </w:rPr>
        <w:t>二、货物需求</w:t>
      </w:r>
      <w:bookmarkEnd w:id="45"/>
      <w:bookmarkEnd w:id="46"/>
    </w:p>
    <w:tbl>
      <w:tblPr>
        <w:tblStyle w:val="26"/>
        <w:tblW w:w="5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55"/>
        <w:gridCol w:w="4484"/>
        <w:gridCol w:w="798"/>
        <w:gridCol w:w="749"/>
        <w:gridCol w:w="959"/>
        <w:gridCol w:w="697"/>
      </w:tblGrid>
      <w:tr w14:paraId="5752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54DDAB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Cs/>
                <w:color w:val="auto"/>
                <w:sz w:val="24"/>
                <w:szCs w:val="18"/>
                <w:highlight w:val="none"/>
              </w:rPr>
            </w:pPr>
            <w:bookmarkStart w:id="47" w:name="_Toc16122"/>
            <w:bookmarkStart w:id="48" w:name="_Toc14176"/>
            <w:r>
              <w:rPr>
                <w:rFonts w:hint="eastAsia" w:asciiTheme="minorEastAsia" w:hAnsiTheme="minorEastAsia" w:eastAsiaTheme="minorEastAsia"/>
                <w:bCs/>
                <w:color w:val="auto"/>
                <w:sz w:val="24"/>
                <w:szCs w:val="18"/>
                <w:highlight w:val="none"/>
              </w:rPr>
              <w:t>序号</w:t>
            </w:r>
          </w:p>
        </w:tc>
        <w:tc>
          <w:tcPr>
            <w:tcW w:w="605" w:type="pct"/>
            <w:vAlign w:val="center"/>
          </w:tcPr>
          <w:p w14:paraId="02C1FE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货物名称</w:t>
            </w:r>
          </w:p>
        </w:tc>
        <w:tc>
          <w:tcPr>
            <w:tcW w:w="2348" w:type="pct"/>
            <w:vAlign w:val="center"/>
          </w:tcPr>
          <w:p w14:paraId="2FCC859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技术参数及要求</w:t>
            </w:r>
          </w:p>
        </w:tc>
        <w:tc>
          <w:tcPr>
            <w:tcW w:w="418" w:type="pct"/>
            <w:vAlign w:val="center"/>
          </w:tcPr>
          <w:p w14:paraId="6382630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数量（单位）</w:t>
            </w:r>
          </w:p>
        </w:tc>
        <w:tc>
          <w:tcPr>
            <w:tcW w:w="392" w:type="pct"/>
            <w:vAlign w:val="center"/>
          </w:tcPr>
          <w:p w14:paraId="20C7EA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所属行业</w:t>
            </w:r>
          </w:p>
        </w:tc>
        <w:tc>
          <w:tcPr>
            <w:tcW w:w="502" w:type="pct"/>
            <w:vAlign w:val="center"/>
          </w:tcPr>
          <w:p w14:paraId="0598F8D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是否为核心产品</w:t>
            </w:r>
          </w:p>
        </w:tc>
        <w:tc>
          <w:tcPr>
            <w:tcW w:w="365" w:type="pct"/>
            <w:vAlign w:val="center"/>
          </w:tcPr>
          <w:p w14:paraId="47991E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
                <w:bCs/>
                <w:color w:val="auto"/>
                <w:sz w:val="24"/>
                <w:szCs w:val="18"/>
                <w:highlight w:val="none"/>
              </w:rPr>
            </w:pPr>
            <w:r>
              <w:rPr>
                <w:rFonts w:hint="eastAsia" w:ascii="宋体" w:hAnsi="宋体" w:eastAsia="宋体"/>
                <w:b/>
                <w:bCs/>
                <w:color w:val="auto"/>
                <w:sz w:val="24"/>
                <w:szCs w:val="18"/>
                <w:highlight w:val="none"/>
              </w:rPr>
              <w:t>备注</w:t>
            </w:r>
          </w:p>
        </w:tc>
      </w:tr>
      <w:tr w14:paraId="3C51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67" w:type="pct"/>
            <w:vAlign w:val="center"/>
          </w:tcPr>
          <w:p w14:paraId="338FC9B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1</w:t>
            </w:r>
          </w:p>
        </w:tc>
        <w:tc>
          <w:tcPr>
            <w:tcW w:w="605" w:type="pct"/>
            <w:vAlign w:val="center"/>
          </w:tcPr>
          <w:p w14:paraId="59D08E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Cs/>
                <w:color w:val="auto"/>
                <w:sz w:val="24"/>
                <w:szCs w:val="18"/>
                <w:highlight w:val="none"/>
              </w:rPr>
            </w:pPr>
            <w:r>
              <w:rPr>
                <w:rFonts w:hint="eastAsia" w:asciiTheme="minorEastAsia" w:hAnsiTheme="minorEastAsia" w:eastAsiaTheme="minorEastAsia"/>
                <w:color w:val="auto"/>
                <w:sz w:val="24"/>
                <w:szCs w:val="18"/>
                <w:highlight w:val="none"/>
              </w:rPr>
              <w:t>囚车</w:t>
            </w:r>
          </w:p>
        </w:tc>
        <w:tc>
          <w:tcPr>
            <w:tcW w:w="2348" w:type="pct"/>
          </w:tcPr>
          <w:p w14:paraId="277674F7">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rPr>
                <w:rFonts w:hint="default"/>
                <w:color w:val="auto"/>
                <w:highlight w:val="none"/>
                <w:lang w:val="en-US" w:eastAsia="zh-CN"/>
              </w:rPr>
            </w:pPr>
            <w:r>
              <w:rPr>
                <w:rFonts w:hint="eastAsia" w:asciiTheme="minorEastAsia" w:hAnsiTheme="minorEastAsia" w:eastAsiaTheme="minorEastAsia"/>
                <w:bCs/>
                <w:color w:val="auto"/>
                <w:sz w:val="24"/>
                <w:szCs w:val="18"/>
                <w:highlight w:val="none"/>
                <w:lang w:val="en-US" w:eastAsia="zh-CN"/>
              </w:rPr>
              <w:t>见下表</w:t>
            </w:r>
          </w:p>
        </w:tc>
        <w:tc>
          <w:tcPr>
            <w:tcW w:w="418" w:type="pct"/>
            <w:vAlign w:val="center"/>
          </w:tcPr>
          <w:p w14:paraId="11E017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bCs/>
                <w:color w:val="auto"/>
                <w:sz w:val="24"/>
                <w:szCs w:val="18"/>
                <w:highlight w:val="none"/>
                <w:lang w:eastAsia="zh-CN"/>
              </w:rPr>
            </w:pPr>
            <w:r>
              <w:rPr>
                <w:rFonts w:hint="eastAsia" w:asciiTheme="minorEastAsia" w:hAnsiTheme="minorEastAsia" w:eastAsiaTheme="minorEastAsia"/>
                <w:bCs/>
                <w:color w:val="auto"/>
                <w:sz w:val="24"/>
                <w:szCs w:val="18"/>
                <w:highlight w:val="none"/>
              </w:rPr>
              <w:t>1</w:t>
            </w:r>
            <w:r>
              <w:rPr>
                <w:rFonts w:hint="eastAsia" w:asciiTheme="minorEastAsia" w:hAnsiTheme="minorEastAsia" w:eastAsiaTheme="minorEastAsia"/>
                <w:bCs/>
                <w:color w:val="auto"/>
                <w:sz w:val="24"/>
                <w:szCs w:val="18"/>
                <w:highlight w:val="none"/>
                <w:lang w:val="en-US" w:eastAsia="zh-CN"/>
              </w:rPr>
              <w:t>辆</w:t>
            </w:r>
          </w:p>
        </w:tc>
        <w:tc>
          <w:tcPr>
            <w:tcW w:w="392" w:type="pct"/>
            <w:vAlign w:val="center"/>
          </w:tcPr>
          <w:p w14:paraId="3A864D5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工业</w:t>
            </w:r>
          </w:p>
        </w:tc>
        <w:tc>
          <w:tcPr>
            <w:tcW w:w="502" w:type="pct"/>
            <w:vAlign w:val="center"/>
          </w:tcPr>
          <w:p w14:paraId="08A483C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是</w:t>
            </w:r>
          </w:p>
        </w:tc>
        <w:tc>
          <w:tcPr>
            <w:tcW w:w="365" w:type="pct"/>
            <w:vAlign w:val="center"/>
          </w:tcPr>
          <w:p w14:paraId="5D6B97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w:t>
            </w:r>
          </w:p>
        </w:tc>
      </w:tr>
    </w:tbl>
    <w:p w14:paraId="0EEF5878">
      <w:pPr>
        <w:spacing w:line="380" w:lineRule="exact"/>
        <w:ind w:firstLine="482" w:firstLineChars="200"/>
        <w:outlineLvl w:val="1"/>
        <w:rPr>
          <w:rFonts w:hint="default" w:asciiTheme="minorEastAsia" w:hAnsiTheme="minorEastAsia" w:eastAsiaTheme="minorEastAsia"/>
          <w:b/>
          <w:bCs/>
          <w:color w:val="auto"/>
          <w:sz w:val="24"/>
          <w:szCs w:val="18"/>
          <w:highlight w:val="none"/>
          <w:lang w:val="en-US" w:eastAsia="zh-CN"/>
        </w:rPr>
      </w:pPr>
      <w:r>
        <w:rPr>
          <w:rFonts w:hint="eastAsia" w:asciiTheme="minorEastAsia" w:hAnsiTheme="minorEastAsia" w:eastAsiaTheme="minorEastAsia"/>
          <w:b/>
          <w:bCs/>
          <w:color w:val="auto"/>
          <w:sz w:val="24"/>
          <w:szCs w:val="18"/>
          <w:highlight w:val="none"/>
          <w:lang w:val="en-US" w:eastAsia="zh-CN"/>
        </w:rPr>
        <w:t>车辆技术要求：</w:t>
      </w:r>
    </w:p>
    <w:tbl>
      <w:tblPr>
        <w:tblStyle w:val="69"/>
        <w:tblW w:w="99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1133"/>
        <w:gridCol w:w="212"/>
        <w:gridCol w:w="1490"/>
        <w:gridCol w:w="6379"/>
      </w:tblGrid>
      <w:tr w14:paraId="2D34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06" w:type="dxa"/>
            <w:tcBorders>
              <w:top w:val="single" w:color="000000" w:sz="2" w:space="0"/>
              <w:left w:val="single" w:color="000000" w:sz="2" w:space="0"/>
              <w:bottom w:val="single" w:color="000000" w:sz="2" w:space="0"/>
              <w:right w:val="single" w:color="000000" w:sz="2" w:space="0"/>
            </w:tcBorders>
            <w:vAlign w:val="center"/>
          </w:tcPr>
          <w:p w14:paraId="1CF52D59">
            <w:pPr>
              <w:snapToGrid w:val="0"/>
              <w:spacing w:line="360" w:lineRule="auto"/>
              <w:jc w:val="center"/>
              <w:rPr>
                <w:rFonts w:ascii="宋体" w:hAnsi="宋体" w:eastAsia="宋体" w:cs="Arial"/>
                <w:b/>
                <w:snapToGrid w:val="0"/>
                <w:color w:val="auto"/>
                <w:kern w:val="0"/>
                <w:sz w:val="24"/>
                <w:szCs w:val="24"/>
                <w:highlight w:val="none"/>
              </w:rPr>
            </w:pPr>
            <w:r>
              <w:rPr>
                <w:rFonts w:hint="eastAsia" w:ascii="宋体" w:hAnsi="宋体" w:eastAsia="宋体" w:cs="Arial"/>
                <w:b/>
                <w:snapToGrid w:val="0"/>
                <w:color w:val="auto"/>
                <w:kern w:val="0"/>
                <w:sz w:val="24"/>
                <w:szCs w:val="24"/>
                <w:highlight w:val="none"/>
              </w:rPr>
              <w:t>序号</w:t>
            </w:r>
          </w:p>
        </w:tc>
        <w:tc>
          <w:tcPr>
            <w:tcW w:w="1133" w:type="dxa"/>
            <w:tcBorders>
              <w:top w:val="single" w:color="000000" w:sz="2" w:space="0"/>
              <w:left w:val="single" w:color="000000" w:sz="2" w:space="0"/>
              <w:bottom w:val="single" w:color="000000" w:sz="2" w:space="0"/>
              <w:right w:val="single" w:color="000000" w:sz="2" w:space="0"/>
            </w:tcBorders>
            <w:vAlign w:val="center"/>
          </w:tcPr>
          <w:p w14:paraId="259ABF3A">
            <w:pPr>
              <w:snapToGrid w:val="0"/>
              <w:spacing w:line="360" w:lineRule="auto"/>
              <w:jc w:val="center"/>
              <w:rPr>
                <w:rFonts w:ascii="宋体" w:hAnsi="宋体" w:eastAsia="宋体" w:cs="Arial"/>
                <w:b/>
                <w:snapToGrid w:val="0"/>
                <w:color w:val="auto"/>
                <w:kern w:val="0"/>
                <w:sz w:val="24"/>
                <w:szCs w:val="24"/>
                <w:highlight w:val="none"/>
              </w:rPr>
            </w:pPr>
            <w:r>
              <w:rPr>
                <w:rFonts w:hint="eastAsia" w:ascii="宋体" w:hAnsi="宋体" w:eastAsia="宋体" w:cs="Arial"/>
                <w:b/>
                <w:snapToGrid w:val="0"/>
                <w:color w:val="auto"/>
                <w:kern w:val="0"/>
                <w:sz w:val="24"/>
                <w:szCs w:val="24"/>
                <w:highlight w:val="none"/>
              </w:rPr>
              <w:t>单项名称</w:t>
            </w: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7643363A">
            <w:pPr>
              <w:snapToGrid w:val="0"/>
              <w:spacing w:line="360" w:lineRule="auto"/>
              <w:ind w:right="161"/>
              <w:jc w:val="center"/>
              <w:rPr>
                <w:rFonts w:ascii="宋体" w:hAnsi="宋体" w:eastAsia="宋体" w:cs="Arial"/>
                <w:b/>
                <w:snapToGrid w:val="0"/>
                <w:color w:val="auto"/>
                <w:kern w:val="0"/>
                <w:sz w:val="24"/>
                <w:szCs w:val="24"/>
                <w:highlight w:val="none"/>
              </w:rPr>
            </w:pPr>
            <w:r>
              <w:rPr>
                <w:rFonts w:hint="eastAsia" w:ascii="宋体" w:hAnsi="宋体" w:eastAsia="宋体" w:cs="Arial"/>
                <w:b/>
                <w:snapToGrid w:val="0"/>
                <w:color w:val="auto"/>
                <w:kern w:val="0"/>
                <w:sz w:val="24"/>
                <w:szCs w:val="24"/>
                <w:highlight w:val="none"/>
              </w:rPr>
              <w:t>技术要求的内容和数值</w:t>
            </w:r>
          </w:p>
        </w:tc>
        <w:tc>
          <w:tcPr>
            <w:tcW w:w="6379" w:type="dxa"/>
            <w:tcBorders>
              <w:top w:val="single" w:color="000000" w:sz="2" w:space="0"/>
              <w:left w:val="single" w:color="000000" w:sz="2" w:space="0"/>
              <w:bottom w:val="single" w:color="000000" w:sz="2" w:space="0"/>
              <w:right w:val="single" w:color="000000" w:sz="2" w:space="0"/>
            </w:tcBorders>
            <w:vAlign w:val="center"/>
          </w:tcPr>
          <w:p w14:paraId="65B5356D">
            <w:pPr>
              <w:snapToGrid w:val="0"/>
              <w:spacing w:line="360" w:lineRule="auto"/>
              <w:jc w:val="center"/>
              <w:rPr>
                <w:rFonts w:ascii="宋体" w:hAnsi="宋体" w:eastAsia="宋体" w:cs="Arial"/>
                <w:b/>
                <w:snapToGrid w:val="0"/>
                <w:color w:val="auto"/>
                <w:kern w:val="0"/>
                <w:sz w:val="24"/>
                <w:szCs w:val="24"/>
                <w:highlight w:val="none"/>
              </w:rPr>
            </w:pPr>
            <w:r>
              <w:rPr>
                <w:rFonts w:hint="eastAsia" w:ascii="宋体" w:hAnsi="宋体" w:eastAsia="宋体" w:cs="Arial"/>
                <w:b/>
                <w:snapToGrid w:val="0"/>
                <w:color w:val="auto"/>
                <w:kern w:val="0"/>
                <w:sz w:val="24"/>
                <w:szCs w:val="24"/>
                <w:highlight w:val="none"/>
              </w:rPr>
              <w:t>技术参数、配置规格描述</w:t>
            </w:r>
          </w:p>
        </w:tc>
      </w:tr>
      <w:tr w14:paraId="082DE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 w:hRule="atLeast"/>
          <w:jc w:val="center"/>
        </w:trPr>
        <w:tc>
          <w:tcPr>
            <w:tcW w:w="706" w:type="dxa"/>
            <w:vMerge w:val="restart"/>
            <w:tcBorders>
              <w:top w:val="single" w:color="000000" w:sz="2" w:space="0"/>
              <w:left w:val="single" w:color="000000" w:sz="2" w:space="0"/>
              <w:bottom w:val="single" w:color="000000" w:sz="2" w:space="0"/>
              <w:right w:val="single" w:color="000000" w:sz="2" w:space="0"/>
            </w:tcBorders>
            <w:vAlign w:val="center"/>
          </w:tcPr>
          <w:p w14:paraId="1971A4F0">
            <w:pPr>
              <w:widowControl/>
              <w:snapToGrid w:val="0"/>
              <w:spacing w:line="360" w:lineRule="auto"/>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1</w:t>
            </w:r>
          </w:p>
        </w:tc>
        <w:tc>
          <w:tcPr>
            <w:tcW w:w="1133" w:type="dxa"/>
            <w:vMerge w:val="restart"/>
            <w:tcBorders>
              <w:top w:val="single" w:color="000000" w:sz="2" w:space="0"/>
              <w:left w:val="single" w:color="000000" w:sz="2" w:space="0"/>
              <w:bottom w:val="single" w:color="000000" w:sz="2" w:space="0"/>
              <w:right w:val="single" w:color="000000" w:sz="2" w:space="0"/>
            </w:tcBorders>
            <w:vAlign w:val="center"/>
          </w:tcPr>
          <w:p w14:paraId="04E72CD3">
            <w:pPr>
              <w:snapToGrid w:val="0"/>
              <w:spacing w:line="360" w:lineRule="auto"/>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外观尺寸</w:t>
            </w: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1ECEC6DE">
            <w:pPr>
              <w:snapToGrid w:val="0"/>
              <w:spacing w:line="360" w:lineRule="auto"/>
              <w:ind w:right="161"/>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车长</w:t>
            </w:r>
          </w:p>
        </w:tc>
        <w:tc>
          <w:tcPr>
            <w:tcW w:w="6379" w:type="dxa"/>
            <w:tcBorders>
              <w:top w:val="single" w:color="000000" w:sz="2" w:space="0"/>
              <w:left w:val="single" w:color="000000" w:sz="2" w:space="0"/>
              <w:bottom w:val="single" w:color="000000" w:sz="2" w:space="0"/>
              <w:right w:val="single" w:color="000000" w:sz="2" w:space="0"/>
            </w:tcBorders>
            <w:vAlign w:val="center"/>
          </w:tcPr>
          <w:p w14:paraId="01D25B01">
            <w:pPr>
              <w:snapToGrid w:val="0"/>
              <w:spacing w:line="360" w:lineRule="auto"/>
              <w:rPr>
                <w:rFonts w:ascii="宋体" w:hAnsi="宋体" w:eastAsia="宋体" w:cs="Arial"/>
                <w:snapToGrid w:val="0"/>
                <w:color w:val="auto"/>
                <w:kern w:val="0"/>
                <w:sz w:val="24"/>
                <w:szCs w:val="24"/>
                <w:highlight w:val="none"/>
              </w:rPr>
            </w:pPr>
            <w:r>
              <w:rPr>
                <w:rFonts w:hint="eastAsia" w:ascii="宋体" w:hAnsi="宋体" w:eastAsia="宋体" w:cs="宋体"/>
                <w:snapToGrid w:val="0"/>
                <w:color w:val="auto"/>
                <w:spacing w:val="-1"/>
                <w:kern w:val="0"/>
                <w:sz w:val="24"/>
                <w:szCs w:val="24"/>
                <w:highlight w:val="none"/>
              </w:rPr>
              <w:t>59</w:t>
            </w:r>
            <w:r>
              <w:rPr>
                <w:rFonts w:hint="eastAsia" w:ascii="宋体" w:hAnsi="宋体" w:eastAsia="宋体" w:cs="宋体"/>
                <w:snapToGrid w:val="0"/>
                <w:color w:val="auto"/>
                <w:kern w:val="0"/>
                <w:sz w:val="24"/>
                <w:szCs w:val="24"/>
                <w:highlight w:val="none"/>
              </w:rPr>
              <w:t>00mm</w:t>
            </w:r>
            <w:r>
              <w:rPr>
                <w:rFonts w:hint="eastAsia" w:ascii="宋体" w:hAnsi="宋体" w:eastAsia="宋体" w:cs="宋体"/>
                <w:snapToGrid w:val="0"/>
                <w:color w:val="auto"/>
                <w:spacing w:val="-2"/>
                <w:kern w:val="0"/>
                <w:sz w:val="24"/>
                <w:szCs w:val="24"/>
                <w:highlight w:val="none"/>
              </w:rPr>
              <w:t>≤</w:t>
            </w:r>
            <w:r>
              <w:rPr>
                <w:rFonts w:hint="eastAsia" w:ascii="宋体" w:hAnsi="宋体" w:eastAsia="宋体" w:cs="宋体"/>
                <w:snapToGrid w:val="0"/>
                <w:color w:val="auto"/>
                <w:spacing w:val="-1"/>
                <w:kern w:val="0"/>
                <w:sz w:val="24"/>
                <w:szCs w:val="24"/>
                <w:highlight w:val="none"/>
              </w:rPr>
              <w:t>长</w:t>
            </w:r>
            <w:r>
              <w:rPr>
                <w:rFonts w:hint="eastAsia" w:ascii="宋体" w:hAnsi="宋体" w:eastAsia="宋体" w:cs="宋体"/>
                <w:snapToGrid w:val="0"/>
                <w:color w:val="auto"/>
                <w:spacing w:val="-2"/>
                <w:kern w:val="0"/>
                <w:sz w:val="24"/>
                <w:szCs w:val="24"/>
                <w:highlight w:val="none"/>
              </w:rPr>
              <w:t>≤5999mm</w:t>
            </w:r>
            <w:r>
              <w:rPr>
                <w:rFonts w:hint="eastAsia" w:ascii="宋体" w:hAnsi="宋体" w:eastAsia="宋体" w:cs="Arial"/>
                <w:snapToGrid w:val="0"/>
                <w:color w:val="auto"/>
                <w:kern w:val="0"/>
                <w:sz w:val="24"/>
                <w:szCs w:val="24"/>
                <w:highlight w:val="none"/>
              </w:rPr>
              <w:t>;</w:t>
            </w:r>
          </w:p>
        </w:tc>
      </w:tr>
      <w:tr w14:paraId="0FB9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0F322BEE">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2EBAB7E6">
            <w:pPr>
              <w:widowControl/>
              <w:snapToGrid w:val="0"/>
              <w:spacing w:line="360" w:lineRule="auto"/>
              <w:jc w:val="left"/>
              <w:rPr>
                <w:rFonts w:ascii="宋体" w:hAnsi="宋体" w:eastAsia="宋体" w:cs="Arial"/>
                <w:snapToGrid w:val="0"/>
                <w:color w:val="auto"/>
                <w:kern w:val="0"/>
                <w:sz w:val="24"/>
                <w:szCs w:val="24"/>
                <w:highlight w:val="none"/>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0FE7512C">
            <w:pPr>
              <w:snapToGrid w:val="0"/>
              <w:spacing w:line="360" w:lineRule="auto"/>
              <w:ind w:right="161"/>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车宽</w:t>
            </w:r>
          </w:p>
        </w:tc>
        <w:tc>
          <w:tcPr>
            <w:tcW w:w="6379" w:type="dxa"/>
            <w:tcBorders>
              <w:top w:val="single" w:color="000000" w:sz="2" w:space="0"/>
              <w:left w:val="single" w:color="000000" w:sz="2" w:space="0"/>
              <w:bottom w:val="single" w:color="000000" w:sz="2" w:space="0"/>
              <w:right w:val="single" w:color="000000" w:sz="2" w:space="0"/>
            </w:tcBorders>
            <w:vAlign w:val="center"/>
          </w:tcPr>
          <w:p w14:paraId="6D949003">
            <w:pPr>
              <w:snapToGrid w:val="0"/>
              <w:spacing w:line="360" w:lineRule="auto"/>
              <w:rPr>
                <w:rFonts w:ascii="宋体" w:hAnsi="宋体" w:eastAsia="宋体" w:cs="Arial"/>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2000mm≤宽≤2050mm</w:t>
            </w:r>
          </w:p>
        </w:tc>
      </w:tr>
      <w:tr w14:paraId="2D4B2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37500738">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582076B9">
            <w:pPr>
              <w:widowControl/>
              <w:snapToGrid w:val="0"/>
              <w:spacing w:line="360" w:lineRule="auto"/>
              <w:jc w:val="left"/>
              <w:rPr>
                <w:rFonts w:ascii="宋体" w:hAnsi="宋体" w:eastAsia="宋体" w:cs="Arial"/>
                <w:snapToGrid w:val="0"/>
                <w:color w:val="auto"/>
                <w:kern w:val="0"/>
                <w:sz w:val="24"/>
                <w:szCs w:val="24"/>
                <w:highlight w:val="none"/>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3E94F6F7">
            <w:pPr>
              <w:snapToGrid w:val="0"/>
              <w:spacing w:line="360" w:lineRule="auto"/>
              <w:ind w:right="161"/>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车高</w:t>
            </w:r>
          </w:p>
        </w:tc>
        <w:tc>
          <w:tcPr>
            <w:tcW w:w="6379" w:type="dxa"/>
            <w:tcBorders>
              <w:top w:val="single" w:color="000000" w:sz="2" w:space="0"/>
              <w:left w:val="single" w:color="000000" w:sz="2" w:space="0"/>
              <w:bottom w:val="single" w:color="000000" w:sz="2" w:space="0"/>
              <w:right w:val="single" w:color="000000" w:sz="2" w:space="0"/>
            </w:tcBorders>
            <w:vAlign w:val="center"/>
          </w:tcPr>
          <w:p w14:paraId="0BCEF5FB">
            <w:pPr>
              <w:snapToGrid w:val="0"/>
              <w:spacing w:line="360" w:lineRule="auto"/>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2640mm</w:t>
            </w:r>
            <w:r>
              <w:rPr>
                <w:rFonts w:hint="eastAsia" w:ascii="宋体" w:hAnsi="宋体" w:eastAsia="宋体" w:cs="宋体"/>
                <w:snapToGrid w:val="0"/>
                <w:color w:val="auto"/>
                <w:spacing w:val="-2"/>
                <w:kern w:val="0"/>
                <w:sz w:val="24"/>
                <w:szCs w:val="24"/>
                <w:highlight w:val="none"/>
              </w:rPr>
              <w:t>≤</w:t>
            </w:r>
            <w:r>
              <w:rPr>
                <w:rFonts w:hint="eastAsia" w:ascii="宋体" w:hAnsi="宋体" w:eastAsia="宋体" w:cs="Arial"/>
                <w:snapToGrid w:val="0"/>
                <w:color w:val="auto"/>
                <w:kern w:val="0"/>
                <w:sz w:val="24"/>
                <w:szCs w:val="24"/>
                <w:highlight w:val="none"/>
              </w:rPr>
              <w:t>高</w:t>
            </w:r>
            <w:r>
              <w:rPr>
                <w:rFonts w:hint="eastAsia" w:ascii="宋体" w:hAnsi="宋体" w:eastAsia="宋体" w:cs="宋体"/>
                <w:snapToGrid w:val="0"/>
                <w:color w:val="auto"/>
                <w:spacing w:val="-2"/>
                <w:kern w:val="0"/>
                <w:sz w:val="24"/>
                <w:szCs w:val="24"/>
                <w:highlight w:val="none"/>
              </w:rPr>
              <w:t>≤</w:t>
            </w:r>
            <w:r>
              <w:rPr>
                <w:rFonts w:hint="eastAsia" w:ascii="宋体" w:hAnsi="宋体" w:eastAsia="宋体" w:cs="Arial"/>
                <w:snapToGrid w:val="0"/>
                <w:color w:val="auto"/>
                <w:kern w:val="0"/>
                <w:sz w:val="24"/>
                <w:szCs w:val="24"/>
                <w:highlight w:val="none"/>
              </w:rPr>
              <w:t>2890mm（含空调）</w:t>
            </w:r>
          </w:p>
        </w:tc>
      </w:tr>
      <w:tr w14:paraId="0D6FF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7569AFEB">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3F1A3932">
            <w:pPr>
              <w:widowControl/>
              <w:snapToGrid w:val="0"/>
              <w:spacing w:line="360" w:lineRule="auto"/>
              <w:jc w:val="left"/>
              <w:rPr>
                <w:rFonts w:ascii="宋体" w:hAnsi="宋体" w:eastAsia="宋体" w:cs="Arial"/>
                <w:snapToGrid w:val="0"/>
                <w:color w:val="auto"/>
                <w:kern w:val="0"/>
                <w:sz w:val="24"/>
                <w:szCs w:val="24"/>
                <w:highlight w:val="none"/>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22D68711">
            <w:pPr>
              <w:snapToGrid w:val="0"/>
              <w:spacing w:line="360" w:lineRule="auto"/>
              <w:ind w:right="161"/>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轴距</w:t>
            </w:r>
          </w:p>
        </w:tc>
        <w:tc>
          <w:tcPr>
            <w:tcW w:w="6379" w:type="dxa"/>
            <w:tcBorders>
              <w:top w:val="single" w:color="000000" w:sz="2" w:space="0"/>
              <w:left w:val="single" w:color="000000" w:sz="2" w:space="0"/>
              <w:bottom w:val="single" w:color="000000" w:sz="2" w:space="0"/>
              <w:right w:val="single" w:color="000000" w:sz="2" w:space="0"/>
            </w:tcBorders>
            <w:vAlign w:val="center"/>
          </w:tcPr>
          <w:p w14:paraId="7DBB5C5A">
            <w:pPr>
              <w:snapToGrid w:val="0"/>
              <w:spacing w:line="360" w:lineRule="auto"/>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≥3300mm</w:t>
            </w:r>
          </w:p>
        </w:tc>
      </w:tr>
      <w:tr w14:paraId="5807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416991C8">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5145268C">
            <w:pPr>
              <w:widowControl/>
              <w:snapToGrid w:val="0"/>
              <w:spacing w:line="360" w:lineRule="auto"/>
              <w:jc w:val="left"/>
              <w:rPr>
                <w:rFonts w:ascii="宋体" w:hAnsi="宋体" w:eastAsia="宋体" w:cs="Arial"/>
                <w:snapToGrid w:val="0"/>
                <w:color w:val="auto"/>
                <w:kern w:val="0"/>
                <w:sz w:val="24"/>
                <w:szCs w:val="24"/>
                <w:highlight w:val="none"/>
              </w:rPr>
            </w:pPr>
          </w:p>
        </w:tc>
        <w:tc>
          <w:tcPr>
            <w:tcW w:w="8081" w:type="dxa"/>
            <w:gridSpan w:val="3"/>
            <w:tcBorders>
              <w:top w:val="single" w:color="000000" w:sz="2" w:space="0"/>
              <w:left w:val="single" w:color="000000" w:sz="2" w:space="0"/>
              <w:bottom w:val="single" w:color="000000" w:sz="2" w:space="0"/>
              <w:right w:val="single" w:color="000000" w:sz="2" w:space="0"/>
            </w:tcBorders>
            <w:vAlign w:val="center"/>
          </w:tcPr>
          <w:p w14:paraId="45BFB36E">
            <w:pPr>
              <w:snapToGrid w:val="0"/>
              <w:spacing w:line="360" w:lineRule="auto"/>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以上</w:t>
            </w:r>
            <w:r>
              <w:rPr>
                <w:rFonts w:ascii="宋体" w:hAnsi="宋体" w:eastAsia="宋体" w:cs="Arial"/>
                <w:snapToGrid w:val="0"/>
                <w:color w:val="auto"/>
                <w:kern w:val="0"/>
                <w:sz w:val="24"/>
                <w:szCs w:val="24"/>
                <w:highlight w:val="none"/>
              </w:rPr>
              <w:t>参数以产品</w:t>
            </w:r>
            <w:r>
              <w:rPr>
                <w:rFonts w:hint="eastAsia" w:ascii="宋体" w:hAnsi="宋体" w:eastAsia="宋体" w:cs="Arial"/>
                <w:snapToGrid w:val="0"/>
                <w:color w:val="auto"/>
                <w:kern w:val="0"/>
                <w:sz w:val="24"/>
                <w:szCs w:val="24"/>
                <w:highlight w:val="none"/>
              </w:rPr>
              <w:t>公告页</w:t>
            </w:r>
            <w:r>
              <w:rPr>
                <w:rFonts w:ascii="宋体" w:hAnsi="宋体" w:eastAsia="宋体" w:cs="Arial"/>
                <w:snapToGrid w:val="0"/>
                <w:color w:val="auto"/>
                <w:kern w:val="0"/>
                <w:sz w:val="24"/>
                <w:szCs w:val="24"/>
                <w:highlight w:val="none"/>
              </w:rPr>
              <w:t>参数为准。</w:t>
            </w:r>
          </w:p>
        </w:tc>
      </w:tr>
      <w:tr w14:paraId="4E6B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tcBorders>
              <w:top w:val="single" w:color="000000" w:sz="2" w:space="0"/>
              <w:left w:val="single" w:color="000000" w:sz="2" w:space="0"/>
              <w:bottom w:val="single" w:color="000000" w:sz="2" w:space="0"/>
              <w:right w:val="single" w:color="000000" w:sz="2" w:space="0"/>
            </w:tcBorders>
            <w:vAlign w:val="center"/>
          </w:tcPr>
          <w:p w14:paraId="473E0CC2">
            <w:pPr>
              <w:snapToGrid w:val="0"/>
              <w:spacing w:line="360" w:lineRule="auto"/>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2</w:t>
            </w:r>
          </w:p>
        </w:tc>
        <w:tc>
          <w:tcPr>
            <w:tcW w:w="2835" w:type="dxa"/>
            <w:gridSpan w:val="3"/>
            <w:tcBorders>
              <w:top w:val="single" w:color="000000" w:sz="2" w:space="0"/>
              <w:left w:val="single" w:color="000000" w:sz="2" w:space="0"/>
              <w:bottom w:val="single" w:color="000000" w:sz="2" w:space="0"/>
              <w:right w:val="single" w:color="000000" w:sz="2" w:space="0"/>
            </w:tcBorders>
            <w:vAlign w:val="center"/>
          </w:tcPr>
          <w:p w14:paraId="545295FD">
            <w:pPr>
              <w:snapToGrid w:val="0"/>
              <w:spacing w:line="360" w:lineRule="auto"/>
              <w:rPr>
                <w:rFonts w:hint="eastAsia"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总体要求</w:t>
            </w:r>
          </w:p>
        </w:tc>
        <w:tc>
          <w:tcPr>
            <w:tcW w:w="6379" w:type="dxa"/>
            <w:tcBorders>
              <w:top w:val="single" w:color="000000" w:sz="2" w:space="0"/>
              <w:left w:val="single" w:color="000000" w:sz="2" w:space="0"/>
              <w:bottom w:val="single" w:color="000000" w:sz="2" w:space="0"/>
              <w:right w:val="single" w:color="000000" w:sz="2" w:space="0"/>
            </w:tcBorders>
            <w:vAlign w:val="center"/>
          </w:tcPr>
          <w:p w14:paraId="62970134">
            <w:pPr>
              <w:snapToGrid w:val="0"/>
              <w:spacing w:line="360" w:lineRule="auto"/>
              <w:rPr>
                <w:rFonts w:hint="eastAsia"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车型必须是国家有关部门批准的目录定型产品</w:t>
            </w:r>
            <w:r>
              <w:rPr>
                <w:rFonts w:hint="eastAsia" w:ascii="宋体" w:hAnsi="宋体" w:eastAsia="宋体" w:cs="Arial"/>
                <w:b/>
                <w:bCs/>
                <w:snapToGrid w:val="0"/>
                <w:color w:val="auto"/>
                <w:kern w:val="0"/>
                <w:sz w:val="24"/>
                <w:szCs w:val="24"/>
                <w:highlight w:val="none"/>
              </w:rPr>
              <w:t>（提供工信部公告）</w:t>
            </w:r>
            <w:r>
              <w:rPr>
                <w:rFonts w:hint="eastAsia" w:ascii="宋体" w:hAnsi="宋体" w:eastAsia="宋体" w:cs="Arial"/>
                <w:snapToGrid w:val="0"/>
                <w:color w:val="auto"/>
                <w:kern w:val="0"/>
                <w:sz w:val="24"/>
                <w:szCs w:val="24"/>
                <w:highlight w:val="none"/>
              </w:rPr>
              <w:t>，满足道路运输，柴油燃料、国六排放</w:t>
            </w:r>
            <w:r>
              <w:rPr>
                <w:rFonts w:hint="eastAsia" w:ascii="宋体" w:hAnsi="宋体" w:eastAsia="宋体" w:cs="Arial"/>
                <w:b/>
                <w:bCs/>
                <w:snapToGrid w:val="0"/>
                <w:color w:val="auto"/>
                <w:kern w:val="0"/>
                <w:sz w:val="24"/>
                <w:szCs w:val="24"/>
                <w:highlight w:val="none"/>
              </w:rPr>
              <w:t>（提供环保目录或证书）</w:t>
            </w:r>
            <w:r>
              <w:rPr>
                <w:rFonts w:hint="eastAsia" w:ascii="宋体" w:hAnsi="宋体" w:eastAsia="宋体" w:cs="Arial"/>
                <w:snapToGrid w:val="0"/>
                <w:color w:val="auto"/>
                <w:kern w:val="0"/>
                <w:sz w:val="24"/>
                <w:szCs w:val="24"/>
                <w:highlight w:val="none"/>
              </w:rPr>
              <w:t>、燃料消耗量限值达标</w:t>
            </w:r>
            <w:r>
              <w:rPr>
                <w:rFonts w:hint="eastAsia" w:ascii="宋体" w:hAnsi="宋体" w:eastAsia="宋体" w:cs="Arial"/>
                <w:b/>
                <w:bCs/>
                <w:snapToGrid w:val="0"/>
                <w:color w:val="auto"/>
                <w:kern w:val="0"/>
                <w:sz w:val="24"/>
                <w:szCs w:val="24"/>
                <w:highlight w:val="none"/>
              </w:rPr>
              <w:t>（提供达标车型公告）</w:t>
            </w:r>
            <w:r>
              <w:rPr>
                <w:rFonts w:hint="eastAsia" w:ascii="宋体" w:hAnsi="宋体" w:eastAsia="宋体" w:cs="Arial"/>
                <w:snapToGrid w:val="0"/>
                <w:color w:val="auto"/>
                <w:kern w:val="0"/>
                <w:sz w:val="24"/>
                <w:szCs w:val="24"/>
                <w:highlight w:val="none"/>
              </w:rPr>
              <w:t>等标准配置。取得</w:t>
            </w:r>
            <w:r>
              <w:rPr>
                <w:rFonts w:hint="eastAsia" w:ascii="宋体" w:hAnsi="宋体" w:eastAsia="宋体" w:cs="Arial"/>
                <w:b/>
                <w:bCs/>
                <w:snapToGrid w:val="0"/>
                <w:color w:val="auto"/>
                <w:kern w:val="0"/>
                <w:sz w:val="24"/>
                <w:szCs w:val="24"/>
                <w:highlight w:val="none"/>
              </w:rPr>
              <w:t>《中国国家强制性产品认证证书》</w:t>
            </w:r>
            <w:r>
              <w:rPr>
                <w:rFonts w:hint="eastAsia" w:ascii="宋体" w:hAnsi="宋体" w:eastAsia="宋体" w:cs="Arial"/>
                <w:snapToGrid w:val="0"/>
                <w:color w:val="auto"/>
                <w:kern w:val="0"/>
                <w:sz w:val="24"/>
                <w:szCs w:val="24"/>
                <w:highlight w:val="none"/>
              </w:rPr>
              <w:t>。</w:t>
            </w:r>
          </w:p>
        </w:tc>
      </w:tr>
      <w:tr w14:paraId="2576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restart"/>
            <w:tcBorders>
              <w:top w:val="single" w:color="000000" w:sz="2" w:space="0"/>
              <w:left w:val="single" w:color="000000" w:sz="2" w:space="0"/>
              <w:bottom w:val="single" w:color="000000" w:sz="2" w:space="0"/>
              <w:right w:val="single" w:color="000000" w:sz="2" w:space="0"/>
            </w:tcBorders>
            <w:vAlign w:val="center"/>
          </w:tcPr>
          <w:p w14:paraId="7CA2DD83">
            <w:pPr>
              <w:snapToGrid w:val="0"/>
              <w:spacing w:line="360" w:lineRule="auto"/>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4</w:t>
            </w:r>
          </w:p>
        </w:tc>
        <w:tc>
          <w:tcPr>
            <w:tcW w:w="1133" w:type="dxa"/>
            <w:vMerge w:val="restart"/>
            <w:tcBorders>
              <w:top w:val="single" w:color="000000" w:sz="2" w:space="0"/>
              <w:left w:val="single" w:color="000000" w:sz="2" w:space="0"/>
              <w:bottom w:val="single" w:color="000000" w:sz="2" w:space="0"/>
              <w:right w:val="single" w:color="000000" w:sz="2" w:space="0"/>
            </w:tcBorders>
            <w:vAlign w:val="center"/>
          </w:tcPr>
          <w:p w14:paraId="47B4B9A1">
            <w:pPr>
              <w:pStyle w:val="9"/>
              <w:snapToGrid w:val="0"/>
              <w:spacing w:after="0"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主要总成、附件</w:t>
            </w: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16DAF0BF">
            <w:pPr>
              <w:pStyle w:val="9"/>
              <w:snapToGrid w:val="0"/>
              <w:spacing w:after="0"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发动机</w:t>
            </w:r>
          </w:p>
        </w:tc>
        <w:tc>
          <w:tcPr>
            <w:tcW w:w="6379" w:type="dxa"/>
            <w:tcBorders>
              <w:top w:val="single" w:color="000000" w:sz="2" w:space="0"/>
              <w:left w:val="single" w:color="000000" w:sz="2" w:space="0"/>
              <w:bottom w:val="single" w:color="000000" w:sz="2" w:space="0"/>
              <w:right w:val="single" w:color="000000" w:sz="2" w:space="0"/>
            </w:tcBorders>
            <w:vAlign w:val="center"/>
          </w:tcPr>
          <w:p w14:paraId="2954BFF6">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柴油，高压共轨，国六排放，额定功率≥103KW；发动机舱隔音、隔热及隔振必需加强，发动机舱安装高温报警器及自动灭火装置，发动机舱设计应保持良好的通风，阻燃。隔音处理，便手维修：便于加注冷却水、机油、助力油等；各线路走向合理，确保无磨擦。</w:t>
            </w:r>
          </w:p>
        </w:tc>
      </w:tr>
      <w:tr w14:paraId="60B74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75DC0626">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4744F505">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09F940B8">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离合器</w:t>
            </w:r>
          </w:p>
        </w:tc>
        <w:tc>
          <w:tcPr>
            <w:tcW w:w="6379" w:type="dxa"/>
            <w:tcBorders>
              <w:top w:val="single" w:color="000000" w:sz="2" w:space="0"/>
              <w:left w:val="single" w:color="000000" w:sz="2" w:space="0"/>
              <w:bottom w:val="single" w:color="000000" w:sz="2" w:space="0"/>
              <w:right w:val="single" w:color="000000" w:sz="2" w:space="0"/>
            </w:tcBorders>
            <w:vAlign w:val="center"/>
          </w:tcPr>
          <w:p w14:paraId="66360745">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单片、干式</w:t>
            </w:r>
          </w:p>
        </w:tc>
      </w:tr>
      <w:tr w14:paraId="7541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55903D99">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4F6EB774">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3D621F6A">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变速箱</w:t>
            </w:r>
          </w:p>
        </w:tc>
        <w:tc>
          <w:tcPr>
            <w:tcW w:w="6379" w:type="dxa"/>
            <w:tcBorders>
              <w:top w:val="single" w:color="000000" w:sz="2" w:space="0"/>
              <w:left w:val="single" w:color="000000" w:sz="2" w:space="0"/>
              <w:bottom w:val="single" w:color="000000" w:sz="2" w:space="0"/>
              <w:right w:val="single" w:color="000000" w:sz="2" w:space="0"/>
            </w:tcBorders>
            <w:vAlign w:val="center"/>
          </w:tcPr>
          <w:p w14:paraId="00D6B5C9">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采用六档箱</w:t>
            </w:r>
          </w:p>
        </w:tc>
      </w:tr>
      <w:tr w14:paraId="49ED7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25F1884F">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3CD31F44">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12D5390B">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方向机</w:t>
            </w:r>
          </w:p>
        </w:tc>
        <w:tc>
          <w:tcPr>
            <w:tcW w:w="6379" w:type="dxa"/>
            <w:tcBorders>
              <w:top w:val="single" w:color="000000" w:sz="2" w:space="0"/>
              <w:left w:val="single" w:color="000000" w:sz="2" w:space="0"/>
              <w:bottom w:val="single" w:color="000000" w:sz="2" w:space="0"/>
              <w:right w:val="single" w:color="000000" w:sz="2" w:space="0"/>
            </w:tcBorders>
            <w:vAlign w:val="center"/>
          </w:tcPr>
          <w:p w14:paraId="0131F2DC">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配装国产转向助力泵总成。(使用动力转向相配套转向液压油泵)</w:t>
            </w:r>
          </w:p>
        </w:tc>
      </w:tr>
      <w:tr w14:paraId="3E4E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03E13250">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6B5CD600">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301D3BDA">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前、后桥</w:t>
            </w:r>
          </w:p>
        </w:tc>
        <w:tc>
          <w:tcPr>
            <w:tcW w:w="6379" w:type="dxa"/>
            <w:tcBorders>
              <w:top w:val="single" w:color="000000" w:sz="2" w:space="0"/>
              <w:left w:val="single" w:color="000000" w:sz="2" w:space="0"/>
              <w:bottom w:val="single" w:color="000000" w:sz="2" w:space="0"/>
              <w:right w:val="single" w:color="000000" w:sz="2" w:space="0"/>
            </w:tcBorders>
            <w:vAlign w:val="center"/>
          </w:tcPr>
          <w:p w14:paraId="586D3BB5">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前桥≥2.8T，后桥≥5T。</w:t>
            </w:r>
          </w:p>
        </w:tc>
      </w:tr>
      <w:tr w14:paraId="0EA17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1D4771A3">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2761F922">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5E10CDF9">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悬架系统</w:t>
            </w:r>
          </w:p>
        </w:tc>
        <w:tc>
          <w:tcPr>
            <w:tcW w:w="6379" w:type="dxa"/>
            <w:tcBorders>
              <w:top w:val="single" w:color="000000" w:sz="2" w:space="0"/>
              <w:left w:val="single" w:color="000000" w:sz="2" w:space="0"/>
              <w:bottom w:val="single" w:color="000000" w:sz="2" w:space="0"/>
              <w:right w:val="single" w:color="000000" w:sz="2" w:space="0"/>
            </w:tcBorders>
            <w:vAlign w:val="center"/>
          </w:tcPr>
          <w:p w14:paraId="553249E0">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采用前后少片簧式悬架</w:t>
            </w:r>
          </w:p>
        </w:tc>
      </w:tr>
      <w:tr w14:paraId="1689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511BB535">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6BAE4958">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7F95A68C">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制动</w:t>
            </w:r>
          </w:p>
        </w:tc>
        <w:tc>
          <w:tcPr>
            <w:tcW w:w="6379" w:type="dxa"/>
            <w:tcBorders>
              <w:top w:val="single" w:color="000000" w:sz="2" w:space="0"/>
              <w:left w:val="single" w:color="000000" w:sz="2" w:space="0"/>
              <w:bottom w:val="single" w:color="000000" w:sz="2" w:space="0"/>
              <w:right w:val="single" w:color="000000" w:sz="2" w:space="0"/>
            </w:tcBorders>
            <w:vAlign w:val="center"/>
          </w:tcPr>
          <w:p w14:paraId="296C3B49">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前盘后鼓，配置ABS，采用气压双回路行车制动，储能弹簧式驻车制动，制动管路主要使用亚太管，打气泵到干燥器之间的管路使用优质铜管；管路系统按标准进行保压泄漏试验。管路排列整齐，固定牢固，不凹瘪、不扭曲、不坠挂。管路与高温、旋转部件保持安全距离或作重点防护，穿越洞孔时加装可靠的绝缘防磨损护套，与电线束和油气水管分列敷设布置。低气压起步制动保护，制动踏板与水平面的夹角不能过大，不高于油门踏板，便于驾驶员操作及维修方便，制动器衬片更换报警装置。气压制动系统的制动储气筒内工作气压应大于等于1000KPA，当储气筒内工作气压低于1000KPA，报警装置应能连续向驾驶员发出容易听到或看到的报警信号，并配备防抱制动装置失效时用于报警的信号装置，满足任何工况下的制动需求。</w:t>
            </w:r>
          </w:p>
        </w:tc>
      </w:tr>
      <w:tr w14:paraId="4416C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2E2ACD63">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416C635C">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00C695C3">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轮胎</w:t>
            </w:r>
          </w:p>
        </w:tc>
        <w:tc>
          <w:tcPr>
            <w:tcW w:w="6379" w:type="dxa"/>
            <w:tcBorders>
              <w:top w:val="single" w:color="000000" w:sz="2" w:space="0"/>
              <w:left w:val="single" w:color="000000" w:sz="2" w:space="0"/>
              <w:bottom w:val="single" w:color="000000" w:sz="2" w:space="0"/>
              <w:right w:val="single" w:color="000000" w:sz="2" w:space="0"/>
            </w:tcBorders>
            <w:vAlign w:val="center"/>
          </w:tcPr>
          <w:p w14:paraId="2CFC1855">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215/75R17.5真空子午线（含备胎）；</w:t>
            </w:r>
          </w:p>
        </w:tc>
      </w:tr>
      <w:tr w14:paraId="07735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06C38C0F">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4FD3EB34">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75CDA61A">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油箱容积</w:t>
            </w:r>
          </w:p>
        </w:tc>
        <w:tc>
          <w:tcPr>
            <w:tcW w:w="6379" w:type="dxa"/>
            <w:tcBorders>
              <w:top w:val="single" w:color="000000" w:sz="2" w:space="0"/>
              <w:left w:val="single" w:color="000000" w:sz="2" w:space="0"/>
              <w:bottom w:val="single" w:color="000000" w:sz="2" w:space="0"/>
              <w:right w:val="single" w:color="000000" w:sz="2" w:space="0"/>
            </w:tcBorders>
            <w:vAlign w:val="center"/>
          </w:tcPr>
          <w:p w14:paraId="2AF2DDB5">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≧90L</w:t>
            </w:r>
          </w:p>
        </w:tc>
      </w:tr>
      <w:tr w14:paraId="44F6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0C617768">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4C89F25B">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18741DFC">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蓄电池</w:t>
            </w:r>
          </w:p>
        </w:tc>
        <w:tc>
          <w:tcPr>
            <w:tcW w:w="6379" w:type="dxa"/>
            <w:tcBorders>
              <w:top w:val="single" w:color="000000" w:sz="2" w:space="0"/>
              <w:left w:val="single" w:color="000000" w:sz="2" w:space="0"/>
              <w:bottom w:val="single" w:color="000000" w:sz="2" w:space="0"/>
              <w:right w:val="single" w:color="000000" w:sz="2" w:space="0"/>
            </w:tcBorders>
            <w:vAlign w:val="center"/>
          </w:tcPr>
          <w:p w14:paraId="6DCE20FB">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2个免维护12V，≥100AH，蓄电池输出端要求安装便于操作开关；</w:t>
            </w:r>
          </w:p>
        </w:tc>
      </w:tr>
      <w:tr w14:paraId="1713A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7956BB85">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6509331B">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5B2BA605">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喇叭</w:t>
            </w:r>
          </w:p>
        </w:tc>
        <w:tc>
          <w:tcPr>
            <w:tcW w:w="6379" w:type="dxa"/>
            <w:tcBorders>
              <w:top w:val="single" w:color="000000" w:sz="2" w:space="0"/>
              <w:left w:val="single" w:color="000000" w:sz="2" w:space="0"/>
              <w:bottom w:val="single" w:color="000000" w:sz="2" w:space="0"/>
              <w:right w:val="single" w:color="000000" w:sz="2" w:space="0"/>
            </w:tcBorders>
            <w:vAlign w:val="center"/>
          </w:tcPr>
          <w:p w14:paraId="0F6420E2">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配电喇叭，预留电气喇叭接口。</w:t>
            </w:r>
          </w:p>
        </w:tc>
      </w:tr>
      <w:tr w14:paraId="36D0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725EB13A">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474EA8F9">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61135EF1">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插接件</w:t>
            </w:r>
          </w:p>
        </w:tc>
        <w:tc>
          <w:tcPr>
            <w:tcW w:w="6379" w:type="dxa"/>
            <w:tcBorders>
              <w:top w:val="single" w:color="000000" w:sz="2" w:space="0"/>
              <w:left w:val="single" w:color="000000" w:sz="2" w:space="0"/>
              <w:bottom w:val="single" w:color="000000" w:sz="2" w:space="0"/>
              <w:right w:val="single" w:color="000000" w:sz="2" w:space="0"/>
            </w:tcBorders>
            <w:vAlign w:val="center"/>
          </w:tcPr>
          <w:p w14:paraId="7FCEE318">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整车电路装防水、耐高温、防震接插件</w:t>
            </w:r>
          </w:p>
        </w:tc>
      </w:tr>
      <w:tr w14:paraId="7263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0474590C">
            <w:pPr>
              <w:widowControl/>
              <w:snapToGrid w:val="0"/>
              <w:spacing w:line="360" w:lineRule="auto"/>
              <w:jc w:val="left"/>
              <w:rPr>
                <w:rFonts w:ascii="宋体" w:hAnsi="宋体" w:eastAsia="宋体" w:cs="Arial"/>
                <w:snapToGrid w:val="0"/>
                <w:color w:val="auto"/>
                <w:kern w:val="0"/>
                <w:sz w:val="24"/>
                <w:szCs w:val="24"/>
                <w:highlight w:val="none"/>
              </w:rPr>
            </w:pPr>
          </w:p>
        </w:tc>
        <w:tc>
          <w:tcPr>
            <w:tcW w:w="1133" w:type="dxa"/>
            <w:vMerge w:val="continue"/>
            <w:tcBorders>
              <w:top w:val="single" w:color="000000" w:sz="2" w:space="0"/>
              <w:left w:val="single" w:color="000000" w:sz="2" w:space="0"/>
              <w:bottom w:val="single" w:color="000000" w:sz="2" w:space="0"/>
              <w:right w:val="single" w:color="000000" w:sz="2" w:space="0"/>
            </w:tcBorders>
            <w:vAlign w:val="center"/>
          </w:tcPr>
          <w:p w14:paraId="6A9EE63C">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702" w:type="dxa"/>
            <w:gridSpan w:val="2"/>
            <w:tcBorders>
              <w:top w:val="single" w:color="000000" w:sz="2" w:space="0"/>
              <w:left w:val="single" w:color="000000" w:sz="2" w:space="0"/>
              <w:bottom w:val="single" w:color="000000" w:sz="2" w:space="0"/>
              <w:right w:val="single" w:color="000000" w:sz="2" w:space="0"/>
            </w:tcBorders>
            <w:vAlign w:val="center"/>
          </w:tcPr>
          <w:p w14:paraId="220665D2">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油耗</w:t>
            </w:r>
          </w:p>
        </w:tc>
        <w:tc>
          <w:tcPr>
            <w:tcW w:w="6379" w:type="dxa"/>
            <w:tcBorders>
              <w:top w:val="single" w:color="000000" w:sz="2" w:space="0"/>
              <w:left w:val="single" w:color="000000" w:sz="2" w:space="0"/>
              <w:bottom w:val="single" w:color="000000" w:sz="2" w:space="0"/>
              <w:right w:val="single" w:color="000000" w:sz="2" w:space="0"/>
            </w:tcBorders>
            <w:vAlign w:val="center"/>
          </w:tcPr>
          <w:p w14:paraId="28E7C136">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符合国家燃油公告。</w:t>
            </w:r>
          </w:p>
        </w:tc>
      </w:tr>
      <w:tr w14:paraId="50A74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restart"/>
            <w:tcBorders>
              <w:top w:val="single" w:color="000000" w:sz="2" w:space="0"/>
              <w:left w:val="single" w:color="000000" w:sz="2" w:space="0"/>
              <w:bottom w:val="single" w:color="000000" w:sz="2" w:space="0"/>
              <w:right w:val="single" w:color="000000" w:sz="2" w:space="0"/>
            </w:tcBorders>
            <w:vAlign w:val="center"/>
          </w:tcPr>
          <w:p w14:paraId="7D468FA4">
            <w:pPr>
              <w:snapToGrid w:val="0"/>
              <w:spacing w:line="360" w:lineRule="auto"/>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5</w:t>
            </w:r>
          </w:p>
        </w:tc>
        <w:tc>
          <w:tcPr>
            <w:tcW w:w="2835" w:type="dxa"/>
            <w:gridSpan w:val="3"/>
            <w:vMerge w:val="restart"/>
            <w:tcBorders>
              <w:top w:val="single" w:color="000000" w:sz="2" w:space="0"/>
              <w:left w:val="single" w:color="000000" w:sz="2" w:space="0"/>
              <w:bottom w:val="single" w:color="000000" w:sz="2" w:space="0"/>
              <w:right w:val="single" w:color="000000" w:sz="2" w:space="0"/>
            </w:tcBorders>
            <w:vAlign w:val="center"/>
          </w:tcPr>
          <w:p w14:paraId="104AB6D6">
            <w:pPr>
              <w:pStyle w:val="9"/>
              <w:snapToGrid w:val="0"/>
              <w:spacing w:after="0"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空调技术要求</w:t>
            </w:r>
          </w:p>
        </w:tc>
        <w:tc>
          <w:tcPr>
            <w:tcW w:w="6379" w:type="dxa"/>
            <w:tcBorders>
              <w:top w:val="single" w:color="000000" w:sz="2" w:space="0"/>
              <w:left w:val="single" w:color="000000" w:sz="2" w:space="0"/>
              <w:bottom w:val="single" w:color="000000" w:sz="2" w:space="0"/>
              <w:right w:val="single" w:color="000000" w:sz="2" w:space="0"/>
            </w:tcBorders>
            <w:vAlign w:val="center"/>
          </w:tcPr>
          <w:p w14:paraId="30D44A84">
            <w:pPr>
              <w:pStyle w:val="9"/>
              <w:snapToGrid w:val="0"/>
              <w:spacing w:after="0"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采用非独立式内置制冷空调，制冷降温速率高、制冷效果显著，标准制冷量≥10000 kcal/h。</w:t>
            </w:r>
          </w:p>
        </w:tc>
      </w:tr>
      <w:tr w14:paraId="49A64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365F0320">
            <w:pPr>
              <w:widowControl/>
              <w:snapToGrid w:val="0"/>
              <w:spacing w:line="360" w:lineRule="auto"/>
              <w:jc w:val="left"/>
              <w:rPr>
                <w:rFonts w:ascii="宋体" w:hAnsi="宋体" w:eastAsia="宋体" w:cs="Arial"/>
                <w:snapToGrid w:val="0"/>
                <w:color w:val="auto"/>
                <w:kern w:val="0"/>
                <w:sz w:val="24"/>
                <w:szCs w:val="24"/>
                <w:highlight w:val="none"/>
              </w:rPr>
            </w:pPr>
          </w:p>
        </w:tc>
        <w:tc>
          <w:tcPr>
            <w:tcW w:w="2835" w:type="dxa"/>
            <w:gridSpan w:val="3"/>
            <w:vMerge w:val="continue"/>
            <w:tcBorders>
              <w:top w:val="single" w:color="000000" w:sz="2" w:space="0"/>
              <w:left w:val="single" w:color="000000" w:sz="2" w:space="0"/>
              <w:bottom w:val="single" w:color="000000" w:sz="2" w:space="0"/>
              <w:right w:val="single" w:color="000000" w:sz="2" w:space="0"/>
            </w:tcBorders>
            <w:vAlign w:val="center"/>
          </w:tcPr>
          <w:p w14:paraId="11AA773B">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6379" w:type="dxa"/>
            <w:tcBorders>
              <w:top w:val="single" w:color="000000" w:sz="2" w:space="0"/>
              <w:left w:val="single" w:color="000000" w:sz="2" w:space="0"/>
              <w:bottom w:val="single" w:color="000000" w:sz="2" w:space="0"/>
              <w:right w:val="single" w:color="000000" w:sz="2" w:space="0"/>
            </w:tcBorders>
            <w:vAlign w:val="center"/>
          </w:tcPr>
          <w:p w14:paraId="4AE8A5A2">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风机采用高效率、低噪音、长寿命无刷风机；膨胀阀、插接件等与系统匹配。</w:t>
            </w:r>
          </w:p>
        </w:tc>
      </w:tr>
      <w:tr w14:paraId="6A410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6EC71920">
            <w:pPr>
              <w:widowControl/>
              <w:snapToGrid w:val="0"/>
              <w:spacing w:line="360" w:lineRule="auto"/>
              <w:jc w:val="left"/>
              <w:rPr>
                <w:rFonts w:ascii="宋体" w:hAnsi="宋体" w:eastAsia="宋体" w:cs="Arial"/>
                <w:snapToGrid w:val="0"/>
                <w:color w:val="auto"/>
                <w:kern w:val="0"/>
                <w:sz w:val="24"/>
                <w:szCs w:val="24"/>
                <w:highlight w:val="none"/>
              </w:rPr>
            </w:pPr>
          </w:p>
        </w:tc>
        <w:tc>
          <w:tcPr>
            <w:tcW w:w="2835" w:type="dxa"/>
            <w:gridSpan w:val="3"/>
            <w:vMerge w:val="continue"/>
            <w:tcBorders>
              <w:top w:val="single" w:color="000000" w:sz="2" w:space="0"/>
              <w:left w:val="single" w:color="000000" w:sz="2" w:space="0"/>
              <w:bottom w:val="single" w:color="000000" w:sz="2" w:space="0"/>
              <w:right w:val="single" w:color="000000" w:sz="2" w:space="0"/>
            </w:tcBorders>
            <w:vAlign w:val="center"/>
          </w:tcPr>
          <w:p w14:paraId="75411A22">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6379" w:type="dxa"/>
            <w:tcBorders>
              <w:top w:val="single" w:color="000000" w:sz="2" w:space="0"/>
              <w:left w:val="single" w:color="000000" w:sz="2" w:space="0"/>
              <w:bottom w:val="single" w:color="000000" w:sz="2" w:space="0"/>
              <w:right w:val="single" w:color="000000" w:sz="2" w:space="0"/>
            </w:tcBorders>
            <w:vAlign w:val="center"/>
          </w:tcPr>
          <w:p w14:paraId="61AACE39">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暖风系统：采用发动机预热取暖，温带壁挂式暖风</w:t>
            </w:r>
          </w:p>
        </w:tc>
      </w:tr>
      <w:tr w14:paraId="0E18F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58576483">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restart"/>
            <w:tcBorders>
              <w:top w:val="single" w:color="000000" w:sz="2" w:space="0"/>
              <w:left w:val="single" w:color="000000" w:sz="2" w:space="0"/>
              <w:bottom w:val="single" w:color="000000" w:sz="2" w:space="0"/>
              <w:right w:val="single" w:color="000000" w:sz="2" w:space="0"/>
            </w:tcBorders>
            <w:vAlign w:val="center"/>
          </w:tcPr>
          <w:p w14:paraId="497D44A8">
            <w:pPr>
              <w:pStyle w:val="9"/>
              <w:snapToGrid w:val="0"/>
              <w:spacing w:after="0" w:line="360" w:lineRule="auto"/>
              <w:ind w:firstLine="480" w:firstLineChars="200"/>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车身</w:t>
            </w:r>
          </w:p>
        </w:tc>
        <w:tc>
          <w:tcPr>
            <w:tcW w:w="1490" w:type="dxa"/>
            <w:tcBorders>
              <w:top w:val="single" w:color="000000" w:sz="2" w:space="0"/>
              <w:left w:val="single" w:color="000000" w:sz="2" w:space="0"/>
              <w:bottom w:val="single" w:color="000000" w:sz="2" w:space="0"/>
              <w:right w:val="single" w:color="000000" w:sz="2" w:space="0"/>
            </w:tcBorders>
            <w:vAlign w:val="center"/>
          </w:tcPr>
          <w:p w14:paraId="32D93CE6">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玻璃</w:t>
            </w:r>
          </w:p>
        </w:tc>
        <w:tc>
          <w:tcPr>
            <w:tcW w:w="6379" w:type="dxa"/>
            <w:tcBorders>
              <w:top w:val="single" w:color="000000" w:sz="2" w:space="0"/>
              <w:left w:val="single" w:color="000000" w:sz="2" w:space="0"/>
              <w:bottom w:val="single" w:color="000000" w:sz="2" w:space="0"/>
              <w:right w:val="single" w:color="000000" w:sz="2" w:space="0"/>
            </w:tcBorders>
            <w:vAlign w:val="center"/>
          </w:tcPr>
          <w:p w14:paraId="08E4E45B">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前挡风玻璃为全景式夹胶玻璃（单风挡），后风窗采用钢化玻璃，后风挡满足应急出口要求，并配备自动破窗器。所有侧窗采用玻璃粘接内嵌式；所有侧玻璃采用（浅灰色）安全钢化玻璃。驾驶员窗采用推拉式窗。所有侧窗安装蓝色竖条折叠型窗帘。</w:t>
            </w:r>
          </w:p>
        </w:tc>
      </w:tr>
      <w:tr w14:paraId="0DA6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4EF7F38C">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20537A76">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6A10E4FB">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遮阳帘</w:t>
            </w:r>
          </w:p>
        </w:tc>
        <w:tc>
          <w:tcPr>
            <w:tcW w:w="6379" w:type="dxa"/>
            <w:tcBorders>
              <w:top w:val="single" w:color="000000" w:sz="2" w:space="0"/>
              <w:left w:val="single" w:color="000000" w:sz="2" w:space="0"/>
              <w:bottom w:val="single" w:color="000000" w:sz="2" w:space="0"/>
              <w:right w:val="single" w:color="000000" w:sz="2" w:space="0"/>
            </w:tcBorders>
            <w:vAlign w:val="center"/>
          </w:tcPr>
          <w:p w14:paraId="5D940782">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驾驶员前部遮阳板。</w:t>
            </w:r>
          </w:p>
        </w:tc>
      </w:tr>
      <w:tr w14:paraId="2780C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149AE293">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75E71792">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0D29895F">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天窗</w:t>
            </w:r>
          </w:p>
        </w:tc>
        <w:tc>
          <w:tcPr>
            <w:tcW w:w="6379" w:type="dxa"/>
            <w:tcBorders>
              <w:top w:val="single" w:color="000000" w:sz="2" w:space="0"/>
              <w:left w:val="single" w:color="000000" w:sz="2" w:space="0"/>
              <w:bottom w:val="single" w:color="000000" w:sz="2" w:space="0"/>
              <w:right w:val="single" w:color="000000" w:sz="2" w:space="0"/>
            </w:tcBorders>
            <w:vAlign w:val="center"/>
          </w:tcPr>
          <w:p w14:paraId="3900F167">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无</w:t>
            </w:r>
          </w:p>
        </w:tc>
      </w:tr>
      <w:tr w14:paraId="620E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1B1B7103">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5CE573A3">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3D3AC1FD">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后视镜</w:t>
            </w:r>
          </w:p>
        </w:tc>
        <w:tc>
          <w:tcPr>
            <w:tcW w:w="6379" w:type="dxa"/>
            <w:tcBorders>
              <w:top w:val="single" w:color="000000" w:sz="2" w:space="0"/>
              <w:left w:val="single" w:color="000000" w:sz="2" w:space="0"/>
              <w:bottom w:val="single" w:color="000000" w:sz="2" w:space="0"/>
              <w:right w:val="single" w:color="000000" w:sz="2" w:space="0"/>
            </w:tcBorders>
            <w:vAlign w:val="center"/>
          </w:tcPr>
          <w:p w14:paraId="790F2082">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采用杆式后视镜。</w:t>
            </w:r>
          </w:p>
        </w:tc>
      </w:tr>
      <w:tr w14:paraId="5DAC1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4163D0BD">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4A9803CB">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0CAC3FA3">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乘客门</w:t>
            </w:r>
          </w:p>
        </w:tc>
        <w:tc>
          <w:tcPr>
            <w:tcW w:w="6379" w:type="dxa"/>
            <w:tcBorders>
              <w:top w:val="single" w:color="000000" w:sz="2" w:space="0"/>
              <w:left w:val="single" w:color="000000" w:sz="2" w:space="0"/>
              <w:bottom w:val="single" w:color="000000" w:sz="2" w:space="0"/>
              <w:right w:val="single" w:color="000000" w:sz="2" w:space="0"/>
            </w:tcBorders>
            <w:vAlign w:val="center"/>
          </w:tcPr>
          <w:p w14:paraId="09ED3891">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外摆门，带遥控门锁，门内外应急开关，具备防夹功能。</w:t>
            </w:r>
          </w:p>
        </w:tc>
      </w:tr>
      <w:tr w14:paraId="63063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79ABA6ED">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101D8FC6">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2FB3A52F">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驾驶椅</w:t>
            </w:r>
          </w:p>
        </w:tc>
        <w:tc>
          <w:tcPr>
            <w:tcW w:w="6379" w:type="dxa"/>
            <w:tcBorders>
              <w:top w:val="single" w:color="000000" w:sz="2" w:space="0"/>
              <w:left w:val="single" w:color="000000" w:sz="2" w:space="0"/>
              <w:bottom w:val="single" w:color="000000" w:sz="2" w:space="0"/>
              <w:right w:val="single" w:color="000000" w:sz="2" w:space="0"/>
            </w:tcBorders>
            <w:vAlign w:val="center"/>
          </w:tcPr>
          <w:p w14:paraId="22621D9A">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驾驶座椅采用减震座椅、高度、前后可调椅。</w:t>
            </w:r>
          </w:p>
        </w:tc>
      </w:tr>
      <w:tr w14:paraId="55ABB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45FE122C">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48C6A765">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7B5A4761">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乘客椅</w:t>
            </w:r>
          </w:p>
        </w:tc>
        <w:tc>
          <w:tcPr>
            <w:tcW w:w="6379" w:type="dxa"/>
            <w:tcBorders>
              <w:top w:val="single" w:color="000000" w:sz="2" w:space="0"/>
              <w:left w:val="single" w:color="000000" w:sz="2" w:space="0"/>
              <w:bottom w:val="single" w:color="000000" w:sz="2" w:space="0"/>
              <w:right w:val="single" w:color="000000" w:sz="2" w:space="0"/>
            </w:tcBorders>
            <w:vAlign w:val="center"/>
          </w:tcPr>
          <w:p w14:paraId="013E3409">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座位数：18+1，乘客座椅结合人体工程学设计，环保、舒适，可有效减少疲劳。乘客座椅仿皮面料，配安全带，过道侧可调扶手。</w:t>
            </w:r>
          </w:p>
        </w:tc>
      </w:tr>
      <w:tr w14:paraId="50F4F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01C197E8">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0EA3F125">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1770482E">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安全</w:t>
            </w:r>
          </w:p>
        </w:tc>
        <w:tc>
          <w:tcPr>
            <w:tcW w:w="6379" w:type="dxa"/>
            <w:tcBorders>
              <w:top w:val="single" w:color="000000" w:sz="2" w:space="0"/>
              <w:left w:val="single" w:color="000000" w:sz="2" w:space="0"/>
              <w:bottom w:val="single" w:color="000000" w:sz="2" w:space="0"/>
              <w:right w:val="single" w:color="000000" w:sz="2" w:space="0"/>
            </w:tcBorders>
            <w:vAlign w:val="center"/>
          </w:tcPr>
          <w:p w14:paraId="33F8BD78">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按标准配置带报警的应急锤，4公斤灭火器2只，三角警告牌，三角垫木2只。（采用铭牌装配消防设施、应急锤、安全带、应急窗、应急出口等安全标志，安全标志应符合GB 30678的规定；</w:t>
            </w:r>
          </w:p>
        </w:tc>
      </w:tr>
      <w:tr w14:paraId="37885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6202DF5A">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21A5AE3E">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28819770">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内饰</w:t>
            </w:r>
          </w:p>
        </w:tc>
        <w:tc>
          <w:tcPr>
            <w:tcW w:w="6379" w:type="dxa"/>
            <w:tcBorders>
              <w:top w:val="single" w:color="000000" w:sz="2" w:space="0"/>
              <w:left w:val="single" w:color="000000" w:sz="2" w:space="0"/>
              <w:bottom w:val="single" w:color="000000" w:sz="2" w:space="0"/>
              <w:right w:val="single" w:color="000000" w:sz="2" w:space="0"/>
            </w:tcBorders>
            <w:vAlign w:val="center"/>
          </w:tcPr>
          <w:p w14:paraId="6584F734">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内饰材料阻燃性：满足国家最新标准。</w:t>
            </w:r>
          </w:p>
        </w:tc>
      </w:tr>
      <w:tr w14:paraId="23CAD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20EF3235">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283860E6">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5ED251AC">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行李仓</w:t>
            </w:r>
          </w:p>
        </w:tc>
        <w:tc>
          <w:tcPr>
            <w:tcW w:w="6379" w:type="dxa"/>
            <w:tcBorders>
              <w:top w:val="single" w:color="000000" w:sz="2" w:space="0"/>
              <w:left w:val="single" w:color="000000" w:sz="2" w:space="0"/>
              <w:bottom w:val="single" w:color="000000" w:sz="2" w:space="0"/>
              <w:right w:val="single" w:color="000000" w:sz="2" w:space="0"/>
            </w:tcBorders>
            <w:vAlign w:val="center"/>
          </w:tcPr>
          <w:p w14:paraId="17E904AE">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尾部行李仓，容积≥0.3m³；</w:t>
            </w:r>
          </w:p>
        </w:tc>
      </w:tr>
      <w:tr w14:paraId="0E988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restart"/>
            <w:tcBorders>
              <w:top w:val="single" w:color="000000" w:sz="2" w:space="0"/>
              <w:left w:val="single" w:color="000000" w:sz="2" w:space="0"/>
              <w:bottom w:val="single" w:color="000000" w:sz="2" w:space="0"/>
              <w:right w:val="single" w:color="000000" w:sz="2" w:space="0"/>
            </w:tcBorders>
            <w:vAlign w:val="center"/>
          </w:tcPr>
          <w:p w14:paraId="1400D457">
            <w:pPr>
              <w:snapToGrid w:val="0"/>
              <w:spacing w:line="360" w:lineRule="auto"/>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7</w:t>
            </w:r>
          </w:p>
        </w:tc>
        <w:tc>
          <w:tcPr>
            <w:tcW w:w="1345" w:type="dxa"/>
            <w:gridSpan w:val="2"/>
            <w:vMerge w:val="restart"/>
            <w:tcBorders>
              <w:top w:val="single" w:color="000000" w:sz="2" w:space="0"/>
              <w:left w:val="single" w:color="000000" w:sz="2" w:space="0"/>
              <w:bottom w:val="single" w:color="000000" w:sz="2" w:space="0"/>
              <w:right w:val="single" w:color="000000" w:sz="2" w:space="0"/>
            </w:tcBorders>
            <w:vAlign w:val="center"/>
          </w:tcPr>
          <w:p w14:paraId="02929E40">
            <w:pPr>
              <w:pStyle w:val="9"/>
              <w:snapToGrid w:val="0"/>
              <w:spacing w:after="0" w:line="360" w:lineRule="auto"/>
              <w:ind w:firstLine="480" w:firstLineChars="200"/>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电器</w:t>
            </w:r>
          </w:p>
        </w:tc>
        <w:tc>
          <w:tcPr>
            <w:tcW w:w="1490" w:type="dxa"/>
            <w:tcBorders>
              <w:top w:val="single" w:color="000000" w:sz="2" w:space="0"/>
              <w:left w:val="single" w:color="000000" w:sz="2" w:space="0"/>
              <w:bottom w:val="single" w:color="000000" w:sz="2" w:space="0"/>
              <w:right w:val="single" w:color="000000" w:sz="2" w:space="0"/>
            </w:tcBorders>
            <w:vAlign w:val="center"/>
          </w:tcPr>
          <w:p w14:paraId="255FDD11">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总线</w:t>
            </w:r>
          </w:p>
        </w:tc>
        <w:tc>
          <w:tcPr>
            <w:tcW w:w="6379" w:type="dxa"/>
            <w:tcBorders>
              <w:top w:val="single" w:color="000000" w:sz="2" w:space="0"/>
              <w:left w:val="single" w:color="000000" w:sz="2" w:space="0"/>
              <w:bottom w:val="single" w:color="000000" w:sz="2" w:space="0"/>
              <w:right w:val="single" w:color="000000" w:sz="2" w:space="0"/>
            </w:tcBorders>
            <w:vAlign w:val="center"/>
          </w:tcPr>
          <w:p w14:paraId="6DD1C9FA">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CAN总线仪表。</w:t>
            </w:r>
          </w:p>
        </w:tc>
      </w:tr>
      <w:tr w14:paraId="763EC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2C3CF328">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3822A09E">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7725A8BF">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视听系统</w:t>
            </w:r>
          </w:p>
        </w:tc>
        <w:tc>
          <w:tcPr>
            <w:tcW w:w="6379" w:type="dxa"/>
            <w:tcBorders>
              <w:top w:val="single" w:color="000000" w:sz="2" w:space="0"/>
              <w:left w:val="single" w:color="000000" w:sz="2" w:space="0"/>
              <w:bottom w:val="single" w:color="000000" w:sz="2" w:space="0"/>
              <w:right w:val="single" w:color="000000" w:sz="2" w:space="0"/>
            </w:tcBorders>
            <w:vAlign w:val="center"/>
          </w:tcPr>
          <w:p w14:paraId="69816B3E">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视听系统：MP3播放器+至少19寸液晶显示器。</w:t>
            </w:r>
          </w:p>
        </w:tc>
      </w:tr>
      <w:tr w14:paraId="717C0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3A9296B5">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3CB0A08E">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15141F70">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司机风扇</w:t>
            </w:r>
          </w:p>
        </w:tc>
        <w:tc>
          <w:tcPr>
            <w:tcW w:w="6379" w:type="dxa"/>
            <w:tcBorders>
              <w:top w:val="single" w:color="000000" w:sz="2" w:space="0"/>
              <w:left w:val="single" w:color="000000" w:sz="2" w:space="0"/>
              <w:bottom w:val="single" w:color="000000" w:sz="2" w:space="0"/>
              <w:right w:val="single" w:color="000000" w:sz="2" w:space="0"/>
            </w:tcBorders>
            <w:vAlign w:val="center"/>
          </w:tcPr>
          <w:p w14:paraId="49910823">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A柱小橡胶风扇。</w:t>
            </w:r>
          </w:p>
        </w:tc>
      </w:tr>
      <w:tr w14:paraId="7AFC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3043F1F3">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7E3F131B">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04649DBE">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电子钟</w:t>
            </w:r>
          </w:p>
        </w:tc>
        <w:tc>
          <w:tcPr>
            <w:tcW w:w="6379" w:type="dxa"/>
            <w:tcBorders>
              <w:top w:val="single" w:color="000000" w:sz="2" w:space="0"/>
              <w:left w:val="single" w:color="000000" w:sz="2" w:space="0"/>
              <w:bottom w:val="single" w:color="000000" w:sz="2" w:space="0"/>
              <w:right w:val="single" w:color="000000" w:sz="2" w:space="0"/>
            </w:tcBorders>
            <w:vAlign w:val="center"/>
          </w:tcPr>
          <w:p w14:paraId="6E4D1A1C">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有</w:t>
            </w:r>
          </w:p>
        </w:tc>
      </w:tr>
      <w:tr w14:paraId="758F8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0E433B6A">
            <w:pPr>
              <w:widowControl/>
              <w:snapToGrid w:val="0"/>
              <w:spacing w:line="360" w:lineRule="auto"/>
              <w:jc w:val="left"/>
              <w:rPr>
                <w:rFonts w:ascii="宋体" w:hAnsi="宋体" w:eastAsia="宋体" w:cs="Arial"/>
                <w:snapToGrid w:val="0"/>
                <w:color w:val="auto"/>
                <w:kern w:val="0"/>
                <w:sz w:val="24"/>
                <w:szCs w:val="24"/>
                <w:highlight w:val="none"/>
              </w:rPr>
            </w:pPr>
          </w:p>
        </w:tc>
        <w:tc>
          <w:tcPr>
            <w:tcW w:w="1345" w:type="dxa"/>
            <w:gridSpan w:val="2"/>
            <w:vMerge w:val="continue"/>
            <w:tcBorders>
              <w:top w:val="single" w:color="000000" w:sz="2" w:space="0"/>
              <w:left w:val="single" w:color="000000" w:sz="2" w:space="0"/>
              <w:bottom w:val="single" w:color="000000" w:sz="2" w:space="0"/>
              <w:right w:val="single" w:color="000000" w:sz="2" w:space="0"/>
            </w:tcBorders>
            <w:vAlign w:val="center"/>
          </w:tcPr>
          <w:p w14:paraId="0441B2A1">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1490" w:type="dxa"/>
            <w:tcBorders>
              <w:top w:val="single" w:color="000000" w:sz="2" w:space="0"/>
              <w:left w:val="single" w:color="000000" w:sz="2" w:space="0"/>
              <w:bottom w:val="single" w:color="000000" w:sz="2" w:space="0"/>
              <w:right w:val="single" w:color="000000" w:sz="2" w:space="0"/>
            </w:tcBorders>
            <w:vAlign w:val="center"/>
          </w:tcPr>
          <w:p w14:paraId="3EEDA9F3">
            <w:pPr>
              <w:snapToGrid w:val="0"/>
              <w:spacing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倒车监视图像</w:t>
            </w:r>
          </w:p>
        </w:tc>
        <w:tc>
          <w:tcPr>
            <w:tcW w:w="6379" w:type="dxa"/>
            <w:tcBorders>
              <w:top w:val="single" w:color="000000" w:sz="2" w:space="0"/>
              <w:left w:val="single" w:color="000000" w:sz="2" w:space="0"/>
              <w:bottom w:val="single" w:color="000000" w:sz="2" w:space="0"/>
              <w:right w:val="single" w:color="000000" w:sz="2" w:space="0"/>
            </w:tcBorders>
            <w:vAlign w:val="center"/>
          </w:tcPr>
          <w:p w14:paraId="7DF345DE">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接入车载调度一体机显示屏；挂入倒档时，车载调度一体机显示屏即显示车后图像。</w:t>
            </w:r>
          </w:p>
        </w:tc>
      </w:tr>
      <w:tr w14:paraId="7866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restart"/>
            <w:tcBorders>
              <w:top w:val="single" w:color="000000" w:sz="2" w:space="0"/>
              <w:left w:val="single" w:color="000000" w:sz="2" w:space="0"/>
              <w:bottom w:val="single" w:color="000000" w:sz="2" w:space="0"/>
              <w:right w:val="single" w:color="000000" w:sz="2" w:space="0"/>
            </w:tcBorders>
            <w:vAlign w:val="center"/>
          </w:tcPr>
          <w:p w14:paraId="3DAE15AB">
            <w:pPr>
              <w:snapToGrid w:val="0"/>
              <w:spacing w:line="360" w:lineRule="auto"/>
              <w:jc w:val="center"/>
              <w:rPr>
                <w:rFonts w:ascii="宋体" w:hAnsi="宋体" w:eastAsia="宋体" w:cs="Arial"/>
                <w:snapToGrid w:val="0"/>
                <w:color w:val="auto"/>
                <w:kern w:val="0"/>
                <w:sz w:val="24"/>
                <w:szCs w:val="24"/>
                <w:highlight w:val="none"/>
              </w:rPr>
            </w:pPr>
            <w:r>
              <w:rPr>
                <w:rFonts w:hint="eastAsia" w:ascii="宋体" w:hAnsi="宋体" w:eastAsia="宋体" w:cs="Arial"/>
                <w:snapToGrid w:val="0"/>
                <w:color w:val="auto"/>
                <w:kern w:val="0"/>
                <w:sz w:val="24"/>
                <w:szCs w:val="24"/>
                <w:highlight w:val="none"/>
              </w:rPr>
              <w:t>8</w:t>
            </w:r>
          </w:p>
        </w:tc>
        <w:tc>
          <w:tcPr>
            <w:tcW w:w="2835" w:type="dxa"/>
            <w:gridSpan w:val="3"/>
            <w:vMerge w:val="restart"/>
            <w:tcBorders>
              <w:top w:val="single" w:color="000000" w:sz="2" w:space="0"/>
              <w:left w:val="single" w:color="000000" w:sz="2" w:space="0"/>
              <w:bottom w:val="single" w:color="000000" w:sz="2" w:space="0"/>
              <w:right w:val="single" w:color="000000" w:sz="2" w:space="0"/>
            </w:tcBorders>
            <w:vAlign w:val="center"/>
          </w:tcPr>
          <w:p w14:paraId="028BEFB0">
            <w:pPr>
              <w:pStyle w:val="9"/>
              <w:snapToGrid w:val="0"/>
              <w:spacing w:after="0" w:line="360" w:lineRule="auto"/>
              <w:jc w:val="center"/>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其他要求</w:t>
            </w:r>
          </w:p>
        </w:tc>
        <w:tc>
          <w:tcPr>
            <w:tcW w:w="6379" w:type="dxa"/>
            <w:tcBorders>
              <w:top w:val="single" w:color="000000" w:sz="2" w:space="0"/>
              <w:left w:val="single" w:color="000000" w:sz="2" w:space="0"/>
              <w:bottom w:val="single" w:color="000000" w:sz="2" w:space="0"/>
              <w:right w:val="single" w:color="000000" w:sz="2" w:space="0"/>
            </w:tcBorders>
            <w:vAlign w:val="center"/>
          </w:tcPr>
          <w:p w14:paraId="3AD95E54">
            <w:pPr>
              <w:pStyle w:val="9"/>
              <w:snapToGrid w:val="0"/>
              <w:spacing w:line="360" w:lineRule="auto"/>
              <w:jc w:val="both"/>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除以上主要技术要求外的按国家和行业标准配置。</w:t>
            </w:r>
          </w:p>
        </w:tc>
      </w:tr>
      <w:tr w14:paraId="66679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65802E5B">
            <w:pPr>
              <w:widowControl/>
              <w:snapToGrid w:val="0"/>
              <w:spacing w:line="360" w:lineRule="auto"/>
              <w:jc w:val="left"/>
              <w:rPr>
                <w:rFonts w:ascii="宋体" w:hAnsi="宋体" w:eastAsia="宋体" w:cs="Arial"/>
                <w:snapToGrid w:val="0"/>
                <w:color w:val="auto"/>
                <w:kern w:val="0"/>
                <w:sz w:val="24"/>
                <w:szCs w:val="24"/>
                <w:highlight w:val="none"/>
              </w:rPr>
            </w:pPr>
          </w:p>
        </w:tc>
        <w:tc>
          <w:tcPr>
            <w:tcW w:w="2835" w:type="dxa"/>
            <w:gridSpan w:val="3"/>
            <w:vMerge w:val="continue"/>
            <w:tcBorders>
              <w:top w:val="single" w:color="000000" w:sz="2" w:space="0"/>
              <w:left w:val="single" w:color="000000" w:sz="2" w:space="0"/>
              <w:bottom w:val="single" w:color="000000" w:sz="2" w:space="0"/>
              <w:right w:val="single" w:color="000000" w:sz="2" w:space="0"/>
            </w:tcBorders>
            <w:vAlign w:val="center"/>
          </w:tcPr>
          <w:p w14:paraId="158B3EAE">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6379" w:type="dxa"/>
            <w:tcBorders>
              <w:top w:val="single" w:color="000000" w:sz="2" w:space="0"/>
              <w:left w:val="single" w:color="000000" w:sz="2" w:space="0"/>
              <w:bottom w:val="single" w:color="000000" w:sz="2" w:space="0"/>
              <w:right w:val="single" w:color="000000" w:sz="2" w:space="0"/>
            </w:tcBorders>
            <w:vAlign w:val="center"/>
          </w:tcPr>
          <w:p w14:paraId="725C6C75">
            <w:pPr>
              <w:snapToGrid w:val="0"/>
              <w:spacing w:line="360" w:lineRule="auto"/>
              <w:jc w:val="both"/>
              <w:rPr>
                <w:rFonts w:hint="default"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投标产品需安装警灯警笛，车身按采购人需求喷涂警用色。</w:t>
            </w:r>
          </w:p>
        </w:tc>
      </w:tr>
      <w:tr w14:paraId="47938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48DAED7D">
            <w:pPr>
              <w:widowControl/>
              <w:snapToGrid w:val="0"/>
              <w:spacing w:line="360" w:lineRule="auto"/>
              <w:jc w:val="left"/>
              <w:rPr>
                <w:rFonts w:ascii="宋体" w:hAnsi="宋体" w:eastAsia="宋体" w:cs="Arial"/>
                <w:snapToGrid w:val="0"/>
                <w:color w:val="auto"/>
                <w:kern w:val="0"/>
                <w:sz w:val="24"/>
                <w:szCs w:val="24"/>
                <w:highlight w:val="none"/>
              </w:rPr>
            </w:pPr>
          </w:p>
        </w:tc>
        <w:tc>
          <w:tcPr>
            <w:tcW w:w="2835" w:type="dxa"/>
            <w:gridSpan w:val="3"/>
            <w:vMerge w:val="continue"/>
            <w:tcBorders>
              <w:top w:val="single" w:color="000000" w:sz="2" w:space="0"/>
              <w:left w:val="single" w:color="000000" w:sz="2" w:space="0"/>
              <w:bottom w:val="single" w:color="000000" w:sz="2" w:space="0"/>
              <w:right w:val="single" w:color="000000" w:sz="2" w:space="0"/>
            </w:tcBorders>
            <w:vAlign w:val="center"/>
          </w:tcPr>
          <w:p w14:paraId="5A9DA3D1">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6379" w:type="dxa"/>
            <w:tcBorders>
              <w:top w:val="single" w:color="000000" w:sz="2" w:space="0"/>
              <w:left w:val="single" w:color="000000" w:sz="2" w:space="0"/>
              <w:bottom w:val="single" w:color="000000" w:sz="2" w:space="0"/>
              <w:right w:val="single" w:color="000000" w:sz="2" w:space="0"/>
            </w:tcBorders>
            <w:vAlign w:val="center"/>
          </w:tcPr>
          <w:p w14:paraId="4EBAD0EE">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成交人应及时向采购人提供车辆及服务，并承诺与采购人进行积极主动的合作，成交人必须服从采购人的统一协调，在车辆供货、技术支持、运行维护等方面相互配合.</w:t>
            </w:r>
          </w:p>
        </w:tc>
      </w:tr>
      <w:tr w14:paraId="3AFB3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71F18474">
            <w:pPr>
              <w:widowControl/>
              <w:snapToGrid w:val="0"/>
              <w:spacing w:line="360" w:lineRule="auto"/>
              <w:jc w:val="left"/>
              <w:rPr>
                <w:rFonts w:ascii="宋体" w:hAnsi="宋体" w:eastAsia="宋体" w:cs="Arial"/>
                <w:snapToGrid w:val="0"/>
                <w:color w:val="auto"/>
                <w:kern w:val="0"/>
                <w:sz w:val="24"/>
                <w:szCs w:val="24"/>
                <w:highlight w:val="none"/>
              </w:rPr>
            </w:pPr>
          </w:p>
        </w:tc>
        <w:tc>
          <w:tcPr>
            <w:tcW w:w="2835" w:type="dxa"/>
            <w:gridSpan w:val="3"/>
            <w:vMerge w:val="continue"/>
            <w:tcBorders>
              <w:top w:val="single" w:color="000000" w:sz="2" w:space="0"/>
              <w:left w:val="single" w:color="000000" w:sz="2" w:space="0"/>
              <w:bottom w:val="single" w:color="000000" w:sz="2" w:space="0"/>
              <w:right w:val="single" w:color="000000" w:sz="2" w:space="0"/>
            </w:tcBorders>
            <w:vAlign w:val="center"/>
          </w:tcPr>
          <w:p w14:paraId="36388A94">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6379" w:type="dxa"/>
            <w:tcBorders>
              <w:top w:val="single" w:color="000000" w:sz="2" w:space="0"/>
              <w:left w:val="single" w:color="000000" w:sz="2" w:space="0"/>
              <w:bottom w:val="single" w:color="000000" w:sz="2" w:space="0"/>
              <w:right w:val="single" w:color="000000" w:sz="2" w:space="0"/>
            </w:tcBorders>
            <w:vAlign w:val="center"/>
          </w:tcPr>
          <w:p w14:paraId="57C7857D">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成交人负责本次采购车辆的运输、协助采购人交验货，同时成交人提供的车辆承诺的全部售后服务条款(如质保期、现场维修等)，不得擅自缩小售后服务范围。</w:t>
            </w:r>
          </w:p>
        </w:tc>
      </w:tr>
      <w:tr w14:paraId="5CAC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06" w:type="dxa"/>
            <w:vMerge w:val="continue"/>
            <w:tcBorders>
              <w:top w:val="single" w:color="000000" w:sz="2" w:space="0"/>
              <w:left w:val="single" w:color="000000" w:sz="2" w:space="0"/>
              <w:bottom w:val="single" w:color="000000" w:sz="2" w:space="0"/>
              <w:right w:val="single" w:color="000000" w:sz="2" w:space="0"/>
            </w:tcBorders>
            <w:vAlign w:val="center"/>
          </w:tcPr>
          <w:p w14:paraId="744B0073">
            <w:pPr>
              <w:widowControl/>
              <w:snapToGrid w:val="0"/>
              <w:spacing w:line="360" w:lineRule="auto"/>
              <w:jc w:val="left"/>
              <w:rPr>
                <w:rFonts w:ascii="宋体" w:hAnsi="宋体" w:eastAsia="宋体" w:cs="Arial"/>
                <w:snapToGrid w:val="0"/>
                <w:color w:val="auto"/>
                <w:kern w:val="0"/>
                <w:sz w:val="24"/>
                <w:szCs w:val="24"/>
                <w:highlight w:val="none"/>
              </w:rPr>
            </w:pPr>
          </w:p>
        </w:tc>
        <w:tc>
          <w:tcPr>
            <w:tcW w:w="2835" w:type="dxa"/>
            <w:gridSpan w:val="3"/>
            <w:vMerge w:val="continue"/>
            <w:tcBorders>
              <w:top w:val="single" w:color="000000" w:sz="2" w:space="0"/>
              <w:left w:val="single" w:color="000000" w:sz="2" w:space="0"/>
              <w:bottom w:val="single" w:color="000000" w:sz="2" w:space="0"/>
              <w:right w:val="single" w:color="000000" w:sz="2" w:space="0"/>
            </w:tcBorders>
            <w:vAlign w:val="center"/>
          </w:tcPr>
          <w:p w14:paraId="3C709B7E">
            <w:pPr>
              <w:snapToGrid w:val="0"/>
              <w:spacing w:line="360" w:lineRule="auto"/>
              <w:rPr>
                <w:rFonts w:hint="eastAsia" w:ascii="宋体" w:hAnsi="宋体" w:eastAsia="宋体" w:cs="Arial"/>
                <w:snapToGrid w:val="0"/>
                <w:color w:val="auto"/>
                <w:kern w:val="0"/>
                <w:sz w:val="24"/>
                <w:szCs w:val="24"/>
                <w:highlight w:val="none"/>
                <w:lang w:val="en-US" w:eastAsia="zh-CN" w:bidi="ar-SA"/>
              </w:rPr>
            </w:pPr>
          </w:p>
        </w:tc>
        <w:tc>
          <w:tcPr>
            <w:tcW w:w="6379" w:type="dxa"/>
            <w:tcBorders>
              <w:top w:val="single" w:color="000000" w:sz="2" w:space="0"/>
              <w:left w:val="single" w:color="000000" w:sz="2" w:space="0"/>
              <w:bottom w:val="single" w:color="000000" w:sz="2" w:space="0"/>
              <w:right w:val="single" w:color="000000" w:sz="2" w:space="0"/>
            </w:tcBorders>
            <w:vAlign w:val="center"/>
          </w:tcPr>
          <w:p w14:paraId="323164B0">
            <w:pPr>
              <w:snapToGrid w:val="0"/>
              <w:spacing w:line="360" w:lineRule="auto"/>
              <w:rPr>
                <w:rFonts w:hint="eastAsia" w:ascii="宋体" w:hAnsi="宋体" w:eastAsia="宋体" w:cs="Arial"/>
                <w:snapToGrid w:val="0"/>
                <w:color w:val="auto"/>
                <w:kern w:val="0"/>
                <w:sz w:val="24"/>
                <w:szCs w:val="24"/>
                <w:highlight w:val="none"/>
                <w:lang w:val="en-US" w:eastAsia="zh-CN" w:bidi="ar-SA"/>
              </w:rPr>
            </w:pPr>
            <w:r>
              <w:rPr>
                <w:rFonts w:hint="eastAsia" w:ascii="宋体" w:hAnsi="宋体" w:eastAsia="宋体" w:cs="Arial"/>
                <w:snapToGrid w:val="0"/>
                <w:color w:val="auto"/>
                <w:kern w:val="0"/>
                <w:sz w:val="24"/>
                <w:szCs w:val="24"/>
                <w:highlight w:val="none"/>
                <w:lang w:val="en-US" w:eastAsia="zh-CN" w:bidi="ar-SA"/>
              </w:rPr>
              <w:t>产品未经验收时，由成交人负责保管至招标项目交货结束，其间发生的损坏、遗失由成交人负责。</w:t>
            </w:r>
          </w:p>
        </w:tc>
      </w:tr>
    </w:tbl>
    <w:p w14:paraId="25B747AA">
      <w:pPr>
        <w:spacing w:line="380" w:lineRule="exact"/>
        <w:ind w:firstLine="482" w:firstLineChars="200"/>
        <w:outlineLvl w:val="1"/>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三</w:t>
      </w:r>
      <w:r>
        <w:rPr>
          <w:rFonts w:hint="eastAsia" w:asciiTheme="minorEastAsia" w:hAnsiTheme="minorEastAsia" w:eastAsiaTheme="minorEastAsia"/>
          <w:b/>
          <w:bCs/>
          <w:color w:val="auto"/>
          <w:sz w:val="24"/>
          <w:szCs w:val="18"/>
          <w:highlight w:val="none"/>
        </w:rPr>
        <w:t>、报价要求</w:t>
      </w:r>
      <w:bookmarkEnd w:id="47"/>
      <w:bookmarkEnd w:id="48"/>
    </w:p>
    <w:p w14:paraId="15F4B2D2">
      <w:pPr>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1.供应商根据采购需求要求进行报价，本项目为固定单价项目，供应商可自行踏勘现场充分考虑报价，所报单价包括</w:t>
      </w:r>
      <w:r>
        <w:rPr>
          <w:rFonts w:hint="eastAsia" w:ascii="宋体" w:hAnsi="宋体" w:eastAsia="宋体" w:cs="宋体"/>
          <w:color w:val="auto"/>
          <w:sz w:val="24"/>
          <w:szCs w:val="24"/>
          <w:highlight w:val="none"/>
        </w:rPr>
        <w:t>货物(车辆) 出厂价、货物(车辆)运输费用、货物设备费、人工费、材料费(含主材及辅材) 、装卸费、运输费、安装费、调试费、管理费、利润、风险费用及国家对成交人征收的各种税费等所有一切费用</w:t>
      </w:r>
      <w:r>
        <w:rPr>
          <w:rFonts w:hint="eastAsia" w:asciiTheme="minorEastAsia" w:hAnsiTheme="minorEastAsia" w:eastAsiaTheme="minorEastAsia"/>
          <w:color w:val="auto"/>
          <w:sz w:val="24"/>
          <w:highlight w:val="none"/>
        </w:rPr>
        <w:t>，采购人不再为此项目支付任何费用，价格今后将不作任何调增。</w:t>
      </w:r>
    </w:p>
    <w:p w14:paraId="0D9BAE8E">
      <w:pPr>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2.供应商所报价格包含安全完成本项目所需全部费用，实施过程中如发生安全事故等情形，由成交供应商承担全部责任。</w:t>
      </w:r>
    </w:p>
    <w:p w14:paraId="50F4F777">
      <w:pPr>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3.项目实施过程中，成交供应商应对已有成品进行保护，因成交供应商实施过程或未保护的原因造成的损坏等由成交供应商赔偿或修复。</w:t>
      </w:r>
    </w:p>
    <w:p w14:paraId="15FE65C2">
      <w:pPr>
        <w:numPr>
          <w:ilvl w:val="0"/>
          <w:numId w:val="1"/>
        </w:numPr>
        <w:spacing w:line="380" w:lineRule="exact"/>
        <w:ind w:firstLine="482" w:firstLineChars="200"/>
        <w:outlineLvl w:val="1"/>
        <w:rPr>
          <w:rFonts w:asciiTheme="minorEastAsia" w:hAnsiTheme="minorEastAsia" w:eastAsiaTheme="minorEastAsia"/>
          <w:b/>
          <w:bCs/>
          <w:color w:val="auto"/>
          <w:sz w:val="24"/>
          <w:szCs w:val="18"/>
          <w:highlight w:val="none"/>
        </w:rPr>
      </w:pPr>
      <w:bookmarkStart w:id="49" w:name="_Toc10777"/>
      <w:bookmarkStart w:id="50" w:name="_Toc17094"/>
      <w:r>
        <w:rPr>
          <w:rFonts w:hint="eastAsia" w:asciiTheme="minorEastAsia" w:hAnsiTheme="minorEastAsia" w:eastAsiaTheme="minorEastAsia"/>
          <w:b/>
          <w:bCs/>
          <w:color w:val="auto"/>
          <w:sz w:val="24"/>
          <w:szCs w:val="18"/>
          <w:highlight w:val="none"/>
        </w:rPr>
        <w:t>其他要求</w:t>
      </w:r>
      <w:bookmarkEnd w:id="49"/>
      <w:bookmarkEnd w:id="50"/>
    </w:p>
    <w:p w14:paraId="6DCF53FD">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（一）本次采购囚车为改装车辆，改装后的车辆须符合国家工信部公告及其他相关规定，为保证能按照工信部公告办理正常上牌手续，供应商必须保证所投车辆能够按采购人要求</w:t>
      </w:r>
      <w:r>
        <w:rPr>
          <w:rFonts w:hint="eastAsia" w:asciiTheme="minorEastAsia" w:hAnsiTheme="minorEastAsia" w:eastAsiaTheme="minorEastAsia"/>
          <w:bCs/>
          <w:color w:val="auto"/>
          <w:sz w:val="24"/>
          <w:szCs w:val="18"/>
          <w:highlight w:val="none"/>
          <w:lang w:val="en-US" w:eastAsia="zh-CN"/>
        </w:rPr>
        <w:t>在</w:t>
      </w:r>
      <w:r>
        <w:rPr>
          <w:rFonts w:hint="eastAsia" w:asciiTheme="minorEastAsia" w:hAnsiTheme="minorEastAsia" w:eastAsiaTheme="minorEastAsia"/>
          <w:bCs/>
          <w:color w:val="auto"/>
          <w:sz w:val="24"/>
          <w:szCs w:val="18"/>
          <w:highlight w:val="none"/>
        </w:rPr>
        <w:t>公安</w:t>
      </w:r>
      <w:r>
        <w:rPr>
          <w:rFonts w:hint="eastAsia" w:asciiTheme="minorEastAsia" w:hAnsiTheme="minorEastAsia" w:eastAsiaTheme="minorEastAsia"/>
          <w:bCs/>
          <w:color w:val="auto"/>
          <w:sz w:val="24"/>
          <w:szCs w:val="18"/>
          <w:highlight w:val="none"/>
          <w:lang w:val="en-US" w:eastAsia="zh-CN"/>
        </w:rPr>
        <w:t>交通管理部门办理特种车上牌照手续</w:t>
      </w:r>
      <w:r>
        <w:rPr>
          <w:rFonts w:hint="eastAsia" w:cs="@仿宋_GB2312" w:asciiTheme="minorEastAsia" w:hAnsiTheme="minorEastAsia" w:eastAsiaTheme="minorEastAsia"/>
          <w:color w:val="auto"/>
          <w:sz w:val="24"/>
          <w:szCs w:val="20"/>
          <w:highlight w:val="none"/>
          <w:lang w:val="en-US" w:eastAsia="zh-CN"/>
        </w:rPr>
        <w:t>，同时为采购人办理车辆“上牌”提供相应服务（办理“上牌”的相关费用均由采购人承担）。</w:t>
      </w:r>
    </w:p>
    <w:p w14:paraId="613171C3">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w:t>
      </w:r>
      <w:r>
        <w:rPr>
          <w:rFonts w:hint="eastAsia" w:cs="@仿宋_GB2312" w:asciiTheme="minorEastAsia" w:hAnsiTheme="minorEastAsia" w:eastAsiaTheme="minorEastAsia"/>
          <w:color w:val="auto"/>
          <w:sz w:val="24"/>
          <w:szCs w:val="20"/>
          <w:highlight w:val="none"/>
          <w:lang w:val="en-US" w:eastAsia="zh-CN"/>
        </w:rPr>
        <w:t>二</w:t>
      </w:r>
      <w:r>
        <w:rPr>
          <w:rFonts w:hint="eastAsia" w:cs="@仿宋_GB2312" w:asciiTheme="minorEastAsia" w:hAnsiTheme="minorEastAsia" w:eastAsiaTheme="minorEastAsia"/>
          <w:color w:val="auto"/>
          <w:sz w:val="24"/>
          <w:szCs w:val="20"/>
          <w:highlight w:val="none"/>
          <w:lang w:val="en-US"/>
        </w:rPr>
        <w:t>）货物的生产、安装、维修、检验、验收等按照以下原则执行：有国家标准的执行国家标准；无国家标准的执行行业标准；无行业标准的执行地方标准；无地方标准的执行企业标准。</w:t>
      </w:r>
    </w:p>
    <w:p w14:paraId="3A5126E9">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w:t>
      </w:r>
      <w:r>
        <w:rPr>
          <w:rFonts w:hint="eastAsia" w:cs="@仿宋_GB2312" w:asciiTheme="minorEastAsia" w:hAnsiTheme="minorEastAsia" w:eastAsiaTheme="minorEastAsia"/>
          <w:color w:val="auto"/>
          <w:sz w:val="24"/>
          <w:szCs w:val="20"/>
          <w:highlight w:val="none"/>
          <w:lang w:val="en-US" w:eastAsia="zh-CN"/>
        </w:rPr>
        <w:t>三</w:t>
      </w:r>
      <w:r>
        <w:rPr>
          <w:rFonts w:hint="eastAsia" w:cs="@仿宋_GB2312" w:asciiTheme="minorEastAsia" w:hAnsiTheme="minorEastAsia" w:eastAsiaTheme="minorEastAsia"/>
          <w:color w:val="auto"/>
          <w:sz w:val="24"/>
          <w:szCs w:val="20"/>
          <w:highlight w:val="none"/>
          <w:lang w:val="en-US"/>
        </w:rPr>
        <w:t>）如果在技术参数或配置中标明了品牌或产地，则仅供参考，并非指定，但投标人提供的货物必须满足主要技术参数及配置要求，投标人可以选用替代的方案，但这种替代整体上要优于或相当于询价通知书的相关要求。</w:t>
      </w:r>
    </w:p>
    <w:p w14:paraId="02112266">
      <w:pPr>
        <w:pStyle w:val="9"/>
        <w:spacing w:after="0" w:line="500" w:lineRule="exact"/>
        <w:ind w:firstLine="480" w:firstLineChars="200"/>
        <w:jc w:val="left"/>
        <w:rPr>
          <w:rFonts w:hint="default" w:cs="@仿宋_GB2312" w:asciiTheme="minorEastAsia" w:hAnsiTheme="minorEastAsia" w:eastAsiaTheme="minorEastAsia"/>
          <w:color w:val="auto"/>
          <w:sz w:val="24"/>
          <w:szCs w:val="20"/>
          <w:highlight w:val="none"/>
          <w:lang w:val="en-US" w:eastAsia="zh-CN"/>
        </w:rPr>
      </w:pPr>
      <w:r>
        <w:rPr>
          <w:rFonts w:hint="eastAsia" w:cs="@仿宋_GB2312" w:asciiTheme="minorEastAsia" w:hAnsiTheme="minorEastAsia" w:eastAsiaTheme="minorEastAsia"/>
          <w:color w:val="auto"/>
          <w:sz w:val="24"/>
          <w:szCs w:val="20"/>
          <w:highlight w:val="none"/>
          <w:lang w:val="en-US"/>
        </w:rPr>
        <w:t>（</w:t>
      </w:r>
      <w:r>
        <w:rPr>
          <w:rFonts w:hint="eastAsia" w:cs="@仿宋_GB2312" w:asciiTheme="minorEastAsia" w:hAnsiTheme="minorEastAsia" w:eastAsiaTheme="minorEastAsia"/>
          <w:color w:val="auto"/>
          <w:sz w:val="24"/>
          <w:szCs w:val="20"/>
          <w:highlight w:val="none"/>
          <w:lang w:val="en-US" w:eastAsia="zh-CN"/>
        </w:rPr>
        <w:t>四</w:t>
      </w:r>
      <w:r>
        <w:rPr>
          <w:rFonts w:hint="eastAsia" w:cs="@仿宋_GB2312" w:asciiTheme="minorEastAsia" w:hAnsiTheme="minorEastAsia" w:eastAsiaTheme="minorEastAsia"/>
          <w:color w:val="auto"/>
          <w:sz w:val="24"/>
          <w:szCs w:val="20"/>
          <w:highlight w:val="none"/>
          <w:lang w:val="en-US"/>
        </w:rPr>
        <w:t>）供货时</w:t>
      </w:r>
      <w:r>
        <w:rPr>
          <w:rFonts w:hint="eastAsia" w:cs="@仿宋_GB2312" w:asciiTheme="minorEastAsia" w:hAnsiTheme="minorEastAsia" w:eastAsiaTheme="minorEastAsia"/>
          <w:color w:val="auto"/>
          <w:sz w:val="24"/>
          <w:szCs w:val="20"/>
          <w:highlight w:val="none"/>
          <w:lang w:val="en-US" w:eastAsia="zh-CN"/>
        </w:rPr>
        <w:t>整车</w:t>
      </w:r>
      <w:r>
        <w:rPr>
          <w:rFonts w:hint="eastAsia" w:cs="@仿宋_GB2312" w:asciiTheme="minorEastAsia" w:hAnsiTheme="minorEastAsia" w:eastAsiaTheme="minorEastAsia"/>
          <w:color w:val="auto"/>
          <w:sz w:val="24"/>
          <w:szCs w:val="20"/>
          <w:highlight w:val="none"/>
          <w:lang w:val="en-US"/>
        </w:rPr>
        <w:t>（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w:t>
      </w:r>
      <w:r>
        <w:rPr>
          <w:rFonts w:hint="eastAsia" w:cs="@仿宋_GB2312" w:asciiTheme="minorEastAsia" w:hAnsiTheme="minorEastAsia" w:eastAsiaTheme="minorEastAsia"/>
          <w:color w:val="auto"/>
          <w:sz w:val="24"/>
          <w:szCs w:val="20"/>
          <w:highlight w:val="none"/>
          <w:lang w:val="en-US" w:eastAsia="zh-CN"/>
        </w:rPr>
        <w:t>或</w:t>
      </w:r>
      <w:r>
        <w:rPr>
          <w:rFonts w:hint="eastAsia" w:cs="@仿宋_GB2312" w:asciiTheme="minorEastAsia" w:hAnsiTheme="minorEastAsia" w:eastAsiaTheme="minorEastAsia"/>
          <w:color w:val="auto"/>
          <w:sz w:val="24"/>
          <w:szCs w:val="20"/>
          <w:highlight w:val="none"/>
          <w:lang w:val="en-US"/>
        </w:rPr>
        <w:t>生产厂家公开发布的印刷资料等技术资料予以支持。没有技术资料支持的技术参数及配置不能视为响应。(厂家出具的合格证书供货时提供。)</w:t>
      </w:r>
    </w:p>
    <w:p w14:paraId="570D2F0A">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w:t>
      </w:r>
      <w:r>
        <w:rPr>
          <w:rFonts w:hint="eastAsia" w:cs="@仿宋_GB2312" w:asciiTheme="minorEastAsia" w:hAnsiTheme="minorEastAsia" w:eastAsiaTheme="minorEastAsia"/>
          <w:color w:val="auto"/>
          <w:sz w:val="24"/>
          <w:szCs w:val="20"/>
          <w:highlight w:val="none"/>
          <w:lang w:val="en-US" w:eastAsia="zh-CN"/>
        </w:rPr>
        <w:t>五</w:t>
      </w:r>
      <w:r>
        <w:rPr>
          <w:rFonts w:hint="eastAsia" w:cs="@仿宋_GB2312" w:asciiTheme="minorEastAsia" w:hAnsiTheme="minorEastAsia" w:eastAsiaTheme="minorEastAsia"/>
          <w:color w:val="auto"/>
          <w:sz w:val="24"/>
          <w:szCs w:val="20"/>
          <w:highlight w:val="none"/>
          <w:lang w:val="en-US"/>
        </w:rPr>
        <w:t>）技术支持</w:t>
      </w:r>
    </w:p>
    <w:p w14:paraId="654572F6">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1.成交供应商应向采购人提供全方位、及时而有效的技术支持和服务。</w:t>
      </w:r>
    </w:p>
    <w:p w14:paraId="1CA2FF1C">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2.成交供应商负责供货、安装、调试。</w:t>
      </w:r>
    </w:p>
    <w:p w14:paraId="60595DD0">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3.成交供应商负责将货物的全部有关技术文件（外文应提供中文翻译资料，下同）、图纸、资料、测试、验收报告等汇集成册交付采购人，涉及进口的产品或部件配件软件等须提供中国海关进口货物报关单、完税证明及商检证明等材料。</w:t>
      </w:r>
    </w:p>
    <w:p w14:paraId="7E7CC646">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w:t>
      </w:r>
      <w:r>
        <w:rPr>
          <w:rFonts w:hint="eastAsia" w:cs="@仿宋_GB2312" w:asciiTheme="minorEastAsia" w:hAnsiTheme="minorEastAsia" w:eastAsiaTheme="minorEastAsia"/>
          <w:color w:val="auto"/>
          <w:sz w:val="24"/>
          <w:szCs w:val="20"/>
          <w:highlight w:val="none"/>
          <w:lang w:val="en-US" w:eastAsia="zh-CN"/>
        </w:rPr>
        <w:t>六</w:t>
      </w:r>
      <w:r>
        <w:rPr>
          <w:rFonts w:hint="eastAsia" w:cs="@仿宋_GB2312" w:asciiTheme="minorEastAsia" w:hAnsiTheme="minorEastAsia" w:eastAsiaTheme="minorEastAsia"/>
          <w:color w:val="auto"/>
          <w:sz w:val="24"/>
          <w:szCs w:val="20"/>
          <w:highlight w:val="none"/>
          <w:lang w:val="en-US"/>
        </w:rPr>
        <w:t>）质保及售后服务：</w:t>
      </w:r>
    </w:p>
    <w:p w14:paraId="5D868D1C">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1.成交供应商不低于汽车生产厂家标准的原车质保</w:t>
      </w:r>
      <w:r>
        <w:rPr>
          <w:rFonts w:hint="eastAsia" w:cs="@仿宋_GB2312" w:asciiTheme="minorEastAsia" w:hAnsiTheme="minorEastAsia" w:eastAsiaTheme="minorEastAsia"/>
          <w:color w:val="auto"/>
          <w:sz w:val="24"/>
          <w:szCs w:val="20"/>
          <w:highlight w:val="none"/>
          <w:lang w:val="en-US" w:eastAsia="zh-CN"/>
        </w:rPr>
        <w:t>5万公里或者2年（以先到期为准)</w:t>
      </w:r>
      <w:r>
        <w:rPr>
          <w:rFonts w:hint="eastAsia" w:cs="@仿宋_GB2312" w:asciiTheme="minorEastAsia" w:hAnsiTheme="minorEastAsia" w:eastAsiaTheme="minorEastAsia"/>
          <w:color w:val="auto"/>
          <w:sz w:val="24"/>
          <w:szCs w:val="20"/>
          <w:highlight w:val="none"/>
          <w:lang w:val="en-US"/>
        </w:rPr>
        <w:t>。质保期内成交人须提供免费质保服务和软件免费升级服务，质保期满后，应提供优先的有偿售后服务供应原厂零配件等。</w:t>
      </w:r>
    </w:p>
    <w:p w14:paraId="6AAA0EE4">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2.成交供应商须设有维修服务电话，负责解答用户在货物使用中遇到的问题，及时提出解决问题的建议和操作方法。</w:t>
      </w:r>
    </w:p>
    <w:p w14:paraId="6DC20F08">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3.售后服务响应时间：成交供应商必须为采购人提供上门服务，成交供应商须自接到报修后12小时内组织实施维修。若不能及时响应并开展维修，可由采购人直接派员进行处理，若确属成交供应商原因造成，则所需费用由成交供应商承担。如果成交供应商在收到报修通知后24小时内没有弥补缺陷，采购人可采取必要的补救措施，但费用和风险由成交供应商承担。其中产生的拆除、运输、包装、安装、配件等相关的所有费用由成交供应商自行承担。</w:t>
      </w:r>
    </w:p>
    <w:p w14:paraId="02C31F9A">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w:t>
      </w:r>
      <w:r>
        <w:rPr>
          <w:rFonts w:hint="eastAsia" w:cs="@仿宋_GB2312" w:asciiTheme="minorEastAsia" w:hAnsiTheme="minorEastAsia" w:eastAsiaTheme="minorEastAsia"/>
          <w:color w:val="auto"/>
          <w:sz w:val="24"/>
          <w:szCs w:val="20"/>
          <w:highlight w:val="none"/>
          <w:lang w:val="en-US" w:eastAsia="zh-CN"/>
        </w:rPr>
        <w:t>七</w:t>
      </w:r>
      <w:r>
        <w:rPr>
          <w:rFonts w:hint="eastAsia" w:cs="@仿宋_GB2312" w:asciiTheme="minorEastAsia" w:hAnsiTheme="minorEastAsia" w:eastAsiaTheme="minorEastAsia"/>
          <w:color w:val="auto"/>
          <w:sz w:val="24"/>
          <w:szCs w:val="20"/>
          <w:highlight w:val="none"/>
          <w:lang w:val="en-US"/>
        </w:rPr>
        <w:t>）培训：成交供应商负责为采购人操作人员提供操作及维护培训，直至其能熟练独立操作及日常维护与保养，简单故障诊断与排除。</w:t>
      </w:r>
    </w:p>
    <w:p w14:paraId="1774CD3F">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w:t>
      </w:r>
      <w:r>
        <w:rPr>
          <w:rFonts w:hint="eastAsia" w:cs="@仿宋_GB2312" w:asciiTheme="minorEastAsia" w:hAnsiTheme="minorEastAsia" w:eastAsiaTheme="minorEastAsia"/>
          <w:color w:val="auto"/>
          <w:sz w:val="24"/>
          <w:szCs w:val="20"/>
          <w:highlight w:val="none"/>
          <w:lang w:val="en-US" w:eastAsia="zh-CN"/>
        </w:rPr>
        <w:t>八</w:t>
      </w:r>
      <w:r>
        <w:rPr>
          <w:rFonts w:hint="eastAsia" w:cs="@仿宋_GB2312" w:asciiTheme="minorEastAsia" w:hAnsiTheme="minorEastAsia" w:eastAsiaTheme="minorEastAsia"/>
          <w:color w:val="auto"/>
          <w:sz w:val="24"/>
          <w:szCs w:val="20"/>
          <w:highlight w:val="none"/>
          <w:lang w:val="en-US"/>
        </w:rPr>
        <w:t>）验收：</w:t>
      </w:r>
    </w:p>
    <w:p w14:paraId="0458DA24">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采购人和相关部门按照国家规定标准验收，没有国家标准的按行业标准验收，无行业标准的按地方或企业标准验收，成交供应商予以配合。涉及安全、消防、环保等其他需要由质检或行业主管部门验收的项目，采购人须约请相关部门和专家参加项目验收。</w:t>
      </w:r>
    </w:p>
    <w:p w14:paraId="1D616CEE">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2.货物在验收时，成交供应商应提供发票、制造厂家出具的产品合格证书、装箱清单等,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成交供应商提供的必要文件。</w:t>
      </w:r>
    </w:p>
    <w:p w14:paraId="54896B22">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471BDBF">
      <w:pPr>
        <w:spacing w:line="360" w:lineRule="auto"/>
        <w:jc w:val="center"/>
        <w:outlineLvl w:val="0"/>
        <w:rPr>
          <w:rFonts w:asciiTheme="minorEastAsia" w:hAnsiTheme="minorEastAsia" w:eastAsiaTheme="minorEastAsia"/>
          <w:b/>
          <w:color w:val="auto"/>
          <w:sz w:val="28"/>
          <w:highlight w:val="none"/>
        </w:rPr>
      </w:pPr>
      <w:bookmarkStart w:id="51" w:name="_Toc15765"/>
      <w:r>
        <w:rPr>
          <w:rFonts w:hint="eastAsia" w:asciiTheme="minorEastAsia" w:hAnsiTheme="minorEastAsia" w:eastAsiaTheme="minorEastAsia"/>
          <w:b/>
          <w:color w:val="auto"/>
          <w:sz w:val="28"/>
          <w:highlight w:val="none"/>
        </w:rPr>
        <w:t>第四章  评审方法和标准</w:t>
      </w:r>
      <w:bookmarkEnd w:id="51"/>
    </w:p>
    <w:p w14:paraId="115BA2E1">
      <w:pPr>
        <w:spacing w:line="360" w:lineRule="auto"/>
        <w:ind w:firstLine="437"/>
        <w:outlineLvl w:val="1"/>
        <w:rPr>
          <w:rFonts w:asciiTheme="minorEastAsia" w:hAnsiTheme="minorEastAsia" w:eastAsiaTheme="minorEastAsia"/>
          <w:b/>
          <w:color w:val="auto"/>
          <w:sz w:val="24"/>
          <w:highlight w:val="none"/>
        </w:rPr>
      </w:pPr>
      <w:bookmarkStart w:id="52" w:name="_Toc1221"/>
      <w:bookmarkStart w:id="53" w:name="_Toc11117"/>
      <w:r>
        <w:rPr>
          <w:rFonts w:hint="eastAsia" w:asciiTheme="minorEastAsia" w:hAnsiTheme="minorEastAsia" w:eastAsiaTheme="minorEastAsia"/>
          <w:b/>
          <w:color w:val="auto"/>
          <w:sz w:val="24"/>
          <w:highlight w:val="none"/>
        </w:rPr>
        <w:t>一、总则</w:t>
      </w:r>
      <w:bookmarkEnd w:id="52"/>
      <w:bookmarkEnd w:id="53"/>
    </w:p>
    <w:p w14:paraId="3D04C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本项目将按照询价通知书第二章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7F8783D6">
      <w:pPr>
        <w:spacing w:line="360" w:lineRule="auto"/>
        <w:ind w:firstLine="437"/>
        <w:outlineLvl w:val="1"/>
        <w:rPr>
          <w:rFonts w:asciiTheme="minorEastAsia" w:hAnsiTheme="minorEastAsia" w:eastAsiaTheme="minorEastAsia"/>
          <w:b/>
          <w:color w:val="auto"/>
          <w:sz w:val="24"/>
          <w:highlight w:val="none"/>
        </w:rPr>
      </w:pPr>
      <w:bookmarkStart w:id="54" w:name="_Toc21906"/>
      <w:bookmarkStart w:id="55" w:name="_Toc20555"/>
      <w:r>
        <w:rPr>
          <w:rFonts w:hint="eastAsia" w:asciiTheme="minorEastAsia" w:hAnsiTheme="minorEastAsia" w:eastAsiaTheme="minorEastAsia"/>
          <w:b/>
          <w:color w:val="auto"/>
          <w:sz w:val="24"/>
          <w:highlight w:val="none"/>
        </w:rPr>
        <w:t>二、评审方法</w:t>
      </w:r>
      <w:bookmarkEnd w:id="54"/>
      <w:bookmarkEnd w:id="55"/>
    </w:p>
    <w:p w14:paraId="46526201">
      <w:pPr>
        <w:spacing w:line="360" w:lineRule="auto"/>
        <w:ind w:firstLine="435"/>
        <w:rPr>
          <w:rFonts w:asciiTheme="minorEastAsia" w:hAnsiTheme="minorEastAsia" w:eastAsiaTheme="minorEastAsia"/>
          <w:color w:val="auto"/>
          <w:sz w:val="24"/>
          <w:highlight w:val="none"/>
        </w:rPr>
      </w:pPr>
      <w:bookmarkStart w:id="56" w:name="_Hlk23204339"/>
      <w:r>
        <w:rPr>
          <w:rFonts w:hint="eastAsia" w:asciiTheme="minorEastAsia" w:hAnsiTheme="minorEastAsia" w:eastAsiaTheme="minorEastAsia"/>
          <w:color w:val="auto"/>
          <w:sz w:val="24"/>
          <w:highlight w:val="none"/>
        </w:rPr>
        <w:t>询价小组对通过供应商的响应文件进行评审，以确定其是否满足询价通知书的实质性要求。评审表如下：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720"/>
        <w:gridCol w:w="4302"/>
        <w:gridCol w:w="1841"/>
      </w:tblGrid>
      <w:tr w14:paraId="19A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E10A5E">
            <w:pPr>
              <w:adjustRightInd w:val="0"/>
              <w:snapToGrid w:val="0"/>
              <w:spacing w:line="360" w:lineRule="auto"/>
              <w:ind w:right="-10"/>
              <w:jc w:val="center"/>
              <w:rPr>
                <w:rFonts w:asciiTheme="minorEastAsia" w:hAnsiTheme="minorEastAsia" w:eastAsiaTheme="minorEastAsia"/>
                <w:color w:val="auto"/>
                <w:sz w:val="24"/>
                <w:highlight w:val="none"/>
              </w:rPr>
            </w:pPr>
            <w:bookmarkStart w:id="57" w:name="_Hlk60605773"/>
            <w:r>
              <w:rPr>
                <w:rFonts w:hint="eastAsia" w:asciiTheme="minorEastAsia" w:hAnsiTheme="minorEastAsia" w:eastAsiaTheme="minorEastAsia"/>
                <w:b/>
                <w:color w:val="auto"/>
                <w:sz w:val="24"/>
                <w:szCs w:val="22"/>
                <w:highlight w:val="none"/>
              </w:rPr>
              <w:t>评审表</w:t>
            </w:r>
          </w:p>
        </w:tc>
      </w:tr>
      <w:tr w14:paraId="3EFA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26EB8E2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009" w:type="pct"/>
            <w:tcBorders>
              <w:bottom w:val="single" w:color="auto" w:sz="4" w:space="0"/>
            </w:tcBorders>
            <w:vAlign w:val="center"/>
          </w:tcPr>
          <w:p w14:paraId="64F352CA">
            <w:pPr>
              <w:pStyle w:val="46"/>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524" w:type="pct"/>
            <w:tcBorders>
              <w:bottom w:val="single" w:color="auto" w:sz="4" w:space="0"/>
            </w:tcBorders>
            <w:vAlign w:val="center"/>
          </w:tcPr>
          <w:p w14:paraId="5796235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078" w:type="pct"/>
            <w:tcBorders>
              <w:bottom w:val="single" w:color="auto" w:sz="4" w:space="0"/>
            </w:tcBorders>
            <w:vAlign w:val="center"/>
          </w:tcPr>
          <w:p w14:paraId="2F6ECB0C">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A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87" w:type="pct"/>
            <w:tcBorders>
              <w:bottom w:val="single" w:color="auto" w:sz="4" w:space="0"/>
            </w:tcBorders>
            <w:vAlign w:val="center"/>
          </w:tcPr>
          <w:p w14:paraId="37538FC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1009" w:type="pct"/>
            <w:tcBorders>
              <w:bottom w:val="single" w:color="auto" w:sz="4" w:space="0"/>
            </w:tcBorders>
            <w:vAlign w:val="center"/>
          </w:tcPr>
          <w:p w14:paraId="0A59D3F0">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24" w:type="pct"/>
            <w:tcBorders>
              <w:bottom w:val="single" w:color="auto" w:sz="4" w:space="0"/>
            </w:tcBorders>
            <w:vAlign w:val="center"/>
          </w:tcPr>
          <w:p w14:paraId="7395EF70">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0553B226">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26F8FB5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27D218B2">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10F56458">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78" w:type="pct"/>
            <w:vAlign w:val="center"/>
          </w:tcPr>
          <w:p w14:paraId="20FA4BAA">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3CF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74AE64C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1009" w:type="pct"/>
            <w:tcBorders>
              <w:bottom w:val="single" w:color="auto" w:sz="4" w:space="0"/>
            </w:tcBorders>
            <w:vAlign w:val="center"/>
          </w:tcPr>
          <w:p w14:paraId="113DC98D">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524" w:type="pct"/>
            <w:tcBorders>
              <w:bottom w:val="single" w:color="auto" w:sz="4" w:space="0"/>
            </w:tcBorders>
            <w:vAlign w:val="center"/>
          </w:tcPr>
          <w:p w14:paraId="3556B68B">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询价通知书</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078" w:type="pct"/>
            <w:tcBorders>
              <w:bottom w:val="single" w:color="auto" w:sz="4" w:space="0"/>
            </w:tcBorders>
            <w:vAlign w:val="center"/>
          </w:tcPr>
          <w:p w14:paraId="0DA2EC65">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64C2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54A4392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3</w:t>
            </w:r>
          </w:p>
        </w:tc>
        <w:tc>
          <w:tcPr>
            <w:tcW w:w="1009" w:type="pct"/>
            <w:tcBorders>
              <w:bottom w:val="single" w:color="auto" w:sz="4" w:space="0"/>
            </w:tcBorders>
            <w:vAlign w:val="center"/>
          </w:tcPr>
          <w:p w14:paraId="6DDECE9A">
            <w:pPr>
              <w:spacing w:after="50" w:line="360" w:lineRule="auto"/>
              <w:ind w:right="-10"/>
              <w:jc w:val="center"/>
              <w:rPr>
                <w:rFonts w:asciiTheme="minorEastAsia" w:hAnsiTheme="minorEastAsia" w:eastAsiaTheme="minorEastAsia"/>
                <w:color w:val="auto"/>
                <w:sz w:val="24"/>
                <w:szCs w:val="18"/>
                <w:highlight w:val="none"/>
              </w:rPr>
            </w:pPr>
            <w:r>
              <w:rPr>
                <w:rFonts w:hint="eastAsia" w:ascii="宋体" w:hAnsi="宋体" w:eastAsia="宋体" w:cs="宋体"/>
                <w:color w:val="auto"/>
                <w:sz w:val="24"/>
                <w:szCs w:val="24"/>
                <w:highlight w:val="none"/>
              </w:rPr>
              <w:t>供应商信用记录</w:t>
            </w:r>
          </w:p>
        </w:tc>
        <w:tc>
          <w:tcPr>
            <w:tcW w:w="2524" w:type="pct"/>
            <w:tcBorders>
              <w:bottom w:val="single" w:color="auto" w:sz="4" w:space="0"/>
            </w:tcBorders>
            <w:vAlign w:val="center"/>
          </w:tcPr>
          <w:p w14:paraId="432F4E9E">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w:t>
            </w:r>
            <w:r>
              <w:rPr>
                <w:rFonts w:hint="eastAsia" w:ascii="宋体" w:hAnsi="宋体" w:eastAsia="宋体" w:cs="宋体"/>
                <w:color w:val="auto"/>
                <w:sz w:val="24"/>
                <w:szCs w:val="24"/>
                <w:highlight w:val="none"/>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5FE1C441">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无须供应商提供，由采购人或采购代理机构查询。</w:t>
            </w:r>
          </w:p>
        </w:tc>
      </w:tr>
      <w:tr w14:paraId="1B3C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5AB73BC6">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4</w:t>
            </w:r>
          </w:p>
        </w:tc>
        <w:tc>
          <w:tcPr>
            <w:tcW w:w="1009" w:type="pct"/>
            <w:vAlign w:val="center"/>
          </w:tcPr>
          <w:p w14:paraId="37C5B1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524" w:type="pct"/>
            <w:vAlign w:val="center"/>
          </w:tcPr>
          <w:p w14:paraId="64FACFB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格式、填写要求符合询价通知书规定并加盖供应商电子签章</w:t>
            </w:r>
          </w:p>
        </w:tc>
        <w:tc>
          <w:tcPr>
            <w:tcW w:w="1078" w:type="pct"/>
            <w:vAlign w:val="center"/>
          </w:tcPr>
          <w:p w14:paraId="5782970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A9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68E58C7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5</w:t>
            </w:r>
          </w:p>
        </w:tc>
        <w:tc>
          <w:tcPr>
            <w:tcW w:w="1009" w:type="pct"/>
            <w:vAlign w:val="center"/>
          </w:tcPr>
          <w:p w14:paraId="1E74B5D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24" w:type="pct"/>
            <w:vAlign w:val="center"/>
          </w:tcPr>
          <w:p w14:paraId="45B1F14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格式、填写要求符合询价通知书规定并加盖供应商电子签章</w:t>
            </w:r>
          </w:p>
        </w:tc>
        <w:tc>
          <w:tcPr>
            <w:tcW w:w="1078" w:type="pct"/>
            <w:vAlign w:val="center"/>
          </w:tcPr>
          <w:p w14:paraId="041CA80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38FA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249E27C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6</w:t>
            </w:r>
          </w:p>
        </w:tc>
        <w:tc>
          <w:tcPr>
            <w:tcW w:w="1009" w:type="pct"/>
            <w:vAlign w:val="center"/>
          </w:tcPr>
          <w:p w14:paraId="40C6F7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524" w:type="pct"/>
            <w:vAlign w:val="center"/>
          </w:tcPr>
          <w:p w14:paraId="28C0595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询价通知书供应商须知正文第9条要求</w:t>
            </w:r>
          </w:p>
        </w:tc>
        <w:tc>
          <w:tcPr>
            <w:tcW w:w="1078" w:type="pct"/>
            <w:vAlign w:val="center"/>
          </w:tcPr>
          <w:p w14:paraId="4C82B6D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A14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3C99ED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7</w:t>
            </w:r>
          </w:p>
        </w:tc>
        <w:tc>
          <w:tcPr>
            <w:tcW w:w="1009" w:type="pct"/>
            <w:vAlign w:val="center"/>
          </w:tcPr>
          <w:p w14:paraId="69FB34E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524" w:type="pct"/>
            <w:vAlign w:val="center"/>
          </w:tcPr>
          <w:p w14:paraId="561A6EC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询价通知书</w:t>
            </w:r>
            <w:r>
              <w:rPr>
                <w:rFonts w:hint="eastAsia" w:asciiTheme="minorEastAsia" w:hAnsiTheme="minorEastAsia" w:eastAsiaTheme="minorEastAsia"/>
                <w:color w:val="auto"/>
                <w:sz w:val="24"/>
                <w:szCs w:val="28"/>
                <w:highlight w:val="none"/>
              </w:rPr>
              <w:t>采购需求中对付款方式、供货及安装期限、供货及安装地点、免费质保期等实质性要求</w:t>
            </w:r>
          </w:p>
        </w:tc>
        <w:tc>
          <w:tcPr>
            <w:tcW w:w="1078" w:type="pct"/>
            <w:vAlign w:val="center"/>
          </w:tcPr>
          <w:p w14:paraId="749B2E11">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18B9C8E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8</w:t>
            </w:r>
          </w:p>
        </w:tc>
        <w:tc>
          <w:tcPr>
            <w:tcW w:w="1009" w:type="pct"/>
            <w:vAlign w:val="center"/>
          </w:tcPr>
          <w:p w14:paraId="219A0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524" w:type="pct"/>
            <w:vAlign w:val="center"/>
          </w:tcPr>
          <w:p w14:paraId="2881E795">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询价通知书</w:t>
            </w:r>
            <w:r>
              <w:rPr>
                <w:rFonts w:hint="eastAsia" w:asciiTheme="minorEastAsia" w:hAnsiTheme="minorEastAsia" w:eastAsiaTheme="minorEastAsia"/>
                <w:color w:val="auto"/>
                <w:sz w:val="24"/>
                <w:szCs w:val="28"/>
                <w:highlight w:val="none"/>
              </w:rPr>
              <w:t>采购需求中货物技术参数等实质性要求</w:t>
            </w:r>
          </w:p>
        </w:tc>
        <w:tc>
          <w:tcPr>
            <w:tcW w:w="1078" w:type="pct"/>
            <w:vAlign w:val="center"/>
          </w:tcPr>
          <w:p w14:paraId="4BA981E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631110A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9</w:t>
            </w:r>
          </w:p>
        </w:tc>
        <w:tc>
          <w:tcPr>
            <w:tcW w:w="1009"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524"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符合法律、行政法规规定的其他条件或询价通知书列明的其他实质性要求</w:t>
            </w:r>
          </w:p>
        </w:tc>
        <w:tc>
          <w:tcPr>
            <w:tcW w:w="1078" w:type="pct"/>
            <w:vAlign w:val="center"/>
          </w:tcPr>
          <w:p w14:paraId="199D307C">
            <w:pPr>
              <w:adjustRightInd w:val="0"/>
              <w:snapToGrid w:val="0"/>
              <w:spacing w:line="360" w:lineRule="auto"/>
              <w:ind w:right="-10"/>
              <w:jc w:val="center"/>
              <w:rPr>
                <w:rFonts w:asciiTheme="minorEastAsia" w:hAnsiTheme="minorEastAsia" w:eastAsiaTheme="minorEastAsia"/>
                <w:color w:val="auto"/>
                <w:sz w:val="24"/>
                <w:highlight w:val="none"/>
              </w:rPr>
            </w:pPr>
          </w:p>
        </w:tc>
      </w:tr>
      <w:bookmarkEnd w:id="57"/>
    </w:tbl>
    <w:p w14:paraId="46EDBF9E">
      <w:pPr>
        <w:spacing w:line="360" w:lineRule="auto"/>
        <w:ind w:firstLine="435"/>
        <w:rPr>
          <w:rFonts w:asciiTheme="minorEastAsia" w:hAnsiTheme="minorEastAsia" w:eastAsiaTheme="minorEastAsia"/>
          <w:color w:val="auto"/>
          <w:sz w:val="24"/>
          <w:highlight w:val="none"/>
        </w:rPr>
      </w:pPr>
      <w:bookmarkStart w:id="58"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56"/>
    <w:bookmarkEnd w:id="58"/>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62C40E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2DD67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42459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（4）询价公告写明专门面向中小企业采购，供应商提供的货物非中小企业制造的；</w:t>
      </w:r>
    </w:p>
    <w:p w14:paraId="6F008F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6C66E1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5C6FF0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（7）评审专家无法查看并检验电子响应文件中相关资料的；</w:t>
      </w:r>
    </w:p>
    <w:p w14:paraId="52B55A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（8）联合体参与未提交联合体协议的；</w:t>
      </w:r>
    </w:p>
    <w:p w14:paraId="1342F5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（9）责令停产停业的；</w:t>
      </w:r>
    </w:p>
    <w:p w14:paraId="5EE037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（10）暂停或者取消参与政府采购项目资格的；</w:t>
      </w:r>
    </w:p>
    <w:p w14:paraId="28E1E1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（11）单位负责人为同一人或者存在直接控股、管理关系的不同单位的；</w:t>
      </w:r>
    </w:p>
    <w:p w14:paraId="7B5306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（12）供应商基本资格条件和特定资格条件中有一项及以上不符合要求的；</w:t>
      </w:r>
    </w:p>
    <w:p w14:paraId="7C3240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询价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07868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（14）其它情形，经询价小组提出按无效响应处理，并经公共资源交易监督部门核准的；</w:t>
      </w:r>
    </w:p>
    <w:p w14:paraId="2E35BB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（15）供应商响应MAC地址或供应商联系人或联系电话相同的，由询价小组否决其响应，并报告监管部门作不良行为处理和进一步调查；</w:t>
      </w:r>
    </w:p>
    <w:p w14:paraId="2BE516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（16）供应商单方面出现其他供应商材料的；</w:t>
      </w:r>
    </w:p>
    <w:p w14:paraId="618C8E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（17）询价公告未写明允许采购进口产品，供应商所投产品为进口产品的；</w:t>
      </w:r>
    </w:p>
    <w:p w14:paraId="3CD6CC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（18）询价通知书规定的其它无效情形。</w:t>
      </w:r>
    </w:p>
    <w:p w14:paraId="2C6DF6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（1）响应文件签章不全，经询价小组一致认定对响应内容有实质性影响并经公共资源交易监督部门核准的；</w:t>
      </w:r>
    </w:p>
    <w:p w14:paraId="01D5C3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3A665D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（3）同一供应商提交两个或以上不同的响应文件或者报价，但询价通知书规定提交备选方案的除外；</w:t>
      </w:r>
    </w:p>
    <w:p w14:paraId="6CBCF3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（4）响应文件没有对询价通知书的实质性要求和条件作出响应；</w:t>
      </w:r>
    </w:p>
    <w:p w14:paraId="3EBB1A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（5）报价超出规定的最高限价或公布的采购预算的或供应商的报价各项单价高于询价通知书给定的单价最高限价；</w:t>
      </w:r>
    </w:p>
    <w:p w14:paraId="73AF38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（6）不按询价小组要求澄清、说明或补正的，或者询价小组根据询价通知书的规定对询价通知书的计算错误进行修正后，供应商不接受修正的报价的。</w:t>
      </w:r>
    </w:p>
    <w:p w14:paraId="511D05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（7）其它情形，经询价小组提出按无效响应处理，并经公共资源交易监督部门核准的；</w:t>
      </w:r>
    </w:p>
    <w:p w14:paraId="071205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（9）询价通知书规定的其它无效响应情形。</w:t>
      </w:r>
    </w:p>
    <w:p w14:paraId="7989D9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（6）其它情形，经询价小组提出按无效响应处理，并经公共资源交易监督部门核准的；</w:t>
      </w:r>
    </w:p>
    <w:p w14:paraId="2B74BA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（7）询价通知书规定的其它无效响应情形。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59" w:name="_Toc26650379"/>
      <w:bookmarkStart w:id="60" w:name="_Toc5156"/>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第五章  政府采购合同</w:t>
      </w:r>
      <w:bookmarkEnd w:id="59"/>
      <w:bookmarkEnd w:id="60"/>
    </w:p>
    <w:p w14:paraId="168BE38E">
      <w:pPr>
        <w:snapToGrid w:val="0"/>
        <w:spacing w:line="400" w:lineRule="exact"/>
        <w:jc w:val="center"/>
        <w:rPr>
          <w:rFonts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p>
    <w:p w14:paraId="7321937D">
      <w:pPr>
        <w:spacing w:line="460" w:lineRule="exact"/>
        <w:ind w:left="360"/>
        <w:jc w:val="center"/>
        <w:outlineLvl w:val="1"/>
        <w:rPr>
          <w:rFonts w:ascii="宋体" w:hAnsi="宋体" w:eastAsia="宋体" w:cs="宋体"/>
          <w:b/>
          <w:color w:val="auto"/>
          <w:sz w:val="30"/>
          <w:szCs w:val="30"/>
          <w:highlight w:val="none"/>
        </w:rPr>
      </w:pPr>
      <w:bookmarkStart w:id="61" w:name="_Toc29013"/>
      <w:r>
        <w:rPr>
          <w:rFonts w:hint="eastAsia" w:ascii="宋体" w:hAnsi="宋体" w:eastAsia="宋体" w:cs="宋体"/>
          <w:b/>
          <w:color w:val="auto"/>
          <w:sz w:val="30"/>
          <w:szCs w:val="30"/>
          <w:highlight w:val="none"/>
        </w:rPr>
        <w:t>一、合同协议书（格式）</w:t>
      </w:r>
    </w:p>
    <w:p w14:paraId="7491C5CD">
      <w:pPr>
        <w:spacing w:line="460" w:lineRule="exact"/>
        <w:jc w:val="cente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合同名称   </w:t>
      </w:r>
      <w:r>
        <w:rPr>
          <w:rFonts w:hint="eastAsia" w:ascii="宋体" w:hAnsi="宋体" w:eastAsia="宋体" w:cs="宋体"/>
          <w:color w:val="auto"/>
          <w:sz w:val="28"/>
          <w:szCs w:val="28"/>
          <w:highlight w:val="none"/>
        </w:rPr>
        <w:t xml:space="preserve">          编号</w:t>
      </w:r>
    </w:p>
    <w:p w14:paraId="1B99A429">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1FA8A312">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5317EB31">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29C6321D">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经公开询价，确定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为成交人。按照《中华人民共和国民法典》的规定，买卖双方同意按照下述的条款和条件，签署本合同。</w:t>
      </w:r>
    </w:p>
    <w:p w14:paraId="362C0603">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1、本合同文件</w:t>
      </w:r>
    </w:p>
    <w:p w14:paraId="35F273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下列每一文件均应作为合同的组成部分进行阅读和解释：</w:t>
      </w:r>
    </w:p>
    <w:p w14:paraId="42F0DB50">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（1）询价通知书（2）响应文件（3）成交通知书</w:t>
      </w:r>
    </w:p>
    <w:p w14:paraId="719EA779">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（4）经双方确认进入合同的其它文件、补充条款或说明</w:t>
      </w:r>
    </w:p>
    <w:p w14:paraId="78EBAE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2、货物的名称、规格型号、数量和价格（若产品过多则见附表，如有附表则必须加盖公章）</w:t>
      </w:r>
    </w:p>
    <w:p w14:paraId="1C6D057E">
      <w:pPr>
        <w:spacing w:line="40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046"/>
        <w:gridCol w:w="928"/>
        <w:gridCol w:w="928"/>
        <w:gridCol w:w="1106"/>
        <w:gridCol w:w="1286"/>
        <w:gridCol w:w="1693"/>
      </w:tblGrid>
      <w:tr w14:paraId="6CE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1668" w:type="dxa"/>
          </w:tcPr>
          <w:p w14:paraId="227D095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046" w:type="dxa"/>
          </w:tcPr>
          <w:p w14:paraId="3A356A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28" w:type="dxa"/>
          </w:tcPr>
          <w:p w14:paraId="32003C49">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28" w:type="dxa"/>
          </w:tcPr>
          <w:p w14:paraId="5D3659D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6" w:type="dxa"/>
          </w:tcPr>
          <w:p w14:paraId="37DFEFC6">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86" w:type="dxa"/>
          </w:tcPr>
          <w:p w14:paraId="2DE82D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693" w:type="dxa"/>
          </w:tcPr>
          <w:p w14:paraId="2EE1E963">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生产厂商</w:t>
            </w:r>
          </w:p>
        </w:tc>
      </w:tr>
      <w:tr w14:paraId="1674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68" w:type="dxa"/>
          </w:tcPr>
          <w:p w14:paraId="6FE4AD6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2046" w:type="dxa"/>
          </w:tcPr>
          <w:p w14:paraId="350BDB64">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4A71ADB8">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3DFF4817">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106" w:type="dxa"/>
          </w:tcPr>
          <w:p w14:paraId="6163D0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286" w:type="dxa"/>
          </w:tcPr>
          <w:p w14:paraId="0244EBA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693" w:type="dxa"/>
          </w:tcPr>
          <w:p w14:paraId="0FAC553C">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1B1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68" w:type="dxa"/>
          </w:tcPr>
          <w:p w14:paraId="53D424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7BF1610B">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9956C0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2C42E21D">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70269572">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6303F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AADF497">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1DD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tcPr>
          <w:p w14:paraId="0E5C4F3C">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0B19259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7B7FE4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41E3C9B7">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0DAB8B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FE2BA5">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22ACF9D">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389A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6676" w:type="dxa"/>
            <w:gridSpan w:val="5"/>
          </w:tcPr>
          <w:p w14:paraId="17BEFE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979" w:type="dxa"/>
            <w:gridSpan w:val="2"/>
          </w:tcPr>
          <w:p w14:paraId="22D58B9E">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39A5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7"/>
          </w:tcPr>
          <w:p w14:paraId="14E8D128">
            <w:pPr>
              <w:widowControl/>
              <w:spacing w:before="156" w:beforeLines="50" w:beforeAutospacing="1" w:after="93" w:afterLines="30" w:afterAutospacing="1"/>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合同总金额（大写）：</w:t>
            </w:r>
          </w:p>
          <w:p w14:paraId="66F5CFED">
            <w:pPr>
              <w:widowControl/>
              <w:spacing w:before="156" w:beforeLines="50" w:beforeAutospacing="1" w:after="93" w:afterLines="30" w:afterAutospacing="1"/>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备注：上述产品报价包括：货物(车辆) 出厂价、货物(车辆)运输费用、货物设备费、人工费、材料费(含主材及辅材) 、装卸费、运输费、安装费、调试费、管理费、利润、风险费用及国家对成交人征收的各种税费等所有一切费用，采购人不再为此项目支付任何费用，综合单价今后将不作任何调整。</w:t>
            </w:r>
          </w:p>
        </w:tc>
      </w:tr>
    </w:tbl>
    <w:p w14:paraId="76BCCD6A">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3、合同总价：</w:t>
      </w:r>
    </w:p>
    <w:p w14:paraId="4625895E">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2C036A03">
      <w:pPr>
        <w:autoSpaceDN w:val="0"/>
        <w:spacing w:line="460" w:lineRule="exact"/>
        <w:ind w:firstLine="480" w:firstLineChars="200"/>
        <w:jc w:val="left"/>
        <w:rPr>
          <w:rFonts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4.付款方式：</w:t>
      </w:r>
      <w:r>
        <w:rPr>
          <w:rFonts w:hint="eastAsia" w:asciiTheme="minorEastAsia" w:hAnsiTheme="minorEastAsia" w:eastAsiaTheme="minorEastAsia"/>
          <w:b w:val="0"/>
          <w:color w:val="auto"/>
          <w:sz w:val="24"/>
          <w:highlight w:val="none"/>
          <w:u w:val="single"/>
          <w:lang w:eastAsia="zh-CN"/>
        </w:rPr>
        <w:t>合同签订生效并具备实施条件后5个工作日内支付合同价的40%预付款（预付款支付前，</w:t>
      </w:r>
      <w:r>
        <w:rPr>
          <w:rFonts w:hint="eastAsia" w:asciiTheme="minorEastAsia" w:hAnsiTheme="minorEastAsia" w:eastAsiaTheme="minorEastAsia"/>
          <w:b w:val="0"/>
          <w:color w:val="auto"/>
          <w:sz w:val="24"/>
          <w:highlight w:val="none"/>
          <w:u w:val="single"/>
          <w:lang w:val="en-US" w:eastAsia="zh-CN"/>
        </w:rPr>
        <w:t>成交人</w:t>
      </w:r>
      <w:r>
        <w:rPr>
          <w:rFonts w:hint="eastAsia" w:asciiTheme="minorEastAsia" w:hAnsiTheme="minorEastAsia" w:eastAsiaTheme="minorEastAsia"/>
          <w:b w:val="0"/>
          <w:color w:val="auto"/>
          <w:sz w:val="24"/>
          <w:highlight w:val="none"/>
          <w:u w:val="single"/>
          <w:lang w:eastAsia="zh-CN"/>
        </w:rPr>
        <w:t>须提供同等金额的见索即付预付款保函），</w:t>
      </w:r>
      <w:r>
        <w:rPr>
          <w:rFonts w:hint="eastAsia" w:asciiTheme="minorEastAsia" w:hAnsiTheme="minorEastAsia" w:eastAsiaTheme="minorEastAsia"/>
          <w:b w:val="0"/>
          <w:color w:val="auto"/>
          <w:sz w:val="24"/>
          <w:highlight w:val="none"/>
          <w:u w:val="single"/>
          <w:lang w:val="en-US" w:eastAsia="zh-CN"/>
        </w:rPr>
        <w:t>采购人与2025年12月25日前一次性</w:t>
      </w:r>
      <w:r>
        <w:rPr>
          <w:rFonts w:hint="eastAsia" w:asciiTheme="minorEastAsia" w:hAnsiTheme="minorEastAsia" w:eastAsiaTheme="minorEastAsia"/>
          <w:b w:val="0"/>
          <w:color w:val="auto"/>
          <w:sz w:val="24"/>
          <w:highlight w:val="none"/>
          <w:u w:val="single"/>
          <w:lang w:eastAsia="zh-CN"/>
        </w:rPr>
        <w:t>付清</w:t>
      </w:r>
      <w:r>
        <w:rPr>
          <w:rFonts w:hint="eastAsia" w:asciiTheme="minorEastAsia" w:hAnsiTheme="minorEastAsia" w:eastAsiaTheme="minorEastAsia"/>
          <w:b w:val="0"/>
          <w:color w:val="auto"/>
          <w:sz w:val="24"/>
          <w:highlight w:val="none"/>
          <w:u w:val="single"/>
          <w:lang w:val="en-US" w:eastAsia="zh-CN"/>
        </w:rPr>
        <w:t>合同价款</w:t>
      </w:r>
      <w:r>
        <w:rPr>
          <w:rFonts w:hint="eastAsia" w:asciiTheme="minorEastAsia" w:hAnsiTheme="minorEastAsia" w:eastAsiaTheme="minorEastAsia"/>
          <w:b w:val="0"/>
          <w:color w:val="auto"/>
          <w:sz w:val="24"/>
          <w:highlight w:val="none"/>
          <w:u w:val="single"/>
          <w:lang w:eastAsia="zh-CN"/>
        </w:rPr>
        <w:t>。</w:t>
      </w:r>
    </w:p>
    <w:p w14:paraId="364A507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06125D9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卖方应于合同签字生效后开始计算的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日内将货物送到买方指定的地点，由买方进行验收。</w:t>
      </w:r>
    </w:p>
    <w:p w14:paraId="0AADE68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货物运输至买方指定地点到货物验收合格前，卖方负责对货物承担安保义务。</w:t>
      </w:r>
    </w:p>
    <w:p w14:paraId="1F08117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6.验收要求：（1）甲方依据询价通知书中的采购需求及技术参数要求、乙方的投标文件及国家有关质量标准进行验收。</w:t>
      </w:r>
    </w:p>
    <w:p w14:paraId="16D4BEE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（2）乙方交货前应对产品或服务作出全面检查和对验收文件进行整理，并列出清单，作为甲方验收和使用的技术条件依据，检验的结果应随服务一起提交甲方。</w:t>
      </w:r>
    </w:p>
    <w:p w14:paraId="39AFB1F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（3）验收时乙方必须在现场，验收完毕后作出验收结果报告。</w:t>
      </w:r>
    </w:p>
    <w:p w14:paraId="6A4A81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7.售后服务</w:t>
      </w:r>
    </w:p>
    <w:p w14:paraId="68B43FA0">
      <w:pPr>
        <w:widowControl/>
        <w:spacing w:line="400" w:lineRule="exact"/>
        <w:ind w:firstLine="480" w:firstLineChars="200"/>
        <w:textAlignment w:val="baseline"/>
        <w:rPr>
          <w:rFonts w:hint="eastAsia" w:asciiTheme="minorEastAsia" w:hAnsiTheme="minorEastAsia" w:eastAsiaTheme="minorEastAsia"/>
          <w:b w:val="0"/>
          <w:color w:val="auto"/>
          <w:sz w:val="24"/>
          <w:highlight w:val="none"/>
          <w:lang w:val="en-US"/>
        </w:rPr>
      </w:pPr>
      <w:r>
        <w:rPr>
          <w:rFonts w:hint="eastAsia" w:ascii="宋体" w:hAnsi="宋体" w:eastAsia="宋体" w:cs="宋体"/>
          <w:color w:val="auto"/>
          <w:sz w:val="24"/>
          <w:szCs w:val="24"/>
          <w:highlight w:val="none"/>
        </w:rPr>
        <w:t>（一）卖方对合同货物的质量保修期为</w:t>
      </w:r>
      <w:r>
        <w:rPr>
          <w:rFonts w:hint="eastAsia" w:asciiTheme="minorEastAsia" w:hAnsiTheme="minorEastAsia" w:eastAsiaTheme="minorEastAsia"/>
          <w:b w:val="0"/>
          <w:color w:val="auto"/>
          <w:sz w:val="24"/>
          <w:highlight w:val="none"/>
          <w:lang w:val="en-US"/>
        </w:rPr>
        <w:t>不低于汽车生产厂家标准的原车质保</w:t>
      </w:r>
      <w:r>
        <w:rPr>
          <w:rFonts w:hint="eastAsia" w:asciiTheme="minorEastAsia" w:hAnsiTheme="minorEastAsia" w:eastAsiaTheme="minorEastAsia"/>
          <w:b w:val="0"/>
          <w:color w:val="auto"/>
          <w:sz w:val="24"/>
          <w:highlight w:val="none"/>
          <w:lang w:val="en-US" w:eastAsia="zh-CN"/>
        </w:rPr>
        <w:t>5万公里或者2年（以先到期为准)质保期</w:t>
      </w:r>
      <w:r>
        <w:rPr>
          <w:rFonts w:hint="eastAsia" w:asciiTheme="minorEastAsia" w:hAnsiTheme="minorEastAsia" w:eastAsiaTheme="minorEastAsia"/>
          <w:b w:val="0"/>
          <w:color w:val="auto"/>
          <w:sz w:val="24"/>
          <w:highlight w:val="none"/>
          <w:lang w:val="en-US"/>
        </w:rPr>
        <w:t>。</w:t>
      </w:r>
    </w:p>
    <w:p w14:paraId="0DEF699B">
      <w:pPr>
        <w:widowControl/>
        <w:spacing w:line="40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（二）卖方在合同货物的质量保修期内，免费为买方提供合同货物的</w:t>
      </w:r>
      <w:r>
        <w:rPr>
          <w:rFonts w:hint="eastAsia" w:ascii="宋体" w:hAnsi="宋体" w:eastAsia="宋体" w:cs="宋体"/>
          <w:bCs/>
          <w:color w:val="auto"/>
          <w:sz w:val="24"/>
          <w:szCs w:val="24"/>
          <w:highlight w:val="none"/>
        </w:rPr>
        <w:t>质保服务、软件免费升级服务、</w:t>
      </w:r>
      <w:r>
        <w:rPr>
          <w:rFonts w:hint="eastAsia" w:ascii="宋体" w:hAnsi="宋体" w:eastAsia="宋体" w:cs="宋体"/>
          <w:color w:val="auto"/>
          <w:sz w:val="24"/>
          <w:szCs w:val="24"/>
          <w:highlight w:val="none"/>
        </w:rPr>
        <w:t xml:space="preserve">技术指导和维修服务，服务的时间是：每周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小时（工作时间）。</w:t>
      </w:r>
    </w:p>
    <w:p w14:paraId="3AFAFED2">
      <w:pPr>
        <w:widowControl/>
        <w:spacing w:line="40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（三）卖方保证在合同货物出现故障和缺陷时，或接到买方提出的技术服务要求后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小时内予以答复，如买方有要求或必要时，卖方应在接到买方通知后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小时内派员至买方免费维修和提供现场指导。</w:t>
      </w:r>
    </w:p>
    <w:p w14:paraId="60F8183B">
      <w:pPr>
        <w:widowControl/>
        <w:spacing w:line="40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（四）如卖方在接到买方维修通知后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小时仍不能修复有关货物，卖方应提供与该货物同一型号的备用货物。</w:t>
      </w:r>
    </w:p>
    <w:p w14:paraId="4393C867">
      <w:pPr>
        <w:widowControl/>
        <w:spacing w:line="40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（五）如卖方在接到买方提出的技术服务要求或维修通知后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小时内没有响应、拒绝或没有派员到达买方提供技术服务、修理或退换货物，买方有权委托第三方对合同货物进行维修或提供技术服务，因此产生的相关费用由卖方承担。</w:t>
      </w:r>
    </w:p>
    <w:p w14:paraId="7D4762B2">
      <w:pPr>
        <w:widowControl/>
        <w:spacing w:line="40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（六）在合同货物保修期届满后，如果因合同货物硬件或软件的固有缺陷和瑕疵出现紧急故障和事故，卖方应在接到买方通知之后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小时内到达现场。</w:t>
      </w:r>
    </w:p>
    <w:p w14:paraId="7FE86C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8.违约责任及解决争议方法：详见合同条款。</w:t>
      </w:r>
    </w:p>
    <w:p w14:paraId="31D61F1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9.合同的生效</w:t>
      </w:r>
    </w:p>
    <w:p w14:paraId="6F31376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合同经双方授权代表签署，买卖双方加盖印章之后生效。</w:t>
      </w:r>
    </w:p>
    <w:p w14:paraId="103296E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份，双方各执     份。</w:t>
      </w:r>
    </w:p>
    <w:p w14:paraId="5061DBA7">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0228083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称：（盖章）                  名  称：（盖章）</w:t>
      </w:r>
    </w:p>
    <w:p w14:paraId="59E3CFCC">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1369B3B5">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7466353E">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66464FC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14:paraId="2494220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0B58CC2F">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7340A768">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帐    号：                        帐    号：</w:t>
      </w:r>
    </w:p>
    <w:p w14:paraId="388B59B7">
      <w:pPr>
        <w:spacing w:line="400" w:lineRule="exact"/>
        <w:ind w:left="36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签订时间：</w:t>
      </w:r>
    </w:p>
    <w:p w14:paraId="5E873CC5">
      <w:pPr>
        <w:spacing w:line="400" w:lineRule="exact"/>
        <w:ind w:left="360"/>
        <w:jc w:val="center"/>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62" w:name="_Toc58430331"/>
      <w:r>
        <w:rPr>
          <w:rFonts w:hint="eastAsia" w:ascii="宋体" w:hAnsi="宋体" w:eastAsia="宋体" w:cs="宋体"/>
          <w:b/>
          <w:color w:val="auto"/>
          <w:sz w:val="24"/>
          <w:szCs w:val="24"/>
          <w:highlight w:val="none"/>
        </w:rPr>
        <w:t>二、合同条款</w:t>
      </w:r>
      <w:bookmarkEnd w:id="62"/>
    </w:p>
    <w:p w14:paraId="033395DD">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合同文件</w:t>
      </w:r>
    </w:p>
    <w:p w14:paraId="3D887F93">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642539DB">
      <w:pPr>
        <w:spacing w:line="50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1C4D41FA">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1C30A41A">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7662F3B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3E231C29">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51E86BFC">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A319C8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&lt;4&gt;中标通知书、投标文件和询价通知书；</w:t>
      </w:r>
    </w:p>
    <w:p w14:paraId="48C113A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25F103F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42ADEF7E">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229D2A63">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(1)合同文件使用中文书写、解释和说明。</w:t>
      </w:r>
    </w:p>
    <w:p w14:paraId="4200EBB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 xml:space="preserve">(2)合同文件使用技术性条款约定的为国家标准和规范；国家没有相应标准、规范时，可使用行业标准、规范。非标货物应按约定的技术性条款的标准和规范。 </w:t>
      </w:r>
    </w:p>
    <w:p w14:paraId="7EB123D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标的物的一般条款</w:t>
      </w:r>
    </w:p>
    <w:p w14:paraId="677ACD9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50461F6E">
      <w:pPr>
        <w:tabs>
          <w:tab w:val="left" w:pos="660"/>
        </w:tabs>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5A71B69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379BA26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B800C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68BBAE1">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330623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7379326E">
      <w:pPr>
        <w:pStyle w:val="7"/>
        <w:tabs>
          <w:tab w:val="left" w:pos="900"/>
        </w:tabs>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7720169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3461874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(1)卖方除应履行按期按量交付合格标的物的义务之外，还应提供下列服务：</w:t>
      </w:r>
    </w:p>
    <w:p w14:paraId="705A0F6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&lt;1&gt;标的物的现场安装或指导安装、启动、调试、监督（如果必须安装、调试的话）；</w:t>
      </w:r>
    </w:p>
    <w:p w14:paraId="3D97704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&lt;2&gt;提供标的物组装和一般维修所必须的工具；</w:t>
      </w:r>
    </w:p>
    <w:p w14:paraId="60A11F4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&lt;3&gt;在合同规定的期限内对所提供标的物实行运行监督、维修服务的前提条件是该服务并不能免除卖方在质量保证期内所承担的义务；</w:t>
      </w:r>
    </w:p>
    <w:p w14:paraId="4513AD9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&lt;4&gt;对买方技术人员的技术指导或培训。</w:t>
      </w:r>
    </w:p>
    <w:p w14:paraId="5ACB769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(2)除合同另有规定之外，伴随服务的费用均已含在合同价款中，买方不再另行进行支付。</w:t>
      </w:r>
    </w:p>
    <w:p w14:paraId="3E10349F">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标的物的交付、检验和验收</w:t>
      </w:r>
    </w:p>
    <w:p w14:paraId="277A241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4FFE074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(1)标的物的所有权自标的物交付时转移。</w:t>
      </w:r>
    </w:p>
    <w:p w14:paraId="523FB010">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(2)卖方应当按照约定的期限和约定的地点交付符合询价通知书要求的标的物。</w:t>
      </w:r>
    </w:p>
    <w:p w14:paraId="435A22FF">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(3)卖方应当按照约定或者交易习惯向采购人交付提取标的物单证以外的有关单证和资料。</w:t>
      </w:r>
    </w:p>
    <w:p w14:paraId="7997D5F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0D9C01A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01D2CC3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(2)买方根据合同规定的内容和验收标准进行验收，经检验无误后出具验收合格证明，该证明作为最终付款所需文件的组成部分。</w:t>
      </w:r>
    </w:p>
    <w:p w14:paraId="28EAB55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(3)验收期限自标的物交付之日起5个工作日内。特殊情况需延长的，双方应在合同条款中约定。</w:t>
      </w:r>
    </w:p>
    <w:p w14:paraId="5A383AA5">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 对标的物提出异议的时间和办法</w:t>
      </w:r>
    </w:p>
    <w:p w14:paraId="1B59A90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1E65304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(1)买方在验收过程中，应当于双方约定的检验期间内将标的物的数量或质量不符合约定的情形及处理方式以书面形式通知卖方。</w:t>
      </w:r>
    </w:p>
    <w:p w14:paraId="32B699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(2)如买方在验收期满后既不出具验收合格证明又未提出书面异议的视为卖方所交标的物符合合同规定。</w:t>
      </w:r>
    </w:p>
    <w:p w14:paraId="03BB484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(3)卖方应在收到买方书面异议后七天内负责处理问题，否则将视为默认买方提出的异议和处理意见。</w:t>
      </w:r>
    </w:p>
    <w:p w14:paraId="24F15B5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合同价款和支付</w:t>
      </w:r>
    </w:p>
    <w:p w14:paraId="60779545">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2F14A08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(1)本合同的结算货币为人民币，单位元。</w:t>
      </w:r>
    </w:p>
    <w:p w14:paraId="52D2C8C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(2)卖方应按照双方签订的合同规定交货并在合同主要条款规定的期限内持下列单据结算货款：</w:t>
      </w:r>
    </w:p>
    <w:p w14:paraId="07820F7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&lt;1&gt;合格的销售发票；</w:t>
      </w:r>
    </w:p>
    <w:p w14:paraId="355C41E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&lt;2&gt;买方盖章签收后的送货回单和验收合格证明。</w:t>
      </w:r>
    </w:p>
    <w:p w14:paraId="5BBA5D3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(3)买方应按合同主要条款规定的期限和方式付款。</w:t>
      </w:r>
    </w:p>
    <w:p w14:paraId="617EC1D8">
      <w:pPr>
        <w:pStyle w:val="7"/>
        <w:tabs>
          <w:tab w:val="left" w:pos="54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(4)根据现行税法对买方征收的与本合同有关的一切税费均由买方承担；根据现行税法对卖方征收的与本合同有关的一切税费均由卖方承担。</w:t>
      </w:r>
    </w:p>
    <w:p w14:paraId="15732298">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 违约责任</w:t>
      </w:r>
    </w:p>
    <w:p w14:paraId="5899D842">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480AF608">
      <w:pPr>
        <w:pStyle w:val="7"/>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合同一方不履行合同义务或者履行合同义务不符合约定的，应当承担继续履行、采取补救措施或者赔偿损失等违约责任。</w:t>
      </w:r>
    </w:p>
    <w:p w14:paraId="1040944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6CAEA07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(1)在合同生效后，非产品质量问题，买方要求退货的，应向卖方偿付合同总价款的5%，作为违约金，违约金不足以补偿损失的，卖方有权要求甲方补足。</w:t>
      </w:r>
    </w:p>
    <w:p w14:paraId="78E1219D">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(2)买方逾期付款的应按照逾期付款金额的每天万分之四支付逾期付款违约金。</w:t>
      </w:r>
    </w:p>
    <w:p w14:paraId="7B385366">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(3)买方违反合同规定，拒绝接收卖方交付的符合询价通知书要求的合格标的物，应当承担卖方由此造成的损失。</w:t>
      </w:r>
    </w:p>
    <w:p w14:paraId="273AF87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7AE9F22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6AA86AF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66296AD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（3）卖方逾期提供售后服务的，每逾期一天应按货款的每天万分之四支付违约金，同时承担买方因此遭致的损失费用。</w:t>
      </w:r>
    </w:p>
    <w:p w14:paraId="7B7AA0A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75623746">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(1)因水灾、火灾、地震、战争等不可抗力不能履行合同的，根据不可抗力的影响，部分或者全部免除责任。但合同一方迟延履行后发生不可抗力的，不能免除责任。</w:t>
      </w:r>
    </w:p>
    <w:p w14:paraId="27B61E79">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(2)合同一方因不可抗力不能履行合同的，应当及时通知对方，以减轻可能给对方造成的损失，并应当在合理期限内提供证明。</w:t>
      </w:r>
    </w:p>
    <w:p w14:paraId="4AD0DC8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 索赔</w:t>
      </w:r>
    </w:p>
    <w:p w14:paraId="7EDCAA0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590F668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(1)买方有权根据当地产品质量检验机构或其它有权威部门出具的检验证书向卖方提出索赔。</w:t>
      </w:r>
    </w:p>
    <w:p w14:paraId="5936C79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(2)在本合同规定的检验期和质量保证期内，如果卖方对买方提出的索赔或差异有责任，则卖方应按买方同意的下列一种或多种方式解决索赔事宜：</w:t>
      </w:r>
    </w:p>
    <w:p w14:paraId="0673B1E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5751B2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&lt;2&gt;根据标的物的低劣程度、损坏程度以及甲方遭受损失的数额，经双方协商确定降低标的物的价格；</w:t>
      </w:r>
    </w:p>
    <w:p w14:paraId="47939B3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9FD496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4156D4E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(4)买方提出索赔的书面材料应报当地政府采购管理部门备案。卖方同意的索赔方案应报当地政府采购管理部门审核。</w:t>
      </w:r>
    </w:p>
    <w:p w14:paraId="768FC8E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 履约保证金</w:t>
      </w:r>
    </w:p>
    <w:p w14:paraId="7D49797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01F4312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(1)卖方应在本合同签订时，按询价通知书的约定提供相应的履约保证金，保证金的有效期应不低于合同有效期。</w:t>
      </w:r>
    </w:p>
    <w:p w14:paraId="194D8C3F">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(2)如果卖方未能履行合同规定的任何义务，买方有权从履约保证金中取得补偿。</w:t>
      </w:r>
    </w:p>
    <w:p w14:paraId="6653A3F8">
      <w:pPr>
        <w:pStyle w:val="7"/>
        <w:overflowPunct w:val="0"/>
        <w:spacing w:line="500" w:lineRule="exact"/>
        <w:ind w:right="-334" w:rightChars="-159" w:firstLine="0"/>
        <w:rPr>
          <w:rFonts w:hAnsi="宋体" w:cs="宋体"/>
          <w:b/>
          <w:color w:val="auto"/>
          <w:kern w:val="2"/>
          <w:szCs w:val="24"/>
          <w:highlight w:val="none"/>
        </w:rPr>
      </w:pPr>
      <w:r>
        <w:rPr>
          <w:rFonts w:hint="eastAsia" w:hAnsi="宋体" w:cs="宋体"/>
          <w:b/>
          <w:color w:val="auto"/>
          <w:kern w:val="2"/>
          <w:szCs w:val="24"/>
          <w:highlight w:val="none"/>
        </w:rPr>
        <w:t>九.  合同的解除和转让</w:t>
      </w:r>
    </w:p>
    <w:p w14:paraId="501B191D">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62BB01C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(1)买方和卖方协商一致，可以解除合同。</w:t>
      </w:r>
    </w:p>
    <w:p w14:paraId="54B05CC7">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(2)有下列情形之一，合同一方可以解除合同：</w:t>
      </w:r>
    </w:p>
    <w:p w14:paraId="312C60A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&lt;1&gt;因不可抗力致使不能实现合同目的，未受不可抗力影响的一方有权解除合同；</w:t>
      </w:r>
    </w:p>
    <w:p w14:paraId="294EB592">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&lt;2&gt;因合同一方违约导致合同不能履行，另一方有权解除合同。</w:t>
      </w:r>
    </w:p>
    <w:p w14:paraId="3FAE963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(3)有权解除合同的一方，应当在违约事实或不可抗力发生之后三十天内书面通知对方以主张解除合同，合同在书面通知到达对方时解除。</w:t>
      </w:r>
    </w:p>
    <w:p w14:paraId="00E3ED5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02BFEA8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59051ECE">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合同的生效</w:t>
      </w:r>
    </w:p>
    <w:p w14:paraId="2841766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0489174F">
      <w:pPr>
        <w:spacing w:line="500" w:lineRule="exact"/>
        <w:ind w:firstLine="664" w:firstLineChars="2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27F0FABC">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 争议解决</w:t>
      </w:r>
    </w:p>
    <w:p w14:paraId="17A4A18C">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18B11065">
      <w:pPr>
        <w:pStyle w:val="7"/>
        <w:overflowPunct w:val="0"/>
        <w:spacing w:line="500" w:lineRule="exact"/>
        <w:rPr>
          <w:rFonts w:hAnsi="宋体" w:cs="宋体"/>
          <w:color w:val="auto"/>
          <w:szCs w:val="24"/>
          <w:highlight w:val="none"/>
          <w:u w:color="000000"/>
        </w:rPr>
      </w:pPr>
      <w:r>
        <w:rPr>
          <w:rFonts w:hint="eastAsia" w:hAnsi="宋体" w:cs="宋体"/>
          <w:color w:val="auto"/>
          <w:szCs w:val="24"/>
          <w:highlight w:val="none"/>
          <w:u w:color="000000"/>
        </w:rPr>
        <w:t xml:space="preserve"> 买卖双方因合同发生争议，进行调解，协商不成，可选择：（2）</w:t>
      </w:r>
    </w:p>
    <w:p w14:paraId="23F8C3E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(1)双方同时</w:t>
      </w:r>
      <w:r>
        <w:rPr>
          <w:rFonts w:hint="eastAsia" w:hAnsi="宋体" w:cs="宋体"/>
          <w:color w:val="auto"/>
          <w:szCs w:val="24"/>
          <w:highlight w:val="none"/>
        </w:rPr>
        <w:t>将争议提交滁州仲裁委员会</w:t>
      </w:r>
      <w:r>
        <w:rPr>
          <w:rFonts w:hint="eastAsia" w:hAnsi="宋体" w:cs="宋体"/>
          <w:color w:val="auto"/>
          <w:szCs w:val="24"/>
          <w:highlight w:val="none"/>
          <w:u w:color="000000"/>
        </w:rPr>
        <w:t>进行仲裁；</w:t>
      </w:r>
    </w:p>
    <w:p w14:paraId="36E13E8C">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(2)向买方所在地人民法院提起诉讼。</w:t>
      </w:r>
    </w:p>
    <w:p w14:paraId="3BE8577A">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 .附则</w:t>
      </w:r>
    </w:p>
    <w:p w14:paraId="18EA155A">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1690A9F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本合同一式陆份，买卖双方各执叁份。</w:t>
      </w:r>
    </w:p>
    <w:p w14:paraId="53689308">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490B9EF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51DB1056">
      <w:pPr>
        <w:spacing w:line="500" w:lineRule="exact"/>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61"/>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3" w:name="_Toc215"/>
      <w:bookmarkStart w:id="64"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3"/>
      <w:bookmarkEnd w:id="64"/>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A09AA27">
      <w:pPr>
        <w:spacing w:line="360" w:lineRule="auto"/>
        <w:jc w:val="center"/>
        <w:outlineLvl w:val="1"/>
        <w:rPr>
          <w:rFonts w:asciiTheme="minorEastAsia" w:hAnsiTheme="minorEastAsia" w:eastAsiaTheme="minorEastAsia"/>
          <w:b/>
          <w:color w:val="auto"/>
          <w:sz w:val="24"/>
          <w:highlight w:val="none"/>
        </w:rPr>
      </w:pPr>
      <w:bookmarkStart w:id="65" w:name="_Toc14197"/>
      <w:bookmarkStart w:id="66" w:name="_Toc11521"/>
      <w:bookmarkStart w:id="67" w:name="_Hlk23205287"/>
      <w:r>
        <w:rPr>
          <w:rFonts w:hint="eastAsia" w:asciiTheme="minorEastAsia" w:hAnsiTheme="minorEastAsia" w:eastAsiaTheme="minorEastAsia"/>
          <w:b/>
          <w:color w:val="auto"/>
          <w:sz w:val="24"/>
          <w:highlight w:val="none"/>
        </w:rPr>
        <w:t>一、报价表</w:t>
      </w:r>
      <w:bookmarkEnd w:id="65"/>
      <w:bookmarkEnd w:id="66"/>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0"/>
        <w:gridCol w:w="1318"/>
        <w:gridCol w:w="1318"/>
        <w:gridCol w:w="672"/>
        <w:gridCol w:w="677"/>
        <w:gridCol w:w="939"/>
        <w:gridCol w:w="939"/>
        <w:gridCol w:w="670"/>
      </w:tblGrid>
      <w:tr w14:paraId="084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0A52F328">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775" w:type="pct"/>
            <w:vAlign w:val="center"/>
          </w:tcPr>
          <w:p w14:paraId="24B5BDA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73" w:type="pct"/>
            <w:vAlign w:val="center"/>
          </w:tcPr>
          <w:p w14:paraId="78D3BB7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w:t>
            </w:r>
          </w:p>
          <w:p w14:paraId="46DD27B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号</w:t>
            </w:r>
          </w:p>
        </w:tc>
        <w:tc>
          <w:tcPr>
            <w:tcW w:w="773" w:type="pct"/>
            <w:vAlign w:val="center"/>
          </w:tcPr>
          <w:p w14:paraId="0F647215">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原产地及</w:t>
            </w:r>
          </w:p>
          <w:p w14:paraId="2E61726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94" w:type="pct"/>
            <w:vAlign w:val="center"/>
          </w:tcPr>
          <w:p w14:paraId="3BA6BFC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394" w:type="pct"/>
            <w:vAlign w:val="center"/>
          </w:tcPr>
          <w:p w14:paraId="00623E4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数量</w:t>
            </w:r>
          </w:p>
        </w:tc>
        <w:tc>
          <w:tcPr>
            <w:tcW w:w="550" w:type="pct"/>
            <w:vAlign w:val="center"/>
          </w:tcPr>
          <w:p w14:paraId="09C5DF69">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单价</w:t>
            </w:r>
          </w:p>
          <w:p w14:paraId="3B2D879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550" w:type="pct"/>
            <w:vAlign w:val="center"/>
          </w:tcPr>
          <w:p w14:paraId="0CF0BB9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0C91675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93" w:type="pct"/>
            <w:vAlign w:val="center"/>
          </w:tcPr>
          <w:p w14:paraId="2FE2D1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6C78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0F53A66C">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775" w:type="pct"/>
          </w:tcPr>
          <w:p w14:paraId="1CA5976B">
            <w:pPr>
              <w:rPr>
                <w:rFonts w:asciiTheme="minorEastAsia" w:hAnsiTheme="minorEastAsia" w:eastAsiaTheme="minorEastAsia"/>
                <w:color w:val="auto"/>
                <w:sz w:val="24"/>
                <w:szCs w:val="24"/>
                <w:highlight w:val="none"/>
              </w:rPr>
            </w:pPr>
          </w:p>
        </w:tc>
        <w:tc>
          <w:tcPr>
            <w:tcW w:w="773" w:type="pct"/>
          </w:tcPr>
          <w:p w14:paraId="30A7C8EB">
            <w:pPr>
              <w:rPr>
                <w:rFonts w:asciiTheme="minorEastAsia" w:hAnsiTheme="minorEastAsia" w:eastAsiaTheme="minorEastAsia"/>
                <w:color w:val="auto"/>
                <w:sz w:val="24"/>
                <w:szCs w:val="24"/>
                <w:highlight w:val="none"/>
              </w:rPr>
            </w:pPr>
          </w:p>
        </w:tc>
        <w:tc>
          <w:tcPr>
            <w:tcW w:w="773" w:type="pct"/>
          </w:tcPr>
          <w:p w14:paraId="2257BB1A">
            <w:pPr>
              <w:rPr>
                <w:rFonts w:asciiTheme="minorEastAsia" w:hAnsiTheme="minorEastAsia" w:eastAsiaTheme="minorEastAsia"/>
                <w:color w:val="auto"/>
                <w:sz w:val="24"/>
                <w:szCs w:val="24"/>
                <w:highlight w:val="none"/>
              </w:rPr>
            </w:pPr>
          </w:p>
        </w:tc>
        <w:tc>
          <w:tcPr>
            <w:tcW w:w="394" w:type="pct"/>
          </w:tcPr>
          <w:p w14:paraId="49E558CF">
            <w:pPr>
              <w:rPr>
                <w:rFonts w:asciiTheme="minorEastAsia" w:hAnsiTheme="minorEastAsia" w:eastAsiaTheme="minorEastAsia"/>
                <w:color w:val="auto"/>
                <w:sz w:val="24"/>
                <w:szCs w:val="24"/>
                <w:highlight w:val="none"/>
              </w:rPr>
            </w:pPr>
          </w:p>
        </w:tc>
        <w:tc>
          <w:tcPr>
            <w:tcW w:w="394" w:type="pct"/>
          </w:tcPr>
          <w:p w14:paraId="40CD3B0E">
            <w:pPr>
              <w:rPr>
                <w:rFonts w:asciiTheme="minorEastAsia" w:hAnsiTheme="minorEastAsia" w:eastAsiaTheme="minorEastAsia"/>
                <w:color w:val="auto"/>
                <w:sz w:val="24"/>
                <w:szCs w:val="24"/>
                <w:highlight w:val="none"/>
              </w:rPr>
            </w:pPr>
          </w:p>
        </w:tc>
        <w:tc>
          <w:tcPr>
            <w:tcW w:w="550" w:type="pct"/>
          </w:tcPr>
          <w:p w14:paraId="20B6CFA9">
            <w:pPr>
              <w:rPr>
                <w:rFonts w:asciiTheme="minorEastAsia" w:hAnsiTheme="minorEastAsia" w:eastAsiaTheme="minorEastAsia"/>
                <w:color w:val="auto"/>
                <w:sz w:val="24"/>
                <w:szCs w:val="24"/>
                <w:highlight w:val="none"/>
              </w:rPr>
            </w:pPr>
          </w:p>
        </w:tc>
        <w:tc>
          <w:tcPr>
            <w:tcW w:w="550" w:type="pct"/>
          </w:tcPr>
          <w:p w14:paraId="2958A9AB">
            <w:pPr>
              <w:rPr>
                <w:rFonts w:asciiTheme="minorEastAsia" w:hAnsiTheme="minorEastAsia" w:eastAsiaTheme="minorEastAsia"/>
                <w:color w:val="auto"/>
                <w:sz w:val="24"/>
                <w:szCs w:val="24"/>
                <w:highlight w:val="none"/>
              </w:rPr>
            </w:pPr>
          </w:p>
        </w:tc>
        <w:tc>
          <w:tcPr>
            <w:tcW w:w="393" w:type="pct"/>
          </w:tcPr>
          <w:p w14:paraId="5D4DEAC3">
            <w:pPr>
              <w:rPr>
                <w:rFonts w:asciiTheme="minorEastAsia" w:hAnsiTheme="minorEastAsia" w:eastAsiaTheme="minorEastAsia"/>
                <w:color w:val="auto"/>
                <w:sz w:val="24"/>
                <w:szCs w:val="24"/>
                <w:highlight w:val="none"/>
              </w:rPr>
            </w:pPr>
          </w:p>
        </w:tc>
      </w:tr>
      <w:tr w14:paraId="524C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6392B81">
            <w:pPr>
              <w:jc w:val="center"/>
              <w:rPr>
                <w:rFonts w:asciiTheme="minorEastAsia" w:hAnsiTheme="minorEastAsia" w:eastAsiaTheme="minorEastAsia"/>
                <w:color w:val="auto"/>
                <w:sz w:val="24"/>
                <w:szCs w:val="24"/>
                <w:highlight w:val="none"/>
              </w:rPr>
            </w:pPr>
          </w:p>
        </w:tc>
        <w:tc>
          <w:tcPr>
            <w:tcW w:w="775" w:type="pct"/>
            <w:vAlign w:val="center"/>
          </w:tcPr>
          <w:p w14:paraId="4BF24F0A">
            <w:pPr>
              <w:pStyle w:val="53"/>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其他费用</w:t>
            </w:r>
          </w:p>
        </w:tc>
        <w:tc>
          <w:tcPr>
            <w:tcW w:w="773" w:type="pct"/>
          </w:tcPr>
          <w:p w14:paraId="2DC1799F">
            <w:pPr>
              <w:rPr>
                <w:rFonts w:asciiTheme="minorEastAsia" w:hAnsiTheme="minorEastAsia" w:eastAsiaTheme="minorEastAsia"/>
                <w:color w:val="auto"/>
                <w:sz w:val="24"/>
                <w:szCs w:val="24"/>
                <w:highlight w:val="none"/>
              </w:rPr>
            </w:pPr>
          </w:p>
        </w:tc>
        <w:tc>
          <w:tcPr>
            <w:tcW w:w="773" w:type="pct"/>
          </w:tcPr>
          <w:p w14:paraId="71A3ABC3">
            <w:pPr>
              <w:rPr>
                <w:rFonts w:asciiTheme="minorEastAsia" w:hAnsiTheme="minorEastAsia" w:eastAsiaTheme="minorEastAsia"/>
                <w:color w:val="auto"/>
                <w:sz w:val="24"/>
                <w:szCs w:val="24"/>
                <w:highlight w:val="none"/>
              </w:rPr>
            </w:pPr>
          </w:p>
        </w:tc>
        <w:tc>
          <w:tcPr>
            <w:tcW w:w="394" w:type="pct"/>
          </w:tcPr>
          <w:p w14:paraId="3C632B63">
            <w:pPr>
              <w:rPr>
                <w:rFonts w:asciiTheme="minorEastAsia" w:hAnsiTheme="minorEastAsia" w:eastAsiaTheme="minorEastAsia"/>
                <w:color w:val="auto"/>
                <w:sz w:val="24"/>
                <w:szCs w:val="24"/>
                <w:highlight w:val="none"/>
              </w:rPr>
            </w:pPr>
          </w:p>
        </w:tc>
        <w:tc>
          <w:tcPr>
            <w:tcW w:w="394" w:type="pct"/>
          </w:tcPr>
          <w:p w14:paraId="46668AC3">
            <w:pPr>
              <w:rPr>
                <w:rFonts w:asciiTheme="minorEastAsia" w:hAnsiTheme="minorEastAsia" w:eastAsiaTheme="minorEastAsia"/>
                <w:color w:val="auto"/>
                <w:sz w:val="24"/>
                <w:szCs w:val="24"/>
                <w:highlight w:val="none"/>
              </w:rPr>
            </w:pPr>
          </w:p>
        </w:tc>
        <w:tc>
          <w:tcPr>
            <w:tcW w:w="550" w:type="pct"/>
          </w:tcPr>
          <w:p w14:paraId="21E2AAA0">
            <w:pPr>
              <w:rPr>
                <w:rFonts w:asciiTheme="minorEastAsia" w:hAnsiTheme="minorEastAsia" w:eastAsiaTheme="minorEastAsia"/>
                <w:color w:val="auto"/>
                <w:sz w:val="24"/>
                <w:szCs w:val="24"/>
                <w:highlight w:val="none"/>
              </w:rPr>
            </w:pPr>
          </w:p>
        </w:tc>
        <w:tc>
          <w:tcPr>
            <w:tcW w:w="550" w:type="pct"/>
          </w:tcPr>
          <w:p w14:paraId="3CC1320D">
            <w:pPr>
              <w:rPr>
                <w:rFonts w:asciiTheme="minorEastAsia" w:hAnsiTheme="minorEastAsia" w:eastAsiaTheme="minorEastAsia"/>
                <w:color w:val="auto"/>
                <w:sz w:val="24"/>
                <w:szCs w:val="24"/>
                <w:highlight w:val="none"/>
              </w:rPr>
            </w:pPr>
          </w:p>
        </w:tc>
        <w:tc>
          <w:tcPr>
            <w:tcW w:w="393" w:type="pct"/>
          </w:tcPr>
          <w:p w14:paraId="41BF12D6">
            <w:pPr>
              <w:rPr>
                <w:rFonts w:asciiTheme="minorEastAsia" w:hAnsiTheme="minorEastAsia" w:eastAsiaTheme="minorEastAsia"/>
                <w:color w:val="auto"/>
                <w:sz w:val="24"/>
                <w:szCs w:val="24"/>
                <w:highlight w:val="none"/>
              </w:rPr>
            </w:pPr>
          </w:p>
        </w:tc>
      </w:tr>
      <w:tr w14:paraId="3401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628E60F4">
            <w:pPr>
              <w:jc w:val="center"/>
              <w:rPr>
                <w:rFonts w:asciiTheme="minorEastAsia" w:hAnsiTheme="minorEastAsia" w:eastAsiaTheme="minorEastAsia"/>
                <w:color w:val="auto"/>
                <w:sz w:val="24"/>
                <w:szCs w:val="24"/>
                <w:highlight w:val="none"/>
              </w:rPr>
            </w:pPr>
          </w:p>
        </w:tc>
        <w:tc>
          <w:tcPr>
            <w:tcW w:w="775" w:type="pct"/>
          </w:tcPr>
          <w:p w14:paraId="68491B17">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773" w:type="pct"/>
          </w:tcPr>
          <w:p w14:paraId="72BC70E1">
            <w:pPr>
              <w:rPr>
                <w:rFonts w:asciiTheme="minorEastAsia" w:hAnsiTheme="minorEastAsia" w:eastAsiaTheme="minorEastAsia"/>
                <w:color w:val="auto"/>
                <w:sz w:val="24"/>
                <w:szCs w:val="24"/>
                <w:highlight w:val="none"/>
              </w:rPr>
            </w:pPr>
          </w:p>
        </w:tc>
        <w:tc>
          <w:tcPr>
            <w:tcW w:w="773" w:type="pct"/>
          </w:tcPr>
          <w:p w14:paraId="6C12A122">
            <w:pPr>
              <w:rPr>
                <w:rFonts w:asciiTheme="minorEastAsia" w:hAnsiTheme="minorEastAsia" w:eastAsiaTheme="minorEastAsia"/>
                <w:color w:val="auto"/>
                <w:sz w:val="24"/>
                <w:szCs w:val="24"/>
                <w:highlight w:val="none"/>
              </w:rPr>
            </w:pPr>
          </w:p>
        </w:tc>
        <w:tc>
          <w:tcPr>
            <w:tcW w:w="394" w:type="pct"/>
          </w:tcPr>
          <w:p w14:paraId="65529FC0">
            <w:pPr>
              <w:rPr>
                <w:rFonts w:asciiTheme="minorEastAsia" w:hAnsiTheme="minorEastAsia" w:eastAsiaTheme="minorEastAsia"/>
                <w:color w:val="auto"/>
                <w:sz w:val="24"/>
                <w:szCs w:val="24"/>
                <w:highlight w:val="none"/>
              </w:rPr>
            </w:pPr>
          </w:p>
        </w:tc>
        <w:tc>
          <w:tcPr>
            <w:tcW w:w="394" w:type="pct"/>
          </w:tcPr>
          <w:p w14:paraId="61C84037">
            <w:pPr>
              <w:rPr>
                <w:rFonts w:asciiTheme="minorEastAsia" w:hAnsiTheme="minorEastAsia" w:eastAsiaTheme="minorEastAsia"/>
                <w:color w:val="auto"/>
                <w:sz w:val="24"/>
                <w:szCs w:val="24"/>
                <w:highlight w:val="none"/>
              </w:rPr>
            </w:pPr>
          </w:p>
        </w:tc>
        <w:tc>
          <w:tcPr>
            <w:tcW w:w="550" w:type="pct"/>
          </w:tcPr>
          <w:p w14:paraId="67C530F4">
            <w:pPr>
              <w:rPr>
                <w:rFonts w:asciiTheme="minorEastAsia" w:hAnsiTheme="minorEastAsia" w:eastAsiaTheme="minorEastAsia"/>
                <w:color w:val="auto"/>
                <w:sz w:val="24"/>
                <w:szCs w:val="24"/>
                <w:highlight w:val="none"/>
              </w:rPr>
            </w:pPr>
          </w:p>
        </w:tc>
        <w:tc>
          <w:tcPr>
            <w:tcW w:w="550" w:type="pct"/>
          </w:tcPr>
          <w:p w14:paraId="1A9733C6">
            <w:pPr>
              <w:rPr>
                <w:rFonts w:asciiTheme="minorEastAsia" w:hAnsiTheme="minorEastAsia" w:eastAsiaTheme="minorEastAsia"/>
                <w:color w:val="auto"/>
                <w:sz w:val="24"/>
                <w:szCs w:val="24"/>
                <w:highlight w:val="none"/>
              </w:rPr>
            </w:pPr>
          </w:p>
        </w:tc>
        <w:tc>
          <w:tcPr>
            <w:tcW w:w="393" w:type="pct"/>
          </w:tcPr>
          <w:p w14:paraId="6D4E7E12">
            <w:pPr>
              <w:rPr>
                <w:rFonts w:asciiTheme="minorEastAsia" w:hAnsiTheme="minorEastAsia" w:eastAsiaTheme="minorEastAsia"/>
                <w:color w:val="auto"/>
                <w:sz w:val="24"/>
                <w:szCs w:val="24"/>
                <w:highlight w:val="none"/>
              </w:rPr>
            </w:pPr>
          </w:p>
        </w:tc>
      </w:tr>
      <w:tr w14:paraId="791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5E6E7427">
            <w:pPr>
              <w:jc w:val="center"/>
              <w:rPr>
                <w:rFonts w:asciiTheme="minorEastAsia" w:hAnsiTheme="minorEastAsia" w:eastAsiaTheme="minorEastAsia"/>
                <w:color w:val="auto"/>
                <w:sz w:val="24"/>
                <w:szCs w:val="24"/>
                <w:highlight w:val="none"/>
              </w:rPr>
            </w:pPr>
          </w:p>
        </w:tc>
        <w:tc>
          <w:tcPr>
            <w:tcW w:w="775" w:type="pct"/>
          </w:tcPr>
          <w:p w14:paraId="27AFFA3C">
            <w:pPr>
              <w:pStyle w:val="53"/>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w:t>
            </w:r>
          </w:p>
        </w:tc>
        <w:tc>
          <w:tcPr>
            <w:tcW w:w="773" w:type="pct"/>
          </w:tcPr>
          <w:p w14:paraId="26E1B09F">
            <w:pPr>
              <w:rPr>
                <w:rFonts w:asciiTheme="minorEastAsia" w:hAnsiTheme="minorEastAsia" w:eastAsiaTheme="minorEastAsia"/>
                <w:color w:val="auto"/>
                <w:sz w:val="24"/>
                <w:szCs w:val="24"/>
                <w:highlight w:val="none"/>
              </w:rPr>
            </w:pPr>
          </w:p>
        </w:tc>
        <w:tc>
          <w:tcPr>
            <w:tcW w:w="773" w:type="pct"/>
          </w:tcPr>
          <w:p w14:paraId="668ABBA3">
            <w:pPr>
              <w:rPr>
                <w:rFonts w:asciiTheme="minorEastAsia" w:hAnsiTheme="minorEastAsia" w:eastAsiaTheme="minorEastAsia"/>
                <w:color w:val="auto"/>
                <w:sz w:val="24"/>
                <w:szCs w:val="24"/>
                <w:highlight w:val="none"/>
              </w:rPr>
            </w:pPr>
          </w:p>
        </w:tc>
        <w:tc>
          <w:tcPr>
            <w:tcW w:w="394" w:type="pct"/>
          </w:tcPr>
          <w:p w14:paraId="1DAA6770">
            <w:pPr>
              <w:rPr>
                <w:rFonts w:asciiTheme="minorEastAsia" w:hAnsiTheme="minorEastAsia" w:eastAsiaTheme="minorEastAsia"/>
                <w:color w:val="auto"/>
                <w:sz w:val="24"/>
                <w:szCs w:val="24"/>
                <w:highlight w:val="none"/>
              </w:rPr>
            </w:pPr>
          </w:p>
        </w:tc>
        <w:tc>
          <w:tcPr>
            <w:tcW w:w="394" w:type="pct"/>
          </w:tcPr>
          <w:p w14:paraId="3DB909AA">
            <w:pPr>
              <w:rPr>
                <w:rFonts w:asciiTheme="minorEastAsia" w:hAnsiTheme="minorEastAsia" w:eastAsiaTheme="minorEastAsia"/>
                <w:color w:val="auto"/>
                <w:sz w:val="24"/>
                <w:szCs w:val="24"/>
                <w:highlight w:val="none"/>
              </w:rPr>
            </w:pPr>
          </w:p>
        </w:tc>
        <w:tc>
          <w:tcPr>
            <w:tcW w:w="550" w:type="pct"/>
          </w:tcPr>
          <w:p w14:paraId="603E7407">
            <w:pPr>
              <w:rPr>
                <w:rFonts w:asciiTheme="minorEastAsia" w:hAnsiTheme="minorEastAsia" w:eastAsiaTheme="minorEastAsia"/>
                <w:color w:val="auto"/>
                <w:sz w:val="24"/>
                <w:szCs w:val="24"/>
                <w:highlight w:val="none"/>
              </w:rPr>
            </w:pPr>
          </w:p>
        </w:tc>
        <w:tc>
          <w:tcPr>
            <w:tcW w:w="550" w:type="pct"/>
          </w:tcPr>
          <w:p w14:paraId="74F74D8B">
            <w:pPr>
              <w:rPr>
                <w:rFonts w:asciiTheme="minorEastAsia" w:hAnsiTheme="minorEastAsia" w:eastAsiaTheme="minorEastAsia"/>
                <w:color w:val="auto"/>
                <w:sz w:val="24"/>
                <w:szCs w:val="24"/>
                <w:highlight w:val="none"/>
              </w:rPr>
            </w:pPr>
          </w:p>
        </w:tc>
        <w:tc>
          <w:tcPr>
            <w:tcW w:w="393" w:type="pct"/>
          </w:tcPr>
          <w:p w14:paraId="560DF326">
            <w:pPr>
              <w:rPr>
                <w:rFonts w:asciiTheme="minorEastAsia" w:hAnsiTheme="minorEastAsia" w:eastAsiaTheme="minorEastAsia"/>
                <w:color w:val="auto"/>
                <w:sz w:val="24"/>
                <w:szCs w:val="24"/>
                <w:highlight w:val="none"/>
              </w:rPr>
            </w:pPr>
          </w:p>
        </w:tc>
      </w:tr>
      <w:tr w14:paraId="1EEE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697434E3">
            <w:pPr>
              <w:jc w:val="center"/>
              <w:rPr>
                <w:rFonts w:asciiTheme="minorEastAsia" w:hAnsiTheme="minorEastAsia" w:eastAsiaTheme="minorEastAsia"/>
                <w:color w:val="auto"/>
                <w:sz w:val="24"/>
                <w:szCs w:val="24"/>
                <w:highlight w:val="none"/>
              </w:rPr>
            </w:pPr>
          </w:p>
        </w:tc>
        <w:tc>
          <w:tcPr>
            <w:tcW w:w="775" w:type="pct"/>
          </w:tcPr>
          <w:p w14:paraId="4B2DF236">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773" w:type="pct"/>
          </w:tcPr>
          <w:p w14:paraId="2F74DB7F">
            <w:pPr>
              <w:rPr>
                <w:rFonts w:asciiTheme="minorEastAsia" w:hAnsiTheme="minorEastAsia" w:eastAsiaTheme="minorEastAsia"/>
                <w:color w:val="auto"/>
                <w:sz w:val="24"/>
                <w:szCs w:val="24"/>
                <w:highlight w:val="none"/>
              </w:rPr>
            </w:pPr>
          </w:p>
        </w:tc>
        <w:tc>
          <w:tcPr>
            <w:tcW w:w="773" w:type="pct"/>
          </w:tcPr>
          <w:p w14:paraId="314DE327">
            <w:pPr>
              <w:rPr>
                <w:rFonts w:asciiTheme="minorEastAsia" w:hAnsiTheme="minorEastAsia" w:eastAsiaTheme="minorEastAsia"/>
                <w:color w:val="auto"/>
                <w:sz w:val="24"/>
                <w:szCs w:val="24"/>
                <w:highlight w:val="none"/>
              </w:rPr>
            </w:pPr>
          </w:p>
        </w:tc>
        <w:tc>
          <w:tcPr>
            <w:tcW w:w="394" w:type="pct"/>
          </w:tcPr>
          <w:p w14:paraId="26BD1236">
            <w:pPr>
              <w:rPr>
                <w:rFonts w:asciiTheme="minorEastAsia" w:hAnsiTheme="minorEastAsia" w:eastAsiaTheme="minorEastAsia"/>
                <w:color w:val="auto"/>
                <w:sz w:val="24"/>
                <w:szCs w:val="24"/>
                <w:highlight w:val="none"/>
              </w:rPr>
            </w:pPr>
          </w:p>
        </w:tc>
        <w:tc>
          <w:tcPr>
            <w:tcW w:w="394" w:type="pct"/>
          </w:tcPr>
          <w:p w14:paraId="505D0C5F">
            <w:pPr>
              <w:rPr>
                <w:rFonts w:asciiTheme="minorEastAsia" w:hAnsiTheme="minorEastAsia" w:eastAsiaTheme="minorEastAsia"/>
                <w:color w:val="auto"/>
                <w:sz w:val="24"/>
                <w:szCs w:val="24"/>
                <w:highlight w:val="none"/>
              </w:rPr>
            </w:pPr>
          </w:p>
        </w:tc>
        <w:tc>
          <w:tcPr>
            <w:tcW w:w="550" w:type="pct"/>
          </w:tcPr>
          <w:p w14:paraId="273CAAAF">
            <w:pPr>
              <w:rPr>
                <w:rFonts w:asciiTheme="minorEastAsia" w:hAnsiTheme="minorEastAsia" w:eastAsiaTheme="minorEastAsia"/>
                <w:color w:val="auto"/>
                <w:sz w:val="24"/>
                <w:szCs w:val="24"/>
                <w:highlight w:val="none"/>
              </w:rPr>
            </w:pPr>
          </w:p>
        </w:tc>
        <w:tc>
          <w:tcPr>
            <w:tcW w:w="550" w:type="pct"/>
          </w:tcPr>
          <w:p w14:paraId="24AF6955">
            <w:pPr>
              <w:rPr>
                <w:rFonts w:asciiTheme="minorEastAsia" w:hAnsiTheme="minorEastAsia" w:eastAsiaTheme="minorEastAsia"/>
                <w:color w:val="auto"/>
                <w:sz w:val="24"/>
                <w:szCs w:val="24"/>
                <w:highlight w:val="none"/>
              </w:rPr>
            </w:pPr>
          </w:p>
        </w:tc>
        <w:tc>
          <w:tcPr>
            <w:tcW w:w="393" w:type="pct"/>
          </w:tcPr>
          <w:p w14:paraId="455A2ADA">
            <w:pPr>
              <w:rPr>
                <w:rFonts w:asciiTheme="minorEastAsia" w:hAnsiTheme="minorEastAsia" w:eastAsiaTheme="minorEastAsia"/>
                <w:color w:val="auto"/>
                <w:sz w:val="24"/>
                <w:szCs w:val="24"/>
                <w:highlight w:val="none"/>
              </w:rPr>
            </w:pPr>
          </w:p>
        </w:tc>
      </w:tr>
      <w:tr w14:paraId="258E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505" w:type="pct"/>
            <w:gridSpan w:val="6"/>
            <w:vAlign w:val="center"/>
          </w:tcPr>
          <w:p w14:paraId="18608C07">
            <w:pPr>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合计（元）</w:t>
            </w:r>
          </w:p>
        </w:tc>
        <w:tc>
          <w:tcPr>
            <w:tcW w:w="1101" w:type="pct"/>
            <w:gridSpan w:val="2"/>
          </w:tcPr>
          <w:p w14:paraId="35803458">
            <w:pPr>
              <w:rPr>
                <w:rFonts w:asciiTheme="minorEastAsia" w:hAnsiTheme="minorEastAsia" w:eastAsiaTheme="minorEastAsia"/>
                <w:color w:val="auto"/>
                <w:sz w:val="24"/>
                <w:szCs w:val="24"/>
                <w:highlight w:val="none"/>
              </w:rPr>
            </w:pPr>
          </w:p>
        </w:tc>
        <w:tc>
          <w:tcPr>
            <w:tcW w:w="393" w:type="pct"/>
          </w:tcPr>
          <w:p w14:paraId="2E43C68C">
            <w:pPr>
              <w:rPr>
                <w:rFonts w:asciiTheme="minorEastAsia" w:hAnsiTheme="minorEastAsia" w:eastAsiaTheme="minorEastAsia"/>
                <w:color w:val="auto"/>
                <w:sz w:val="24"/>
                <w:szCs w:val="24"/>
                <w:highlight w:val="none"/>
              </w:rPr>
            </w:pPr>
          </w:p>
        </w:tc>
      </w:tr>
    </w:tbl>
    <w:p w14:paraId="65C3880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BF4633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7565999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w:t>
      </w:r>
    </w:p>
    <w:p w14:paraId="74EECC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供应商承担全部责任。</w:t>
      </w:r>
    </w:p>
    <w:p w14:paraId="6B9AEA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2.表中须明确列出所投产品的货物名称、品牌、型号、原产地及生产厂商，否则可能导致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0A288B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.任何有选择或有条件的报价，或者表中某一包别填写多个报价，均为无效报价。</w:t>
      </w:r>
    </w:p>
    <w:p w14:paraId="6E0E058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25DE3AC">
      <w:pPr>
        <w:spacing w:line="360" w:lineRule="auto"/>
        <w:jc w:val="center"/>
        <w:outlineLvl w:val="1"/>
        <w:rPr>
          <w:rFonts w:asciiTheme="minorEastAsia" w:hAnsiTheme="minorEastAsia" w:eastAsiaTheme="minorEastAsia"/>
          <w:b/>
          <w:color w:val="auto"/>
          <w:sz w:val="24"/>
          <w:highlight w:val="none"/>
        </w:rPr>
      </w:pPr>
      <w:bookmarkStart w:id="68" w:name="_Toc17882"/>
      <w:bookmarkStart w:id="69" w:name="_Toc26924"/>
      <w:r>
        <w:rPr>
          <w:rFonts w:hint="eastAsia" w:asciiTheme="minorEastAsia" w:hAnsiTheme="minorEastAsia" w:eastAsiaTheme="minorEastAsia"/>
          <w:b/>
          <w:color w:val="auto"/>
          <w:sz w:val="24"/>
          <w:highlight w:val="none"/>
        </w:rPr>
        <w:t>二、响应函</w:t>
      </w:r>
      <w:bookmarkEnd w:id="68"/>
      <w:bookmarkEnd w:id="69"/>
    </w:p>
    <w:p w14:paraId="2CF7454D">
      <w:pPr>
        <w:pStyle w:val="15"/>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1.我方根据询价通知书的规定，严格履行合同的责任和义务,并保证于买方要求的日期内完成，并通过买方验收。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2.我方已详细审核全部询价通知书，包括询价通知书的澄清或修改（如有），参考资料及有关附件，我方正式认可并遵守本次询价通知书，并对询价通知书各项条款、规定及要求均无异议。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3.我方同意从询价通知书规定的响应文件提交截止日期起遵循本询价通知书，并在询价通知书规定的询价有效期之前均具有约束力。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2ED1B51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7E4D06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70" w:name="_Toc963"/>
      <w:bookmarkStart w:id="71" w:name="_Toc27880"/>
      <w:r>
        <w:rPr>
          <w:rFonts w:hint="eastAsia" w:asciiTheme="minorEastAsia" w:hAnsiTheme="minorEastAsia" w:eastAsiaTheme="minorEastAsia"/>
          <w:b/>
          <w:color w:val="auto"/>
          <w:sz w:val="24"/>
          <w:highlight w:val="none"/>
        </w:rPr>
        <w:t>三．供应商资格声明书</w:t>
      </w:r>
      <w:bookmarkEnd w:id="70"/>
      <w:r>
        <w:rPr>
          <w:rFonts w:hint="eastAsia" w:asciiTheme="minorEastAsia" w:hAnsiTheme="minorEastAsia" w:eastAsiaTheme="minorEastAsia"/>
          <w:b/>
          <w:color w:val="auto"/>
          <w:sz w:val="24"/>
          <w:highlight w:val="none"/>
        </w:rPr>
        <w:t xml:space="preserve"> </w:t>
      </w:r>
    </w:p>
    <w:p w14:paraId="2AA754B2">
      <w:pPr>
        <w:pStyle w:val="15"/>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3001"/>
        <w:gridCol w:w="3392"/>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AE0F32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8BAF882">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BD5CEB1">
      <w:pPr>
        <w:pStyle w:val="9"/>
        <w:rPr>
          <w:rFonts w:asciiTheme="minorEastAsia" w:hAnsiTheme="minorEastAsia" w:eastAsiaTheme="minorEastAsia" w:cstheme="minorEastAsia"/>
          <w:color w:val="auto"/>
          <w:kern w:val="0"/>
          <w:sz w:val="24"/>
          <w:highlight w:val="none"/>
          <w:lang w:val="en-US" w:bidi="ar"/>
        </w:rPr>
      </w:pPr>
    </w:p>
    <w:p w14:paraId="2C2FF5A3">
      <w:pPr>
        <w:pStyle w:val="9"/>
        <w:rPr>
          <w:rFonts w:asciiTheme="minorEastAsia" w:hAnsiTheme="minorEastAsia" w:eastAsiaTheme="minorEastAsia" w:cstheme="minorEastAsia"/>
          <w:color w:val="auto"/>
          <w:kern w:val="0"/>
          <w:sz w:val="24"/>
          <w:highlight w:val="none"/>
          <w:lang w:val="en-US" w:bidi="ar"/>
        </w:rPr>
      </w:pPr>
    </w:p>
    <w:p w14:paraId="67BBEF0C">
      <w:pPr>
        <w:pStyle w:val="9"/>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72" w:name="_Toc21371"/>
      <w:r>
        <w:rPr>
          <w:rFonts w:hint="eastAsia" w:asciiTheme="minorEastAsia" w:hAnsiTheme="minorEastAsia" w:eastAsiaTheme="minorEastAsia"/>
          <w:b/>
          <w:color w:val="auto"/>
          <w:sz w:val="24"/>
          <w:highlight w:val="none"/>
        </w:rPr>
        <w:t>四、授权书</w:t>
      </w:r>
      <w:bookmarkEnd w:id="71"/>
      <w:bookmarkEnd w:id="72"/>
    </w:p>
    <w:p w14:paraId="0C46D0CC">
      <w:pPr>
        <w:pStyle w:val="14"/>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73" w:name="_Toc14799"/>
      <w:bookmarkStart w:id="74" w:name="_Toc24321"/>
      <w:r>
        <w:rPr>
          <w:rFonts w:hint="eastAsia" w:asciiTheme="minorEastAsia" w:hAnsiTheme="minorEastAsia" w:eastAsiaTheme="minorEastAsia"/>
          <w:b/>
          <w:color w:val="auto"/>
          <w:sz w:val="24"/>
          <w:highlight w:val="none"/>
        </w:rPr>
        <w:t>五、响应表</w:t>
      </w:r>
      <w:bookmarkEnd w:id="73"/>
      <w:bookmarkEnd w:id="74"/>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35A4D6">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FBF35D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询价通知书要求</w:t>
            </w:r>
          </w:p>
        </w:tc>
        <w:tc>
          <w:tcPr>
            <w:tcW w:w="1511" w:type="pct"/>
            <w:vAlign w:val="center"/>
          </w:tcPr>
          <w:p w14:paraId="32038C0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95C1B1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931DAF0">
            <w:pPr>
              <w:jc w:val="center"/>
              <w:rPr>
                <w:rFonts w:asciiTheme="minorEastAsia" w:hAnsiTheme="minorEastAsia" w:eastAsiaTheme="minorEastAsia"/>
                <w:color w:val="auto"/>
                <w:sz w:val="24"/>
                <w:highlight w:val="none"/>
              </w:rPr>
            </w:pP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5"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5" w:type="pct"/>
            <w:vAlign w:val="center"/>
          </w:tcPr>
          <w:p w14:paraId="652C35B9">
            <w:pPr>
              <w:jc w:val="center"/>
              <w:rPr>
                <w:rFonts w:asciiTheme="minorEastAsia" w:hAnsiTheme="minorEastAsia" w:eastAsiaTheme="minorEastAsia"/>
                <w:color w:val="auto"/>
                <w:sz w:val="24"/>
                <w:highlight w:val="none"/>
              </w:rPr>
            </w:pP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5"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5" w:type="pct"/>
            <w:vAlign w:val="center"/>
          </w:tcPr>
          <w:p w14:paraId="4C30CFF5">
            <w:pPr>
              <w:jc w:val="center"/>
              <w:rPr>
                <w:rFonts w:asciiTheme="minorEastAsia" w:hAnsiTheme="minorEastAsia" w:eastAsiaTheme="minorEastAsia"/>
                <w:color w:val="auto"/>
                <w:sz w:val="24"/>
                <w:highlight w:val="none"/>
              </w:rPr>
            </w:pPr>
          </w:p>
        </w:tc>
        <w:tc>
          <w:tcPr>
            <w:tcW w:w="1511" w:type="pct"/>
            <w:vAlign w:val="center"/>
          </w:tcPr>
          <w:p w14:paraId="466F5ED2">
            <w:pPr>
              <w:pStyle w:val="53"/>
              <w:jc w:val="center"/>
              <w:rPr>
                <w:rFonts w:asciiTheme="minorEastAsia" w:hAnsiTheme="minorEastAsia" w:eastAsiaTheme="minorEastAsia"/>
                <w:color w:val="auto"/>
                <w:highlight w:val="none"/>
              </w:rPr>
            </w:pPr>
          </w:p>
        </w:tc>
        <w:tc>
          <w:tcPr>
            <w:tcW w:w="475"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3EE0B9C0">
            <w:pPr>
              <w:jc w:val="center"/>
              <w:rPr>
                <w:rFonts w:asciiTheme="minorEastAsia" w:hAnsiTheme="minorEastAsia" w:eastAsiaTheme="minorEastAsia"/>
                <w:color w:val="auto"/>
                <w:sz w:val="24"/>
                <w:highlight w:val="none"/>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5"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D6D4EAB">
            <w:pPr>
              <w:jc w:val="center"/>
              <w:rPr>
                <w:rFonts w:asciiTheme="minorEastAsia" w:hAnsiTheme="minorEastAsia" w:eastAsiaTheme="minorEastAsia"/>
                <w:color w:val="auto"/>
                <w:sz w:val="24"/>
                <w:highlight w:val="none"/>
              </w:rPr>
            </w:pPr>
          </w:p>
        </w:tc>
        <w:tc>
          <w:tcPr>
            <w:tcW w:w="1465"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5" w:type="pct"/>
            <w:vAlign w:val="center"/>
          </w:tcPr>
          <w:p w14:paraId="2C1961A7">
            <w:pPr>
              <w:jc w:val="center"/>
              <w:rPr>
                <w:rFonts w:asciiTheme="minorEastAsia" w:hAnsiTheme="minorEastAsia" w:eastAsiaTheme="minorEastAsia"/>
                <w:color w:val="auto"/>
                <w:sz w:val="24"/>
                <w:highlight w:val="none"/>
              </w:rPr>
            </w:pPr>
          </w:p>
        </w:tc>
      </w:tr>
    </w:tbl>
    <w:p w14:paraId="6CF0514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EA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15FCCF5">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693AD1A9">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290B0FC">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询价通知书规定的技术参数要求</w:t>
            </w:r>
          </w:p>
        </w:tc>
        <w:tc>
          <w:tcPr>
            <w:tcW w:w="1456" w:type="pct"/>
            <w:vAlign w:val="center"/>
          </w:tcPr>
          <w:p w14:paraId="787D00F3">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CEA6EF9">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F8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94A1D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1316789D">
            <w:pPr>
              <w:jc w:val="center"/>
              <w:rPr>
                <w:rFonts w:asciiTheme="minorEastAsia" w:hAnsiTheme="minorEastAsia" w:eastAsiaTheme="minorEastAsia"/>
                <w:color w:val="auto"/>
                <w:sz w:val="24"/>
                <w:highlight w:val="none"/>
              </w:rPr>
            </w:pPr>
          </w:p>
        </w:tc>
        <w:tc>
          <w:tcPr>
            <w:tcW w:w="1680" w:type="pct"/>
            <w:vAlign w:val="center"/>
          </w:tcPr>
          <w:p w14:paraId="3C2AC459">
            <w:pPr>
              <w:jc w:val="center"/>
              <w:rPr>
                <w:rFonts w:asciiTheme="minorEastAsia" w:hAnsiTheme="minorEastAsia" w:eastAsiaTheme="minorEastAsia"/>
                <w:color w:val="auto"/>
                <w:sz w:val="24"/>
                <w:highlight w:val="none"/>
              </w:rPr>
            </w:pPr>
          </w:p>
        </w:tc>
        <w:tc>
          <w:tcPr>
            <w:tcW w:w="1456" w:type="pct"/>
            <w:vAlign w:val="center"/>
          </w:tcPr>
          <w:p w14:paraId="4B9C1D50">
            <w:pPr>
              <w:jc w:val="center"/>
              <w:rPr>
                <w:rFonts w:asciiTheme="minorEastAsia" w:hAnsiTheme="minorEastAsia" w:eastAsiaTheme="minorEastAsia"/>
                <w:color w:val="auto"/>
                <w:sz w:val="24"/>
                <w:highlight w:val="none"/>
              </w:rPr>
            </w:pPr>
          </w:p>
        </w:tc>
        <w:tc>
          <w:tcPr>
            <w:tcW w:w="502" w:type="pct"/>
            <w:vAlign w:val="center"/>
          </w:tcPr>
          <w:p w14:paraId="27683712">
            <w:pPr>
              <w:jc w:val="center"/>
              <w:rPr>
                <w:rFonts w:asciiTheme="minorEastAsia" w:hAnsiTheme="minorEastAsia" w:eastAsiaTheme="minorEastAsia"/>
                <w:color w:val="auto"/>
                <w:sz w:val="24"/>
                <w:highlight w:val="none"/>
              </w:rPr>
            </w:pPr>
          </w:p>
        </w:tc>
      </w:tr>
      <w:tr w14:paraId="793A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BC881A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576D243C">
            <w:pPr>
              <w:jc w:val="center"/>
              <w:rPr>
                <w:rFonts w:asciiTheme="minorEastAsia" w:hAnsiTheme="minorEastAsia" w:eastAsiaTheme="minorEastAsia"/>
                <w:color w:val="auto"/>
                <w:sz w:val="24"/>
                <w:highlight w:val="none"/>
              </w:rPr>
            </w:pPr>
          </w:p>
        </w:tc>
        <w:tc>
          <w:tcPr>
            <w:tcW w:w="1680" w:type="pct"/>
            <w:vAlign w:val="center"/>
          </w:tcPr>
          <w:p w14:paraId="550B07BF">
            <w:pPr>
              <w:jc w:val="center"/>
              <w:rPr>
                <w:rFonts w:asciiTheme="minorEastAsia" w:hAnsiTheme="minorEastAsia" w:eastAsiaTheme="minorEastAsia"/>
                <w:color w:val="auto"/>
                <w:sz w:val="24"/>
                <w:highlight w:val="none"/>
              </w:rPr>
            </w:pPr>
          </w:p>
        </w:tc>
        <w:tc>
          <w:tcPr>
            <w:tcW w:w="1456" w:type="pct"/>
            <w:vAlign w:val="center"/>
          </w:tcPr>
          <w:p w14:paraId="34F99738">
            <w:pPr>
              <w:jc w:val="center"/>
              <w:rPr>
                <w:rFonts w:asciiTheme="minorEastAsia" w:hAnsiTheme="minorEastAsia" w:eastAsiaTheme="minorEastAsia"/>
                <w:color w:val="auto"/>
                <w:sz w:val="24"/>
                <w:highlight w:val="none"/>
              </w:rPr>
            </w:pPr>
          </w:p>
        </w:tc>
        <w:tc>
          <w:tcPr>
            <w:tcW w:w="502" w:type="pct"/>
            <w:vAlign w:val="center"/>
          </w:tcPr>
          <w:p w14:paraId="4B6DA240">
            <w:pPr>
              <w:jc w:val="center"/>
              <w:rPr>
                <w:rFonts w:asciiTheme="minorEastAsia" w:hAnsiTheme="minorEastAsia" w:eastAsiaTheme="minorEastAsia"/>
                <w:color w:val="auto"/>
                <w:sz w:val="24"/>
                <w:highlight w:val="none"/>
              </w:rPr>
            </w:pPr>
          </w:p>
        </w:tc>
      </w:tr>
      <w:tr w14:paraId="628A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4506AA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2C1882D1">
            <w:pPr>
              <w:jc w:val="center"/>
              <w:rPr>
                <w:rFonts w:asciiTheme="minorEastAsia" w:hAnsiTheme="minorEastAsia" w:eastAsiaTheme="minorEastAsia"/>
                <w:color w:val="auto"/>
                <w:sz w:val="24"/>
                <w:highlight w:val="none"/>
              </w:rPr>
            </w:pPr>
          </w:p>
        </w:tc>
        <w:tc>
          <w:tcPr>
            <w:tcW w:w="1680" w:type="pct"/>
            <w:vAlign w:val="center"/>
          </w:tcPr>
          <w:p w14:paraId="6685665D">
            <w:pPr>
              <w:jc w:val="center"/>
              <w:rPr>
                <w:rFonts w:asciiTheme="minorEastAsia" w:hAnsiTheme="minorEastAsia" w:eastAsiaTheme="minorEastAsia"/>
                <w:color w:val="auto"/>
                <w:sz w:val="24"/>
                <w:highlight w:val="none"/>
              </w:rPr>
            </w:pPr>
          </w:p>
        </w:tc>
        <w:tc>
          <w:tcPr>
            <w:tcW w:w="1456" w:type="pct"/>
            <w:vAlign w:val="center"/>
          </w:tcPr>
          <w:p w14:paraId="09E1BB91">
            <w:pPr>
              <w:pStyle w:val="53"/>
              <w:jc w:val="center"/>
              <w:rPr>
                <w:rFonts w:asciiTheme="minorEastAsia" w:hAnsiTheme="minorEastAsia" w:eastAsiaTheme="minorEastAsia"/>
                <w:color w:val="auto"/>
                <w:highlight w:val="none"/>
              </w:rPr>
            </w:pPr>
          </w:p>
        </w:tc>
        <w:tc>
          <w:tcPr>
            <w:tcW w:w="502" w:type="pct"/>
            <w:vAlign w:val="center"/>
          </w:tcPr>
          <w:p w14:paraId="3659FA32">
            <w:pPr>
              <w:jc w:val="center"/>
              <w:rPr>
                <w:rFonts w:asciiTheme="minorEastAsia" w:hAnsiTheme="minorEastAsia" w:eastAsiaTheme="minorEastAsia"/>
                <w:color w:val="auto"/>
                <w:sz w:val="24"/>
                <w:highlight w:val="none"/>
              </w:rPr>
            </w:pPr>
          </w:p>
        </w:tc>
      </w:tr>
      <w:tr w14:paraId="379D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1477CD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B015D9B">
            <w:pPr>
              <w:jc w:val="center"/>
              <w:rPr>
                <w:rFonts w:asciiTheme="minorEastAsia" w:hAnsiTheme="minorEastAsia" w:eastAsiaTheme="minorEastAsia"/>
                <w:color w:val="auto"/>
                <w:sz w:val="24"/>
                <w:highlight w:val="none"/>
              </w:rPr>
            </w:pPr>
          </w:p>
        </w:tc>
        <w:tc>
          <w:tcPr>
            <w:tcW w:w="1680" w:type="pct"/>
            <w:vAlign w:val="center"/>
          </w:tcPr>
          <w:p w14:paraId="16084A69">
            <w:pPr>
              <w:jc w:val="center"/>
              <w:rPr>
                <w:rFonts w:asciiTheme="minorEastAsia" w:hAnsiTheme="minorEastAsia" w:eastAsiaTheme="minorEastAsia"/>
                <w:color w:val="auto"/>
                <w:sz w:val="24"/>
                <w:highlight w:val="none"/>
              </w:rPr>
            </w:pPr>
          </w:p>
        </w:tc>
        <w:tc>
          <w:tcPr>
            <w:tcW w:w="1456" w:type="pct"/>
            <w:vAlign w:val="center"/>
          </w:tcPr>
          <w:p w14:paraId="7702723D">
            <w:pPr>
              <w:pStyle w:val="53"/>
              <w:jc w:val="center"/>
              <w:rPr>
                <w:rFonts w:asciiTheme="minorEastAsia" w:hAnsiTheme="minorEastAsia" w:eastAsiaTheme="minorEastAsia"/>
                <w:color w:val="auto"/>
                <w:highlight w:val="none"/>
              </w:rPr>
            </w:pPr>
          </w:p>
        </w:tc>
        <w:tc>
          <w:tcPr>
            <w:tcW w:w="502" w:type="pct"/>
            <w:vAlign w:val="center"/>
          </w:tcPr>
          <w:p w14:paraId="0246B76E">
            <w:pPr>
              <w:jc w:val="center"/>
              <w:rPr>
                <w:rFonts w:asciiTheme="minorEastAsia" w:hAnsiTheme="minorEastAsia" w:eastAsiaTheme="minorEastAsia"/>
                <w:color w:val="auto"/>
                <w:sz w:val="24"/>
                <w:highlight w:val="none"/>
              </w:rPr>
            </w:pPr>
          </w:p>
        </w:tc>
      </w:tr>
      <w:tr w14:paraId="644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3C313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77520772">
            <w:pPr>
              <w:jc w:val="center"/>
              <w:rPr>
                <w:rFonts w:asciiTheme="minorEastAsia" w:hAnsiTheme="minorEastAsia" w:eastAsiaTheme="minorEastAsia"/>
                <w:color w:val="auto"/>
                <w:sz w:val="24"/>
                <w:highlight w:val="none"/>
              </w:rPr>
            </w:pPr>
          </w:p>
        </w:tc>
        <w:tc>
          <w:tcPr>
            <w:tcW w:w="1680" w:type="pct"/>
            <w:vAlign w:val="center"/>
          </w:tcPr>
          <w:p w14:paraId="5AA899D2">
            <w:pPr>
              <w:jc w:val="center"/>
              <w:rPr>
                <w:rFonts w:asciiTheme="minorEastAsia" w:hAnsiTheme="minorEastAsia" w:eastAsiaTheme="minorEastAsia"/>
                <w:color w:val="auto"/>
                <w:sz w:val="24"/>
                <w:highlight w:val="none"/>
              </w:rPr>
            </w:pPr>
          </w:p>
        </w:tc>
        <w:tc>
          <w:tcPr>
            <w:tcW w:w="1456" w:type="pct"/>
            <w:vAlign w:val="center"/>
          </w:tcPr>
          <w:p w14:paraId="26DF0644">
            <w:pPr>
              <w:jc w:val="center"/>
              <w:rPr>
                <w:rFonts w:asciiTheme="minorEastAsia" w:hAnsiTheme="minorEastAsia" w:eastAsiaTheme="minorEastAsia"/>
                <w:color w:val="auto"/>
                <w:sz w:val="24"/>
                <w:highlight w:val="none"/>
              </w:rPr>
            </w:pPr>
          </w:p>
        </w:tc>
        <w:tc>
          <w:tcPr>
            <w:tcW w:w="502" w:type="pct"/>
            <w:vAlign w:val="center"/>
          </w:tcPr>
          <w:p w14:paraId="5872BAD6">
            <w:pPr>
              <w:jc w:val="center"/>
              <w:rPr>
                <w:rFonts w:asciiTheme="minorEastAsia" w:hAnsiTheme="minorEastAsia" w:eastAsiaTheme="minorEastAsia"/>
                <w:color w:val="auto"/>
                <w:sz w:val="24"/>
                <w:highlight w:val="none"/>
              </w:rPr>
            </w:pPr>
          </w:p>
        </w:tc>
      </w:tr>
    </w:tbl>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6900DBB8">
      <w:pPr>
        <w:pStyle w:val="15"/>
        <w:spacing w:line="360" w:lineRule="auto"/>
        <w:rPr>
          <w:rFonts w:asciiTheme="minorEastAsia" w:hAnsiTheme="minorEastAsia" w:eastAsiaTheme="minorEastAsia"/>
          <w:b w:val="0"/>
          <w:color w:val="auto"/>
          <w:sz w:val="24"/>
          <w:highlight w:val="none"/>
        </w:rPr>
      </w:pPr>
    </w:p>
    <w:p w14:paraId="34E0C90E">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75" w:name="_Toc10896"/>
      <w:bookmarkStart w:id="76" w:name="_Toc5390"/>
      <w:r>
        <w:rPr>
          <w:rFonts w:hint="eastAsia" w:asciiTheme="minorEastAsia" w:hAnsiTheme="minorEastAsia" w:eastAsiaTheme="minorEastAsia"/>
          <w:b/>
          <w:color w:val="auto"/>
          <w:sz w:val="24"/>
          <w:highlight w:val="none"/>
        </w:rPr>
        <w:t>六、</w:t>
      </w:r>
      <w:bookmarkEnd w:id="75"/>
      <w:bookmarkEnd w:id="76"/>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五、不与采购人、采购代理机构或其他供应商串通响应，损害国家利益、社会公共利益或者他人的合法权益；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E8B859D">
      <w:pPr>
        <w:spacing w:line="360" w:lineRule="auto"/>
        <w:jc w:val="center"/>
        <w:outlineLvl w:val="1"/>
        <w:rPr>
          <w:rFonts w:asciiTheme="minorEastAsia" w:hAnsiTheme="minorEastAsia" w:eastAsiaTheme="minorEastAsia"/>
          <w:b/>
          <w:color w:val="auto"/>
          <w:sz w:val="24"/>
          <w:highlight w:val="none"/>
        </w:rPr>
      </w:pPr>
      <w:bookmarkStart w:id="77" w:name="_Toc16514"/>
      <w:r>
        <w:rPr>
          <w:rFonts w:hint="eastAsia" w:asciiTheme="minorEastAsia" w:hAnsiTheme="minorEastAsia" w:eastAsiaTheme="minorEastAsia"/>
          <w:b/>
          <w:color w:val="auto"/>
          <w:sz w:val="24"/>
          <w:highlight w:val="none"/>
        </w:rPr>
        <w:t>七．</w:t>
      </w:r>
      <w:bookmarkEnd w:id="77"/>
      <w:bookmarkStart w:id="78" w:name="_Toc27991"/>
      <w:bookmarkStart w:id="79" w:name="_Toc3004"/>
      <w:bookmarkStart w:id="80" w:name="_Hlk60606033"/>
      <w:r>
        <w:rPr>
          <w:rFonts w:hint="eastAsia" w:asciiTheme="minorEastAsia" w:hAnsiTheme="minorEastAsia" w:eastAsiaTheme="minorEastAsia"/>
          <w:b/>
          <w:color w:val="auto"/>
          <w:sz w:val="24"/>
          <w:highlight w:val="none"/>
        </w:rPr>
        <w:t>中小企业声明函</w:t>
      </w:r>
      <w:bookmarkEnd w:id="78"/>
      <w:bookmarkEnd w:id="79"/>
    </w:p>
    <w:p w14:paraId="07700C4F">
      <w:pPr>
        <w:pStyle w:val="9"/>
        <w:spacing w:line="360" w:lineRule="auto"/>
        <w:jc w:val="center"/>
        <w:rPr>
          <w:rFonts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w:t>
      </w:r>
      <w:r>
        <w:rPr>
          <w:rFonts w:hint="eastAsia" w:ascii="宋体" w:hAnsi="宋体" w:eastAsia="宋体"/>
          <w:i/>
          <w:color w:val="auto"/>
          <w:sz w:val="24"/>
          <w:highlight w:val="none"/>
          <w:lang w:val="en-US"/>
        </w:rPr>
        <w:t>询价，不需此件，请删去“中小企业声明函”）</w:t>
      </w:r>
    </w:p>
    <w:p w14:paraId="78A3AA58">
      <w:pPr>
        <w:pStyle w:val="23"/>
        <w:widowControl/>
        <w:ind w:firstLine="480" w:firstLineChars="200"/>
        <w:rPr>
          <w:rFonts w:ascii="宋体" w:hAnsi="宋体" w:eastAsia="宋体"/>
          <w:color w:val="auto"/>
          <w:szCs w:val="24"/>
          <w:highlight w:val="none"/>
          <w:lang w:val="zh-CN"/>
        </w:rPr>
      </w:pPr>
      <w:bookmarkStart w:id="81" w:name="OLE_LINK14"/>
      <w:bookmarkStart w:id="82" w:name="OLE_LINK13"/>
      <w:r>
        <w:rPr>
          <w:rFonts w:hint="eastAsia" w:ascii="宋体" w:hAnsi="宋体" w:eastAsia="宋体"/>
          <w:color w:val="auto"/>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Cs w:val="24"/>
          <w:highlight w:val="none"/>
          <w:u w:val="single"/>
          <w:lang w:val="zh-CN"/>
        </w:rPr>
        <w:t>（</w:t>
      </w:r>
      <w:r>
        <w:rPr>
          <w:rFonts w:ascii="宋体" w:hAnsi="宋体" w:eastAsia="宋体"/>
          <w:color w:val="auto"/>
          <w:szCs w:val="24"/>
          <w:highlight w:val="none"/>
          <w:u w:val="single"/>
          <w:lang w:val="zh-CN"/>
        </w:rPr>
        <w:t>单位名称</w:t>
      </w:r>
      <w:r>
        <w:rPr>
          <w:rFonts w:hint="eastAsia" w:ascii="宋体" w:hAnsi="宋体" w:eastAsia="宋体"/>
          <w:color w:val="auto"/>
          <w:szCs w:val="24"/>
          <w:highlight w:val="none"/>
          <w:u w:val="single"/>
          <w:lang w:val="zh-CN"/>
        </w:rPr>
        <w:t>）</w:t>
      </w:r>
      <w:r>
        <w:rPr>
          <w:rFonts w:hint="eastAsia" w:ascii="宋体" w:hAnsi="宋体" w:eastAsia="宋体"/>
          <w:color w:val="auto"/>
          <w:szCs w:val="24"/>
          <w:highlight w:val="none"/>
          <w:lang w:val="zh-CN"/>
        </w:rPr>
        <w:t>的</w:t>
      </w:r>
      <w:r>
        <w:rPr>
          <w:rFonts w:hint="eastAsia" w:ascii="宋体" w:hAnsi="宋体" w:eastAsia="宋体"/>
          <w:color w:val="auto"/>
          <w:szCs w:val="24"/>
          <w:highlight w:val="none"/>
          <w:u w:val="single"/>
          <w:lang w:val="zh-CN"/>
        </w:rPr>
        <w:t>（项目</w:t>
      </w:r>
      <w:r>
        <w:rPr>
          <w:rFonts w:hint="eastAsia" w:ascii="宋体" w:hAnsi="宋体" w:eastAsia="宋体"/>
          <w:color w:val="auto"/>
          <w:szCs w:val="24"/>
          <w:highlight w:val="none"/>
          <w:u w:val="single"/>
        </w:rPr>
        <w:t>名称</w:t>
      </w:r>
      <w:r>
        <w:rPr>
          <w:rFonts w:hint="eastAsia" w:ascii="宋体" w:hAnsi="宋体" w:eastAsia="宋体"/>
          <w:color w:val="auto"/>
          <w:szCs w:val="24"/>
          <w:highlight w:val="none"/>
          <w:u w:val="single"/>
          <w:lang w:val="zh-CN"/>
        </w:rPr>
        <w:t>）</w:t>
      </w:r>
      <w:r>
        <w:rPr>
          <w:rFonts w:hint="eastAsia" w:ascii="宋体" w:hAnsi="宋体" w:eastAsia="宋体"/>
          <w:color w:val="auto"/>
          <w:szCs w:val="24"/>
          <w:highlight w:val="none"/>
          <w:lang w:val="zh-CN"/>
        </w:rPr>
        <w:t xml:space="preserve">采购活动，提供的货物全部由符合政策要求的中小企业制造。相关企业（含联合体中的中小企业、签订分包意向协议的中小企业）的具体情况如下： </w:t>
      </w:r>
    </w:p>
    <w:p w14:paraId="0C4CC83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rPr>
        <w:t>询价通知书</w:t>
      </w:r>
      <w:r>
        <w:rPr>
          <w:rFonts w:hint="eastAsia" w:ascii="宋体" w:hAnsi="宋体" w:eastAsia="宋体"/>
          <w:color w:val="auto"/>
          <w:sz w:val="24"/>
          <w:szCs w:val="24"/>
          <w:highlight w:val="none"/>
          <w:u w:val="single"/>
          <w:lang w:val="zh-CN"/>
        </w:rPr>
        <w:t>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257B74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rPr>
        <w:t>询价通知书</w:t>
      </w:r>
      <w:r>
        <w:rPr>
          <w:rFonts w:hint="eastAsia" w:ascii="宋体" w:hAnsi="宋体" w:eastAsia="宋体"/>
          <w:color w:val="auto"/>
          <w:sz w:val="24"/>
          <w:szCs w:val="24"/>
          <w:highlight w:val="none"/>
          <w:u w:val="single"/>
          <w:lang w:val="zh-CN"/>
        </w:rPr>
        <w:t>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E0F4F2A">
      <w:pPr>
        <w:pStyle w:val="23"/>
        <w:widowControl/>
        <w:ind w:firstLine="480" w:firstLineChars="200"/>
        <w:rPr>
          <w:rFonts w:ascii="宋体" w:hAnsi="宋体" w:eastAsia="宋体"/>
          <w:color w:val="auto"/>
          <w:szCs w:val="24"/>
          <w:highlight w:val="none"/>
          <w:lang w:val="zh-CN"/>
        </w:rPr>
      </w:pPr>
      <w:r>
        <w:rPr>
          <w:rFonts w:hint="eastAsia" w:ascii="宋体" w:hAnsi="宋体" w:eastAsia="宋体"/>
          <w:color w:val="auto"/>
          <w:szCs w:val="24"/>
          <w:highlight w:val="none"/>
          <w:lang w:val="zh-CN"/>
        </w:rPr>
        <w:t>……</w:t>
      </w:r>
    </w:p>
    <w:p w14:paraId="4E8E1335">
      <w:pPr>
        <w:pStyle w:val="23"/>
        <w:widowControl/>
        <w:ind w:firstLine="480" w:firstLineChars="200"/>
        <w:rPr>
          <w:rFonts w:ascii="宋体" w:hAnsi="宋体" w:eastAsia="宋体"/>
          <w:color w:val="auto"/>
          <w:szCs w:val="24"/>
          <w:highlight w:val="none"/>
          <w:lang w:val="zh-CN"/>
        </w:rPr>
      </w:pPr>
      <w:r>
        <w:rPr>
          <w:rFonts w:hint="eastAsia" w:ascii="宋体" w:hAnsi="宋体" w:eastAsia="宋体"/>
          <w:color w:val="auto"/>
          <w:szCs w:val="24"/>
          <w:highlight w:val="none"/>
          <w:lang w:val="zh-CN"/>
        </w:rPr>
        <w:t>以上企业，不属于大企业的分支机构，不存在控股股东为大企业的情形，也不存在与大企业的负责人为同一人的情形。</w:t>
      </w:r>
    </w:p>
    <w:p w14:paraId="1DEEB21F">
      <w:pPr>
        <w:pStyle w:val="23"/>
        <w:widowControl/>
        <w:ind w:firstLine="480" w:firstLineChars="200"/>
        <w:rPr>
          <w:rFonts w:ascii="宋体" w:hAnsi="宋体" w:eastAsia="宋体"/>
          <w:color w:val="auto"/>
          <w:szCs w:val="24"/>
          <w:highlight w:val="none"/>
          <w:lang w:val="zh-CN"/>
        </w:rPr>
      </w:pPr>
      <w:r>
        <w:rPr>
          <w:rFonts w:hint="eastAsia" w:ascii="宋体" w:hAnsi="宋体" w:eastAsia="宋体"/>
          <w:color w:val="auto"/>
          <w:szCs w:val="24"/>
          <w:highlight w:val="none"/>
          <w:lang w:val="zh-CN"/>
        </w:rPr>
        <w:t xml:space="preserve">本企业对上述声明内容的真实性负责。如有虚假，将依法承担相应责任。 </w:t>
      </w:r>
    </w:p>
    <w:p w14:paraId="24B0FC33">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1E79DF8">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80"/>
    <w:bookmarkEnd w:id="81"/>
    <w:bookmarkEnd w:id="82"/>
    <w:p w14:paraId="203F5DB7">
      <w:pPr>
        <w:tabs>
          <w:tab w:val="left" w:pos="4620"/>
        </w:tabs>
        <w:spacing w:line="400" w:lineRule="exact"/>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23745C79">
      <w:pPr>
        <w:tabs>
          <w:tab w:val="left" w:pos="4620"/>
        </w:tabs>
        <w:spacing w:line="400" w:lineRule="exact"/>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233580FD">
      <w:pPr>
        <w:tabs>
          <w:tab w:val="left" w:pos="4620"/>
        </w:tabs>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2B682495">
      <w:pPr>
        <w:tabs>
          <w:tab w:val="left" w:pos="4620"/>
        </w:tabs>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018705C">
      <w:pPr>
        <w:tabs>
          <w:tab w:val="left" w:pos="4620"/>
        </w:tabs>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询价通知书中明确的所属行业</w:t>
      </w:r>
      <w:r>
        <w:rPr>
          <w:rFonts w:hint="eastAsia" w:ascii="宋体" w:hAnsi="宋体" w:eastAsia="宋体" w:cs="宋体"/>
          <w:b/>
          <w:bCs/>
          <w:color w:val="auto"/>
          <w:szCs w:val="21"/>
          <w:highlight w:val="none"/>
        </w:rPr>
        <w:t>”，详见第三章采购需求中明确的“所属行业”。</w:t>
      </w:r>
    </w:p>
    <w:p w14:paraId="179840AA">
      <w:pPr>
        <w:tabs>
          <w:tab w:val="left" w:pos="4620"/>
        </w:tabs>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9125D4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C0C0B21">
      <w:pPr>
        <w:spacing w:line="360" w:lineRule="auto"/>
        <w:jc w:val="center"/>
        <w:outlineLvl w:val="1"/>
        <w:rPr>
          <w:rFonts w:asciiTheme="minorEastAsia" w:hAnsiTheme="minorEastAsia" w:eastAsiaTheme="minorEastAsia"/>
          <w:b/>
          <w:color w:val="auto"/>
          <w:sz w:val="24"/>
          <w:highlight w:val="none"/>
        </w:rPr>
      </w:pPr>
      <w:bookmarkStart w:id="83" w:name="_Toc29137"/>
      <w:bookmarkStart w:id="84" w:name="_Toc2147"/>
      <w:bookmarkStart w:id="85" w:name="_Hlk60606117"/>
      <w:r>
        <w:rPr>
          <w:rFonts w:hint="eastAsia" w:asciiTheme="minorEastAsia" w:hAnsiTheme="minorEastAsia" w:eastAsiaTheme="minorEastAsia"/>
          <w:b/>
          <w:color w:val="auto"/>
          <w:sz w:val="24"/>
          <w:highlight w:val="none"/>
        </w:rPr>
        <w:t>八、残疾人福利性单位声明函</w:t>
      </w:r>
      <w:bookmarkEnd w:id="83"/>
      <w:bookmarkEnd w:id="84"/>
    </w:p>
    <w:p w14:paraId="3B810BEF">
      <w:pPr>
        <w:pStyle w:val="9"/>
        <w:spacing w:line="360" w:lineRule="auto"/>
        <w:jc w:val="center"/>
        <w:rPr>
          <w:rFonts w:asciiTheme="minorEastAsia" w:hAnsiTheme="minorEastAsia" w:eastAsiaTheme="minorEastAsia"/>
          <w:color w:val="auto"/>
          <w:spacing w:val="6"/>
          <w:sz w:val="24"/>
          <w:highlight w:val="none"/>
        </w:rPr>
      </w:pPr>
      <w:r>
        <w:rPr>
          <w:rFonts w:hint="eastAsia" w:ascii="宋体" w:hAnsi="宋体" w:eastAsia="宋体"/>
          <w:i/>
          <w:color w:val="auto"/>
          <w:sz w:val="24"/>
          <w:highlight w:val="none"/>
          <w:lang w:val="en-US"/>
        </w:rPr>
        <w:t>（非残疾人福利性单位询价，请删去“残疾人福利性单位声明函”）</w:t>
      </w:r>
    </w:p>
    <w:p w14:paraId="2F365E4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3EAD088">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1733A90">
      <w:pPr>
        <w:spacing w:line="360" w:lineRule="auto"/>
        <w:ind w:firstLine="4228" w:firstLineChars="1762"/>
        <w:rPr>
          <w:rFonts w:asciiTheme="minorEastAsia" w:hAnsiTheme="minorEastAsia" w:eastAsiaTheme="minorEastAsia"/>
          <w:color w:val="auto"/>
          <w:sz w:val="24"/>
          <w:szCs w:val="24"/>
          <w:highlight w:val="none"/>
        </w:rPr>
      </w:pPr>
    </w:p>
    <w:p w14:paraId="1199B4DD">
      <w:pPr>
        <w:spacing w:line="360" w:lineRule="auto"/>
        <w:ind w:firstLine="4228" w:firstLineChars="1762"/>
        <w:rPr>
          <w:rFonts w:asciiTheme="minorEastAsia" w:hAnsiTheme="minorEastAsia" w:eastAsiaTheme="minorEastAsia"/>
          <w:color w:val="auto"/>
          <w:sz w:val="24"/>
          <w:szCs w:val="24"/>
          <w:highlight w:val="none"/>
        </w:rPr>
      </w:pPr>
    </w:p>
    <w:p w14:paraId="06BDB620">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3183C5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85"/>
    <w:p w14:paraId="6172880B">
      <w:pPr>
        <w:spacing w:line="360" w:lineRule="auto"/>
        <w:ind w:firstLine="435"/>
        <w:rPr>
          <w:rFonts w:cs="Cambria Math" w:asciiTheme="minorEastAsia" w:hAnsiTheme="minorEastAsia" w:eastAsiaTheme="minorEastAsia"/>
          <w:b/>
          <w:color w:val="auto"/>
          <w:sz w:val="24"/>
          <w:szCs w:val="24"/>
          <w:highlight w:val="none"/>
        </w:rPr>
      </w:pPr>
    </w:p>
    <w:p w14:paraId="1314A11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86" w:name="_Toc23417"/>
      <w:bookmarkStart w:id="87" w:name="_Toc1350"/>
      <w:r>
        <w:rPr>
          <w:rFonts w:hint="eastAsia" w:asciiTheme="minorEastAsia" w:hAnsiTheme="minorEastAsia" w:eastAsiaTheme="minorEastAsia"/>
          <w:b/>
          <w:color w:val="auto"/>
          <w:sz w:val="24"/>
          <w:highlight w:val="none"/>
        </w:rPr>
        <w:t>九、诚信履约承诺函</w:t>
      </w:r>
      <w:bookmarkEnd w:id="86"/>
      <w:bookmarkEnd w:id="87"/>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询价通知书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（2）未按照询价通知书确定的事项签订政府采购合同；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对本询价通知书的相关要求完全响应。若有幸成交将严格按照以上承诺进行供货和服务。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87904F3">
      <w:pPr>
        <w:widowControl/>
        <w:jc w:val="left"/>
        <w:rPr>
          <w:rFonts w:asciiTheme="minorEastAsia" w:hAnsiTheme="minorEastAsia" w:eastAsiaTheme="minorEastAsia"/>
          <w:color w:val="auto"/>
          <w:sz w:val="24"/>
          <w:highlight w:val="none"/>
        </w:rPr>
      </w:pPr>
    </w:p>
    <w:p w14:paraId="42A35DEC">
      <w:pPr>
        <w:spacing w:line="360" w:lineRule="auto"/>
        <w:jc w:val="center"/>
        <w:outlineLvl w:val="1"/>
        <w:rPr>
          <w:rFonts w:asciiTheme="minorEastAsia" w:hAnsiTheme="minorEastAsia" w:eastAsiaTheme="minorEastAsia"/>
          <w:b/>
          <w:color w:val="auto"/>
          <w:sz w:val="24"/>
          <w:highlight w:val="none"/>
        </w:rPr>
      </w:pPr>
      <w:bookmarkStart w:id="88" w:name="_Toc12602"/>
      <w:bookmarkStart w:id="89" w:name="_Toc19513"/>
      <w:r>
        <w:rPr>
          <w:rFonts w:hint="eastAsia" w:asciiTheme="minorEastAsia" w:hAnsiTheme="minorEastAsia" w:eastAsiaTheme="minorEastAsia"/>
          <w:b/>
          <w:color w:val="auto"/>
          <w:sz w:val="24"/>
          <w:highlight w:val="none"/>
        </w:rPr>
        <w:t>十、其他相关证明材料</w:t>
      </w:r>
      <w:bookmarkEnd w:id="88"/>
      <w:bookmarkEnd w:id="89"/>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0" w:firstLineChars="200"/>
        <w:rPr>
          <w:rFonts w:asciiTheme="minorEastAsia" w:hAnsiTheme="minorEastAsia" w:eastAsiaTheme="minorEastAsia"/>
          <w:color w:val="auto"/>
          <w:sz w:val="24"/>
          <w:highlight w:val="none"/>
        </w:rPr>
      </w:pP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w:t>
      </w:r>
      <w:r>
        <w:rPr>
          <w:rFonts w:asciiTheme="minorEastAsia" w:hAnsiTheme="minorEastAsia" w:eastAsiaTheme="minorEastAsia"/>
          <w:color w:val="auto"/>
          <w:sz w:val="24"/>
          <w:highlight w:val="none"/>
        </w:rPr>
        <w:t>询价通知书要求上传的证明资料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bookmarkEnd w:id="67"/>
    <w:p w14:paraId="00943BE2">
      <w:pPr>
        <w:widowControl/>
        <w:jc w:val="left"/>
        <w:rPr>
          <w:rFonts w:ascii="宋体" w:hAnsi="宋体" w:eastAsia="宋体" w:cs="宋体"/>
          <w:b/>
          <w:bCs/>
          <w:color w:val="auto"/>
          <w:kern w:val="0"/>
          <w:sz w:val="24"/>
          <w:szCs w:val="24"/>
          <w:highlight w:val="none"/>
          <w:lang w:bidi="ar"/>
        </w:rPr>
      </w:pPr>
      <w:bookmarkStart w:id="90" w:name="_Toc60608832"/>
      <w:bookmarkStart w:id="91" w:name="_Toc1141"/>
      <w:bookmarkStart w:id="92" w:name="_Toc1171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90"/>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1"/>
      <w:bookmarkEnd w:id="92"/>
    </w:p>
    <w:p w14:paraId="2D6DC504">
      <w:pPr>
        <w:spacing w:line="360" w:lineRule="auto"/>
        <w:jc w:val="center"/>
        <w:outlineLvl w:val="1"/>
        <w:rPr>
          <w:rFonts w:ascii="仿宋" w:hAnsi="仿宋" w:eastAsia="仿宋" w:cs="仿宋"/>
          <w:b/>
          <w:bCs/>
          <w:color w:val="auto"/>
          <w:sz w:val="32"/>
          <w:szCs w:val="44"/>
          <w:highlight w:val="none"/>
        </w:rPr>
      </w:pPr>
      <w:bookmarkStart w:id="93" w:name="_Toc29389"/>
      <w:bookmarkStart w:id="94" w:name="_Toc10045"/>
      <w:r>
        <w:rPr>
          <w:rFonts w:hint="eastAsia" w:ascii="仿宋" w:hAnsi="仿宋" w:eastAsia="仿宋" w:cs="仿宋"/>
          <w:b/>
          <w:bCs/>
          <w:color w:val="auto"/>
          <w:sz w:val="32"/>
          <w:szCs w:val="44"/>
          <w:highlight w:val="none"/>
        </w:rPr>
        <w:t>询问函范本</w:t>
      </w:r>
      <w:bookmarkEnd w:id="93"/>
      <w:bookmarkEnd w:id="94"/>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（如为对询价通知书或采购程序的询问或疑问，请按询问函范本或电子交易系统中网上询问格式附件进行提交）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5" w:name="_Toc23472"/>
      <w:bookmarkStart w:id="96" w:name="_Toc29678"/>
      <w:r>
        <w:rPr>
          <w:rFonts w:hint="eastAsia" w:cs="仿宋" w:asciiTheme="minorEastAsia" w:hAnsiTheme="minorEastAsia" w:eastAsiaTheme="minorEastAsia"/>
          <w:color w:val="auto"/>
          <w:sz w:val="24"/>
          <w:szCs w:val="24"/>
          <w:highlight w:val="none"/>
        </w:rPr>
        <w:t>一、(事项一)</w:t>
      </w:r>
      <w:bookmarkEnd w:id="95"/>
      <w:bookmarkEnd w:id="96"/>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97" w:name="_Toc22463"/>
      <w:bookmarkStart w:id="98" w:name="_Toc20836"/>
      <w:r>
        <w:rPr>
          <w:rFonts w:hint="eastAsia" w:cs="仿宋" w:asciiTheme="minorEastAsia" w:hAnsiTheme="minorEastAsia" w:eastAsiaTheme="minorEastAsia"/>
          <w:color w:val="auto"/>
          <w:sz w:val="24"/>
          <w:szCs w:val="24"/>
          <w:highlight w:val="none"/>
        </w:rPr>
        <w:t>二、(事项二)</w:t>
      </w:r>
      <w:bookmarkEnd w:id="97"/>
      <w:bookmarkEnd w:id="98"/>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99" w:name="_Toc15057"/>
      <w:bookmarkStart w:id="100" w:name="_Toc31458"/>
      <w:r>
        <w:rPr>
          <w:rFonts w:hint="eastAsia" w:cs="仿宋" w:asciiTheme="minorEastAsia" w:hAnsiTheme="minorEastAsia" w:eastAsiaTheme="minorEastAsia"/>
          <w:b/>
          <w:bCs/>
          <w:color w:val="auto"/>
          <w:sz w:val="32"/>
          <w:szCs w:val="44"/>
          <w:highlight w:val="none"/>
        </w:rPr>
        <w:t>质疑函范本</w:t>
      </w:r>
      <w:bookmarkEnd w:id="99"/>
      <w:bookmarkEnd w:id="100"/>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01" w:name="_Toc21471"/>
      <w:bookmarkStart w:id="102" w:name="_Toc22823"/>
      <w:r>
        <w:rPr>
          <w:rFonts w:hint="eastAsia" w:cs="仿宋" w:asciiTheme="minorEastAsia" w:hAnsiTheme="minorEastAsia" w:eastAsiaTheme="minorEastAsia"/>
          <w:b/>
          <w:bCs/>
          <w:color w:val="auto"/>
          <w:sz w:val="24"/>
          <w:szCs w:val="24"/>
          <w:highlight w:val="none"/>
        </w:rPr>
        <w:t>一、质疑供应商基本信息</w:t>
      </w:r>
      <w:bookmarkEnd w:id="101"/>
      <w:bookmarkEnd w:id="102"/>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3" w:name="_Toc3326"/>
      <w:bookmarkStart w:id="104" w:name="_Toc10721"/>
      <w:r>
        <w:rPr>
          <w:rFonts w:hint="eastAsia" w:cs="仿宋" w:asciiTheme="minorEastAsia" w:hAnsiTheme="minorEastAsia" w:eastAsiaTheme="minorEastAsia"/>
          <w:b/>
          <w:bCs/>
          <w:color w:val="auto"/>
          <w:sz w:val="24"/>
          <w:szCs w:val="24"/>
          <w:highlight w:val="none"/>
        </w:rPr>
        <w:t>二、质疑项目基本情况</w:t>
      </w:r>
      <w:bookmarkEnd w:id="103"/>
      <w:bookmarkEnd w:id="104"/>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5" w:name="_Toc8391"/>
      <w:bookmarkStart w:id="106" w:name="_Toc21619"/>
      <w:r>
        <w:rPr>
          <w:rFonts w:hint="eastAsia" w:cs="仿宋" w:asciiTheme="minorEastAsia" w:hAnsiTheme="minorEastAsia" w:eastAsiaTheme="minorEastAsia"/>
          <w:b/>
          <w:bCs/>
          <w:color w:val="auto"/>
          <w:sz w:val="24"/>
          <w:szCs w:val="24"/>
          <w:highlight w:val="none"/>
        </w:rPr>
        <w:t>三、质疑事项具体内容</w:t>
      </w:r>
      <w:bookmarkEnd w:id="105"/>
      <w:bookmarkEnd w:id="106"/>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07" w:name="_Toc10324"/>
      <w:bookmarkStart w:id="108" w:name="_Toc31747"/>
      <w:r>
        <w:rPr>
          <w:rFonts w:hint="eastAsia" w:cs="仿宋" w:asciiTheme="minorEastAsia" w:hAnsiTheme="minorEastAsia" w:eastAsiaTheme="minorEastAsia"/>
          <w:b/>
          <w:bCs/>
          <w:color w:val="auto"/>
          <w:sz w:val="24"/>
          <w:szCs w:val="24"/>
          <w:highlight w:val="none"/>
        </w:rPr>
        <w:t>四、与质疑事项相关的质疑请求</w:t>
      </w:r>
      <w:bookmarkEnd w:id="107"/>
      <w:bookmarkEnd w:id="108"/>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109" w:name="_Toc27249"/>
      <w:bookmarkStart w:id="110" w:name="_Toc29795"/>
      <w:r>
        <w:rPr>
          <w:rFonts w:hint="eastAsia" w:asciiTheme="minorEastAsia" w:hAnsiTheme="minorEastAsia" w:eastAsiaTheme="minorEastAsia"/>
          <w:b/>
          <w:color w:val="auto"/>
          <w:sz w:val="28"/>
          <w:szCs w:val="32"/>
          <w:highlight w:val="none"/>
        </w:rPr>
        <w:t>质疑函制作说明：</w:t>
      </w:r>
      <w:bookmarkEnd w:id="109"/>
      <w:bookmarkEnd w:id="110"/>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BCAE1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9F1F431">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BE2F84F">
      <w:pPr>
        <w:outlineLvl w:val="0"/>
        <w:rPr>
          <w:rFonts w:ascii="宋体" w:hAnsi="宋体" w:eastAsia="宋体" w:cs="宋体"/>
          <w:color w:val="auto"/>
          <w:sz w:val="28"/>
          <w:szCs w:val="28"/>
          <w:highlight w:val="none"/>
        </w:rPr>
      </w:pPr>
      <w:bookmarkStart w:id="111" w:name="_Toc11016"/>
      <w:r>
        <w:rPr>
          <w:rFonts w:hint="eastAsia" w:ascii="宋体" w:hAnsi="宋体" w:eastAsia="宋体" w:cs="宋体"/>
          <w:b/>
          <w:color w:val="auto"/>
          <w:sz w:val="28"/>
          <w:szCs w:val="28"/>
          <w:highlight w:val="none"/>
          <w:lang w:bidi="ar"/>
        </w:rPr>
        <w:t>附件1</w:t>
      </w:r>
      <w:bookmarkEnd w:id="111"/>
    </w:p>
    <w:p w14:paraId="0338D1D2">
      <w:pPr>
        <w:spacing w:line="440" w:lineRule="exact"/>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关于联合惩戒失信行为 加强信用查询管理的通知</w:t>
      </w:r>
    </w:p>
    <w:p w14:paraId="1086B64C">
      <w:pPr>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0FCB1AE2">
      <w:pPr>
        <w:widowControl/>
        <w:autoSpaceDE w:val="0"/>
        <w:spacing w:line="48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4D81CF74">
      <w:pPr>
        <w:widowControl/>
        <w:autoSpaceDE w:val="0"/>
        <w:spacing w:line="48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（一）工程建设项目</w:t>
      </w:r>
    </w:p>
    <w:p w14:paraId="02A774DD">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0C76EE77">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6B689AC3">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42F422EB">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30F4964D">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692013B6">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61022D19">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30E333EE">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5D6A9C84">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038A849E">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5AB117D7">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1083EC8F">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65E463DD">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3E435C0F">
      <w:pPr>
        <w:widowControl/>
        <w:autoSpaceDE w:val="0"/>
        <w:spacing w:line="48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C48174E">
      <w:pPr>
        <w:widowControl/>
        <w:autoSpaceDE w:val="0"/>
        <w:spacing w:line="48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（二）政府采购项目</w:t>
      </w:r>
    </w:p>
    <w:p w14:paraId="5E2D93B3">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2B92D36A">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118F3801">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211C62DF">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34E0FD9E">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11251A8B">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eastAsia="宋体" w:cs="宋体"/>
          <w:bCs/>
          <w:color w:val="auto"/>
          <w:kern w:val="0"/>
          <w:sz w:val="24"/>
          <w:szCs w:val="24"/>
          <w:highlight w:val="none"/>
          <w:lang w:bidi="ar"/>
        </w:rPr>
        <w:t>www.gsxt.gov.cn）</w:t>
      </w:r>
      <w:r>
        <w:rPr>
          <w:rFonts w:hint="eastAsia" w:ascii="宋体" w:hAnsi="宋体" w:eastAsia="宋体" w:cs="宋体"/>
          <w:bCs/>
          <w:color w:val="auto"/>
          <w:kern w:val="0"/>
          <w:sz w:val="24"/>
          <w:szCs w:val="24"/>
          <w:highlight w:val="none"/>
          <w:lang w:bidi="ar"/>
        </w:rPr>
        <w:fldChar w:fldCharType="end"/>
      </w:r>
      <w:r>
        <w:rPr>
          <w:rFonts w:hint="eastAsia" w:ascii="宋体" w:hAnsi="宋体" w:eastAsia="宋体" w:cs="宋体"/>
          <w:bCs/>
          <w:color w:val="auto"/>
          <w:kern w:val="0"/>
          <w:sz w:val="24"/>
          <w:szCs w:val="24"/>
          <w:highlight w:val="none"/>
          <w:lang w:bidi="ar"/>
        </w:rPr>
        <w:t>查询供应商以下失信行为：</w:t>
      </w:r>
    </w:p>
    <w:p w14:paraId="609B3C4C">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12" w:name="OLE_LINK100"/>
      <w:bookmarkStart w:id="113" w:name="OLE_LINK102"/>
      <w:bookmarkStart w:id="114" w:name="OLE_LINK101"/>
      <w:r>
        <w:rPr>
          <w:rFonts w:hint="eastAsia" w:ascii="宋体" w:hAnsi="宋体" w:eastAsia="宋体" w:cs="宋体"/>
          <w:bCs/>
          <w:color w:val="auto"/>
          <w:kern w:val="0"/>
          <w:sz w:val="24"/>
          <w:szCs w:val="24"/>
          <w:highlight w:val="none"/>
          <w:lang w:bidi="ar"/>
        </w:rPr>
        <w:t>被列入“经营异常名录”或者“严重违法失信名单”的</w:t>
      </w:r>
      <w:bookmarkEnd w:id="112"/>
      <w:bookmarkEnd w:id="113"/>
      <w:bookmarkEnd w:id="114"/>
      <w:r>
        <w:rPr>
          <w:rFonts w:hint="eastAsia" w:ascii="宋体" w:hAnsi="宋体" w:eastAsia="宋体" w:cs="宋体"/>
          <w:bCs/>
          <w:color w:val="auto"/>
          <w:kern w:val="0"/>
          <w:sz w:val="24"/>
          <w:szCs w:val="24"/>
          <w:highlight w:val="none"/>
          <w:lang w:bidi="ar"/>
        </w:rPr>
        <w:t>。</w:t>
      </w:r>
    </w:p>
    <w:p w14:paraId="1652A8E3">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t>
      </w:r>
      <w:bookmarkStart w:id="115" w:name="OLE_LINK95"/>
      <w:bookmarkStart w:id="116" w:name="OLE_LINK96"/>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"http://www.ccgp.gov.cn"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www.ccgp.gov.cn</w:t>
      </w:r>
      <w:r>
        <w:rPr>
          <w:rFonts w:hint="eastAsia" w:ascii="宋体" w:hAnsi="宋体" w:eastAsia="宋体" w:cs="宋体"/>
          <w:bCs/>
          <w:color w:val="auto"/>
          <w:kern w:val="0"/>
          <w:sz w:val="24"/>
          <w:szCs w:val="24"/>
          <w:highlight w:val="none"/>
          <w:lang w:bidi="ar"/>
        </w:rPr>
        <w:fldChar w:fldCharType="end"/>
      </w:r>
      <w:bookmarkEnd w:id="115"/>
      <w:bookmarkEnd w:id="116"/>
      <w:r>
        <w:rPr>
          <w:rFonts w:hint="eastAsia" w:ascii="宋体" w:hAnsi="宋体" w:eastAsia="宋体" w:cs="宋体"/>
          <w:bCs/>
          <w:color w:val="auto"/>
          <w:kern w:val="0"/>
          <w:sz w:val="24"/>
          <w:szCs w:val="24"/>
          <w:highlight w:val="none"/>
          <w:lang w:bidi="ar"/>
        </w:rPr>
        <w:t>）查询以下失信行为：</w:t>
      </w:r>
    </w:p>
    <w:p w14:paraId="1DA70270">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17" w:name="OLE_LINK106"/>
      <w:bookmarkStart w:id="118" w:name="OLE_LINK105"/>
      <w:bookmarkStart w:id="119" w:name="OLE_LINK104"/>
      <w:r>
        <w:rPr>
          <w:rFonts w:hint="eastAsia" w:ascii="宋体" w:hAnsi="宋体" w:eastAsia="宋体" w:cs="宋体"/>
          <w:bCs/>
          <w:color w:val="auto"/>
          <w:kern w:val="0"/>
          <w:sz w:val="24"/>
          <w:szCs w:val="24"/>
          <w:highlight w:val="none"/>
          <w:lang w:bidi="ar"/>
        </w:rPr>
        <w:t>被列入“政府采购严重违法失信行为信息记录”的</w:t>
      </w:r>
      <w:bookmarkEnd w:id="117"/>
      <w:bookmarkEnd w:id="118"/>
      <w:bookmarkEnd w:id="119"/>
      <w:r>
        <w:rPr>
          <w:rFonts w:hint="eastAsia" w:ascii="宋体" w:hAnsi="宋体" w:eastAsia="宋体" w:cs="宋体"/>
          <w:bCs/>
          <w:color w:val="auto"/>
          <w:kern w:val="0"/>
          <w:sz w:val="24"/>
          <w:szCs w:val="24"/>
          <w:highlight w:val="none"/>
          <w:lang w:bidi="ar"/>
        </w:rPr>
        <w:t>。</w:t>
      </w:r>
    </w:p>
    <w:p w14:paraId="295BB526">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07AA56DF">
      <w:pPr>
        <w:widowControl/>
        <w:autoSpaceDE w:val="0"/>
        <w:spacing w:line="48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01B35A3A">
      <w:pPr>
        <w:widowControl/>
        <w:autoSpaceDE w:val="0"/>
        <w:spacing w:line="48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二、在开评标活动中的查询程序</w:t>
      </w:r>
    </w:p>
    <w:p w14:paraId="771576E9">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057CF1D">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ED3383A">
      <w:pPr>
        <w:widowControl/>
        <w:autoSpaceDE w:val="0"/>
        <w:spacing w:line="48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231077B5">
      <w:pPr>
        <w:widowControl/>
        <w:autoSpaceDE w:val="0"/>
        <w:spacing w:line="48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三、相关要求</w:t>
      </w:r>
    </w:p>
    <w:p w14:paraId="01B00C34">
      <w:pPr>
        <w:widowControl/>
        <w:wordWrap w:val="0"/>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6D3A159">
      <w:pPr>
        <w:widowControl/>
        <w:wordWrap w:val="0"/>
        <w:autoSpaceDE w:val="0"/>
        <w:spacing w:line="480" w:lineRule="exact"/>
        <w:ind w:firstLine="480" w:firstLineChars="200"/>
        <w:textAlignment w:val="baseline"/>
        <w:rPr>
          <w:rFonts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ADBFF78">
      <w:pPr>
        <w:widowControl/>
        <w:wordWrap w:val="0"/>
        <w:autoSpaceDE w:val="0"/>
        <w:spacing w:line="48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172AA2B">
      <w:pPr>
        <w:widowControl/>
        <w:autoSpaceDE w:val="0"/>
        <w:spacing w:line="48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398A3EAB">
      <w:pPr>
        <w:widowControl/>
        <w:autoSpaceDE w:val="0"/>
        <w:spacing w:line="480" w:lineRule="exact"/>
        <w:ind w:firstLine="480" w:firstLineChars="200"/>
        <w:textAlignment w:val="baseline"/>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0B9DE77F">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842C2BF">
      <w:pPr>
        <w:pStyle w:val="23"/>
        <w:widowControl/>
        <w:spacing w:before="0" w:after="120" w:afterAutospacing="0" w:line="360" w:lineRule="auto"/>
        <w:ind w:left="420" w:leftChars="200"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 xml:space="preserve"> </w:t>
      </w:r>
    </w:p>
    <w:p w14:paraId="5CC7257E">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附件2</w:t>
      </w:r>
    </w:p>
    <w:p w14:paraId="777774F5">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4235AD59">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539F825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4AC394D6">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21CFF94E">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4EA62BB4">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2D1972C1">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45FE9BE3">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42DE02C3">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3D6AB526">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3158DA06">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32728E12">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1B4AEFE0">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506AA00B">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44CB394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6BCF2F82">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w:t>
      </w:r>
      <w:r>
        <w:rPr>
          <w:rFonts w:hint="eastAsia" w:ascii="宋体" w:hAnsi="宋体" w:eastAsia="宋体" w:cs="宋体"/>
          <w:b/>
          <w:color w:val="auto"/>
          <w:kern w:val="0"/>
          <w:sz w:val="24"/>
          <w:szCs w:val="24"/>
          <w:highlight w:val="none"/>
          <w:lang w:eastAsia="zh-CN" w:bidi="ar"/>
        </w:rPr>
        <w:t>8月28日</w:t>
      </w:r>
      <w:r>
        <w:rPr>
          <w:rFonts w:hint="eastAsia" w:ascii="宋体" w:hAnsi="宋体" w:eastAsia="宋体" w:cs="宋体"/>
          <w:b/>
          <w:color w:val="auto"/>
          <w:kern w:val="0"/>
          <w:sz w:val="24"/>
          <w:szCs w:val="24"/>
          <w:highlight w:val="none"/>
          <w:lang w:bidi="ar"/>
        </w:rPr>
        <w:t>应急管理部令第11号）</w:t>
      </w:r>
    </w:p>
    <w:p w14:paraId="17DD7DF6">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C2D0B92">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2270237E">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66570A2F">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469AE254">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5D92412D">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0EB39F2A">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696CB188">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07FFA68A">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403180E1">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07E9369A">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7CDBE810">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63B0AF89">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323B0BE4">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5C032004">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62040C6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6524BC30">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7F390AC2">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1E1E2823">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3185A859">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42FD2E76">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0BB66A11">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4C8F54EF">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4C43D086">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79C6B5E8">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42D76162">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3A903BF7">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D69EF39">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33FA3ECC">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212BC21">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23D4A3C8">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34F8818C">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848C33">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FFA1B7B">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1B174EF3">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5004CD05">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0619678">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08160D5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3950713A">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2C546F45">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30758238">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0DEF6D35">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1FB9349D">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74444FCA">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4D119B14">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4656C6F8">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0E238FA7">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4DB69761">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464FFE7B">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2968B00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56A81B02">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07326BC6">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76E27409">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59882B54">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5295FFD1">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61FAD416">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41ED7DC">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796C6C0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56234909">
      <w:pPr>
        <w:widowControl/>
        <w:autoSpaceDE w:val="0"/>
        <w:spacing w:line="480" w:lineRule="exact"/>
        <w:ind w:firstLine="482" w:firstLineChars="200"/>
        <w:jc w:val="left"/>
        <w:textAlignment w:val="baseline"/>
        <w:rPr>
          <w:rFonts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7ADB29AA">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4E2AFB31">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22340631">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4871F93A">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6EDAE3D6">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0C88A6C6">
      <w:pPr>
        <w:widowControl/>
        <w:autoSpaceDE w:val="0"/>
        <w:spacing w:line="480" w:lineRule="exact"/>
        <w:ind w:firstLine="480" w:firstLineChars="200"/>
        <w:jc w:val="left"/>
        <w:textAlignment w:val="baseline"/>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67C561C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253C9617">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26808624">
      <w:pPr>
        <w:widowControl/>
        <w:autoSpaceDE w:val="0"/>
        <w:spacing w:line="48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62F1BE31">
      <w:pPr>
        <w:widowControl/>
        <w:autoSpaceDE w:val="0"/>
        <w:spacing w:line="480" w:lineRule="exact"/>
        <w:ind w:firstLine="482" w:firstLineChars="200"/>
        <w:jc w:val="left"/>
        <w:textAlignment w:val="baseline"/>
        <w:rPr>
          <w:rFonts w:ascii="宋体" w:hAnsi="宋体" w:eastAsia="宋体" w:cs="宋体"/>
          <w:color w:val="auto"/>
          <w:sz w:val="24"/>
          <w:highlight w:val="none"/>
        </w:rPr>
      </w:pPr>
      <w:r>
        <w:rPr>
          <w:rFonts w:hint="eastAsia" w:ascii="宋体" w:hAnsi="宋体" w:eastAsia="宋体" w:cs="宋体"/>
          <w:b/>
          <w:color w:val="auto"/>
          <w:kern w:val="0"/>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b/>
          <w:bCs/>
          <w:color w:val="auto"/>
          <w:kern w:val="0"/>
          <w:sz w:val="24"/>
          <w:szCs w:val="24"/>
          <w:highlight w:val="none"/>
          <w:lang w:bidi="ar"/>
        </w:rPr>
        <w:t>。</w:t>
      </w:r>
    </w:p>
    <w:p w14:paraId="429104E4">
      <w:pPr>
        <w:pStyle w:val="16"/>
        <w:rPr>
          <w:color w:val="auto"/>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16" w:usb3="00000000" w:csb0="6006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8"/>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8"/>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6A437">
                          <w:pPr>
                            <w:pStyle w:val="1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76A437">
                    <w:pPr>
                      <w:pStyle w:val="1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62C9F"/>
    <w:multiLevelType w:val="singleLevel"/>
    <w:tmpl w:val="1D962C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2BF6C59"/>
    <w:rsid w:val="048802D5"/>
    <w:rsid w:val="04B765A2"/>
    <w:rsid w:val="059321F1"/>
    <w:rsid w:val="05AF72A0"/>
    <w:rsid w:val="05B42F17"/>
    <w:rsid w:val="05DF6B72"/>
    <w:rsid w:val="05EE32AE"/>
    <w:rsid w:val="061E4FDD"/>
    <w:rsid w:val="06287461"/>
    <w:rsid w:val="08414ECC"/>
    <w:rsid w:val="0866535E"/>
    <w:rsid w:val="086A1DB6"/>
    <w:rsid w:val="0954653B"/>
    <w:rsid w:val="09734E97"/>
    <w:rsid w:val="0A0236B4"/>
    <w:rsid w:val="0A1E16DF"/>
    <w:rsid w:val="0A5C407D"/>
    <w:rsid w:val="0B3655F3"/>
    <w:rsid w:val="0B510EC7"/>
    <w:rsid w:val="0C0E0A28"/>
    <w:rsid w:val="0C4A74E7"/>
    <w:rsid w:val="0C5C2F82"/>
    <w:rsid w:val="0CC86361"/>
    <w:rsid w:val="0D262A20"/>
    <w:rsid w:val="0DE46363"/>
    <w:rsid w:val="0F8347BD"/>
    <w:rsid w:val="0FC30BF6"/>
    <w:rsid w:val="0FE9248E"/>
    <w:rsid w:val="101C5764"/>
    <w:rsid w:val="108300B5"/>
    <w:rsid w:val="10E8616A"/>
    <w:rsid w:val="1154735C"/>
    <w:rsid w:val="11F052D6"/>
    <w:rsid w:val="125A2673"/>
    <w:rsid w:val="125E1788"/>
    <w:rsid w:val="13757701"/>
    <w:rsid w:val="145C4675"/>
    <w:rsid w:val="1475265D"/>
    <w:rsid w:val="14CA2036"/>
    <w:rsid w:val="14D2451C"/>
    <w:rsid w:val="150C08C6"/>
    <w:rsid w:val="157B6A2B"/>
    <w:rsid w:val="15D65C30"/>
    <w:rsid w:val="16C60CFC"/>
    <w:rsid w:val="16CF07A1"/>
    <w:rsid w:val="177001BA"/>
    <w:rsid w:val="17E91507"/>
    <w:rsid w:val="18031DFC"/>
    <w:rsid w:val="180F1FC9"/>
    <w:rsid w:val="18633FE4"/>
    <w:rsid w:val="19A32436"/>
    <w:rsid w:val="1A246465"/>
    <w:rsid w:val="1A7B316A"/>
    <w:rsid w:val="1BD44E29"/>
    <w:rsid w:val="1CD93E41"/>
    <w:rsid w:val="1CED21CF"/>
    <w:rsid w:val="1D864D41"/>
    <w:rsid w:val="1DD11361"/>
    <w:rsid w:val="1DDA6DF1"/>
    <w:rsid w:val="1E8A0F92"/>
    <w:rsid w:val="1E9B481C"/>
    <w:rsid w:val="1F04109E"/>
    <w:rsid w:val="1F244811"/>
    <w:rsid w:val="1F9711FA"/>
    <w:rsid w:val="20126D60"/>
    <w:rsid w:val="21030661"/>
    <w:rsid w:val="211654D1"/>
    <w:rsid w:val="214D4F9D"/>
    <w:rsid w:val="218D5DCC"/>
    <w:rsid w:val="21A00E17"/>
    <w:rsid w:val="21F7445F"/>
    <w:rsid w:val="21F7620D"/>
    <w:rsid w:val="226326A4"/>
    <w:rsid w:val="23576714"/>
    <w:rsid w:val="23663C2F"/>
    <w:rsid w:val="242A2846"/>
    <w:rsid w:val="245943B5"/>
    <w:rsid w:val="247C1540"/>
    <w:rsid w:val="25F018F1"/>
    <w:rsid w:val="278B4F71"/>
    <w:rsid w:val="28251390"/>
    <w:rsid w:val="28CE2356"/>
    <w:rsid w:val="290A2CCA"/>
    <w:rsid w:val="295A2A3F"/>
    <w:rsid w:val="29F63606"/>
    <w:rsid w:val="2A1B7069"/>
    <w:rsid w:val="2A2A21AD"/>
    <w:rsid w:val="2A88034A"/>
    <w:rsid w:val="2AAD7DB1"/>
    <w:rsid w:val="2BD870AF"/>
    <w:rsid w:val="2BE27F2E"/>
    <w:rsid w:val="2C7C57CA"/>
    <w:rsid w:val="2C8763D9"/>
    <w:rsid w:val="2D6F6EBD"/>
    <w:rsid w:val="2E141EF5"/>
    <w:rsid w:val="2E1A575D"/>
    <w:rsid w:val="2E36227F"/>
    <w:rsid w:val="2E8E4CE9"/>
    <w:rsid w:val="2EA339A5"/>
    <w:rsid w:val="2F3C3432"/>
    <w:rsid w:val="3038636F"/>
    <w:rsid w:val="30A754DF"/>
    <w:rsid w:val="322B48DA"/>
    <w:rsid w:val="337E5DD0"/>
    <w:rsid w:val="33D130F1"/>
    <w:rsid w:val="33D161E8"/>
    <w:rsid w:val="34B2511B"/>
    <w:rsid w:val="352C2916"/>
    <w:rsid w:val="371847E2"/>
    <w:rsid w:val="37BF2AC2"/>
    <w:rsid w:val="383D21BA"/>
    <w:rsid w:val="38675A43"/>
    <w:rsid w:val="39185E60"/>
    <w:rsid w:val="3B007A89"/>
    <w:rsid w:val="3B214C05"/>
    <w:rsid w:val="3B6732A7"/>
    <w:rsid w:val="3B796242"/>
    <w:rsid w:val="3BA9707D"/>
    <w:rsid w:val="3CCB1826"/>
    <w:rsid w:val="3CDA5D92"/>
    <w:rsid w:val="3CEF068E"/>
    <w:rsid w:val="3D6E29D8"/>
    <w:rsid w:val="3DAC0EE9"/>
    <w:rsid w:val="3DDE6415"/>
    <w:rsid w:val="3E314816"/>
    <w:rsid w:val="3E55633E"/>
    <w:rsid w:val="3E691DE9"/>
    <w:rsid w:val="3E9512FD"/>
    <w:rsid w:val="3EBE2135"/>
    <w:rsid w:val="3F42428E"/>
    <w:rsid w:val="3F823162"/>
    <w:rsid w:val="3FB84DD6"/>
    <w:rsid w:val="402F520E"/>
    <w:rsid w:val="40AC3298"/>
    <w:rsid w:val="41250249"/>
    <w:rsid w:val="41377F7D"/>
    <w:rsid w:val="413A09E6"/>
    <w:rsid w:val="41471C8C"/>
    <w:rsid w:val="41676AB4"/>
    <w:rsid w:val="436037BB"/>
    <w:rsid w:val="44046D3B"/>
    <w:rsid w:val="44F24093"/>
    <w:rsid w:val="45D715E1"/>
    <w:rsid w:val="45F45FF3"/>
    <w:rsid w:val="465F740E"/>
    <w:rsid w:val="48044574"/>
    <w:rsid w:val="499E56F1"/>
    <w:rsid w:val="4A3F618E"/>
    <w:rsid w:val="4A6D07B9"/>
    <w:rsid w:val="4B101F6A"/>
    <w:rsid w:val="4B497F7A"/>
    <w:rsid w:val="4BB75CCC"/>
    <w:rsid w:val="4BD737B5"/>
    <w:rsid w:val="4BD9233D"/>
    <w:rsid w:val="4BE12910"/>
    <w:rsid w:val="4CDC7AA1"/>
    <w:rsid w:val="4E2A0DC9"/>
    <w:rsid w:val="4F7725B8"/>
    <w:rsid w:val="51233DD7"/>
    <w:rsid w:val="52377F97"/>
    <w:rsid w:val="53110BF4"/>
    <w:rsid w:val="539E1990"/>
    <w:rsid w:val="53CE4739"/>
    <w:rsid w:val="543C1CC1"/>
    <w:rsid w:val="54866DF9"/>
    <w:rsid w:val="5607799E"/>
    <w:rsid w:val="56955A19"/>
    <w:rsid w:val="5696684F"/>
    <w:rsid w:val="57086493"/>
    <w:rsid w:val="57914433"/>
    <w:rsid w:val="58493C4D"/>
    <w:rsid w:val="58F509F1"/>
    <w:rsid w:val="592F3F03"/>
    <w:rsid w:val="59C4319E"/>
    <w:rsid w:val="59E4582B"/>
    <w:rsid w:val="59FC4F8A"/>
    <w:rsid w:val="5A6804AB"/>
    <w:rsid w:val="5B8B7BA3"/>
    <w:rsid w:val="5C372975"/>
    <w:rsid w:val="5C740423"/>
    <w:rsid w:val="5C7F166A"/>
    <w:rsid w:val="5E554AD3"/>
    <w:rsid w:val="5E5B12F6"/>
    <w:rsid w:val="5EF90418"/>
    <w:rsid w:val="5F42525F"/>
    <w:rsid w:val="5FBF7663"/>
    <w:rsid w:val="5FDF6AB4"/>
    <w:rsid w:val="604D40FC"/>
    <w:rsid w:val="60D70DF6"/>
    <w:rsid w:val="62045E8A"/>
    <w:rsid w:val="622D7DE6"/>
    <w:rsid w:val="625E3163"/>
    <w:rsid w:val="62791362"/>
    <w:rsid w:val="629D2560"/>
    <w:rsid w:val="644E6FB5"/>
    <w:rsid w:val="644F31D5"/>
    <w:rsid w:val="64D94D23"/>
    <w:rsid w:val="64EC6D10"/>
    <w:rsid w:val="65660CAD"/>
    <w:rsid w:val="6623097E"/>
    <w:rsid w:val="66895611"/>
    <w:rsid w:val="67126006"/>
    <w:rsid w:val="674A241E"/>
    <w:rsid w:val="67BB0B3F"/>
    <w:rsid w:val="682F07AA"/>
    <w:rsid w:val="683926A8"/>
    <w:rsid w:val="68666844"/>
    <w:rsid w:val="68751207"/>
    <w:rsid w:val="68807C64"/>
    <w:rsid w:val="688C69CF"/>
    <w:rsid w:val="68CD5DAB"/>
    <w:rsid w:val="68E777C5"/>
    <w:rsid w:val="69C21C42"/>
    <w:rsid w:val="6A570167"/>
    <w:rsid w:val="6A6B0B13"/>
    <w:rsid w:val="6AC61574"/>
    <w:rsid w:val="6B236469"/>
    <w:rsid w:val="6B3E7572"/>
    <w:rsid w:val="6BE2044C"/>
    <w:rsid w:val="6D647D69"/>
    <w:rsid w:val="6E710FE2"/>
    <w:rsid w:val="6EDB6611"/>
    <w:rsid w:val="6F2719B2"/>
    <w:rsid w:val="6FBC2114"/>
    <w:rsid w:val="6FC32929"/>
    <w:rsid w:val="70310109"/>
    <w:rsid w:val="705F607C"/>
    <w:rsid w:val="70902932"/>
    <w:rsid w:val="70A9726E"/>
    <w:rsid w:val="71946328"/>
    <w:rsid w:val="71BF33D8"/>
    <w:rsid w:val="71DC79A6"/>
    <w:rsid w:val="7346139A"/>
    <w:rsid w:val="735D4003"/>
    <w:rsid w:val="73D56FFD"/>
    <w:rsid w:val="73FA265E"/>
    <w:rsid w:val="740C0C71"/>
    <w:rsid w:val="74714F78"/>
    <w:rsid w:val="748C2191"/>
    <w:rsid w:val="74D745B8"/>
    <w:rsid w:val="74F764D9"/>
    <w:rsid w:val="75C537CD"/>
    <w:rsid w:val="766377D4"/>
    <w:rsid w:val="76E73479"/>
    <w:rsid w:val="771D30BE"/>
    <w:rsid w:val="7763329E"/>
    <w:rsid w:val="77FD363B"/>
    <w:rsid w:val="784E1FE2"/>
    <w:rsid w:val="78803D6C"/>
    <w:rsid w:val="7B0809BE"/>
    <w:rsid w:val="7B7517F2"/>
    <w:rsid w:val="7C25495A"/>
    <w:rsid w:val="7CCC5441"/>
    <w:rsid w:val="7CEB59A9"/>
    <w:rsid w:val="7D784C34"/>
    <w:rsid w:val="7DB52BB3"/>
    <w:rsid w:val="7DDC0B9A"/>
    <w:rsid w:val="7E490EF5"/>
    <w:rsid w:val="7E6E4733"/>
    <w:rsid w:val="7EE03426"/>
    <w:rsid w:val="7F051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next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0"/>
    <w:autoRedefine/>
    <w:qFormat/>
    <w:uiPriority w:val="0"/>
    <w:pPr>
      <w:jc w:val="left"/>
    </w:pPr>
    <w:rPr>
      <w:rFonts w:ascii="Arial" w:hAnsi="Arial" w:eastAsia="黑体" w:cs="Arial"/>
    </w:rPr>
  </w:style>
  <w:style w:type="paragraph" w:styleId="9">
    <w:name w:val="Body Text"/>
    <w:basedOn w:val="1"/>
    <w:next w:val="10"/>
    <w:autoRedefine/>
    <w:qFormat/>
    <w:uiPriority w:val="0"/>
    <w:pPr>
      <w:spacing w:after="120"/>
    </w:pPr>
    <w:rPr>
      <w:rFonts w:ascii="@微软简标宋" w:hAnsi="@微软简标宋" w:eastAsia="@微软简标宋" w:cs="@微软简标宋"/>
      <w:szCs w:val="24"/>
      <w:lang w:val="zh-CN"/>
    </w:rPr>
  </w:style>
  <w:style w:type="paragraph" w:styleId="10">
    <w:name w:val="Body Text First Indent"/>
    <w:basedOn w:val="9"/>
    <w:autoRedefine/>
    <w:unhideWhenUsed/>
    <w:qFormat/>
    <w:uiPriority w:val="99"/>
    <w:pPr>
      <w:ind w:firstLine="420" w:firstLineChars="100"/>
    </w:pPr>
  </w:style>
  <w:style w:type="paragraph" w:styleId="11">
    <w:name w:val="Body Text Indent"/>
    <w:basedOn w:val="1"/>
    <w:next w:val="12"/>
    <w:autoRedefine/>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9"/>
    <w:autoRedefine/>
    <w:qFormat/>
    <w:uiPriority w:val="99"/>
    <w:rPr>
      <w:rFonts w:ascii="宋体" w:hAnsi="Courier New" w:eastAsiaTheme="minorEastAsia" w:cstheme="minorBidi"/>
      <w:szCs w:val="22"/>
    </w:rPr>
  </w:style>
  <w:style w:type="paragraph" w:styleId="15">
    <w:name w:val="Date"/>
    <w:basedOn w:val="1"/>
    <w:next w:val="1"/>
    <w:link w:val="56"/>
    <w:autoRedefine/>
    <w:qFormat/>
    <w:uiPriority w:val="0"/>
    <w:rPr>
      <w:rFonts w:ascii="Arial" w:hAnsi="Arial" w:eastAsia="宋体" w:cs="Arial"/>
      <w:b/>
      <w:sz w:val="28"/>
    </w:rPr>
  </w:style>
  <w:style w:type="paragraph" w:styleId="16">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7">
    <w:name w:val="Balloon Text"/>
    <w:basedOn w:val="1"/>
    <w:link w:val="43"/>
    <w:autoRedefine/>
    <w:semiHidden/>
    <w:unhideWhenUsed/>
    <w:qFormat/>
    <w:uiPriority w:val="99"/>
    <w:rPr>
      <w:sz w:val="18"/>
      <w:szCs w:val="18"/>
    </w:rPr>
  </w:style>
  <w:style w:type="paragraph" w:styleId="18">
    <w:name w:val="footer"/>
    <w:basedOn w:val="1"/>
    <w:link w:val="48"/>
    <w:autoRedefine/>
    <w:unhideWhenUsed/>
    <w:qFormat/>
    <w:uiPriority w:val="99"/>
    <w:pPr>
      <w:tabs>
        <w:tab w:val="center" w:pos="4153"/>
        <w:tab w:val="right" w:pos="8306"/>
      </w:tabs>
      <w:snapToGrid w:val="0"/>
      <w:jc w:val="left"/>
    </w:pPr>
    <w:rPr>
      <w:sz w:val="18"/>
      <w:szCs w:val="18"/>
    </w:rPr>
  </w:style>
  <w:style w:type="paragraph" w:styleId="19">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qFormat/>
    <w:uiPriority w:val="0"/>
    <w:pPr>
      <w:ind w:left="420" w:hanging="420"/>
    </w:pPr>
    <w:rPr>
      <w:rFonts w:ascii="Arial" w:hAnsi="Arial" w:eastAsia="楷体_GB2312"/>
      <w:sz w:val="28"/>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Body Text First Indent 2"/>
    <w:basedOn w:val="11"/>
    <w:next w:val="21"/>
    <w:qFormat/>
    <w:uiPriority w:val="0"/>
    <w:pPr>
      <w:spacing w:line="360" w:lineRule="auto"/>
      <w:ind w:firstLine="200" w:firstLineChars="200"/>
    </w:pPr>
    <w:rPr>
      <w:rFonts w:ascii="宋体"/>
    </w:r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rPr>
      <w:color w:val="2590EB"/>
    </w:rPr>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7"/>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9"/>
    <w:autoRedefine/>
    <w:qFormat/>
    <w:uiPriority w:val="0"/>
    <w:rPr>
      <w:rFonts w:ascii="@仿宋_GB2312" w:hAnsi="@仿宋_GB2312" w:eastAsia="@仿宋_GB2312" w:cs="@仿宋_GB2312"/>
      <w:sz w:val="18"/>
      <w:szCs w:val="18"/>
    </w:rPr>
  </w:style>
  <w:style w:type="character" w:customStyle="1" w:styleId="48">
    <w:name w:val="页脚 Char"/>
    <w:basedOn w:val="28"/>
    <w:link w:val="18"/>
    <w:autoRedefine/>
    <w:qFormat/>
    <w:uiPriority w:val="99"/>
    <w:rPr>
      <w:rFonts w:ascii="@仿宋_GB2312" w:hAnsi="@仿宋_GB2312" w:eastAsia="@仿宋_GB2312" w:cs="@仿宋_GB2312"/>
      <w:sz w:val="18"/>
      <w:szCs w:val="18"/>
    </w:rPr>
  </w:style>
  <w:style w:type="character" w:customStyle="1" w:styleId="49">
    <w:name w:val="纯文本 Char"/>
    <w:link w:val="14"/>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8"/>
    <w:autoRedefine/>
    <w:semiHidden/>
    <w:qFormat/>
    <w:uiPriority w:val="99"/>
    <w:rPr>
      <w:rFonts w:ascii="@仿宋_GB2312" w:hAnsi="@仿宋_GB2312" w:eastAsia="@仿宋_GB2312" w:cs="@仿宋_GB2312"/>
      <w:szCs w:val="20"/>
    </w:rPr>
  </w:style>
  <w:style w:type="character" w:customStyle="1" w:styleId="56">
    <w:name w:val="日期 Char"/>
    <w:link w:val="15"/>
    <w:autoRedefine/>
    <w:qFormat/>
    <w:uiPriority w:val="0"/>
    <w:rPr>
      <w:rFonts w:ascii="Arial" w:hAnsi="Arial" w:eastAsia="宋体" w:cs="Arial"/>
      <w:b/>
      <w:sz w:val="28"/>
      <w:szCs w:val="20"/>
    </w:rPr>
  </w:style>
  <w:style w:type="character" w:customStyle="1" w:styleId="57">
    <w:name w:val="纯文本 Char1"/>
    <w:link w:val="58"/>
    <w:autoRedefine/>
    <w:qFormat/>
    <w:locked/>
    <w:uiPriority w:val="0"/>
    <w:rPr>
      <w:rFonts w:ascii="Arial" w:hAnsi="Arial" w:eastAsia="Arial"/>
      <w:kern w:val="2"/>
      <w:sz w:val="21"/>
      <w:lang w:val="en-US" w:eastAsia="zh-CN" w:bidi="ar-SA"/>
    </w:rPr>
  </w:style>
  <w:style w:type="paragraph" w:customStyle="1" w:styleId="58">
    <w:name w:val="纯文本1"/>
    <w:basedOn w:val="1"/>
    <w:link w:val="57"/>
    <w:autoRedefine/>
    <w:qFormat/>
    <w:uiPriority w:val="0"/>
    <w:rPr>
      <w:rFonts w:ascii="Arial" w:hAnsi="Arial" w:eastAsia="Arial" w:cstheme="minorBidi"/>
      <w:szCs w:val="22"/>
    </w:rPr>
  </w:style>
  <w:style w:type="character" w:customStyle="1" w:styleId="59">
    <w:name w:val="批注文字 Char"/>
    <w:basedOn w:val="28"/>
    <w:autoRedefine/>
    <w:semiHidden/>
    <w:qFormat/>
    <w:uiPriority w:val="99"/>
    <w:rPr>
      <w:rFonts w:ascii="@仿宋_GB2312" w:hAnsi="@仿宋_GB2312" w:eastAsia="@仿宋_GB2312" w:cs="@仿宋_GB2312"/>
      <w:szCs w:val="20"/>
    </w:rPr>
  </w:style>
  <w:style w:type="character" w:customStyle="1" w:styleId="60">
    <w:name w:val="批注文字 Char1"/>
    <w:link w:val="8"/>
    <w:autoRedefine/>
    <w:qFormat/>
    <w:uiPriority w:val="0"/>
    <w:rPr>
      <w:rFonts w:ascii="Arial" w:hAnsi="Arial" w:eastAsia="黑体" w:cs="Arial"/>
      <w:szCs w:val="20"/>
    </w:rPr>
  </w:style>
  <w:style w:type="character" w:customStyle="1" w:styleId="61">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6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4">
    <w:name w:val="fontstyle01"/>
    <w:basedOn w:val="28"/>
    <w:autoRedefine/>
    <w:qFormat/>
    <w:uiPriority w:val="0"/>
    <w:rPr>
      <w:rFonts w:hint="eastAsia" w:ascii="宋体" w:hAnsi="宋体" w:eastAsia="宋体"/>
      <w:color w:val="000000"/>
      <w:sz w:val="22"/>
      <w:szCs w:val="22"/>
    </w:rPr>
  </w:style>
  <w:style w:type="character" w:customStyle="1" w:styleId="65">
    <w:name w:val="fontstyle21"/>
    <w:basedOn w:val="28"/>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8">
    <w:name w:val="标题 4 Char"/>
    <w:link w:val="5"/>
    <w:autoRedefine/>
    <w:qFormat/>
    <w:uiPriority w:val="0"/>
    <w:rPr>
      <w:rFonts w:ascii="@仿宋_GB2312" w:hAnsi="@仿宋_GB2312" w:eastAsia="@仿宋_GB2312" w:cs="@仿宋_GB2312"/>
      <w:b/>
      <w:bCs/>
      <w:sz w:val="28"/>
      <w:szCs w:val="28"/>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hover"/>
    <w:basedOn w:val="28"/>
    <w:qFormat/>
    <w:uiPriority w:val="0"/>
    <w:rPr>
      <w:color w:val="2590EB"/>
      <w:shd w:val="clear" w:color="auto" w:fill="E9F4FD"/>
    </w:rPr>
  </w:style>
  <w:style w:type="character" w:customStyle="1" w:styleId="74">
    <w:name w:val="hover1"/>
    <w:basedOn w:val="28"/>
    <w:qFormat/>
    <w:uiPriority w:val="0"/>
    <w:rPr>
      <w:color w:val="2590EB"/>
    </w:rPr>
  </w:style>
  <w:style w:type="character" w:customStyle="1" w:styleId="75">
    <w:name w:val="hover2"/>
    <w:basedOn w:val="28"/>
    <w:qFormat/>
    <w:uiPriority w:val="0"/>
    <w:rPr>
      <w:color w:val="2590EB"/>
    </w:rPr>
  </w:style>
  <w:style w:type="character" w:customStyle="1" w:styleId="76">
    <w:name w:val="hover3"/>
    <w:basedOn w:val="28"/>
    <w:qFormat/>
    <w:uiPriority w:val="0"/>
  </w:style>
  <w:style w:type="character" w:customStyle="1" w:styleId="77">
    <w:name w:val="hover4"/>
    <w:basedOn w:val="28"/>
    <w:qFormat/>
    <w:uiPriority w:val="0"/>
    <w:rPr>
      <w:color w:val="2590EB"/>
      <w:shd w:val="clear" w:color="auto" w:fill="E9F4FD"/>
    </w:rPr>
  </w:style>
  <w:style w:type="character" w:customStyle="1" w:styleId="78">
    <w:name w:val="样式 正文 +"/>
    <w:basedOn w:val="28"/>
    <w:qFormat/>
    <w:uiPriority w:val="0"/>
    <w:rPr>
      <w:rFonts w:ascii="Times New Roman" w:hAnsi="Times New Roman" w:eastAsia="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66</Pages>
  <Words>2308</Words>
  <Characters>2636</Characters>
  <Lines>267</Lines>
  <Paragraphs>75</Paragraphs>
  <TotalTime>22</TotalTime>
  <ScaleCrop>false</ScaleCrop>
  <LinksUpToDate>false</LinksUpToDate>
  <CharactersWithSpaces>2730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韦韦</cp:lastModifiedBy>
  <cp:lastPrinted>2019-12-07T15:22:00Z</cp:lastPrinted>
  <dcterms:modified xsi:type="dcterms:W3CDTF">2025-11-24T08:50:15Z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4B84F8118DA848F39DB0C3C25A317504_13</vt:lpwstr>
  </property>
  <property fmtid="{D5CDD505-2E9C-101B-9397-08002B2CF9AE}" pid="4" name="KSOTemplateDocerSaveRecord">
    <vt:lpwstr>eyJoZGlkIjoiZmQ5MGI3YTdkMjVkZTZjM2ZjZTQ5YjMxYTJjZjRlOWEiLCJ1c2VySWQiOiIzNjE4MjQ5In0=</vt:lpwstr>
  </property>
</Properties>
</file>