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76DC9B">
      <w:pPr>
        <w:ind w:right="-315" w:rightChars="-150"/>
        <w:jc w:val="center"/>
        <w:rPr>
          <w:rFonts w:hint="eastAsia" w:ascii="宋体" w:hAnsi="宋体" w:eastAsia="宋体" w:cs="宋体"/>
          <w:b/>
          <w:bCs/>
          <w:color w:val="auto"/>
          <w:sz w:val="92"/>
          <w:szCs w:val="92"/>
          <w:highlight w:val="none"/>
          <w:u w:val="single"/>
          <w:vertAlign w:val="subscript"/>
        </w:rPr>
      </w:pPr>
    </w:p>
    <w:p w14:paraId="6B503F7B">
      <w:pPr>
        <w:spacing w:line="720" w:lineRule="auto"/>
        <w:jc w:val="center"/>
        <w:rPr>
          <w:rFonts w:hint="eastAsia" w:ascii="宋体" w:hAnsi="宋体" w:eastAsia="宋体" w:cs="宋体"/>
          <w:b/>
          <w:bCs/>
          <w:color w:val="auto"/>
          <w:spacing w:val="-10"/>
          <w:sz w:val="48"/>
          <w:szCs w:val="48"/>
          <w:highlight w:val="none"/>
          <w:lang w:val="en-US" w:eastAsia="zh-CN"/>
        </w:rPr>
      </w:pPr>
      <w:r>
        <w:rPr>
          <w:rFonts w:hint="eastAsia" w:ascii="宋体" w:hAnsi="宋体" w:cs="宋体"/>
          <w:b/>
          <w:bCs/>
          <w:color w:val="auto"/>
          <w:spacing w:val="-10"/>
          <w:sz w:val="48"/>
          <w:szCs w:val="48"/>
          <w:highlight w:val="none"/>
          <w:lang w:val="en-US" w:eastAsia="zh-CN"/>
        </w:rPr>
        <w:t>明湖新区道路绿化项目跟踪审计项目</w:t>
      </w:r>
    </w:p>
    <w:p w14:paraId="559D772C">
      <w:pPr>
        <w:spacing w:line="400" w:lineRule="atLeast"/>
        <w:jc w:val="center"/>
        <w:rPr>
          <w:rFonts w:hint="eastAsia" w:ascii="宋体" w:hAnsi="宋体" w:eastAsia="宋体" w:cs="宋体"/>
          <w:b/>
          <w:bCs/>
          <w:color w:val="auto"/>
          <w:sz w:val="98"/>
          <w:szCs w:val="98"/>
          <w:highlight w:val="none"/>
        </w:rPr>
      </w:pPr>
    </w:p>
    <w:p w14:paraId="79172E65">
      <w:pPr>
        <w:pStyle w:val="2"/>
        <w:rPr>
          <w:rFonts w:hint="eastAsia"/>
          <w:color w:val="auto"/>
          <w:highlight w:val="none"/>
        </w:rPr>
      </w:pPr>
    </w:p>
    <w:p w14:paraId="34C3FEB2">
      <w:pPr>
        <w:spacing w:line="400" w:lineRule="atLeast"/>
        <w:jc w:val="center"/>
        <w:rPr>
          <w:rFonts w:hint="eastAsia" w:ascii="宋体" w:hAnsi="宋体" w:eastAsia="宋体" w:cs="宋体"/>
          <w:b/>
          <w:bCs/>
          <w:color w:val="auto"/>
          <w:sz w:val="98"/>
          <w:szCs w:val="98"/>
          <w:highlight w:val="none"/>
        </w:rPr>
      </w:pPr>
      <w:r>
        <w:rPr>
          <w:rFonts w:hint="eastAsia" w:ascii="宋体" w:hAnsi="宋体" w:eastAsia="宋体" w:cs="宋体"/>
          <w:b/>
          <w:bCs/>
          <w:color w:val="auto"/>
          <w:sz w:val="98"/>
          <w:szCs w:val="98"/>
          <w:highlight w:val="none"/>
        </w:rPr>
        <w:t>招</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件</w:t>
      </w:r>
    </w:p>
    <w:p w14:paraId="19F15149">
      <w:pPr>
        <w:spacing w:line="480" w:lineRule="exact"/>
        <w:ind w:firstLine="2880" w:firstLineChars="900"/>
        <w:rPr>
          <w:rFonts w:hint="eastAsia" w:ascii="宋体" w:hAnsi="宋体" w:eastAsia="宋体" w:cs="宋体"/>
          <w:color w:val="auto"/>
          <w:sz w:val="32"/>
          <w:highlight w:val="none"/>
          <w:u w:val="none"/>
          <w:lang w:val="en-US" w:eastAsia="zh-CN"/>
        </w:rPr>
      </w:pPr>
    </w:p>
    <w:p w14:paraId="5E1922AA">
      <w:pPr>
        <w:spacing w:line="480" w:lineRule="exact"/>
        <w:jc w:val="center"/>
        <w:rPr>
          <w:rFonts w:hint="eastAsia" w:ascii="宋体" w:hAnsi="宋体" w:eastAsia="宋体" w:cs="宋体"/>
          <w:color w:val="auto"/>
          <w:sz w:val="32"/>
          <w:highlight w:val="none"/>
          <w:u w:val="none"/>
          <w:lang w:val="en-US" w:eastAsia="zh-CN"/>
        </w:rPr>
      </w:pPr>
    </w:p>
    <w:p w14:paraId="6228E25F">
      <w:pPr>
        <w:spacing w:line="480" w:lineRule="exact"/>
        <w:jc w:val="center"/>
        <w:rPr>
          <w:rFonts w:hint="default" w:ascii="宋体" w:hAnsi="宋体" w:eastAsia="宋体" w:cs="宋体"/>
          <w:color w:val="auto"/>
          <w:sz w:val="32"/>
          <w:highlight w:val="none"/>
          <w:u w:val="none"/>
          <w:lang w:val="en-US" w:eastAsia="zh-CN"/>
        </w:rPr>
      </w:pPr>
      <w:r>
        <w:rPr>
          <w:rFonts w:hint="eastAsia" w:ascii="宋体" w:hAnsi="宋体" w:eastAsia="宋体" w:cs="宋体"/>
          <w:color w:val="auto"/>
          <w:sz w:val="32"/>
          <w:highlight w:val="none"/>
          <w:u w:val="none"/>
          <w:lang w:val="en-US" w:eastAsia="zh-CN"/>
        </w:rPr>
        <w:t>项目编号：HXJY1110001054828001</w:t>
      </w:r>
    </w:p>
    <w:p w14:paraId="1CCCA184">
      <w:pPr>
        <w:spacing w:line="480" w:lineRule="exact"/>
        <w:ind w:firstLine="643" w:firstLineChars="200"/>
        <w:jc w:val="center"/>
        <w:rPr>
          <w:rFonts w:hint="eastAsia" w:ascii="宋体" w:hAnsi="宋体" w:eastAsia="宋体" w:cs="宋体"/>
          <w:b/>
          <w:bCs/>
          <w:color w:val="auto"/>
          <w:sz w:val="32"/>
          <w:szCs w:val="32"/>
          <w:highlight w:val="none"/>
        </w:rPr>
      </w:pPr>
    </w:p>
    <w:p w14:paraId="2968F6F1">
      <w:pPr>
        <w:spacing w:line="480" w:lineRule="exact"/>
        <w:ind w:firstLine="472" w:firstLineChars="147"/>
        <w:rPr>
          <w:rFonts w:hint="eastAsia" w:ascii="宋体" w:hAnsi="宋体" w:eastAsia="宋体" w:cs="宋体"/>
          <w:b/>
          <w:bCs/>
          <w:color w:val="auto"/>
          <w:sz w:val="32"/>
          <w:szCs w:val="32"/>
          <w:highlight w:val="none"/>
        </w:rPr>
      </w:pPr>
    </w:p>
    <w:p w14:paraId="07CE3B8E">
      <w:pPr>
        <w:spacing w:line="480" w:lineRule="exact"/>
        <w:ind w:firstLine="472" w:firstLineChars="147"/>
        <w:rPr>
          <w:rFonts w:hint="eastAsia" w:ascii="宋体" w:hAnsi="宋体" w:eastAsia="宋体" w:cs="宋体"/>
          <w:b/>
          <w:bCs/>
          <w:color w:val="auto"/>
          <w:sz w:val="32"/>
          <w:szCs w:val="32"/>
          <w:highlight w:val="none"/>
        </w:rPr>
      </w:pPr>
    </w:p>
    <w:p w14:paraId="536C2082">
      <w:pPr>
        <w:spacing w:line="480" w:lineRule="exact"/>
        <w:rPr>
          <w:rFonts w:hint="eastAsia" w:ascii="宋体" w:hAnsi="宋体" w:eastAsia="宋体" w:cs="宋体"/>
          <w:b/>
          <w:bCs/>
          <w:color w:val="auto"/>
          <w:sz w:val="32"/>
          <w:szCs w:val="32"/>
          <w:highlight w:val="none"/>
        </w:rPr>
      </w:pPr>
    </w:p>
    <w:p w14:paraId="0292DE31">
      <w:pPr>
        <w:rPr>
          <w:rFonts w:hint="eastAsia" w:ascii="宋体" w:hAnsi="宋体" w:eastAsia="宋体" w:cs="宋体"/>
          <w:color w:val="auto"/>
          <w:sz w:val="32"/>
          <w:highlight w:val="none"/>
        </w:rPr>
      </w:pPr>
    </w:p>
    <w:p w14:paraId="20B531C3">
      <w:pPr>
        <w:spacing w:line="800" w:lineRule="exact"/>
        <w:jc w:val="center"/>
        <w:rPr>
          <w:rFonts w:hint="eastAsia" w:ascii="宋体" w:hAnsi="宋体" w:eastAsia="宋体" w:cs="宋体"/>
          <w:color w:val="auto"/>
          <w:sz w:val="32"/>
          <w:highlight w:val="none"/>
          <w:lang w:val="en-US" w:eastAsia="zh-CN"/>
        </w:rPr>
      </w:pPr>
    </w:p>
    <w:p w14:paraId="44D60B52">
      <w:pPr>
        <w:spacing w:line="800" w:lineRule="exact"/>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lang w:val="en-US" w:eastAsia="zh-CN"/>
        </w:rPr>
        <w:t>招标</w:t>
      </w:r>
      <w:r>
        <w:rPr>
          <w:rFonts w:hint="eastAsia" w:ascii="宋体" w:hAnsi="宋体" w:eastAsia="宋体" w:cs="宋体"/>
          <w:color w:val="auto"/>
          <w:sz w:val="32"/>
          <w:highlight w:val="none"/>
        </w:rPr>
        <w:t>单位：</w:t>
      </w:r>
      <w:r>
        <w:rPr>
          <w:rFonts w:hint="eastAsia" w:ascii="宋体" w:hAnsi="宋体" w:cs="宋体"/>
          <w:color w:val="auto"/>
          <w:sz w:val="32"/>
          <w:highlight w:val="none"/>
          <w:u w:val="single"/>
          <w:lang w:val="en-US" w:eastAsia="zh-CN"/>
        </w:rPr>
        <w:t>滁州市明湖建设管理服务中心</w:t>
      </w:r>
      <w:r>
        <w:rPr>
          <w:rFonts w:hint="eastAsia" w:ascii="宋体" w:hAnsi="宋体" w:eastAsia="宋体" w:cs="宋体"/>
          <w:color w:val="auto"/>
          <w:sz w:val="32"/>
          <w:highlight w:val="none"/>
          <w:u w:val="single"/>
          <w:lang w:val="en-US" w:eastAsia="zh-CN"/>
        </w:rPr>
        <w:t xml:space="preserve">   </w:t>
      </w:r>
      <w:r>
        <w:rPr>
          <w:rFonts w:hint="eastAsia" w:ascii="宋体" w:hAnsi="宋体" w:eastAsia="宋体" w:cs="宋体"/>
          <w:color w:val="auto"/>
          <w:sz w:val="32"/>
          <w:highlight w:val="none"/>
          <w:u w:val="single"/>
        </w:rPr>
        <w:t>（盖章）</w:t>
      </w:r>
    </w:p>
    <w:p w14:paraId="7964B908">
      <w:pPr>
        <w:spacing w:line="800" w:lineRule="exact"/>
        <w:jc w:val="center"/>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代理机构：</w:t>
      </w:r>
      <w:r>
        <w:rPr>
          <w:rFonts w:hint="eastAsia" w:ascii="宋体" w:hAnsi="宋体" w:eastAsia="宋体" w:cs="宋体"/>
          <w:color w:val="auto"/>
          <w:sz w:val="32"/>
          <w:highlight w:val="none"/>
          <w:u w:val="single"/>
        </w:rPr>
        <w:t>滁州市城投工程咨询管理有限公司（盖章）</w:t>
      </w:r>
    </w:p>
    <w:p w14:paraId="6435FF63">
      <w:pPr>
        <w:spacing w:line="800" w:lineRule="exact"/>
        <w:jc w:val="center"/>
        <w:rPr>
          <w:rFonts w:hint="default" w:ascii="宋体" w:hAnsi="宋体" w:eastAsia="宋体" w:cs="宋体"/>
          <w:color w:val="auto"/>
          <w:sz w:val="32"/>
          <w:highlight w:val="none"/>
          <w:lang w:val="en-US" w:eastAsia="zh-CN"/>
        </w:rPr>
      </w:pPr>
      <w:r>
        <w:rPr>
          <w:rFonts w:hint="eastAsia" w:ascii="宋体" w:hAnsi="宋体" w:eastAsia="宋体" w:cs="宋体"/>
          <w:color w:val="auto"/>
          <w:sz w:val="32"/>
          <w:highlight w:val="none"/>
          <w:u w:val="single"/>
        </w:rPr>
        <w:t>202</w:t>
      </w:r>
      <w:r>
        <w:rPr>
          <w:rFonts w:hint="eastAsia" w:ascii="宋体" w:hAnsi="宋体" w:cs="宋体"/>
          <w:color w:val="auto"/>
          <w:sz w:val="32"/>
          <w:highlight w:val="none"/>
          <w:u w:val="single"/>
          <w:lang w:val="en-US" w:eastAsia="zh-CN"/>
        </w:rPr>
        <w:t>6</w:t>
      </w:r>
      <w:r>
        <w:rPr>
          <w:rFonts w:hint="eastAsia" w:ascii="宋体" w:hAnsi="宋体" w:eastAsia="宋体" w:cs="宋体"/>
          <w:color w:val="auto"/>
          <w:sz w:val="32"/>
          <w:highlight w:val="none"/>
        </w:rPr>
        <w:t>年</w:t>
      </w:r>
      <w:r>
        <w:rPr>
          <w:rFonts w:hint="eastAsia" w:ascii="宋体" w:hAnsi="宋体" w:cs="宋体"/>
          <w:color w:val="auto"/>
          <w:sz w:val="32"/>
          <w:highlight w:val="none"/>
          <w:u w:val="single"/>
          <w:lang w:val="en-US" w:eastAsia="zh-CN"/>
        </w:rPr>
        <w:t xml:space="preserve"> 4 </w:t>
      </w:r>
      <w:r>
        <w:rPr>
          <w:rFonts w:hint="eastAsia" w:ascii="宋体" w:hAnsi="宋体" w:eastAsia="宋体" w:cs="宋体"/>
          <w:color w:val="auto"/>
          <w:sz w:val="32"/>
          <w:highlight w:val="none"/>
        </w:rPr>
        <w:t>月</w:t>
      </w:r>
      <w:r>
        <w:rPr>
          <w:rFonts w:hint="eastAsia" w:ascii="宋体" w:hAnsi="宋体" w:cs="宋体"/>
          <w:color w:val="auto"/>
          <w:sz w:val="32"/>
          <w:highlight w:val="none"/>
          <w:u w:val="single"/>
          <w:lang w:val="en-US" w:eastAsia="zh-CN"/>
        </w:rPr>
        <w:t xml:space="preserve"> 20 </w:t>
      </w:r>
      <w:r>
        <w:rPr>
          <w:rFonts w:hint="eastAsia" w:ascii="宋体" w:hAnsi="宋体" w:cs="宋体"/>
          <w:color w:val="auto"/>
          <w:sz w:val="32"/>
          <w:highlight w:val="none"/>
          <w:lang w:val="en-US" w:eastAsia="zh-CN"/>
        </w:rPr>
        <w:t>日</w:t>
      </w:r>
    </w:p>
    <w:p w14:paraId="236D7D19">
      <w:pPr>
        <w:spacing w:line="800" w:lineRule="exact"/>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br w:type="page"/>
      </w:r>
    </w:p>
    <w:p w14:paraId="35F77A08">
      <w:pPr>
        <w:spacing w:line="800" w:lineRule="exact"/>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  录</w:t>
      </w:r>
    </w:p>
    <w:p w14:paraId="6259B4B0">
      <w:pPr>
        <w:pStyle w:val="32"/>
        <w:tabs>
          <w:tab w:val="right" w:leader="dot" w:pos="9541"/>
          <w:tab w:val="clear" w:pos="8296"/>
        </w:tabs>
        <w:rPr>
          <w:rFonts w:hint="eastAsia" w:ascii="宋体" w:hAnsi="宋体" w:eastAsia="宋体" w:cs="宋体"/>
          <w:b w:val="0"/>
          <w:bCs w:val="0"/>
          <w:color w:val="auto"/>
          <w:sz w:val="24"/>
          <w:szCs w:val="24"/>
          <w:highlight w:val="none"/>
        </w:rPr>
      </w:pPr>
    </w:p>
    <w:p w14:paraId="5F0FFD1A">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"1-2" \h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_Toc16309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A、</w:t>
      </w:r>
      <w:r>
        <w:rPr>
          <w:rFonts w:hint="eastAsia" w:hAnsi="宋体" w:eastAsia="宋体" w:cs="宋体"/>
          <w:color w:val="auto"/>
          <w:highlight w:val="none"/>
          <w:lang w:val="en-US" w:eastAsia="zh-CN"/>
        </w:rPr>
        <w:t>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_Toc16309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4CD5E4E4">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_Toc2525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w:t>
      </w:r>
      <w:r>
        <w:rPr>
          <w:rFonts w:hint="eastAsia" w:hAnsi="宋体" w:eastAsia="宋体" w:cs="宋体"/>
          <w:color w:val="auto"/>
          <w:highlight w:val="none"/>
          <w:lang w:val="en-US" w:eastAsia="zh-CN"/>
        </w:rPr>
        <w:t>人</w:t>
      </w:r>
      <w:r>
        <w:rPr>
          <w:rFonts w:hint="eastAsia" w:ascii="宋体" w:hAnsi="宋体" w:eastAsia="宋体" w:cs="宋体"/>
          <w:color w:val="auto"/>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37667979">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_Toc13234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第二章 评标办法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65E06610">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_Toc3848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44"/>
          <w:highlight w:val="none"/>
          <w:lang w:val="en-US" w:eastAsia="zh-CN"/>
        </w:rPr>
        <w:t>第三章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02A250ED">
      <w:pPr>
        <w:pStyle w:val="32"/>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_Toc30675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第四章 投标文件格式</w:t>
      </w:r>
      <w:r>
        <w:rPr>
          <w:rFonts w:hint="eastAsia" w:ascii="宋体" w:hAnsi="宋体" w:eastAsia="宋体" w:cs="宋体"/>
          <w:color w:val="auto"/>
          <w:highlight w:val="none"/>
        </w:rPr>
        <w:tab/>
      </w:r>
      <w:r>
        <w:rPr>
          <w:rFonts w:hint="eastAsia" w:hAnsi="宋体" w:eastAsia="宋体" w:cs="宋体"/>
          <w:color w:val="auto"/>
          <w:highlight w:val="none"/>
          <w:lang w:val="en-US" w:eastAsia="zh-CN"/>
        </w:rPr>
        <w:t>2</w:t>
      </w:r>
      <w:r>
        <w:rPr>
          <w:rFonts w:hint="eastAsia" w:ascii="宋体" w:hAnsi="宋体" w:eastAsia="宋体" w:cs="宋体"/>
          <w:bCs w:val="0"/>
          <w:color w:val="auto"/>
          <w:szCs w:val="24"/>
          <w:highlight w:val="none"/>
        </w:rPr>
        <w:fldChar w:fldCharType="end"/>
      </w:r>
      <w:r>
        <w:rPr>
          <w:rFonts w:hint="eastAsia" w:hAnsi="宋体" w:eastAsia="宋体" w:cs="宋体"/>
          <w:bCs w:val="0"/>
          <w:color w:val="auto"/>
          <w:szCs w:val="24"/>
          <w:highlight w:val="none"/>
          <w:lang w:val="en-US" w:eastAsia="zh-CN"/>
        </w:rPr>
        <w:t>9</w:t>
      </w:r>
    </w:p>
    <w:p w14:paraId="703F52F3">
      <w:pPr>
        <w:pStyle w:val="32"/>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_Toc31498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第五章 招标单位、招标代理机构对本招标文件的确认</w:t>
      </w:r>
      <w:r>
        <w:rPr>
          <w:rFonts w:hint="eastAsia" w:ascii="宋体" w:hAnsi="宋体" w:eastAsia="宋体" w:cs="宋体"/>
          <w:color w:val="auto"/>
          <w:highlight w:val="none"/>
        </w:rPr>
        <w:tab/>
      </w:r>
      <w:r>
        <w:rPr>
          <w:rFonts w:hint="eastAsia" w:hAnsi="宋体" w:eastAsia="宋体" w:cs="宋体"/>
          <w:color w:val="auto"/>
          <w:highlight w:val="none"/>
          <w:lang w:val="en-US" w:eastAsia="zh-CN"/>
        </w:rPr>
        <w:t>3</w:t>
      </w:r>
      <w:r>
        <w:rPr>
          <w:rFonts w:hint="eastAsia" w:ascii="宋体" w:hAnsi="宋体" w:eastAsia="宋体" w:cs="宋体"/>
          <w:bCs w:val="0"/>
          <w:color w:val="auto"/>
          <w:szCs w:val="24"/>
          <w:highlight w:val="none"/>
        </w:rPr>
        <w:fldChar w:fldCharType="end"/>
      </w:r>
      <w:r>
        <w:rPr>
          <w:rFonts w:hint="eastAsia" w:hAnsi="宋体" w:eastAsia="宋体" w:cs="宋体"/>
          <w:bCs w:val="0"/>
          <w:color w:val="auto"/>
          <w:szCs w:val="24"/>
          <w:highlight w:val="none"/>
          <w:lang w:val="en-US" w:eastAsia="zh-CN"/>
        </w:rPr>
        <w:t>4</w:t>
      </w:r>
    </w:p>
    <w:p w14:paraId="2E1D2DC7">
      <w:pPr>
        <w:pStyle w:val="5"/>
        <w:spacing w:before="0" w:after="0" w:line="48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Cs w:val="0"/>
          <w:color w:val="auto"/>
          <w:szCs w:val="24"/>
          <w:highlight w:val="none"/>
        </w:rPr>
        <w:fldChar w:fldCharType="end"/>
      </w:r>
      <w:r>
        <w:rPr>
          <w:rFonts w:hint="eastAsia" w:ascii="宋体" w:hAnsi="宋体" w:eastAsia="宋体" w:cs="宋体"/>
          <w:b w:val="0"/>
          <w:bCs w:val="0"/>
          <w:color w:val="auto"/>
          <w:sz w:val="24"/>
          <w:szCs w:val="24"/>
          <w:highlight w:val="none"/>
          <w:lang w:val="en-US" w:eastAsia="zh-CN"/>
        </w:rPr>
        <w:t xml:space="preserve"> </w:t>
      </w:r>
    </w:p>
    <w:p w14:paraId="7DC563D7">
      <w:pPr>
        <w:rPr>
          <w:rFonts w:hint="eastAsia" w:ascii="宋体" w:hAnsi="宋体" w:eastAsia="宋体" w:cs="宋体"/>
          <w:color w:val="auto"/>
          <w:highlight w:val="none"/>
        </w:rPr>
        <w:sectPr>
          <w:footerReference r:id="rId5" w:type="first"/>
          <w:headerReference r:id="rId3" w:type="default"/>
          <w:footerReference r:id="rId4" w:type="default"/>
          <w:pgSz w:w="11906" w:h="16838"/>
          <w:pgMar w:top="1134" w:right="1106" w:bottom="1134"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6153588B">
      <w:pPr>
        <w:pStyle w:val="5"/>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00" w:lineRule="exact"/>
        <w:jc w:val="center"/>
        <w:textAlignment w:val="auto"/>
        <w:rPr>
          <w:rFonts w:hint="eastAsia" w:ascii="华文中宋" w:hAnsi="华文中宋" w:eastAsia="华文中宋" w:cs="Times New Roman"/>
          <w:color w:val="auto"/>
          <w:highlight w:val="none"/>
          <w:lang w:eastAsia="zh-CN"/>
        </w:rPr>
      </w:pPr>
      <w:bookmarkStart w:id="0" w:name="_Toc21262"/>
      <w:bookmarkStart w:id="1" w:name="_Toc14627"/>
      <w:bookmarkStart w:id="2" w:name="_Toc16309"/>
      <w:r>
        <w:rPr>
          <w:rFonts w:hint="eastAsia" w:ascii="华文中宋" w:hAnsi="华文中宋" w:eastAsia="华文中宋" w:cs="Times New Roman"/>
          <w:color w:val="auto"/>
          <w:highlight w:val="none"/>
          <w:lang w:val="en-US" w:eastAsia="zh-CN"/>
        </w:rPr>
        <w:t>A、明湖新区道路绿化项目跟踪审计项目</w:t>
      </w:r>
      <w:r>
        <w:rPr>
          <w:rFonts w:hint="eastAsia" w:ascii="华文中宋" w:hAnsi="华文中宋" w:eastAsia="华文中宋" w:cs="Times New Roman"/>
          <w:color w:val="auto"/>
          <w:highlight w:val="none"/>
          <w:lang w:eastAsia="zh-CN"/>
        </w:rPr>
        <w:t>招标公告</w:t>
      </w:r>
      <w:bookmarkEnd w:id="0"/>
      <w:bookmarkEnd w:id="1"/>
      <w:r>
        <w:rPr>
          <w:rFonts w:hint="eastAsia" w:ascii="华文中宋" w:hAnsi="华文中宋" w:eastAsia="华文中宋" w:cs="Times New Roman"/>
          <w:color w:val="auto"/>
          <w:highlight w:val="none"/>
          <w:lang w:eastAsia="zh-CN"/>
        </w:rPr>
        <w:t>（</w:t>
      </w:r>
      <w:r>
        <w:rPr>
          <w:rFonts w:hint="eastAsia" w:ascii="华文中宋" w:hAnsi="华文中宋" w:eastAsia="华文中宋" w:cs="Times New Roman"/>
          <w:color w:val="auto"/>
          <w:highlight w:val="none"/>
          <w:lang w:val="en-US" w:eastAsia="zh-CN"/>
        </w:rPr>
        <w:t>不见面开标</w:t>
      </w:r>
      <w:r>
        <w:rPr>
          <w:rFonts w:hint="eastAsia" w:ascii="华文中宋" w:hAnsi="华文中宋" w:eastAsia="华文中宋" w:cs="Times New Roman"/>
          <w:color w:val="auto"/>
          <w:highlight w:val="none"/>
          <w:lang w:eastAsia="zh-CN"/>
        </w:rPr>
        <w:t>）</w:t>
      </w:r>
    </w:p>
    <w:p w14:paraId="0105351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3" w:name="_Toc28359002"/>
      <w:bookmarkStart w:id="4" w:name="_Toc35393621"/>
      <w:bookmarkStart w:id="5" w:name="_Toc31215"/>
      <w:bookmarkStart w:id="6" w:name="_Toc35393790"/>
      <w:bookmarkStart w:id="7" w:name="_Toc23993"/>
      <w:bookmarkStart w:id="8" w:name="_Toc11704"/>
      <w:bookmarkStart w:id="9" w:name="_Toc28359079"/>
      <w:bookmarkStart w:id="10" w:name="_Hlk24379207"/>
      <w:r>
        <w:rPr>
          <w:rFonts w:hint="eastAsia" w:ascii="宋体" w:hAnsi="宋体" w:eastAsia="宋体" w:cs="宋体"/>
          <w:b/>
          <w:bCs/>
          <w:color w:val="auto"/>
          <w:sz w:val="21"/>
          <w:szCs w:val="21"/>
          <w:highlight w:val="none"/>
        </w:rPr>
        <w:t>一、项目基本情况</w:t>
      </w:r>
      <w:bookmarkEnd w:id="3"/>
      <w:bookmarkEnd w:id="4"/>
      <w:bookmarkEnd w:id="5"/>
      <w:bookmarkEnd w:id="6"/>
      <w:bookmarkEnd w:id="7"/>
      <w:bookmarkEnd w:id="8"/>
      <w:bookmarkEnd w:id="9"/>
    </w:p>
    <w:bookmarkEnd w:id="10"/>
    <w:p w14:paraId="660E9687">
      <w:pPr>
        <w:pageBreakBefore w:val="0"/>
        <w:kinsoku/>
        <w:overflowPunct/>
        <w:topLinePunct w:val="0"/>
        <w:autoSpaceDE/>
        <w:autoSpaceDN/>
        <w:bidi w:val="0"/>
        <w:spacing w:line="360" w:lineRule="auto"/>
        <w:ind w:firstLine="420" w:firstLineChars="200"/>
        <w:rPr>
          <w:rFonts w:hint="eastAsia" w:ascii="宋体" w:hAnsi="宋体" w:cs="宋体"/>
          <w:i w:val="0"/>
          <w:iCs w:val="0"/>
          <w:caps w:val="0"/>
          <w:color w:val="auto"/>
          <w:spacing w:val="0"/>
          <w:kern w:val="0"/>
          <w:sz w:val="21"/>
          <w:szCs w:val="21"/>
          <w:highlight w:val="none"/>
          <w:shd w:val="clear" w:fill="FFFFFF"/>
          <w:lang w:val="en-US" w:eastAsia="zh-CN" w:bidi="ar"/>
        </w:rPr>
      </w:pPr>
      <w:bookmarkStart w:id="11" w:name="_Toc28359080"/>
      <w:bookmarkStart w:id="12" w:name="_Toc4879"/>
      <w:bookmarkStart w:id="13" w:name="_Toc28359003"/>
      <w:bookmarkStart w:id="14" w:name="_Toc28004"/>
      <w:bookmarkStart w:id="15" w:name="_Toc35393622"/>
      <w:bookmarkStart w:id="16" w:name="_Toc35393791"/>
      <w:r>
        <w:rPr>
          <w:rFonts w:hint="eastAsia" w:ascii="宋体" w:hAnsi="宋体" w:cs="宋体"/>
          <w:i w:val="0"/>
          <w:iCs w:val="0"/>
          <w:caps w:val="0"/>
          <w:color w:val="auto"/>
          <w:spacing w:val="0"/>
          <w:kern w:val="0"/>
          <w:sz w:val="21"/>
          <w:szCs w:val="21"/>
          <w:highlight w:val="none"/>
          <w:shd w:val="clear" w:fill="FFFFFF"/>
          <w:lang w:val="en-US" w:eastAsia="zh-CN" w:bidi="ar"/>
        </w:rPr>
        <w:t>项目编号：HXJY1110001054828001</w:t>
      </w:r>
    </w:p>
    <w:p w14:paraId="1E27E1DB">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项目名称：</w:t>
      </w:r>
      <w:r>
        <w:rPr>
          <w:rFonts w:hint="eastAsia" w:ascii="宋体" w:hAnsi="宋体" w:cs="宋体"/>
          <w:i w:val="0"/>
          <w:iCs w:val="0"/>
          <w:caps w:val="0"/>
          <w:color w:val="auto"/>
          <w:spacing w:val="0"/>
          <w:kern w:val="0"/>
          <w:sz w:val="21"/>
          <w:szCs w:val="21"/>
          <w:highlight w:val="none"/>
          <w:shd w:val="clear" w:fill="FFFFFF"/>
          <w:lang w:val="en-US" w:eastAsia="zh-CN" w:bidi="ar"/>
        </w:rPr>
        <w:t>明湖新区道路绿化项目跟踪审计项目</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1991BF28">
      <w:pPr>
        <w:pageBreakBefore w:val="0"/>
        <w:kinsoku/>
        <w:overflowPunct/>
        <w:topLinePunct w:val="0"/>
        <w:autoSpaceDE/>
        <w:autoSpaceDN/>
        <w:bidi w:val="0"/>
        <w:spacing w:line="360" w:lineRule="auto"/>
        <w:ind w:firstLine="420" w:firstLineChars="200"/>
        <w:rPr>
          <w:rFonts w:hint="default"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预算金额：</w:t>
      </w:r>
      <w:r>
        <w:rPr>
          <w:rFonts w:hint="eastAsia" w:ascii="宋体" w:hAnsi="宋体" w:cs="宋体"/>
          <w:i w:val="0"/>
          <w:iCs w:val="0"/>
          <w:caps w:val="0"/>
          <w:color w:val="auto"/>
          <w:spacing w:val="0"/>
          <w:kern w:val="0"/>
          <w:sz w:val="21"/>
          <w:szCs w:val="21"/>
          <w:highlight w:val="none"/>
          <w:shd w:val="clear" w:fill="FFFFFF"/>
          <w:lang w:val="en-US" w:eastAsia="zh-CN" w:bidi="ar"/>
        </w:rPr>
        <w:t>约0.2万元</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5705B9E1">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最高限价：本项目的最高限价为基本费率</w:t>
      </w:r>
      <w:r>
        <w:rPr>
          <w:rFonts w:hint="eastAsia" w:ascii="宋体" w:hAnsi="宋体" w:cs="宋体"/>
          <w:i w:val="0"/>
          <w:iCs w:val="0"/>
          <w:caps w:val="0"/>
          <w:color w:val="auto"/>
          <w:spacing w:val="0"/>
          <w:kern w:val="0"/>
          <w:sz w:val="21"/>
          <w:szCs w:val="21"/>
          <w:highlight w:val="none"/>
          <w:shd w:val="clear" w:fill="FFFFFF"/>
          <w:lang w:val="en-US" w:eastAsia="zh-CN" w:bidi="ar"/>
        </w:rPr>
        <w:t>3</w:t>
      </w:r>
      <w:r>
        <w:rPr>
          <w:rFonts w:hint="eastAsia" w:ascii="宋体" w:hAnsi="宋体" w:eastAsia="宋体" w:cs="宋体"/>
          <w:i w:val="0"/>
          <w:iCs w:val="0"/>
          <w:caps w:val="0"/>
          <w:color w:val="auto"/>
          <w:spacing w:val="0"/>
          <w:kern w:val="0"/>
          <w:sz w:val="21"/>
          <w:szCs w:val="21"/>
          <w:highlight w:val="none"/>
          <w:shd w:val="clear" w:fill="FFFFFF"/>
          <w:lang w:val="en-US" w:eastAsia="zh-CN" w:bidi="ar"/>
        </w:rPr>
        <w:t>‰、审核成果费率4%（审核成果费率为不可竞争费率，固定不变），基本费率由投标人自主报价，不得高于上述基本费率最高限价，否则按无效标处理。（投标报价费率要求精确到小数点后两位，投标费率不可以填报0或负数，否则按无效标处理）。</w:t>
      </w:r>
    </w:p>
    <w:p w14:paraId="45CFA020">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采购需求：</w:t>
      </w:r>
      <w:r>
        <w:rPr>
          <w:rFonts w:hint="eastAsia" w:ascii="宋体" w:hAnsi="宋体" w:cs="宋体"/>
          <w:i w:val="0"/>
          <w:iCs w:val="0"/>
          <w:caps w:val="0"/>
          <w:color w:val="auto"/>
          <w:spacing w:val="0"/>
          <w:kern w:val="0"/>
          <w:sz w:val="21"/>
          <w:szCs w:val="21"/>
          <w:highlight w:val="none"/>
          <w:shd w:val="clear" w:fill="FFFFFF"/>
          <w:lang w:val="en-US" w:eastAsia="zh-CN" w:bidi="ar"/>
        </w:rPr>
        <w:t>主要内容是对明湖新区龙兴路、滁州大道及金陵路等沿线及交口空地进行绿化建设。总投资约47.7万元。</w:t>
      </w:r>
      <w:r>
        <w:rPr>
          <w:rFonts w:hint="eastAsia" w:ascii="宋体" w:hAnsi="宋体" w:eastAsia="宋体" w:cs="宋体"/>
          <w:i w:val="0"/>
          <w:iCs w:val="0"/>
          <w:caps w:val="0"/>
          <w:color w:val="auto"/>
          <w:spacing w:val="0"/>
          <w:kern w:val="0"/>
          <w:sz w:val="21"/>
          <w:szCs w:val="21"/>
          <w:highlight w:val="none"/>
          <w:shd w:val="clear" w:fill="FFFFFF"/>
          <w:lang w:val="en-US" w:eastAsia="zh-CN" w:bidi="ar"/>
        </w:rPr>
        <w:t>本次招标需求为上述工程的跟踪（结算）审计服务。</w:t>
      </w:r>
    </w:p>
    <w:p w14:paraId="1042DD81">
      <w:pPr>
        <w:pageBreakBefore w:val="0"/>
        <w:kinsoku/>
        <w:overflowPunct/>
        <w:topLinePunct w:val="0"/>
        <w:autoSpaceDE/>
        <w:autoSpaceDN/>
        <w:bidi w:val="0"/>
        <w:spacing w:line="360" w:lineRule="auto"/>
        <w:ind w:firstLine="420" w:firstLineChars="200"/>
        <w:rPr>
          <w:rFonts w:hint="default"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标段（包别）划分：1个标段。</w:t>
      </w:r>
    </w:p>
    <w:p w14:paraId="20F129E5">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本项目不接受联合体。</w:t>
      </w:r>
    </w:p>
    <w:p w14:paraId="101A37A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17" w:name="_Toc30013"/>
      <w:r>
        <w:rPr>
          <w:rFonts w:hint="eastAsia" w:ascii="宋体" w:hAnsi="宋体" w:eastAsia="宋体" w:cs="宋体"/>
          <w:b/>
          <w:bCs/>
          <w:color w:val="auto"/>
          <w:sz w:val="21"/>
          <w:szCs w:val="21"/>
          <w:highlight w:val="none"/>
        </w:rPr>
        <w:t>二、申请人的资格要求：</w:t>
      </w:r>
      <w:bookmarkEnd w:id="11"/>
      <w:bookmarkEnd w:id="12"/>
      <w:bookmarkEnd w:id="13"/>
      <w:bookmarkEnd w:id="14"/>
      <w:bookmarkEnd w:id="15"/>
      <w:bookmarkEnd w:id="16"/>
      <w:bookmarkEnd w:id="17"/>
    </w:p>
    <w:p w14:paraId="128C1AE7">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bookmarkStart w:id="18" w:name="_Toc2689"/>
      <w:bookmarkStart w:id="19" w:name="_Toc7189"/>
      <w:bookmarkStart w:id="20" w:name="_Toc35393623"/>
      <w:bookmarkStart w:id="21" w:name="_Toc28359004"/>
      <w:bookmarkStart w:id="22" w:name="_Toc28172"/>
      <w:bookmarkStart w:id="23" w:name="_Toc35393792"/>
      <w:bookmarkStart w:id="24" w:name="_Toc28359081"/>
      <w:r>
        <w:rPr>
          <w:rFonts w:hint="eastAsia" w:ascii="宋体" w:hAnsi="宋体" w:eastAsia="宋体" w:cs="宋体"/>
          <w:i w:val="0"/>
          <w:iCs w:val="0"/>
          <w:caps w:val="0"/>
          <w:color w:val="auto"/>
          <w:spacing w:val="0"/>
          <w:kern w:val="0"/>
          <w:sz w:val="21"/>
          <w:szCs w:val="21"/>
          <w:highlight w:val="none"/>
          <w:shd w:val="clear" w:fill="FFFFFF"/>
          <w:lang w:val="en-US" w:eastAsia="zh-CN" w:bidi="ar"/>
        </w:rPr>
        <w:t>1、投标人资质要求：具备独立承担民事责任能力，具有有效的营业执照或事业单位法人证书；</w:t>
      </w:r>
    </w:p>
    <w:p w14:paraId="72BDBE31">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2、项目负责人资格要求：须具有注册在投标单位的土木建筑工程专业一级注册造价工程师（或原注册造价工程师）；</w:t>
      </w:r>
    </w:p>
    <w:p w14:paraId="6310DA90">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3、项目组其他成员（不含项目负责人）要求：</w:t>
      </w:r>
      <w:r>
        <w:rPr>
          <w:rFonts w:hint="eastAsia" w:ascii="宋体" w:hAnsi="宋体" w:cs="宋体"/>
          <w:i w:val="0"/>
          <w:iCs w:val="0"/>
          <w:caps w:val="0"/>
          <w:color w:val="auto"/>
          <w:spacing w:val="0"/>
          <w:kern w:val="0"/>
          <w:sz w:val="21"/>
          <w:szCs w:val="21"/>
          <w:highlight w:val="none"/>
          <w:shd w:val="clear" w:fill="FFFFFF"/>
          <w:lang w:val="en-US" w:eastAsia="zh-CN" w:bidi="ar"/>
        </w:rPr>
        <w:t>不少于2名且具有在本单位注册的二级及以上造价工程师（土木建筑工程专业至少1名）</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2AEC28B0">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三、获取</w:t>
      </w:r>
      <w:bookmarkEnd w:id="18"/>
      <w:bookmarkEnd w:id="19"/>
      <w:bookmarkEnd w:id="20"/>
      <w:bookmarkEnd w:id="21"/>
      <w:bookmarkEnd w:id="22"/>
      <w:bookmarkEnd w:id="23"/>
      <w:bookmarkEnd w:id="24"/>
      <w:r>
        <w:rPr>
          <w:rFonts w:hint="eastAsia" w:ascii="宋体" w:hAnsi="宋体" w:eastAsia="宋体" w:cs="宋体"/>
          <w:b/>
          <w:bCs/>
          <w:color w:val="auto"/>
          <w:sz w:val="21"/>
          <w:szCs w:val="21"/>
          <w:highlight w:val="none"/>
          <w:lang w:eastAsia="zh-CN"/>
        </w:rPr>
        <w:t>招标文件</w:t>
      </w:r>
    </w:p>
    <w:p w14:paraId="32031D63">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时间：</w:t>
      </w:r>
      <w:r>
        <w:rPr>
          <w:rFonts w:hint="eastAsia" w:ascii="宋体" w:hAnsi="宋体" w:cs="宋体"/>
          <w:i w:val="0"/>
          <w:iCs w:val="0"/>
          <w:caps w:val="0"/>
          <w:color w:val="auto"/>
          <w:spacing w:val="0"/>
          <w:kern w:val="0"/>
          <w:sz w:val="21"/>
          <w:szCs w:val="21"/>
          <w:highlight w:val="none"/>
          <w:shd w:val="clear" w:fill="FFFFFF"/>
          <w:lang w:val="en-US" w:eastAsia="zh-CN" w:bidi="ar"/>
        </w:rPr>
        <w:t>2026年4月20日</w:t>
      </w:r>
      <w:r>
        <w:rPr>
          <w:rFonts w:hint="eastAsia" w:ascii="宋体" w:hAnsi="宋体" w:eastAsia="宋体" w:cs="宋体"/>
          <w:i w:val="0"/>
          <w:iCs w:val="0"/>
          <w:caps w:val="0"/>
          <w:color w:val="auto"/>
          <w:spacing w:val="0"/>
          <w:kern w:val="0"/>
          <w:sz w:val="21"/>
          <w:szCs w:val="21"/>
          <w:highlight w:val="none"/>
          <w:shd w:val="clear" w:fill="FFFFFF"/>
          <w:lang w:val="en-US" w:eastAsia="zh-CN" w:bidi="ar"/>
        </w:rPr>
        <w:t>至</w:t>
      </w:r>
      <w:r>
        <w:rPr>
          <w:rFonts w:hint="eastAsia" w:ascii="宋体" w:hAnsi="宋体" w:cs="宋体"/>
          <w:i w:val="0"/>
          <w:iCs w:val="0"/>
          <w:caps w:val="0"/>
          <w:color w:val="auto"/>
          <w:spacing w:val="0"/>
          <w:kern w:val="0"/>
          <w:sz w:val="21"/>
          <w:szCs w:val="21"/>
          <w:highlight w:val="none"/>
          <w:shd w:val="clear" w:fill="FFFFFF"/>
          <w:lang w:val="en-US" w:eastAsia="zh-CN" w:bidi="ar"/>
        </w:rPr>
        <w:t>2026年4月23日14时3</w:t>
      </w:r>
      <w:r>
        <w:rPr>
          <w:rFonts w:hint="eastAsia" w:ascii="宋体" w:hAnsi="宋体" w:eastAsia="宋体" w:cs="宋体"/>
          <w:i w:val="0"/>
          <w:iCs w:val="0"/>
          <w:caps w:val="0"/>
          <w:color w:val="auto"/>
          <w:spacing w:val="0"/>
          <w:kern w:val="0"/>
          <w:sz w:val="21"/>
          <w:szCs w:val="21"/>
          <w:highlight w:val="none"/>
          <w:shd w:val="clear" w:fill="FFFFFF"/>
          <w:lang w:val="en-US" w:eastAsia="zh-CN" w:bidi="ar"/>
        </w:rPr>
        <w:t>0分。</w:t>
      </w:r>
    </w:p>
    <w:p w14:paraId="68787255">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地点：请于公告发布之日起从</w:t>
      </w:r>
      <w:r>
        <w:rPr>
          <w:rFonts w:hint="eastAsia" w:ascii="宋体" w:hAnsi="宋体" w:cs="宋体"/>
          <w:i w:val="0"/>
          <w:iCs w:val="0"/>
          <w:caps w:val="0"/>
          <w:color w:val="auto"/>
          <w:spacing w:val="0"/>
          <w:kern w:val="0"/>
          <w:sz w:val="21"/>
          <w:szCs w:val="21"/>
          <w:highlight w:val="none"/>
          <w:shd w:val="clear" w:fill="FFFFFF"/>
          <w:lang w:val="en-US" w:eastAsia="zh-CN" w:bidi="ar"/>
        </w:rPr>
        <w:t>滁州市城投工程咨询管理有限公司（https://www.czctgczx.com/）</w:t>
      </w:r>
      <w:r>
        <w:rPr>
          <w:rFonts w:hint="eastAsia" w:ascii="宋体" w:hAnsi="宋体" w:eastAsia="宋体" w:cs="宋体"/>
          <w:i w:val="0"/>
          <w:iCs w:val="0"/>
          <w:caps w:val="0"/>
          <w:color w:val="auto"/>
          <w:spacing w:val="0"/>
          <w:kern w:val="0"/>
          <w:sz w:val="21"/>
          <w:szCs w:val="21"/>
          <w:highlight w:val="none"/>
          <w:shd w:val="clear" w:fill="FFFFFF"/>
          <w:lang w:val="en-US" w:eastAsia="zh-CN" w:bidi="ar"/>
        </w:rPr>
        <w:t>网站下载。</w:t>
      </w:r>
    </w:p>
    <w:p w14:paraId="2FCAD652">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方式：网上下载</w:t>
      </w:r>
    </w:p>
    <w:p w14:paraId="27A9C381">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售价：0元</w:t>
      </w:r>
    </w:p>
    <w:p w14:paraId="09247A6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bookmarkStart w:id="25" w:name="_Toc28359005"/>
      <w:bookmarkStart w:id="26" w:name="_Toc28359082"/>
      <w:bookmarkStart w:id="27" w:name="_Toc35393624"/>
      <w:bookmarkStart w:id="28" w:name="_Toc23486"/>
      <w:bookmarkStart w:id="29" w:name="_Toc19139"/>
      <w:bookmarkStart w:id="30" w:name="_Toc6135"/>
      <w:bookmarkStart w:id="31" w:name="_Toc35393793"/>
      <w:r>
        <w:rPr>
          <w:rFonts w:hint="eastAsia" w:ascii="宋体" w:hAnsi="宋体" w:eastAsia="宋体" w:cs="宋体"/>
          <w:b/>
          <w:bCs/>
          <w:color w:val="auto"/>
          <w:sz w:val="21"/>
          <w:szCs w:val="21"/>
          <w:highlight w:val="none"/>
          <w:lang w:eastAsia="zh-CN"/>
        </w:rPr>
        <w:t>四、提交投标文件</w:t>
      </w:r>
      <w:bookmarkEnd w:id="25"/>
      <w:bookmarkEnd w:id="26"/>
      <w:r>
        <w:rPr>
          <w:rFonts w:hint="eastAsia" w:ascii="宋体" w:hAnsi="宋体" w:eastAsia="宋体" w:cs="宋体"/>
          <w:b/>
          <w:bCs/>
          <w:color w:val="auto"/>
          <w:sz w:val="21"/>
          <w:szCs w:val="21"/>
          <w:highlight w:val="none"/>
          <w:lang w:eastAsia="zh-CN"/>
        </w:rPr>
        <w:t>截止时间、开标时间和地点</w:t>
      </w:r>
      <w:bookmarkEnd w:id="27"/>
      <w:bookmarkEnd w:id="28"/>
      <w:bookmarkEnd w:id="29"/>
      <w:bookmarkEnd w:id="30"/>
      <w:bookmarkEnd w:id="31"/>
    </w:p>
    <w:p w14:paraId="78DDBB26">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bookmarkStart w:id="32" w:name="_Toc5602"/>
      <w:bookmarkStart w:id="33" w:name="_Toc35393625"/>
      <w:bookmarkStart w:id="34" w:name="_Toc19623"/>
      <w:bookmarkStart w:id="35" w:name="_Toc28359084"/>
      <w:bookmarkStart w:id="36" w:name="_Toc1913"/>
      <w:bookmarkStart w:id="37" w:name="_Toc28359007"/>
      <w:bookmarkStart w:id="38" w:name="_Toc35393794"/>
      <w:r>
        <w:rPr>
          <w:rFonts w:hint="eastAsia" w:ascii="宋体" w:hAnsi="宋体" w:eastAsia="宋体" w:cs="宋体"/>
          <w:i w:val="0"/>
          <w:iCs w:val="0"/>
          <w:caps w:val="0"/>
          <w:color w:val="auto"/>
          <w:spacing w:val="0"/>
          <w:kern w:val="0"/>
          <w:sz w:val="21"/>
          <w:szCs w:val="21"/>
          <w:highlight w:val="none"/>
          <w:shd w:val="clear" w:fill="FFFFFF"/>
          <w:lang w:val="en-US" w:eastAsia="zh-CN" w:bidi="ar"/>
        </w:rPr>
        <w:t>1.投标文件递交的截止时间为</w:t>
      </w:r>
      <w:r>
        <w:rPr>
          <w:rFonts w:hint="eastAsia" w:ascii="宋体" w:hAnsi="宋体" w:cs="宋体"/>
          <w:i w:val="0"/>
          <w:iCs w:val="0"/>
          <w:caps w:val="0"/>
          <w:color w:val="auto"/>
          <w:spacing w:val="0"/>
          <w:kern w:val="0"/>
          <w:sz w:val="21"/>
          <w:szCs w:val="21"/>
          <w:highlight w:val="none"/>
          <w:shd w:val="clear" w:fill="FFFFFF"/>
          <w:lang w:val="en-US" w:eastAsia="zh-CN" w:bidi="ar"/>
        </w:rPr>
        <w:t>2026年4月23日14时3</w:t>
      </w:r>
      <w:r>
        <w:rPr>
          <w:rFonts w:hint="eastAsia" w:ascii="宋体" w:hAnsi="宋体" w:eastAsia="宋体" w:cs="宋体"/>
          <w:i w:val="0"/>
          <w:iCs w:val="0"/>
          <w:caps w:val="0"/>
          <w:color w:val="auto"/>
          <w:spacing w:val="0"/>
          <w:kern w:val="0"/>
          <w:sz w:val="21"/>
          <w:szCs w:val="21"/>
          <w:highlight w:val="none"/>
          <w:shd w:val="clear" w:fill="FFFFFF"/>
          <w:lang w:val="en-US" w:eastAsia="zh-CN" w:bidi="ar"/>
        </w:rPr>
        <w:t>0分；</w:t>
      </w:r>
    </w:p>
    <w:p w14:paraId="5E1653DD">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2.网上开标，投标人登录滁州市城投工程咨询</w:t>
      </w:r>
      <w:r>
        <w:rPr>
          <w:rFonts w:hint="eastAsia" w:ascii="宋体" w:hAnsi="宋体" w:cs="宋体"/>
          <w:i w:val="0"/>
          <w:iCs w:val="0"/>
          <w:caps w:val="0"/>
          <w:color w:val="auto"/>
          <w:spacing w:val="0"/>
          <w:kern w:val="0"/>
          <w:sz w:val="21"/>
          <w:szCs w:val="21"/>
          <w:highlight w:val="none"/>
          <w:shd w:val="clear" w:fill="FFFFFF"/>
          <w:lang w:val="en-US" w:eastAsia="zh-CN" w:bidi="ar"/>
        </w:rPr>
        <w:t>管理</w:t>
      </w:r>
      <w:r>
        <w:rPr>
          <w:rFonts w:hint="eastAsia" w:ascii="宋体" w:hAnsi="宋体" w:eastAsia="宋体" w:cs="宋体"/>
          <w:i w:val="0"/>
          <w:iCs w:val="0"/>
          <w:caps w:val="0"/>
          <w:color w:val="auto"/>
          <w:spacing w:val="0"/>
          <w:kern w:val="0"/>
          <w:sz w:val="21"/>
          <w:szCs w:val="21"/>
          <w:highlight w:val="none"/>
          <w:shd w:val="clear" w:fill="FFFFFF"/>
          <w:lang w:val="en-US" w:eastAsia="zh-CN" w:bidi="ar"/>
        </w:rPr>
        <w:t>有限公司不见面开标系统参与网上开标（网址：http://js.etrading.cn/EpointBidOpening/bidopeninghallaction/hall/login）。</w:t>
      </w:r>
    </w:p>
    <w:p w14:paraId="11B42555">
      <w:pPr>
        <w:pageBreakBefore w:val="0"/>
        <w:kinsoku/>
        <w:overflowPunct/>
        <w:topLinePunct w:val="0"/>
        <w:autoSpaceDE/>
        <w:autoSpaceDN/>
        <w:bidi w:val="0"/>
        <w:spacing w:line="360" w:lineRule="auto"/>
        <w:ind w:firstLine="420" w:firstLineChars="200"/>
        <w:rPr>
          <w:rFonts w:hint="default"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3.投标人应在投标截止时间之前，登陆新点电子交易平台【滁州专区】上传投标文件。</w:t>
      </w:r>
    </w:p>
    <w:p w14:paraId="68E70389">
      <w:pPr>
        <w:pageBreakBefore w:val="0"/>
        <w:kinsoku/>
        <w:overflowPunct/>
        <w:topLinePunct w:val="0"/>
        <w:autoSpaceDE/>
        <w:autoSpaceDN/>
        <w:bidi w:val="0"/>
        <w:spacing w:line="360" w:lineRule="auto"/>
        <w:ind w:firstLine="420" w:firstLineChars="200"/>
        <w:rPr>
          <w:rFonts w:hint="default"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4.投标人逾期上传投标文件的，电子系统不予受理。</w:t>
      </w:r>
    </w:p>
    <w:p w14:paraId="39276E8D">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五、公告</w:t>
      </w:r>
      <w:bookmarkEnd w:id="32"/>
      <w:bookmarkEnd w:id="33"/>
      <w:bookmarkEnd w:id="34"/>
      <w:bookmarkEnd w:id="35"/>
      <w:bookmarkEnd w:id="36"/>
      <w:bookmarkEnd w:id="37"/>
      <w:bookmarkEnd w:id="38"/>
      <w:r>
        <w:rPr>
          <w:rFonts w:hint="eastAsia" w:ascii="宋体" w:hAnsi="宋体" w:eastAsia="宋体" w:cs="宋体"/>
          <w:b/>
          <w:bCs/>
          <w:color w:val="auto"/>
          <w:sz w:val="21"/>
          <w:szCs w:val="21"/>
          <w:highlight w:val="none"/>
          <w:lang w:val="en-US" w:eastAsia="zh-CN"/>
        </w:rPr>
        <w:t>发布期限及媒体</w:t>
      </w:r>
    </w:p>
    <w:p w14:paraId="70ADAEFA">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自本公告发布之日起至投标截止时间止。</w:t>
      </w:r>
    </w:p>
    <w:p w14:paraId="55C898ED">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本次招标公告同时在中国招标公共服务平台（http://www.cebpubservice.com/）、安徽省招标投标信息网（www.ahtba.org.cn）、</w:t>
      </w:r>
      <w:r>
        <w:rPr>
          <w:rFonts w:hint="eastAsia" w:ascii="宋体" w:hAnsi="宋体" w:cs="宋体"/>
          <w:i w:val="0"/>
          <w:iCs w:val="0"/>
          <w:caps w:val="0"/>
          <w:color w:val="auto"/>
          <w:spacing w:val="0"/>
          <w:kern w:val="0"/>
          <w:sz w:val="21"/>
          <w:szCs w:val="21"/>
          <w:highlight w:val="none"/>
          <w:shd w:val="clear" w:fill="FFFFFF"/>
          <w:lang w:val="en-US" w:eastAsia="zh-CN" w:bidi="ar"/>
        </w:rPr>
        <w:t>滁州市城投工程咨询管理有限公司（https://www.czctgczx.com/）</w:t>
      </w:r>
      <w:r>
        <w:rPr>
          <w:rFonts w:hint="eastAsia" w:ascii="宋体" w:hAnsi="宋体" w:eastAsia="宋体" w:cs="宋体"/>
          <w:i w:val="0"/>
          <w:iCs w:val="0"/>
          <w:caps w:val="0"/>
          <w:color w:val="auto"/>
          <w:spacing w:val="0"/>
          <w:kern w:val="0"/>
          <w:sz w:val="21"/>
          <w:szCs w:val="21"/>
          <w:highlight w:val="none"/>
          <w:shd w:val="clear" w:fill="FFFFFF"/>
          <w:lang w:val="en-US" w:eastAsia="zh-CN" w:bidi="ar"/>
        </w:rPr>
        <w:t>网站上发布。</w:t>
      </w:r>
    </w:p>
    <w:p w14:paraId="25B232D4">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六、投标保证金金额及缴纳账户</w:t>
      </w:r>
    </w:p>
    <w:p w14:paraId="1B54B949">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是否要求投标人提交投标保证金：不要求。</w:t>
      </w:r>
    </w:p>
    <w:p w14:paraId="464AC674">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lang w:eastAsia="zh-CN"/>
        </w:rPr>
        <w:t>、重要提醒</w:t>
      </w:r>
    </w:p>
    <w:p w14:paraId="73ADC5F0">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438E66D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02598D4C">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i w:val="0"/>
          <w:iCs w:val="0"/>
          <w:caps w:val="0"/>
          <w:color w:val="auto"/>
          <w:spacing w:val="0"/>
          <w:kern w:val="0"/>
          <w:sz w:val="21"/>
          <w:szCs w:val="21"/>
          <w:highlight w:val="none"/>
          <w:shd w:val="clear"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fill="FFFFFF"/>
          <w:lang w:val="en-US" w:eastAsia="zh-CN" w:bidi="ar"/>
        </w:rPr>
        <w:t>（工作日）。</w:t>
      </w:r>
    </w:p>
    <w:p w14:paraId="2C7C5FFB">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4.投标人登录新点电子交易平台【滁州专区】获取招标文件及其它资料（含澄清和补充说明等）。如在招标文件获取过程中遇到系统问题，请拨打技术支持服务热线</w:t>
      </w:r>
      <w:r>
        <w:rPr>
          <w:rFonts w:hint="eastAsia" w:ascii="宋体" w:hAnsi="宋体" w:cs="宋体"/>
          <w:i w:val="0"/>
          <w:iCs w:val="0"/>
          <w:caps w:val="0"/>
          <w:color w:val="auto"/>
          <w:spacing w:val="0"/>
          <w:kern w:val="0"/>
          <w:sz w:val="21"/>
          <w:szCs w:val="21"/>
          <w:highlight w:val="none"/>
          <w:shd w:val="clear"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fill="FFFFFF"/>
          <w:lang w:val="en-US" w:eastAsia="zh-CN" w:bidi="ar"/>
        </w:rPr>
        <w:t>或者网站首页在线客服。投标人自行承担因未按要求获取招标文件导致无法上传电子投标文件的风险。</w:t>
      </w:r>
    </w:p>
    <w:p w14:paraId="4CE71258">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5.本项目采用不见面开标，投标人登录滁州市城投工程咨询有限公司不见面开标系统参与网上开标（网址：http://js.etrading.cn/EpointBidOpening/bidopeninghallaction/hall/login）。</w:t>
      </w:r>
    </w:p>
    <w:p w14:paraId="01C1FB9E">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6.投标人应在投标截止时间之前，登录新点电子交易平台【滁州专区】上传投标文件。投标人逾期上传投标文件的，电子系统不予受理。</w:t>
      </w:r>
    </w:p>
    <w:p w14:paraId="1B85BE5F">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769CA16">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8.投标人的联系人电话(手机)、电子邮箱等通讯方式在开标过程中必须保持畅通，否则因上述原因造成的后果，责任自负。</w:t>
      </w:r>
    </w:p>
    <w:p w14:paraId="0369C8D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lang w:eastAsia="zh-CN"/>
        </w:rPr>
        <w:t>对本次招标提出询问，请按以下方式联系</w:t>
      </w:r>
    </w:p>
    <w:p w14:paraId="0C5B6E15">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1.招标人信息</w:t>
      </w:r>
    </w:p>
    <w:p w14:paraId="1E1DF206">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名    称：</w:t>
      </w:r>
      <w:r>
        <w:rPr>
          <w:rFonts w:hint="eastAsia" w:ascii="宋体" w:hAnsi="宋体" w:cs="宋体"/>
          <w:i w:val="0"/>
          <w:iCs w:val="0"/>
          <w:caps w:val="0"/>
          <w:color w:val="auto"/>
          <w:spacing w:val="0"/>
          <w:kern w:val="0"/>
          <w:sz w:val="21"/>
          <w:szCs w:val="21"/>
          <w:highlight w:val="none"/>
          <w:shd w:val="clear" w:fill="FFFFFF"/>
          <w:lang w:val="en-US" w:eastAsia="zh-CN" w:bidi="ar"/>
        </w:rPr>
        <w:t>滁州市明湖建设管理服务中心</w:t>
      </w:r>
      <w:r>
        <w:rPr>
          <w:rFonts w:hint="eastAsia" w:ascii="宋体" w:hAnsi="宋体" w:eastAsia="宋体" w:cs="宋体"/>
          <w:i w:val="0"/>
          <w:iCs w:val="0"/>
          <w:caps w:val="0"/>
          <w:color w:val="auto"/>
          <w:spacing w:val="0"/>
          <w:kern w:val="0"/>
          <w:sz w:val="21"/>
          <w:szCs w:val="21"/>
          <w:highlight w:val="none"/>
          <w:shd w:val="clear" w:fill="FFFFFF"/>
          <w:lang w:val="en-US" w:eastAsia="zh-CN" w:bidi="ar"/>
        </w:rPr>
        <w:t xml:space="preserve"> </w:t>
      </w:r>
    </w:p>
    <w:p w14:paraId="304CDFCF">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地    址：</w:t>
      </w:r>
      <w:r>
        <w:rPr>
          <w:rFonts w:hint="eastAsia" w:ascii="宋体" w:hAnsi="宋体" w:cs="宋体"/>
          <w:i w:val="0"/>
          <w:iCs w:val="0"/>
          <w:caps w:val="0"/>
          <w:color w:val="auto"/>
          <w:spacing w:val="0"/>
          <w:kern w:val="0"/>
          <w:sz w:val="21"/>
          <w:szCs w:val="21"/>
          <w:highlight w:val="none"/>
          <w:shd w:val="clear" w:fill="FFFFFF"/>
          <w:lang w:val="en-US" w:eastAsia="zh-CN" w:bidi="ar"/>
        </w:rPr>
        <w:t>滁州市明湖公园内</w:t>
      </w:r>
    </w:p>
    <w:p w14:paraId="04EA343F">
      <w:pPr>
        <w:pageBreakBefore w:val="0"/>
        <w:kinsoku/>
        <w:overflowPunct/>
        <w:topLinePunct w:val="0"/>
        <w:autoSpaceDE/>
        <w:autoSpaceDN/>
        <w:bidi w:val="0"/>
        <w:spacing w:line="360" w:lineRule="auto"/>
        <w:ind w:firstLine="420" w:firstLineChars="200"/>
        <w:rPr>
          <w:rFonts w:hint="default"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联 系 人：</w:t>
      </w:r>
      <w:r>
        <w:rPr>
          <w:rFonts w:hint="eastAsia" w:ascii="宋体" w:hAnsi="宋体" w:cs="宋体"/>
          <w:i w:val="0"/>
          <w:iCs w:val="0"/>
          <w:caps w:val="0"/>
          <w:color w:val="auto"/>
          <w:spacing w:val="0"/>
          <w:kern w:val="0"/>
          <w:sz w:val="21"/>
          <w:szCs w:val="21"/>
          <w:highlight w:val="none"/>
          <w:shd w:val="clear" w:fill="FFFFFF"/>
          <w:lang w:val="en-US" w:eastAsia="zh-CN" w:bidi="ar"/>
        </w:rPr>
        <w:t>钟兰翔</w:t>
      </w:r>
    </w:p>
    <w:p w14:paraId="6FA7F725">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联系方式：</w:t>
      </w:r>
      <w:r>
        <w:rPr>
          <w:rFonts w:hint="eastAsia" w:ascii="宋体" w:hAnsi="宋体" w:cs="宋体"/>
          <w:i w:val="0"/>
          <w:iCs w:val="0"/>
          <w:caps w:val="0"/>
          <w:color w:val="auto"/>
          <w:spacing w:val="0"/>
          <w:kern w:val="0"/>
          <w:sz w:val="21"/>
          <w:szCs w:val="21"/>
          <w:highlight w:val="none"/>
          <w:shd w:val="clear" w:fill="FFFFFF"/>
          <w:lang w:val="en-US" w:eastAsia="zh-CN" w:bidi="ar"/>
        </w:rPr>
        <w:t>15155005346</w:t>
      </w:r>
    </w:p>
    <w:p w14:paraId="0133B105">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2.代理机构信息</w:t>
      </w:r>
    </w:p>
    <w:p w14:paraId="594F2357">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名    称：滁州市城投工程咨询管理有限公司</w:t>
      </w:r>
    </w:p>
    <w:p w14:paraId="442918BA">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地　　址：</w:t>
      </w:r>
      <w:r>
        <w:rPr>
          <w:rFonts w:hint="eastAsia" w:ascii="宋体" w:hAnsi="宋体" w:cs="宋体"/>
          <w:i w:val="0"/>
          <w:iCs w:val="0"/>
          <w:caps w:val="0"/>
          <w:color w:val="auto"/>
          <w:spacing w:val="0"/>
          <w:kern w:val="0"/>
          <w:sz w:val="21"/>
          <w:szCs w:val="21"/>
          <w:highlight w:val="none"/>
          <w:shd w:val="clear" w:fill="FFFFFF"/>
          <w:lang w:val="en-US" w:eastAsia="zh-CN" w:bidi="ar"/>
        </w:rPr>
        <w:t>滁州市龙蟠大道109号房产商务大厦6楼605室</w:t>
      </w:r>
    </w:p>
    <w:p w14:paraId="2904F47C">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联 系 人：</w:t>
      </w:r>
      <w:r>
        <w:rPr>
          <w:rFonts w:hint="eastAsia" w:ascii="宋体" w:hAnsi="宋体" w:cs="宋体"/>
          <w:i w:val="0"/>
          <w:iCs w:val="0"/>
          <w:caps w:val="0"/>
          <w:color w:val="auto"/>
          <w:spacing w:val="0"/>
          <w:kern w:val="0"/>
          <w:sz w:val="21"/>
          <w:szCs w:val="21"/>
          <w:highlight w:val="none"/>
          <w:shd w:val="clear" w:fill="FFFFFF"/>
          <w:lang w:val="en-US" w:eastAsia="zh-CN" w:bidi="ar"/>
        </w:rPr>
        <w:t>周晓培</w:t>
      </w:r>
    </w:p>
    <w:p w14:paraId="715B43AC">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联系方式：</w:t>
      </w:r>
      <w:r>
        <w:rPr>
          <w:rFonts w:hint="eastAsia" w:ascii="宋体" w:hAnsi="宋体" w:cs="宋体"/>
          <w:i w:val="0"/>
          <w:iCs w:val="0"/>
          <w:caps w:val="0"/>
          <w:color w:val="auto"/>
          <w:spacing w:val="0"/>
          <w:kern w:val="0"/>
          <w:sz w:val="21"/>
          <w:szCs w:val="21"/>
          <w:highlight w:val="none"/>
          <w:shd w:val="clear" w:fill="FFFFFF"/>
          <w:lang w:val="en-US" w:eastAsia="zh-CN" w:bidi="ar"/>
        </w:rPr>
        <w:t>0550-3519512</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r>
        <w:rPr>
          <w:rFonts w:hint="eastAsia" w:ascii="宋体" w:hAnsi="宋体" w:cs="宋体"/>
          <w:i w:val="0"/>
          <w:iCs w:val="0"/>
          <w:caps w:val="0"/>
          <w:color w:val="auto"/>
          <w:spacing w:val="0"/>
          <w:kern w:val="0"/>
          <w:sz w:val="21"/>
          <w:szCs w:val="21"/>
          <w:highlight w:val="none"/>
          <w:shd w:val="clear" w:fill="FFFFFF"/>
          <w:lang w:val="en-US" w:eastAsia="zh-CN" w:bidi="ar"/>
        </w:rPr>
        <w:t>18255055896</w:t>
      </w:r>
    </w:p>
    <w:p w14:paraId="2B50E2F9">
      <w:pPr>
        <w:pageBreakBefore w:val="0"/>
        <w:kinsoku/>
        <w:overflowPunct/>
        <w:topLinePunct w:val="0"/>
        <w:autoSpaceDE/>
        <w:autoSpaceDN/>
        <w:bidi w:val="0"/>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lang w:val="en-US" w:eastAsia="zh-CN" w:bidi="ar"/>
        </w:rPr>
      </w:pPr>
    </w:p>
    <w:p w14:paraId="0477B4B4">
      <w:pPr>
        <w:pStyle w:val="2"/>
        <w:rPr>
          <w:rFonts w:hint="eastAsia"/>
          <w:color w:val="auto"/>
          <w:highlight w:val="none"/>
          <w:lang w:val="en-US" w:eastAsia="zh-CN"/>
        </w:rPr>
      </w:pPr>
    </w:p>
    <w:p w14:paraId="0B7C01C1">
      <w:pPr>
        <w:pStyle w:val="5"/>
        <w:keepNext/>
        <w:keepLines/>
        <w:pageBreakBefore/>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lang w:eastAsia="zh-CN"/>
        </w:rPr>
      </w:pPr>
      <w:bookmarkStart w:id="39" w:name="_Toc252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bookmarkEnd w:id="39"/>
      <w:r>
        <w:rPr>
          <w:rFonts w:hint="eastAsia" w:ascii="宋体" w:hAnsi="宋体" w:eastAsia="宋体" w:cs="宋体"/>
          <w:color w:val="auto"/>
          <w:highlight w:val="none"/>
          <w:lang w:eastAsia="zh-CN"/>
        </w:rPr>
        <w:t>投标人须知</w:t>
      </w:r>
    </w:p>
    <w:p w14:paraId="11A55803">
      <w:pPr>
        <w:pStyle w:val="5"/>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投标人须知</w:t>
      </w:r>
      <w:r>
        <w:rPr>
          <w:rFonts w:hint="eastAsia" w:ascii="宋体" w:hAnsi="宋体" w:eastAsia="宋体" w:cs="宋体"/>
          <w:color w:val="auto"/>
          <w:highlight w:val="none"/>
        </w:rPr>
        <w:t>前附表</w:t>
      </w:r>
      <w:bookmarkEnd w:id="2"/>
    </w:p>
    <w:tbl>
      <w:tblPr>
        <w:tblStyle w:val="45"/>
        <w:tblW w:w="9588" w:type="dxa"/>
        <w:tblInd w:w="2" w:type="dxa"/>
        <w:tblLayout w:type="fixed"/>
        <w:tblCellMar>
          <w:top w:w="0" w:type="dxa"/>
          <w:left w:w="0" w:type="dxa"/>
          <w:bottom w:w="0" w:type="dxa"/>
          <w:right w:w="0" w:type="dxa"/>
        </w:tblCellMar>
      </w:tblPr>
      <w:tblGrid>
        <w:gridCol w:w="731"/>
        <w:gridCol w:w="1654"/>
        <w:gridCol w:w="7203"/>
      </w:tblGrid>
      <w:tr w14:paraId="78EF493F">
        <w:tblPrEx>
          <w:tblCellMar>
            <w:top w:w="0" w:type="dxa"/>
            <w:left w:w="0" w:type="dxa"/>
            <w:bottom w:w="0" w:type="dxa"/>
            <w:right w:w="0" w:type="dxa"/>
          </w:tblCellMar>
        </w:tblPrEx>
        <w:trPr>
          <w:trHeight w:val="474" w:hRule="atLeast"/>
        </w:trPr>
        <w:tc>
          <w:tcPr>
            <w:tcW w:w="731" w:type="dxa"/>
            <w:tcBorders>
              <w:top w:val="single" w:color="auto" w:sz="8" w:space="0"/>
              <w:left w:val="single" w:color="auto" w:sz="8" w:space="0"/>
              <w:bottom w:val="single" w:color="auto" w:sz="8" w:space="0"/>
              <w:right w:val="single" w:color="auto" w:sz="8" w:space="0"/>
            </w:tcBorders>
            <w:vAlign w:val="center"/>
          </w:tcPr>
          <w:p w14:paraId="6A179B0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编号</w:t>
            </w:r>
          </w:p>
        </w:tc>
        <w:tc>
          <w:tcPr>
            <w:tcW w:w="1654" w:type="dxa"/>
            <w:tcBorders>
              <w:top w:val="single" w:color="auto" w:sz="8" w:space="0"/>
              <w:left w:val="single" w:color="auto" w:sz="4" w:space="0"/>
              <w:bottom w:val="single" w:color="auto" w:sz="8" w:space="0"/>
              <w:right w:val="single" w:color="auto" w:sz="4" w:space="0"/>
            </w:tcBorders>
            <w:vAlign w:val="center"/>
          </w:tcPr>
          <w:p w14:paraId="49C71E2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w:t>
            </w:r>
          </w:p>
        </w:tc>
        <w:tc>
          <w:tcPr>
            <w:tcW w:w="7203" w:type="dxa"/>
            <w:tcBorders>
              <w:top w:val="single" w:color="auto" w:sz="8" w:space="0"/>
              <w:left w:val="single" w:color="auto" w:sz="4" w:space="0"/>
              <w:bottom w:val="single" w:color="auto" w:sz="8" w:space="0"/>
              <w:right w:val="single" w:color="auto" w:sz="8" w:space="0"/>
            </w:tcBorders>
            <w:vAlign w:val="center"/>
          </w:tcPr>
          <w:p w14:paraId="6CFD765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说明与要求</w:t>
            </w:r>
          </w:p>
        </w:tc>
      </w:tr>
      <w:tr w14:paraId="726904A0">
        <w:tblPrEx>
          <w:tblCellMar>
            <w:top w:w="0" w:type="dxa"/>
            <w:left w:w="0" w:type="dxa"/>
            <w:bottom w:w="0" w:type="dxa"/>
            <w:right w:w="0" w:type="dxa"/>
          </w:tblCellMar>
        </w:tblPrEx>
        <w:trPr>
          <w:trHeight w:val="986" w:hRule="atLeast"/>
        </w:trPr>
        <w:tc>
          <w:tcPr>
            <w:tcW w:w="731" w:type="dxa"/>
            <w:tcBorders>
              <w:top w:val="single" w:color="auto" w:sz="8" w:space="0"/>
              <w:left w:val="single" w:color="auto" w:sz="8" w:space="0"/>
              <w:bottom w:val="single" w:color="auto" w:sz="8" w:space="0"/>
              <w:right w:val="single" w:color="auto" w:sz="8" w:space="0"/>
            </w:tcBorders>
            <w:vAlign w:val="center"/>
          </w:tcPr>
          <w:p w14:paraId="2BF3545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54" w:type="dxa"/>
            <w:tcBorders>
              <w:top w:val="single" w:color="auto" w:sz="8" w:space="0"/>
              <w:left w:val="single" w:color="auto" w:sz="4" w:space="0"/>
              <w:bottom w:val="single" w:color="auto" w:sz="8" w:space="0"/>
              <w:right w:val="single" w:color="auto" w:sz="4" w:space="0"/>
            </w:tcBorders>
            <w:vAlign w:val="center"/>
          </w:tcPr>
          <w:p w14:paraId="1C48B21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7203" w:type="dxa"/>
            <w:tcBorders>
              <w:top w:val="single" w:color="auto" w:sz="8" w:space="0"/>
              <w:left w:val="single" w:color="auto" w:sz="4" w:space="0"/>
              <w:bottom w:val="single" w:color="auto" w:sz="8" w:space="0"/>
              <w:right w:val="single" w:color="auto" w:sz="8" w:space="0"/>
            </w:tcBorders>
            <w:vAlign w:val="center"/>
          </w:tcPr>
          <w:p w14:paraId="5594D2C0">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明湖新区道路绿化项目跟踪审计项目</w:t>
            </w:r>
          </w:p>
          <w:p w14:paraId="3D870AD5">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建设地点：滁州市</w:t>
            </w:r>
            <w:r>
              <w:rPr>
                <w:rFonts w:hint="eastAsia" w:ascii="宋体" w:hAnsi="宋体" w:eastAsia="宋体" w:cs="宋体"/>
                <w:color w:val="auto"/>
                <w:kern w:val="0"/>
                <w:sz w:val="21"/>
                <w:szCs w:val="21"/>
                <w:highlight w:val="none"/>
                <w:lang w:val="en-US" w:eastAsia="zh-CN"/>
              </w:rPr>
              <w:t>内</w:t>
            </w:r>
          </w:p>
          <w:p w14:paraId="70D97D96">
            <w:pPr>
              <w:keepNext w:val="0"/>
              <w:keepLines w:val="0"/>
              <w:pageBreakBefore w:val="0"/>
              <w:widowControl w:val="0"/>
              <w:kinsoku/>
              <w:wordWrap w:val="0"/>
              <w:overflowPunct/>
              <w:topLinePunct w:val="0"/>
              <w:autoSpaceDE/>
              <w:autoSpaceDN/>
              <w:bidi w:val="0"/>
              <w:adjustRightInd/>
              <w:snapToGrid/>
              <w:spacing w:line="336" w:lineRule="auto"/>
              <w:textAlignment w:val="auto"/>
              <w:outlineLvl w:val="2"/>
              <w:rPr>
                <w:rFonts w:hint="default" w:ascii="宋体" w:hAnsi="宋体" w:eastAsia="宋体" w:cs="宋体"/>
                <w:color w:val="auto"/>
                <w:kern w:val="0"/>
                <w:sz w:val="21"/>
                <w:szCs w:val="21"/>
                <w:highlight w:val="none"/>
                <w:u w:val="single"/>
                <w:lang w:val="en-US"/>
              </w:rPr>
            </w:pPr>
            <w:r>
              <w:rPr>
                <w:rFonts w:hint="eastAsia" w:ascii="宋体" w:hAnsi="宋体" w:cs="宋体"/>
                <w:color w:val="auto"/>
                <w:kern w:val="0"/>
                <w:sz w:val="21"/>
                <w:szCs w:val="21"/>
                <w:highlight w:val="none"/>
                <w:lang w:val="en-US" w:eastAsia="zh-CN"/>
              </w:rPr>
              <w:t>建设规模：</w:t>
            </w:r>
            <w:r>
              <w:rPr>
                <w:rFonts w:hint="eastAsia" w:ascii="宋体" w:hAnsi="宋体" w:cs="宋体"/>
                <w:i w:val="0"/>
                <w:iCs w:val="0"/>
                <w:caps w:val="0"/>
                <w:color w:val="auto"/>
                <w:spacing w:val="0"/>
                <w:kern w:val="0"/>
                <w:sz w:val="21"/>
                <w:szCs w:val="21"/>
                <w:highlight w:val="none"/>
                <w:shd w:val="clear" w:fill="FFFFFF"/>
                <w:lang w:val="en-US" w:eastAsia="zh-CN" w:bidi="ar"/>
              </w:rPr>
              <w:t>主要内容是对明湖新区龙兴路、滁州大道及金陵路等沿线及交口空地进行绿化建设。总投资约约47.7万元。</w:t>
            </w:r>
          </w:p>
        </w:tc>
      </w:tr>
      <w:tr w14:paraId="4047B0BA">
        <w:tblPrEx>
          <w:tblCellMar>
            <w:top w:w="0" w:type="dxa"/>
            <w:left w:w="0" w:type="dxa"/>
            <w:bottom w:w="0" w:type="dxa"/>
            <w:right w:w="0" w:type="dxa"/>
          </w:tblCellMar>
        </w:tblPrEx>
        <w:trPr>
          <w:trHeight w:val="255" w:hRule="atLeast"/>
        </w:trPr>
        <w:tc>
          <w:tcPr>
            <w:tcW w:w="731" w:type="dxa"/>
            <w:tcBorders>
              <w:top w:val="single" w:color="auto" w:sz="8" w:space="0"/>
              <w:left w:val="single" w:color="auto" w:sz="8" w:space="0"/>
              <w:bottom w:val="single" w:color="auto" w:sz="8" w:space="0"/>
              <w:right w:val="single" w:color="auto" w:sz="8" w:space="0"/>
            </w:tcBorders>
            <w:vAlign w:val="center"/>
          </w:tcPr>
          <w:p w14:paraId="4A966AC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654" w:type="dxa"/>
            <w:tcBorders>
              <w:top w:val="single" w:color="auto" w:sz="8" w:space="0"/>
              <w:left w:val="single" w:color="auto" w:sz="4" w:space="0"/>
              <w:bottom w:val="single" w:color="auto" w:sz="8" w:space="0"/>
              <w:right w:val="single" w:color="auto" w:sz="4" w:space="0"/>
            </w:tcBorders>
            <w:vAlign w:val="center"/>
          </w:tcPr>
          <w:p w14:paraId="1E1D1A5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服务需求</w:t>
            </w:r>
          </w:p>
        </w:tc>
        <w:tc>
          <w:tcPr>
            <w:tcW w:w="7203" w:type="dxa"/>
            <w:tcBorders>
              <w:top w:val="single" w:color="auto" w:sz="8" w:space="0"/>
              <w:left w:val="single" w:color="auto" w:sz="4" w:space="0"/>
              <w:bottom w:val="single" w:color="auto" w:sz="8" w:space="0"/>
              <w:right w:val="single" w:color="auto" w:sz="8" w:space="0"/>
            </w:tcBorders>
            <w:vAlign w:val="center"/>
          </w:tcPr>
          <w:p w14:paraId="642998A3">
            <w:pPr>
              <w:keepNext w:val="0"/>
              <w:keepLines w:val="0"/>
              <w:pageBreakBefore w:val="0"/>
              <w:widowControl w:val="0"/>
              <w:kinsoku/>
              <w:wordWrap w:val="0"/>
              <w:overflowPunct/>
              <w:topLinePunct w:val="0"/>
              <w:autoSpaceDE/>
              <w:autoSpaceDN/>
              <w:bidi w:val="0"/>
              <w:adjustRightInd/>
              <w:snapToGrid/>
              <w:spacing w:line="336" w:lineRule="auto"/>
              <w:textAlignment w:val="auto"/>
              <w:outlineLvl w:val="2"/>
              <w:rPr>
                <w:rFonts w:hint="eastAsia" w:ascii="宋体" w:hAnsi="宋体" w:eastAsia="宋体" w:cs="宋体"/>
                <w:color w:val="auto"/>
                <w:kern w:val="0"/>
                <w:sz w:val="21"/>
                <w:szCs w:val="21"/>
                <w:highlight w:val="none"/>
              </w:rPr>
            </w:pPr>
            <w:r>
              <w:rPr>
                <w:rFonts w:hint="eastAsia" w:ascii="宋体" w:hAnsi="宋体" w:cs="宋体"/>
                <w:i w:val="0"/>
                <w:iCs w:val="0"/>
                <w:caps w:val="0"/>
                <w:color w:val="auto"/>
                <w:spacing w:val="0"/>
                <w:kern w:val="0"/>
                <w:sz w:val="21"/>
                <w:szCs w:val="21"/>
                <w:highlight w:val="none"/>
                <w:shd w:val="clear" w:fill="FFFFFF"/>
                <w:lang w:val="en-US" w:eastAsia="zh-CN" w:bidi="ar"/>
              </w:rPr>
              <w:t>主要内容是对明湖新区龙兴路、滁州大道及金陵路等沿线及交口空地进行绿化建设。总投资约约47.7万元</w:t>
            </w:r>
            <w:r>
              <w:rPr>
                <w:rFonts w:hint="eastAsia" w:ascii="宋体" w:hAnsi="宋体" w:cs="宋体"/>
                <w:color w:val="auto"/>
                <w:kern w:val="0"/>
                <w:sz w:val="21"/>
                <w:szCs w:val="21"/>
                <w:highlight w:val="none"/>
                <w:lang w:val="en-US" w:eastAsia="zh-CN"/>
              </w:rPr>
              <w:t>。本次招标需求为上述工程的跟踪（结算）审计服务。</w:t>
            </w:r>
          </w:p>
        </w:tc>
      </w:tr>
      <w:tr w14:paraId="597FACB0">
        <w:tblPrEx>
          <w:tblCellMar>
            <w:top w:w="0" w:type="dxa"/>
            <w:left w:w="0" w:type="dxa"/>
            <w:bottom w:w="0" w:type="dxa"/>
            <w:right w:w="0" w:type="dxa"/>
          </w:tblCellMar>
        </w:tblPrEx>
        <w:trPr>
          <w:trHeight w:val="315" w:hRule="atLeast"/>
        </w:trPr>
        <w:tc>
          <w:tcPr>
            <w:tcW w:w="731" w:type="dxa"/>
            <w:tcBorders>
              <w:top w:val="single" w:color="auto" w:sz="8" w:space="0"/>
              <w:left w:val="single" w:color="auto" w:sz="8" w:space="0"/>
              <w:bottom w:val="single" w:color="auto" w:sz="8" w:space="0"/>
              <w:right w:val="single" w:color="auto" w:sz="8" w:space="0"/>
            </w:tcBorders>
            <w:vAlign w:val="center"/>
          </w:tcPr>
          <w:p w14:paraId="01D1593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654" w:type="dxa"/>
            <w:tcBorders>
              <w:top w:val="single" w:color="auto" w:sz="8" w:space="0"/>
              <w:left w:val="single" w:color="auto" w:sz="4" w:space="0"/>
              <w:bottom w:val="single" w:color="auto" w:sz="8" w:space="0"/>
              <w:right w:val="single" w:color="auto" w:sz="4" w:space="0"/>
            </w:tcBorders>
            <w:vAlign w:val="center"/>
          </w:tcPr>
          <w:p w14:paraId="0815F98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服务期</w:t>
            </w:r>
            <w:r>
              <w:rPr>
                <w:rFonts w:hint="eastAsia" w:ascii="宋体" w:hAnsi="宋体" w:eastAsia="宋体" w:cs="宋体"/>
                <w:color w:val="auto"/>
                <w:kern w:val="0"/>
                <w:sz w:val="21"/>
                <w:szCs w:val="21"/>
                <w:highlight w:val="none"/>
              </w:rPr>
              <w:t>要求</w:t>
            </w:r>
          </w:p>
        </w:tc>
        <w:tc>
          <w:tcPr>
            <w:tcW w:w="7203" w:type="dxa"/>
            <w:tcBorders>
              <w:top w:val="single" w:color="auto" w:sz="8" w:space="0"/>
              <w:left w:val="single" w:color="auto" w:sz="4" w:space="0"/>
              <w:bottom w:val="single" w:color="auto" w:sz="8" w:space="0"/>
              <w:right w:val="single" w:color="auto" w:sz="8" w:space="0"/>
            </w:tcBorders>
            <w:vAlign w:val="center"/>
          </w:tcPr>
          <w:p w14:paraId="5DB7864B">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自签订合同之日起至整体竣工验收合格并出具经审核的审核成果文件止。</w:t>
            </w:r>
          </w:p>
          <w:p w14:paraId="67376890">
            <w:pPr>
              <w:pStyle w:val="2"/>
              <w:ind w:left="0" w:leftChars="0" w:firstLine="0" w:firstLineChars="0"/>
              <w:rPr>
                <w:rFonts w:hint="eastAsia"/>
                <w:color w:val="auto"/>
                <w:highlight w:val="none"/>
                <w:lang w:eastAsia="zh-CN"/>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lang w:eastAsia="zh-CN"/>
              </w:rPr>
              <w:t>系统生成投标文件时，工期默认单位为日历天，投标人可填写</w:t>
            </w:r>
            <w:r>
              <w:rPr>
                <w:rFonts w:hint="eastAsia" w:ascii="宋体" w:hAnsi="宋体" w:eastAsia="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lang w:eastAsia="zh-CN"/>
              </w:rPr>
              <w:t>日历天。此工期不作为评审标准，仅用于投标文件上传时填写。</w:t>
            </w:r>
          </w:p>
        </w:tc>
      </w:tr>
      <w:tr w14:paraId="24784F21">
        <w:tblPrEx>
          <w:tblCellMar>
            <w:top w:w="0" w:type="dxa"/>
            <w:left w:w="0" w:type="dxa"/>
            <w:bottom w:w="0" w:type="dxa"/>
            <w:right w:w="0" w:type="dxa"/>
          </w:tblCellMar>
        </w:tblPrEx>
        <w:trPr>
          <w:trHeight w:val="425" w:hRule="atLeast"/>
        </w:trPr>
        <w:tc>
          <w:tcPr>
            <w:tcW w:w="731" w:type="dxa"/>
            <w:tcBorders>
              <w:top w:val="single" w:color="auto" w:sz="8" w:space="0"/>
              <w:left w:val="single" w:color="auto" w:sz="8" w:space="0"/>
              <w:bottom w:val="single" w:color="auto" w:sz="8" w:space="0"/>
              <w:right w:val="single" w:color="auto" w:sz="8" w:space="0"/>
            </w:tcBorders>
            <w:vAlign w:val="center"/>
          </w:tcPr>
          <w:p w14:paraId="274B87B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654" w:type="dxa"/>
            <w:tcBorders>
              <w:top w:val="single" w:color="auto" w:sz="8" w:space="0"/>
              <w:left w:val="single" w:color="auto" w:sz="4" w:space="0"/>
              <w:bottom w:val="single" w:color="auto" w:sz="8" w:space="0"/>
              <w:right w:val="single" w:color="auto" w:sz="4" w:space="0"/>
            </w:tcBorders>
            <w:vAlign w:val="center"/>
          </w:tcPr>
          <w:p w14:paraId="3198F4B1">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7203" w:type="dxa"/>
            <w:tcBorders>
              <w:top w:val="single" w:color="auto" w:sz="8" w:space="0"/>
              <w:left w:val="single" w:color="auto" w:sz="4" w:space="0"/>
              <w:bottom w:val="single" w:color="auto" w:sz="8" w:space="0"/>
              <w:right w:val="single" w:color="auto" w:sz="8" w:space="0"/>
            </w:tcBorders>
            <w:vAlign w:val="center"/>
          </w:tcPr>
          <w:p w14:paraId="27135FFC">
            <w:pPr>
              <w:keepNext w:val="0"/>
              <w:keepLines w:val="0"/>
              <w:pageBreakBefore w:val="0"/>
              <w:widowControl w:val="0"/>
              <w:kinsoku/>
              <w:wordWrap/>
              <w:overflowPunct/>
              <w:topLinePunct w:val="0"/>
              <w:autoSpaceDE/>
              <w:autoSpaceDN/>
              <w:bidi w:val="0"/>
              <w:adjustRightInd/>
              <w:snapToGrid/>
              <w:spacing w:line="440" w:lineRule="exact"/>
              <w:ind w:left="57" w:leftChars="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投标人出具的工程造价咨询成果文件质量应符合现行国家或行业工程计价有关规定、标准、规范的要求</w:t>
            </w:r>
            <w:r>
              <w:rPr>
                <w:rFonts w:hint="eastAsia" w:ascii="宋体" w:hAnsi="宋体" w:eastAsia="宋体" w:cs="宋体"/>
                <w:color w:val="auto"/>
                <w:kern w:val="0"/>
                <w:sz w:val="21"/>
                <w:szCs w:val="21"/>
                <w:highlight w:val="none"/>
                <w:lang w:eastAsia="zh-CN"/>
              </w:rPr>
              <w:t>；</w:t>
            </w:r>
          </w:p>
        </w:tc>
      </w:tr>
      <w:tr w14:paraId="21D1049F">
        <w:tblPrEx>
          <w:tblCellMar>
            <w:top w:w="0" w:type="dxa"/>
            <w:left w:w="0" w:type="dxa"/>
            <w:bottom w:w="0" w:type="dxa"/>
            <w:right w:w="0" w:type="dxa"/>
          </w:tblCellMar>
        </w:tblPrEx>
        <w:trPr>
          <w:trHeight w:val="286" w:hRule="atLeast"/>
        </w:trPr>
        <w:tc>
          <w:tcPr>
            <w:tcW w:w="731" w:type="dxa"/>
            <w:tcBorders>
              <w:top w:val="single" w:color="auto" w:sz="8" w:space="0"/>
              <w:left w:val="single" w:color="auto" w:sz="8" w:space="0"/>
              <w:bottom w:val="single" w:color="auto" w:sz="8" w:space="0"/>
              <w:right w:val="single" w:color="auto" w:sz="8" w:space="0"/>
            </w:tcBorders>
            <w:vAlign w:val="center"/>
          </w:tcPr>
          <w:p w14:paraId="68BC984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654" w:type="dxa"/>
            <w:tcBorders>
              <w:top w:val="single" w:color="auto" w:sz="8" w:space="0"/>
              <w:left w:val="single" w:color="auto" w:sz="4" w:space="0"/>
              <w:bottom w:val="single" w:color="auto" w:sz="8" w:space="0"/>
              <w:right w:val="single" w:color="auto" w:sz="4" w:space="0"/>
            </w:tcBorders>
            <w:vAlign w:val="center"/>
          </w:tcPr>
          <w:p w14:paraId="0E6F3B67">
            <w:pPr>
              <w:keepNext w:val="0"/>
              <w:keepLines w:val="0"/>
              <w:pageBreakBefore w:val="0"/>
              <w:kinsoku/>
              <w:wordWrap/>
              <w:overflowPunct/>
              <w:topLinePunct w:val="0"/>
              <w:autoSpaceDE/>
              <w:autoSpaceDN/>
              <w:bidi w:val="0"/>
              <w:adjustRightInd/>
              <w:snapToGrid/>
              <w:spacing w:line="48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w:t>
            </w:r>
          </w:p>
          <w:p w14:paraId="4A788D2E">
            <w:pPr>
              <w:keepNext w:val="0"/>
              <w:keepLines w:val="0"/>
              <w:pageBreakBefore w:val="0"/>
              <w:kinsoku/>
              <w:wordWrap/>
              <w:overflowPunct/>
              <w:topLinePunct w:val="0"/>
              <w:autoSpaceDE/>
              <w:autoSpaceDN/>
              <w:bidi w:val="0"/>
              <w:adjustRightInd/>
              <w:snapToGrid/>
              <w:spacing w:line="48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等级要求</w:t>
            </w:r>
          </w:p>
        </w:tc>
        <w:tc>
          <w:tcPr>
            <w:tcW w:w="7203" w:type="dxa"/>
            <w:tcBorders>
              <w:top w:val="single" w:color="auto" w:sz="8" w:space="0"/>
              <w:left w:val="single" w:color="auto" w:sz="4" w:space="0"/>
              <w:bottom w:val="single" w:color="auto" w:sz="8" w:space="0"/>
              <w:right w:val="single" w:color="auto" w:sz="8" w:space="0"/>
            </w:tcBorders>
            <w:vAlign w:val="center"/>
          </w:tcPr>
          <w:p w14:paraId="19BF53D1">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详</w:t>
            </w:r>
            <w:r>
              <w:rPr>
                <w:rFonts w:hint="eastAsia" w:ascii="宋体" w:hAnsi="宋体" w:eastAsia="宋体" w:cs="宋体"/>
                <w:color w:val="auto"/>
                <w:kern w:val="0"/>
                <w:sz w:val="21"/>
                <w:szCs w:val="21"/>
                <w:highlight w:val="none"/>
                <w:lang w:val="en-US" w:eastAsia="zh-CN"/>
              </w:rPr>
              <w:t>见招标公告</w:t>
            </w:r>
            <w:r>
              <w:rPr>
                <w:rFonts w:hint="eastAsia" w:ascii="宋体" w:hAnsi="宋体" w:eastAsia="宋体" w:cs="宋体"/>
                <w:color w:val="auto"/>
                <w:kern w:val="0"/>
                <w:sz w:val="21"/>
                <w:szCs w:val="21"/>
                <w:highlight w:val="none"/>
              </w:rPr>
              <w:t>。</w:t>
            </w:r>
          </w:p>
        </w:tc>
      </w:tr>
      <w:tr w14:paraId="26978DB0">
        <w:tblPrEx>
          <w:tblCellMar>
            <w:top w:w="0" w:type="dxa"/>
            <w:left w:w="0" w:type="dxa"/>
            <w:bottom w:w="0" w:type="dxa"/>
            <w:right w:w="0" w:type="dxa"/>
          </w:tblCellMar>
        </w:tblPrEx>
        <w:trPr>
          <w:trHeight w:val="656" w:hRule="atLeast"/>
        </w:trPr>
        <w:tc>
          <w:tcPr>
            <w:tcW w:w="731" w:type="dxa"/>
            <w:tcBorders>
              <w:top w:val="single" w:color="auto" w:sz="8" w:space="0"/>
              <w:left w:val="single" w:color="auto" w:sz="8" w:space="0"/>
              <w:bottom w:val="single" w:color="auto" w:sz="8" w:space="0"/>
              <w:right w:val="single" w:color="auto" w:sz="8" w:space="0"/>
            </w:tcBorders>
            <w:vAlign w:val="center"/>
          </w:tcPr>
          <w:p w14:paraId="2B243C1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654" w:type="dxa"/>
            <w:tcBorders>
              <w:top w:val="single" w:color="auto" w:sz="8" w:space="0"/>
              <w:left w:val="single" w:color="auto" w:sz="4" w:space="0"/>
              <w:bottom w:val="single" w:color="auto" w:sz="8" w:space="0"/>
              <w:right w:val="single" w:color="auto" w:sz="4" w:space="0"/>
            </w:tcBorders>
            <w:vAlign w:val="center"/>
          </w:tcPr>
          <w:p w14:paraId="0DD7F5B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勘察现场及投标预备会</w:t>
            </w:r>
          </w:p>
        </w:tc>
        <w:tc>
          <w:tcPr>
            <w:tcW w:w="7203" w:type="dxa"/>
            <w:tcBorders>
              <w:top w:val="single" w:color="auto" w:sz="8" w:space="0"/>
              <w:left w:val="single" w:color="auto" w:sz="4" w:space="0"/>
              <w:bottom w:val="single" w:color="auto" w:sz="8" w:space="0"/>
              <w:right w:val="single" w:color="auto" w:sz="8" w:space="0"/>
            </w:tcBorders>
            <w:vAlign w:val="center"/>
          </w:tcPr>
          <w:p w14:paraId="13D7AA67">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不再集中召开招标答疑会；投标人自行组织勘察现场。</w:t>
            </w:r>
          </w:p>
        </w:tc>
      </w:tr>
      <w:tr w14:paraId="73E08BE4">
        <w:tblPrEx>
          <w:tblCellMar>
            <w:top w:w="0" w:type="dxa"/>
            <w:left w:w="0" w:type="dxa"/>
            <w:bottom w:w="0" w:type="dxa"/>
            <w:right w:w="0" w:type="dxa"/>
          </w:tblCellMar>
        </w:tblPrEx>
        <w:trPr>
          <w:trHeight w:val="435" w:hRule="atLeast"/>
        </w:trPr>
        <w:tc>
          <w:tcPr>
            <w:tcW w:w="731" w:type="dxa"/>
            <w:tcBorders>
              <w:top w:val="single" w:color="auto" w:sz="8" w:space="0"/>
              <w:left w:val="single" w:color="auto" w:sz="8" w:space="0"/>
              <w:bottom w:val="single" w:color="auto" w:sz="8" w:space="0"/>
              <w:right w:val="single" w:color="auto" w:sz="8" w:space="0"/>
            </w:tcBorders>
            <w:vAlign w:val="center"/>
          </w:tcPr>
          <w:p w14:paraId="59B9DB0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654" w:type="dxa"/>
            <w:tcBorders>
              <w:top w:val="single" w:color="auto" w:sz="8" w:space="0"/>
              <w:left w:val="single" w:color="auto" w:sz="4" w:space="0"/>
              <w:bottom w:val="single" w:color="auto" w:sz="8" w:space="0"/>
              <w:right w:val="single" w:color="auto" w:sz="4" w:space="0"/>
            </w:tcBorders>
            <w:vAlign w:val="center"/>
          </w:tcPr>
          <w:p w14:paraId="396C664A">
            <w:pPr>
              <w:pStyle w:val="25"/>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招标方式</w:t>
            </w:r>
          </w:p>
        </w:tc>
        <w:tc>
          <w:tcPr>
            <w:tcW w:w="7203" w:type="dxa"/>
            <w:tcBorders>
              <w:top w:val="single" w:color="auto" w:sz="8" w:space="0"/>
              <w:left w:val="single" w:color="auto" w:sz="4" w:space="0"/>
              <w:bottom w:val="single" w:color="auto" w:sz="8" w:space="0"/>
              <w:right w:val="single" w:color="auto" w:sz="8" w:space="0"/>
            </w:tcBorders>
            <w:vAlign w:val="center"/>
          </w:tcPr>
          <w:p w14:paraId="59739CC9">
            <w:pPr>
              <w:pStyle w:val="25"/>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kern w:val="0"/>
                <w:sz w:val="21"/>
                <w:szCs w:val="21"/>
                <w:highlight w:val="none"/>
              </w:rPr>
            </w:pPr>
            <w:r>
              <w:rPr>
                <w:rFonts w:hint="eastAsia" w:ascii="宋体" w:hAnsi="宋体" w:eastAsia="宋体" w:cs="宋体"/>
                <w:b/>
                <w:bCs w:val="0"/>
                <w:color w:val="auto"/>
                <w:sz w:val="21"/>
                <w:szCs w:val="21"/>
                <w:highlight w:val="none"/>
              </w:rPr>
              <w:t xml:space="preserve">公开招标(本项目采用网上电子招投标) </w:t>
            </w:r>
          </w:p>
        </w:tc>
      </w:tr>
      <w:tr w14:paraId="0DEE0E5F">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48A5CF8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654" w:type="dxa"/>
            <w:tcBorders>
              <w:top w:val="single" w:color="auto" w:sz="8" w:space="0"/>
              <w:left w:val="single" w:color="auto" w:sz="4" w:space="0"/>
              <w:bottom w:val="single" w:color="auto" w:sz="8" w:space="0"/>
              <w:right w:val="single" w:color="auto" w:sz="4" w:space="0"/>
            </w:tcBorders>
            <w:vAlign w:val="center"/>
          </w:tcPr>
          <w:p w14:paraId="51E1A09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7203" w:type="dxa"/>
            <w:tcBorders>
              <w:top w:val="single" w:color="auto" w:sz="8" w:space="0"/>
              <w:left w:val="single" w:color="auto" w:sz="4" w:space="0"/>
              <w:bottom w:val="single" w:color="auto" w:sz="8" w:space="0"/>
              <w:right w:val="single" w:color="auto" w:sz="8" w:space="0"/>
            </w:tcBorders>
            <w:vAlign w:val="center"/>
          </w:tcPr>
          <w:p w14:paraId="455EC4D9">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本项目的</w:t>
            </w:r>
            <w:r>
              <w:rPr>
                <w:rFonts w:hint="eastAsia" w:ascii="宋体" w:hAnsi="宋体" w:eastAsia="宋体" w:cs="宋体"/>
                <w:color w:val="auto"/>
                <w:sz w:val="21"/>
                <w:szCs w:val="21"/>
                <w:highlight w:val="none"/>
                <w:lang w:val="en-US" w:eastAsia="zh-CN"/>
              </w:rPr>
              <w:t>最高限价</w:t>
            </w:r>
            <w:r>
              <w:rPr>
                <w:rFonts w:hint="eastAsia" w:ascii="宋体" w:hAnsi="宋体" w:eastAsia="宋体" w:cs="宋体"/>
                <w:color w:val="auto"/>
                <w:sz w:val="21"/>
                <w:szCs w:val="21"/>
                <w:highlight w:val="none"/>
              </w:rPr>
              <w:t>为基本费率</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审核成果费率</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%（审核成果费率</w:t>
            </w:r>
            <w:r>
              <w:rPr>
                <w:rFonts w:hint="eastAsia" w:ascii="宋体" w:hAnsi="宋体" w:eastAsia="宋体" w:cs="宋体"/>
                <w:color w:val="auto"/>
                <w:sz w:val="21"/>
                <w:szCs w:val="21"/>
                <w:highlight w:val="none"/>
                <w:lang w:val="en-US" w:eastAsia="zh-CN"/>
              </w:rPr>
              <w:t>为不可竞争费率，</w:t>
            </w:r>
            <w:r>
              <w:rPr>
                <w:rFonts w:hint="eastAsia" w:ascii="宋体" w:hAnsi="宋体" w:eastAsia="宋体" w:cs="宋体"/>
                <w:color w:val="auto"/>
                <w:sz w:val="21"/>
                <w:szCs w:val="21"/>
                <w:highlight w:val="none"/>
              </w:rPr>
              <w:t>固定不变）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基本费率由投标人自主报价，</w:t>
            </w:r>
            <w:r>
              <w:rPr>
                <w:rFonts w:hint="eastAsia" w:ascii="宋体" w:hAnsi="宋体" w:eastAsia="宋体" w:cs="宋体"/>
                <w:color w:val="auto"/>
                <w:sz w:val="21"/>
                <w:szCs w:val="21"/>
                <w:highlight w:val="none"/>
              </w:rPr>
              <w:t>不得高于上述基本</w:t>
            </w:r>
            <w:r>
              <w:rPr>
                <w:rFonts w:hint="eastAsia" w:ascii="宋体" w:hAnsi="宋体" w:eastAsia="宋体" w:cs="宋体"/>
                <w:color w:val="auto"/>
                <w:sz w:val="21"/>
                <w:szCs w:val="21"/>
                <w:highlight w:val="none"/>
                <w:lang w:eastAsia="zh-CN"/>
              </w:rPr>
              <w:t>费率</w:t>
            </w:r>
            <w:r>
              <w:rPr>
                <w:rFonts w:hint="eastAsia" w:ascii="宋体" w:hAnsi="宋体" w:eastAsia="宋体" w:cs="宋体"/>
                <w:color w:val="auto"/>
                <w:sz w:val="21"/>
                <w:szCs w:val="21"/>
                <w:highlight w:val="none"/>
              </w:rPr>
              <w:t>最高限价，否则按无效标处理。</w:t>
            </w:r>
            <w:r>
              <w:rPr>
                <w:rFonts w:hint="eastAsia" w:ascii="宋体" w:hAnsi="宋体" w:eastAsia="宋体" w:cs="宋体"/>
                <w:color w:val="auto"/>
                <w:sz w:val="21"/>
                <w:szCs w:val="21"/>
                <w:highlight w:val="none"/>
                <w:lang w:eastAsia="zh-CN"/>
              </w:rPr>
              <w:t>（投标报价费率要求精确到小数点后</w:t>
            </w:r>
            <w:r>
              <w:rPr>
                <w:rFonts w:hint="eastAsia" w:ascii="宋体" w:hAnsi="宋体" w:eastAsia="宋体" w:cs="宋体"/>
                <w:color w:val="auto"/>
                <w:sz w:val="21"/>
                <w:szCs w:val="21"/>
                <w:highlight w:val="none"/>
                <w:lang w:val="en-US" w:eastAsia="zh-CN"/>
              </w:rPr>
              <w:t>两位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投标费率不可以填报0或负数，否则按无效标处理</w:t>
            </w:r>
            <w:r>
              <w:rPr>
                <w:rFonts w:hint="eastAsia" w:ascii="宋体" w:hAnsi="宋体" w:eastAsia="宋体" w:cs="宋体"/>
                <w:color w:val="auto"/>
                <w:sz w:val="21"/>
                <w:szCs w:val="21"/>
                <w:highlight w:val="none"/>
                <w:lang w:eastAsia="zh-CN"/>
              </w:rPr>
              <w:t>）</w:t>
            </w:r>
          </w:p>
          <w:p w14:paraId="3F53467E">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14:paraId="5704048A">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无论任何原因（包含但不限于设计图纸变更等）导致的项目期限延长，委托人均不再增加</w:t>
            </w:r>
            <w:r>
              <w:rPr>
                <w:rFonts w:hint="eastAsia" w:ascii="宋体" w:hAnsi="宋体" w:eastAsia="宋体" w:cs="宋体"/>
                <w:color w:val="auto"/>
                <w:sz w:val="21"/>
                <w:szCs w:val="21"/>
                <w:highlight w:val="none"/>
                <w:lang w:val="en-US" w:eastAsia="zh-CN"/>
              </w:rPr>
              <w:t>审计服务</w:t>
            </w:r>
            <w:r>
              <w:rPr>
                <w:rFonts w:hint="eastAsia" w:ascii="宋体" w:hAnsi="宋体" w:eastAsia="宋体" w:cs="宋体"/>
                <w:color w:val="auto"/>
                <w:sz w:val="21"/>
                <w:szCs w:val="21"/>
                <w:highlight w:val="none"/>
              </w:rPr>
              <w:t>费用</w:t>
            </w:r>
            <w:r>
              <w:rPr>
                <w:rFonts w:hint="eastAsia" w:ascii="宋体" w:hAnsi="宋体" w:cs="宋体"/>
                <w:color w:val="auto"/>
                <w:sz w:val="21"/>
                <w:szCs w:val="21"/>
                <w:highlight w:val="none"/>
                <w:lang w:eastAsia="zh-CN"/>
              </w:rPr>
              <w:t>。</w:t>
            </w:r>
          </w:p>
          <w:p w14:paraId="77F81A81">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投标人须认真研究项目的招标文件，并仔细踏勘现场，若对</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有异议，应在投标答疑时向招标人提出</w:t>
            </w:r>
            <w:r>
              <w:rPr>
                <w:rFonts w:hint="eastAsia" w:ascii="宋体" w:hAnsi="宋体" w:eastAsia="宋体" w:cs="宋体"/>
                <w:color w:val="auto"/>
                <w:sz w:val="21"/>
                <w:szCs w:val="21"/>
                <w:highlight w:val="none"/>
                <w:lang w:eastAsia="zh-CN"/>
              </w:rPr>
              <w:t>。</w:t>
            </w:r>
          </w:p>
          <w:p w14:paraId="688F025F">
            <w:pPr>
              <w:keepNext w:val="0"/>
              <w:keepLines w:val="0"/>
              <w:pageBreakBefore w:val="0"/>
              <w:kinsoku/>
              <w:wordWrap/>
              <w:overflowPunct/>
              <w:topLinePunct w:val="0"/>
              <w:autoSpaceDE/>
              <w:autoSpaceDN/>
              <w:bidi w:val="0"/>
              <w:adjustRightInd/>
              <w:snapToGrid/>
              <w:spacing w:line="440" w:lineRule="exact"/>
              <w:ind w:left="57"/>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3、系统生成投标文件时系统默认费率单位为%，投标人可直接填写</w:t>
            </w:r>
            <w:r>
              <w:rPr>
                <w:rFonts w:hint="eastAsia" w:ascii="宋体" w:hAnsi="宋体" w:cs="宋体"/>
                <w:b/>
                <w:bCs/>
                <w:color w:val="auto"/>
                <w:sz w:val="21"/>
                <w:szCs w:val="21"/>
                <w:highlight w:val="none"/>
                <w:lang w:val="en-US" w:eastAsia="zh-CN"/>
              </w:rPr>
              <w:t>所报</w:t>
            </w:r>
            <w:r>
              <w:rPr>
                <w:rFonts w:hint="eastAsia" w:ascii="宋体" w:hAnsi="宋体" w:eastAsia="宋体" w:cs="宋体"/>
                <w:b/>
                <w:bCs/>
                <w:color w:val="auto"/>
                <w:sz w:val="21"/>
                <w:szCs w:val="21"/>
                <w:highlight w:val="none"/>
                <w:lang w:val="en-US" w:eastAsia="zh-CN"/>
              </w:rPr>
              <w:t>投标费率</w:t>
            </w:r>
            <w:r>
              <w:rPr>
                <w:rFonts w:hint="eastAsia" w:ascii="宋体" w:hAnsi="宋体" w:cs="宋体"/>
                <w:b/>
                <w:bCs/>
                <w:color w:val="auto"/>
                <w:sz w:val="21"/>
                <w:szCs w:val="21"/>
                <w:highlight w:val="none"/>
                <w:lang w:val="en-US" w:eastAsia="zh-CN"/>
              </w:rPr>
              <w:t>即可</w:t>
            </w:r>
            <w:r>
              <w:rPr>
                <w:rFonts w:hint="eastAsia" w:ascii="宋体" w:hAnsi="宋体" w:eastAsia="宋体" w:cs="宋体"/>
                <w:b/>
                <w:bCs/>
                <w:color w:val="auto"/>
                <w:sz w:val="21"/>
                <w:szCs w:val="21"/>
                <w:highlight w:val="none"/>
                <w:lang w:val="en-US" w:eastAsia="zh-CN"/>
              </w:rPr>
              <w:t>，无需考虑</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转</w:t>
            </w:r>
            <w:r>
              <w:rPr>
                <w:rFonts w:hint="eastAsia" w:ascii="宋体" w:hAnsi="宋体" w:cs="宋体"/>
                <w:b/>
                <w:bCs/>
                <w:color w:val="auto"/>
                <w:sz w:val="21"/>
                <w:szCs w:val="21"/>
                <w:highlight w:val="none"/>
                <w:lang w:val="en-US" w:eastAsia="zh-CN"/>
              </w:rPr>
              <w:t>化</w:t>
            </w:r>
            <w:r>
              <w:rPr>
                <w:rFonts w:hint="eastAsia" w:ascii="宋体" w:hAnsi="宋体" w:eastAsia="宋体" w:cs="宋体"/>
                <w:b/>
                <w:bCs/>
                <w:color w:val="auto"/>
                <w:sz w:val="21"/>
                <w:szCs w:val="21"/>
                <w:highlight w:val="none"/>
                <w:lang w:val="en-US" w:eastAsia="zh-CN"/>
              </w:rPr>
              <w:t>为%问题。</w:t>
            </w:r>
          </w:p>
        </w:tc>
      </w:tr>
      <w:tr w14:paraId="689F356F">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61DCADC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654" w:type="dxa"/>
            <w:tcBorders>
              <w:top w:val="single" w:color="auto" w:sz="8" w:space="0"/>
              <w:left w:val="single" w:color="auto" w:sz="4" w:space="0"/>
              <w:bottom w:val="single" w:color="auto" w:sz="8" w:space="0"/>
              <w:right w:val="single" w:color="auto" w:sz="4" w:space="0"/>
            </w:tcBorders>
            <w:vAlign w:val="center"/>
          </w:tcPr>
          <w:p w14:paraId="0CDB768E">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p w14:paraId="156BE6F6">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及方式</w:t>
            </w:r>
          </w:p>
        </w:tc>
        <w:tc>
          <w:tcPr>
            <w:tcW w:w="7203" w:type="dxa"/>
            <w:tcBorders>
              <w:top w:val="single" w:color="auto" w:sz="8" w:space="0"/>
              <w:left w:val="single" w:color="auto" w:sz="4" w:space="0"/>
              <w:bottom w:val="single" w:color="auto" w:sz="8" w:space="0"/>
              <w:right w:val="single" w:color="auto" w:sz="8" w:space="0"/>
            </w:tcBorders>
            <w:vAlign w:val="center"/>
          </w:tcPr>
          <w:p w14:paraId="7839BB0B">
            <w:pPr>
              <w:keepNext w:val="0"/>
              <w:keepLines w:val="0"/>
              <w:pageBreakBefore w:val="0"/>
              <w:widowControl w:val="0"/>
              <w:kinsoku/>
              <w:wordWrap w:val="0"/>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rPr>
              <w:t>如投标人对招标文件有疑问，请于</w:t>
            </w:r>
            <w:r>
              <w:rPr>
                <w:rFonts w:hint="eastAsia" w:ascii="宋体" w:hAnsi="宋体" w:cs="宋体"/>
                <w:color w:val="auto"/>
                <w:spacing w:val="-4"/>
                <w:kern w:val="0"/>
                <w:sz w:val="21"/>
                <w:szCs w:val="21"/>
                <w:highlight w:val="none"/>
                <w:lang w:eastAsia="zh-CN"/>
              </w:rPr>
              <w:t>2026年4月</w:t>
            </w:r>
            <w:r>
              <w:rPr>
                <w:rFonts w:hint="eastAsia" w:ascii="宋体" w:hAnsi="宋体" w:cs="宋体"/>
                <w:color w:val="auto"/>
                <w:spacing w:val="-4"/>
                <w:kern w:val="0"/>
                <w:sz w:val="21"/>
                <w:szCs w:val="21"/>
                <w:highlight w:val="none"/>
                <w:lang w:val="en-US" w:eastAsia="zh-CN"/>
              </w:rPr>
              <w:t>21</w:t>
            </w:r>
            <w:r>
              <w:rPr>
                <w:rFonts w:hint="eastAsia" w:ascii="宋体" w:hAnsi="宋体" w:eastAsia="宋体" w:cs="宋体"/>
                <w:color w:val="auto"/>
                <w:spacing w:val="-4"/>
                <w:kern w:val="0"/>
                <w:sz w:val="21"/>
                <w:szCs w:val="21"/>
                <w:highlight w:val="none"/>
                <w:u w:val="none"/>
              </w:rPr>
              <w:t>日</w:t>
            </w:r>
            <w:r>
              <w:rPr>
                <w:rFonts w:hint="eastAsia" w:ascii="宋体" w:hAnsi="宋体" w:cs="宋体"/>
                <w:color w:val="auto"/>
                <w:spacing w:val="-4"/>
                <w:kern w:val="0"/>
                <w:sz w:val="21"/>
                <w:szCs w:val="21"/>
                <w:highlight w:val="none"/>
                <w:u w:val="none"/>
                <w:lang w:val="en-US" w:eastAsia="zh-CN"/>
              </w:rPr>
              <w:t>17</w:t>
            </w:r>
            <w:r>
              <w:rPr>
                <w:rFonts w:hint="eastAsia" w:ascii="宋体" w:hAnsi="宋体" w:eastAsia="宋体" w:cs="宋体"/>
                <w:color w:val="auto"/>
                <w:spacing w:val="-4"/>
                <w:kern w:val="0"/>
                <w:sz w:val="21"/>
                <w:szCs w:val="21"/>
                <w:highlight w:val="none"/>
                <w:u w:val="none"/>
              </w:rPr>
              <w:t>时前</w:t>
            </w:r>
            <w:r>
              <w:rPr>
                <w:rFonts w:hint="eastAsia" w:ascii="宋体" w:hAnsi="宋体" w:eastAsia="宋体" w:cs="宋体"/>
                <w:color w:val="auto"/>
                <w:kern w:val="0"/>
                <w:sz w:val="21"/>
                <w:szCs w:val="21"/>
                <w:highlight w:val="none"/>
                <w:u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u w:val="none"/>
              </w:rPr>
              <w:t>，招标人将在</w:t>
            </w:r>
            <w:r>
              <w:rPr>
                <w:rFonts w:hint="eastAsia" w:ascii="宋体" w:hAnsi="宋体" w:cs="宋体"/>
                <w:color w:val="auto"/>
                <w:spacing w:val="-4"/>
                <w:kern w:val="0"/>
                <w:sz w:val="21"/>
                <w:szCs w:val="21"/>
                <w:highlight w:val="none"/>
                <w:u w:val="none"/>
                <w:lang w:eastAsia="zh-CN"/>
              </w:rPr>
              <w:t>2026年4月</w:t>
            </w:r>
            <w:r>
              <w:rPr>
                <w:rFonts w:hint="eastAsia" w:ascii="宋体" w:hAnsi="宋体" w:cs="宋体"/>
                <w:color w:val="auto"/>
                <w:spacing w:val="-4"/>
                <w:kern w:val="0"/>
                <w:sz w:val="21"/>
                <w:szCs w:val="21"/>
                <w:highlight w:val="none"/>
                <w:u w:val="none"/>
                <w:lang w:val="en-US" w:eastAsia="zh-CN"/>
              </w:rPr>
              <w:t>22</w:t>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2</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滁州市城投工程咨询管理有限公司（https://www.czctgczx.com/）</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lang w:val="en-US" w:eastAsia="zh-CN"/>
              </w:rPr>
              <w:t>网站发布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3CAB79A3">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31E06C3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654" w:type="dxa"/>
            <w:tcBorders>
              <w:top w:val="single" w:color="auto" w:sz="8" w:space="0"/>
              <w:left w:val="single" w:color="auto" w:sz="4" w:space="0"/>
              <w:bottom w:val="single" w:color="auto" w:sz="8" w:space="0"/>
              <w:right w:val="single" w:color="auto" w:sz="4" w:space="0"/>
            </w:tcBorders>
            <w:vAlign w:val="center"/>
          </w:tcPr>
          <w:p w14:paraId="0B644D17">
            <w:pPr>
              <w:pStyle w:val="25"/>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w:t>
            </w:r>
          </w:p>
        </w:tc>
        <w:tc>
          <w:tcPr>
            <w:tcW w:w="7203" w:type="dxa"/>
            <w:tcBorders>
              <w:top w:val="single" w:color="auto" w:sz="8" w:space="0"/>
              <w:left w:val="single" w:color="auto" w:sz="4" w:space="0"/>
              <w:bottom w:val="single" w:color="auto" w:sz="8" w:space="0"/>
              <w:right w:val="single" w:color="auto" w:sz="8" w:space="0"/>
            </w:tcBorders>
            <w:vAlign w:val="center"/>
          </w:tcPr>
          <w:p w14:paraId="0CB8330D">
            <w:pPr>
              <w:pStyle w:val="25"/>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投标有效期为</w:t>
            </w:r>
            <w:r>
              <w:rPr>
                <w:rFonts w:hint="eastAsia"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27D30DA2">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7A32EE2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654" w:type="dxa"/>
            <w:tcBorders>
              <w:top w:val="single" w:color="auto" w:sz="8" w:space="0"/>
              <w:left w:val="single" w:color="auto" w:sz="4" w:space="0"/>
              <w:bottom w:val="single" w:color="auto" w:sz="8" w:space="0"/>
              <w:right w:val="single" w:color="auto" w:sz="4" w:space="0"/>
            </w:tcBorders>
            <w:vAlign w:val="center"/>
          </w:tcPr>
          <w:p w14:paraId="32269176">
            <w:pPr>
              <w:pStyle w:val="25"/>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val="en-US" w:eastAsia="zh-CN"/>
              </w:rPr>
              <w:t>递交</w:t>
            </w:r>
          </w:p>
        </w:tc>
        <w:tc>
          <w:tcPr>
            <w:tcW w:w="7203" w:type="dxa"/>
            <w:tcBorders>
              <w:top w:val="single" w:color="auto" w:sz="8" w:space="0"/>
              <w:left w:val="single" w:color="auto" w:sz="4" w:space="0"/>
              <w:bottom w:val="single" w:color="auto" w:sz="8" w:space="0"/>
              <w:right w:val="single" w:color="auto" w:sz="8" w:space="0"/>
            </w:tcBorders>
            <w:vAlign w:val="center"/>
          </w:tcPr>
          <w:p w14:paraId="4BDE2FC9">
            <w:pPr>
              <w:keepNext w:val="0"/>
              <w:keepLines w:val="0"/>
              <w:pageBreakBefore w:val="0"/>
              <w:widowControl w:val="0"/>
              <w:kinsoku/>
              <w:wordWrap w:val="0"/>
              <w:overflowPunct/>
              <w:topLinePunct w:val="0"/>
              <w:autoSpaceDE/>
              <w:autoSpaceDN/>
              <w:bidi w:val="0"/>
              <w:adjustRightInd w:val="0"/>
              <w:snapToGrid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加密电子投标文件投标人应在投标截止时间前通过新点电子交易平台后在【滁州专区】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https://www.etrading.cn/BREpointSSO/login/oauth2login?regioncode=DQ_ChuZhou</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交易系统递交电子投标文件。</w:t>
            </w:r>
          </w:p>
          <w:p w14:paraId="6AD718D2">
            <w:pPr>
              <w:keepNext w:val="0"/>
              <w:keepLines w:val="0"/>
              <w:pageBreakBefore w:val="0"/>
              <w:widowControl/>
              <w:kinsoku/>
              <w:overflowPunct/>
              <w:topLinePunct w:val="0"/>
              <w:autoSpaceDE/>
              <w:autoSpaceDN/>
              <w:bidi w:val="0"/>
              <w:spacing w:line="440" w:lineRule="exact"/>
              <w:ind w:left="57"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0"/>
                <w:sz w:val="21"/>
                <w:szCs w:val="21"/>
                <w:highlight w:val="none"/>
              </w:rPr>
              <w:t>（投标人中标后须递交与网上电子投标文件完全一致的纸质版投标文件，并按要求加盖单位章；份数：正本</w:t>
            </w:r>
            <w:r>
              <w:rPr>
                <w:rFonts w:hint="eastAsia" w:ascii="宋体" w:hAnsi="宋体" w:eastAsia="宋体" w:cs="宋体"/>
                <w:b/>
                <w:color w:val="auto"/>
                <w:kern w:val="0"/>
                <w:sz w:val="21"/>
                <w:szCs w:val="21"/>
                <w:highlight w:val="none"/>
                <w:u w:val="single"/>
              </w:rPr>
              <w:t xml:space="preserve"> 1 </w:t>
            </w:r>
            <w:r>
              <w:rPr>
                <w:rFonts w:hint="eastAsia" w:ascii="宋体" w:hAnsi="宋体" w:eastAsia="宋体" w:cs="宋体"/>
                <w:b/>
                <w:color w:val="auto"/>
                <w:kern w:val="0"/>
                <w:sz w:val="21"/>
                <w:szCs w:val="21"/>
                <w:highlight w:val="none"/>
              </w:rPr>
              <w:t>份，副本</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1</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份；中标人领取中标通知书时，一并递交给招标代理机构）。</w:t>
            </w:r>
          </w:p>
        </w:tc>
      </w:tr>
      <w:tr w14:paraId="48A6C47E">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6C307E5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1654" w:type="dxa"/>
            <w:tcBorders>
              <w:top w:val="single" w:color="auto" w:sz="8" w:space="0"/>
              <w:left w:val="single" w:color="auto" w:sz="4" w:space="0"/>
              <w:bottom w:val="single" w:color="auto" w:sz="8" w:space="0"/>
              <w:right w:val="single" w:color="auto" w:sz="4" w:space="0"/>
            </w:tcBorders>
            <w:vAlign w:val="center"/>
          </w:tcPr>
          <w:p w14:paraId="6AF10602">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7203" w:type="dxa"/>
            <w:tcBorders>
              <w:top w:val="single" w:color="auto" w:sz="8" w:space="0"/>
              <w:left w:val="single" w:color="auto" w:sz="4" w:space="0"/>
              <w:bottom w:val="single" w:color="auto" w:sz="8" w:space="0"/>
              <w:right w:val="single" w:color="auto" w:sz="8" w:space="0"/>
            </w:tcBorders>
            <w:vAlign w:val="center"/>
          </w:tcPr>
          <w:p w14:paraId="66A35DAC">
            <w:pPr>
              <w:pStyle w:val="2"/>
              <w:keepNext w:val="0"/>
              <w:keepLines w:val="0"/>
              <w:pageBreakBefore w:val="0"/>
              <w:kinsoku/>
              <w:overflowPunct/>
              <w:topLinePunct w:val="0"/>
              <w:autoSpaceDE/>
              <w:autoSpaceDN/>
              <w:bidi w:val="0"/>
              <w:spacing w:line="440" w:lineRule="exact"/>
              <w:ind w:left="57" w:leftChars="0" w:firstLine="0" w:firstLineChars="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bidi="ar-SA"/>
              </w:rPr>
              <w:t>招标文件中“签章”是指签字或盖章。在“投标文件格式”中要求</w:t>
            </w:r>
            <w:r>
              <w:rPr>
                <w:rFonts w:hint="eastAsia" w:ascii="宋体" w:hAnsi="宋体" w:cs="宋体"/>
                <w:b/>
                <w:color w:val="auto"/>
                <w:kern w:val="0"/>
                <w:sz w:val="21"/>
                <w:szCs w:val="21"/>
                <w:highlight w:val="none"/>
                <w:lang w:val="en-US" w:eastAsia="zh-CN" w:bidi="ar-SA"/>
              </w:rPr>
              <w:t>单位</w:t>
            </w:r>
            <w:r>
              <w:rPr>
                <w:rFonts w:hint="eastAsia" w:ascii="宋体" w:hAnsi="宋体" w:eastAsia="宋体" w:cs="宋体"/>
                <w:b/>
                <w:color w:val="auto"/>
                <w:kern w:val="0"/>
                <w:sz w:val="21"/>
                <w:szCs w:val="21"/>
                <w:highlight w:val="none"/>
                <w:lang w:val="en-US" w:eastAsia="zh-CN" w:bidi="ar-SA"/>
              </w:rPr>
              <w:t>签章</w:t>
            </w:r>
            <w:r>
              <w:rPr>
                <w:rFonts w:hint="eastAsia" w:ascii="宋体" w:hAnsi="宋体" w:cs="宋体"/>
                <w:b/>
                <w:color w:val="auto"/>
                <w:kern w:val="0"/>
                <w:sz w:val="21"/>
                <w:szCs w:val="21"/>
                <w:highlight w:val="none"/>
                <w:lang w:val="en-US" w:eastAsia="zh-CN" w:bidi="ar-SA"/>
              </w:rPr>
              <w:t>的</w:t>
            </w:r>
            <w:r>
              <w:rPr>
                <w:rFonts w:hint="eastAsia" w:ascii="宋体" w:hAnsi="宋体" w:eastAsia="宋体" w:cs="宋体"/>
                <w:b/>
                <w:color w:val="auto"/>
                <w:kern w:val="0"/>
                <w:sz w:val="21"/>
                <w:szCs w:val="21"/>
                <w:highlight w:val="none"/>
                <w:lang w:val="en-US" w:eastAsia="zh-CN" w:bidi="ar-SA"/>
              </w:rPr>
              <w:t>，投标人应加盖投标人单位电子印章或直接上传加盖投标人单位印章原件彩色扫描件。</w:t>
            </w:r>
            <w:r>
              <w:rPr>
                <w:rFonts w:hint="eastAsia" w:ascii="宋体" w:hAnsi="宋体" w:cs="宋体"/>
                <w:b/>
                <w:color w:val="auto"/>
                <w:kern w:val="0"/>
                <w:sz w:val="21"/>
                <w:szCs w:val="21"/>
                <w:highlight w:val="none"/>
                <w:lang w:val="en-US" w:eastAsia="zh-CN" w:bidi="ar-SA"/>
              </w:rPr>
              <w:t>要求个人签章的，加盖相应人员</w:t>
            </w:r>
            <w:r>
              <w:rPr>
                <w:rFonts w:hint="eastAsia" w:ascii="宋体" w:hAnsi="宋体" w:eastAsia="宋体" w:cs="宋体"/>
                <w:b/>
                <w:color w:val="auto"/>
                <w:kern w:val="0"/>
                <w:sz w:val="21"/>
                <w:szCs w:val="21"/>
                <w:highlight w:val="none"/>
                <w:lang w:val="en-US" w:eastAsia="zh-CN" w:bidi="ar-SA"/>
              </w:rPr>
              <w:t>印章</w:t>
            </w:r>
            <w:r>
              <w:rPr>
                <w:rFonts w:hint="eastAsia" w:ascii="宋体" w:hAnsi="宋体" w:cs="宋体"/>
                <w:b/>
                <w:color w:val="auto"/>
                <w:kern w:val="0"/>
                <w:sz w:val="21"/>
                <w:szCs w:val="21"/>
                <w:highlight w:val="none"/>
                <w:lang w:val="en-US" w:eastAsia="zh-CN" w:bidi="ar-SA"/>
              </w:rPr>
              <w:t>（或电子印章）</w:t>
            </w:r>
            <w:r>
              <w:rPr>
                <w:rFonts w:hint="eastAsia" w:ascii="宋体" w:hAnsi="宋体" w:eastAsia="宋体" w:cs="宋体"/>
                <w:b/>
                <w:color w:val="auto"/>
                <w:kern w:val="0"/>
                <w:sz w:val="21"/>
                <w:szCs w:val="21"/>
                <w:highlight w:val="none"/>
                <w:lang w:val="en-US" w:eastAsia="zh-CN" w:bidi="ar-SA"/>
              </w:rPr>
              <w:t>或</w:t>
            </w:r>
            <w:r>
              <w:rPr>
                <w:rFonts w:hint="eastAsia" w:ascii="宋体" w:hAnsi="宋体" w:cs="宋体"/>
                <w:b/>
                <w:color w:val="auto"/>
                <w:kern w:val="0"/>
                <w:sz w:val="21"/>
                <w:szCs w:val="21"/>
                <w:highlight w:val="none"/>
                <w:lang w:val="en-US" w:eastAsia="zh-CN" w:bidi="ar-SA"/>
              </w:rPr>
              <w:t>相应人员</w:t>
            </w:r>
            <w:r>
              <w:rPr>
                <w:rFonts w:hint="eastAsia" w:ascii="宋体" w:hAnsi="宋体" w:eastAsia="宋体" w:cs="宋体"/>
                <w:b/>
                <w:color w:val="auto"/>
                <w:kern w:val="0"/>
                <w:sz w:val="21"/>
                <w:szCs w:val="21"/>
                <w:highlight w:val="none"/>
                <w:lang w:val="en-US" w:eastAsia="zh-CN" w:bidi="ar-SA"/>
              </w:rPr>
              <w:t>签字</w:t>
            </w:r>
            <w:r>
              <w:rPr>
                <w:rFonts w:hint="eastAsia" w:ascii="宋体" w:hAnsi="宋体" w:cs="宋体"/>
                <w:b/>
                <w:color w:val="auto"/>
                <w:kern w:val="0"/>
                <w:sz w:val="21"/>
                <w:szCs w:val="21"/>
                <w:highlight w:val="none"/>
                <w:lang w:val="en-US" w:eastAsia="zh-CN" w:bidi="ar-SA"/>
              </w:rPr>
              <w:t>均可。</w:t>
            </w:r>
            <w:r>
              <w:rPr>
                <w:rFonts w:hint="eastAsia" w:ascii="宋体" w:hAnsi="宋体" w:eastAsia="宋体" w:cs="宋体"/>
                <w:b/>
                <w:color w:val="auto"/>
                <w:kern w:val="0"/>
                <w:sz w:val="21"/>
                <w:szCs w:val="21"/>
                <w:highlight w:val="none"/>
                <w:lang w:val="en-US" w:eastAsia="zh-CN" w:bidi="ar-SA"/>
              </w:rPr>
              <w:t>否则经评委会一致认定后，按照无效投标处理。</w:t>
            </w:r>
          </w:p>
        </w:tc>
      </w:tr>
      <w:tr w14:paraId="443033B5">
        <w:tblPrEx>
          <w:tblCellMar>
            <w:top w:w="0" w:type="dxa"/>
            <w:left w:w="0" w:type="dxa"/>
            <w:bottom w:w="0" w:type="dxa"/>
            <w:right w:w="0" w:type="dxa"/>
          </w:tblCellMar>
        </w:tblPrEx>
        <w:trPr>
          <w:trHeight w:val="1573" w:hRule="atLeast"/>
        </w:trPr>
        <w:tc>
          <w:tcPr>
            <w:tcW w:w="731" w:type="dxa"/>
            <w:tcBorders>
              <w:top w:val="single" w:color="auto" w:sz="8" w:space="0"/>
              <w:left w:val="single" w:color="auto" w:sz="8" w:space="0"/>
              <w:bottom w:val="single" w:color="auto" w:sz="8" w:space="0"/>
              <w:right w:val="single" w:color="auto" w:sz="8" w:space="0"/>
            </w:tcBorders>
            <w:vAlign w:val="center"/>
          </w:tcPr>
          <w:p w14:paraId="6036610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13</w:t>
            </w:r>
          </w:p>
        </w:tc>
        <w:tc>
          <w:tcPr>
            <w:tcW w:w="1654" w:type="dxa"/>
            <w:tcBorders>
              <w:top w:val="single" w:color="auto" w:sz="8" w:space="0"/>
              <w:left w:val="single" w:color="auto" w:sz="4" w:space="0"/>
              <w:bottom w:val="single" w:color="auto" w:sz="8" w:space="0"/>
              <w:right w:val="single" w:color="auto" w:sz="4" w:space="0"/>
            </w:tcBorders>
            <w:vAlign w:val="center"/>
          </w:tcPr>
          <w:p w14:paraId="5C83C75F">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投标文件提交截止时间</w:t>
            </w:r>
          </w:p>
        </w:tc>
        <w:tc>
          <w:tcPr>
            <w:tcW w:w="7203" w:type="dxa"/>
            <w:tcBorders>
              <w:top w:val="single" w:color="auto" w:sz="8" w:space="0"/>
              <w:left w:val="single" w:color="auto" w:sz="4" w:space="0"/>
              <w:bottom w:val="single" w:color="auto" w:sz="8" w:space="0"/>
              <w:right w:val="single" w:color="auto" w:sz="8" w:space="0"/>
            </w:tcBorders>
            <w:vAlign w:val="center"/>
          </w:tcPr>
          <w:p w14:paraId="4AACE522">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网上递交投标文件截止时间：</w:t>
            </w:r>
            <w:r>
              <w:rPr>
                <w:rFonts w:hint="eastAsia" w:ascii="宋体" w:hAnsi="宋体" w:cs="宋体"/>
                <w:b/>
                <w:bCs/>
                <w:color w:val="auto"/>
                <w:sz w:val="21"/>
                <w:szCs w:val="21"/>
                <w:highlight w:val="none"/>
                <w:lang w:val="en-US" w:eastAsia="zh-CN"/>
              </w:rPr>
              <w:t>2026年4月23日14时3</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分（北京时间）</w:t>
            </w:r>
          </w:p>
          <w:p w14:paraId="6FF010F2">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注：以投标人在投标截止时间前网上递交的电子投标文件为准，逾期提交的，投标文件将被拒绝。</w:t>
            </w:r>
          </w:p>
          <w:p w14:paraId="2D17B673">
            <w:pPr>
              <w:keepNext w:val="0"/>
              <w:keepLines w:val="0"/>
              <w:pageBreakBefore w:val="0"/>
              <w:kinsoku/>
              <w:wordWrap w:val="0"/>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1.解密程序开始后</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0分钟内（以本项目网上招投标系统解密倒计时为准）。</w:t>
            </w:r>
          </w:p>
        </w:tc>
      </w:tr>
      <w:tr w14:paraId="39CAD765">
        <w:tblPrEx>
          <w:tblCellMar>
            <w:top w:w="0" w:type="dxa"/>
            <w:left w:w="0" w:type="dxa"/>
            <w:bottom w:w="0" w:type="dxa"/>
            <w:right w:w="0" w:type="dxa"/>
          </w:tblCellMar>
        </w:tblPrEx>
        <w:trPr>
          <w:trHeight w:val="688" w:hRule="atLeast"/>
        </w:trPr>
        <w:tc>
          <w:tcPr>
            <w:tcW w:w="731" w:type="dxa"/>
            <w:tcBorders>
              <w:top w:val="single" w:color="auto" w:sz="8" w:space="0"/>
              <w:left w:val="single" w:color="auto" w:sz="8" w:space="0"/>
              <w:bottom w:val="single" w:color="auto" w:sz="8" w:space="0"/>
              <w:right w:val="single" w:color="auto" w:sz="8" w:space="0"/>
            </w:tcBorders>
            <w:vAlign w:val="center"/>
          </w:tcPr>
          <w:p w14:paraId="0E67040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1654" w:type="dxa"/>
            <w:tcBorders>
              <w:top w:val="single" w:color="auto" w:sz="8" w:space="0"/>
              <w:left w:val="single" w:color="auto" w:sz="4" w:space="0"/>
              <w:bottom w:val="single" w:color="auto" w:sz="8" w:space="0"/>
              <w:right w:val="single" w:color="auto" w:sz="4" w:space="0"/>
            </w:tcBorders>
            <w:vAlign w:val="center"/>
          </w:tcPr>
          <w:p w14:paraId="03D51B63">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7203" w:type="dxa"/>
            <w:tcBorders>
              <w:top w:val="single" w:color="auto" w:sz="8" w:space="0"/>
              <w:left w:val="single" w:color="auto" w:sz="4" w:space="0"/>
              <w:bottom w:val="single" w:color="auto" w:sz="8" w:space="0"/>
              <w:right w:val="single" w:color="auto" w:sz="8" w:space="0"/>
            </w:tcBorders>
            <w:vAlign w:val="center"/>
          </w:tcPr>
          <w:p w14:paraId="626B5B3B">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66A8CA8">
        <w:tblPrEx>
          <w:tblCellMar>
            <w:top w:w="0" w:type="dxa"/>
            <w:left w:w="0" w:type="dxa"/>
            <w:bottom w:w="0" w:type="dxa"/>
            <w:right w:w="0" w:type="dxa"/>
          </w:tblCellMar>
        </w:tblPrEx>
        <w:trPr>
          <w:trHeight w:val="544" w:hRule="atLeast"/>
        </w:trPr>
        <w:tc>
          <w:tcPr>
            <w:tcW w:w="731" w:type="dxa"/>
            <w:tcBorders>
              <w:top w:val="single" w:color="auto" w:sz="8" w:space="0"/>
              <w:left w:val="single" w:color="auto" w:sz="8" w:space="0"/>
              <w:bottom w:val="single" w:color="auto" w:sz="8" w:space="0"/>
              <w:right w:val="single" w:color="auto" w:sz="8" w:space="0"/>
            </w:tcBorders>
            <w:vAlign w:val="center"/>
          </w:tcPr>
          <w:p w14:paraId="136C06B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15</w:t>
            </w:r>
          </w:p>
        </w:tc>
        <w:tc>
          <w:tcPr>
            <w:tcW w:w="1654" w:type="dxa"/>
            <w:tcBorders>
              <w:top w:val="single" w:color="auto" w:sz="8" w:space="0"/>
              <w:left w:val="single" w:color="auto" w:sz="4" w:space="0"/>
              <w:bottom w:val="single" w:color="auto" w:sz="8" w:space="0"/>
              <w:right w:val="single" w:color="auto" w:sz="4" w:space="0"/>
            </w:tcBorders>
            <w:vAlign w:val="center"/>
          </w:tcPr>
          <w:p w14:paraId="53C0A74C">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开标时间及地点</w:t>
            </w:r>
          </w:p>
        </w:tc>
        <w:tc>
          <w:tcPr>
            <w:tcW w:w="7203" w:type="dxa"/>
            <w:tcBorders>
              <w:top w:val="single" w:color="auto" w:sz="8" w:space="0"/>
              <w:left w:val="single" w:color="auto" w:sz="4" w:space="0"/>
              <w:bottom w:val="single" w:color="auto" w:sz="8" w:space="0"/>
              <w:right w:val="single" w:color="auto" w:sz="8" w:space="0"/>
            </w:tcBorders>
            <w:vAlign w:val="center"/>
          </w:tcPr>
          <w:p w14:paraId="18B45F6F">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见招标公告</w:t>
            </w:r>
          </w:p>
        </w:tc>
      </w:tr>
      <w:tr w14:paraId="076992A3">
        <w:tblPrEx>
          <w:tblCellMar>
            <w:top w:w="0" w:type="dxa"/>
            <w:left w:w="0" w:type="dxa"/>
            <w:bottom w:w="0" w:type="dxa"/>
            <w:right w:w="0" w:type="dxa"/>
          </w:tblCellMar>
        </w:tblPrEx>
        <w:trPr>
          <w:trHeight w:val="445" w:hRule="atLeast"/>
        </w:trPr>
        <w:tc>
          <w:tcPr>
            <w:tcW w:w="731" w:type="dxa"/>
            <w:tcBorders>
              <w:top w:val="single" w:color="auto" w:sz="8" w:space="0"/>
              <w:left w:val="single" w:color="auto" w:sz="8" w:space="0"/>
              <w:bottom w:val="single" w:color="auto" w:sz="8" w:space="0"/>
              <w:right w:val="single" w:color="auto" w:sz="8" w:space="0"/>
            </w:tcBorders>
            <w:vAlign w:val="center"/>
          </w:tcPr>
          <w:p w14:paraId="3C028E0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16</w:t>
            </w:r>
          </w:p>
        </w:tc>
        <w:tc>
          <w:tcPr>
            <w:tcW w:w="1654" w:type="dxa"/>
            <w:tcBorders>
              <w:top w:val="single" w:color="auto" w:sz="8" w:space="0"/>
              <w:left w:val="single" w:color="auto" w:sz="4" w:space="0"/>
              <w:bottom w:val="single" w:color="auto" w:sz="8" w:space="0"/>
              <w:right w:val="single" w:color="auto" w:sz="4" w:space="0"/>
            </w:tcBorders>
            <w:vAlign w:val="center"/>
          </w:tcPr>
          <w:p w14:paraId="57F847A2">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开标程序</w:t>
            </w:r>
          </w:p>
        </w:tc>
        <w:tc>
          <w:tcPr>
            <w:tcW w:w="7203" w:type="dxa"/>
            <w:tcBorders>
              <w:top w:val="single" w:color="auto" w:sz="8" w:space="0"/>
              <w:left w:val="single" w:color="auto" w:sz="4" w:space="0"/>
              <w:bottom w:val="single" w:color="auto" w:sz="8" w:space="0"/>
              <w:right w:val="single" w:color="auto" w:sz="8" w:space="0"/>
            </w:tcBorders>
            <w:vAlign w:val="center"/>
          </w:tcPr>
          <w:p w14:paraId="476CEA77">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开标顺序：解密电子投标文件后，由评标委员会评审。</w:t>
            </w:r>
          </w:p>
        </w:tc>
      </w:tr>
      <w:tr w14:paraId="6EC3DC31">
        <w:tblPrEx>
          <w:tblCellMar>
            <w:top w:w="0" w:type="dxa"/>
            <w:left w:w="0" w:type="dxa"/>
            <w:bottom w:w="0" w:type="dxa"/>
            <w:right w:w="0" w:type="dxa"/>
          </w:tblCellMar>
        </w:tblPrEx>
        <w:trPr>
          <w:trHeight w:val="786" w:hRule="atLeast"/>
        </w:trPr>
        <w:tc>
          <w:tcPr>
            <w:tcW w:w="731" w:type="dxa"/>
            <w:tcBorders>
              <w:top w:val="single" w:color="auto" w:sz="8" w:space="0"/>
              <w:left w:val="single" w:color="auto" w:sz="8" w:space="0"/>
              <w:bottom w:val="single" w:color="auto" w:sz="8" w:space="0"/>
              <w:right w:val="single" w:color="auto" w:sz="8" w:space="0"/>
            </w:tcBorders>
            <w:vAlign w:val="center"/>
          </w:tcPr>
          <w:p w14:paraId="73E8B67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17</w:t>
            </w:r>
          </w:p>
        </w:tc>
        <w:tc>
          <w:tcPr>
            <w:tcW w:w="1654" w:type="dxa"/>
            <w:tcBorders>
              <w:top w:val="single" w:color="auto" w:sz="8" w:space="0"/>
              <w:left w:val="single" w:color="auto" w:sz="4" w:space="0"/>
              <w:bottom w:val="single" w:color="auto" w:sz="8" w:space="0"/>
              <w:right w:val="single" w:color="auto" w:sz="4" w:space="0"/>
            </w:tcBorders>
            <w:vAlign w:val="center"/>
          </w:tcPr>
          <w:p w14:paraId="5CB513ED">
            <w:pPr>
              <w:pStyle w:val="25"/>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203" w:type="dxa"/>
            <w:tcBorders>
              <w:top w:val="single" w:color="auto" w:sz="8" w:space="0"/>
              <w:left w:val="single" w:color="auto" w:sz="4" w:space="0"/>
              <w:bottom w:val="single" w:color="auto" w:sz="8" w:space="0"/>
              <w:right w:val="single" w:color="auto" w:sz="8" w:space="0"/>
            </w:tcBorders>
            <w:vAlign w:val="top"/>
          </w:tcPr>
          <w:p w14:paraId="6B4E98E9">
            <w:pPr>
              <w:pStyle w:val="25"/>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评标委员会由</w:t>
            </w:r>
            <w:r>
              <w:rPr>
                <w:rFonts w:hint="eastAsia" w:ascii="宋体" w:hAnsi="宋体" w:eastAsia="宋体" w:cs="宋体"/>
                <w:color w:val="auto"/>
                <w:sz w:val="21"/>
                <w:szCs w:val="21"/>
                <w:highlight w:val="none"/>
                <w:lang w:val="en-US" w:eastAsia="zh-CN"/>
              </w:rPr>
              <w:t>招标人依法组建</w:t>
            </w:r>
            <w:r>
              <w:rPr>
                <w:rFonts w:hint="eastAsia" w:hAnsi="宋体" w:cs="宋体"/>
                <w:color w:val="auto"/>
                <w:sz w:val="21"/>
                <w:szCs w:val="21"/>
                <w:highlight w:val="none"/>
                <w:lang w:val="en-US" w:eastAsia="zh-CN"/>
              </w:rPr>
              <w:t>。</w:t>
            </w:r>
          </w:p>
        </w:tc>
      </w:tr>
      <w:tr w14:paraId="02D6C8AD">
        <w:tblPrEx>
          <w:tblCellMar>
            <w:top w:w="0" w:type="dxa"/>
            <w:left w:w="0" w:type="dxa"/>
            <w:bottom w:w="0" w:type="dxa"/>
            <w:right w:w="0" w:type="dxa"/>
          </w:tblCellMar>
        </w:tblPrEx>
        <w:trPr>
          <w:trHeight w:val="786" w:hRule="atLeast"/>
        </w:trPr>
        <w:tc>
          <w:tcPr>
            <w:tcW w:w="731" w:type="dxa"/>
            <w:tcBorders>
              <w:top w:val="single" w:color="auto" w:sz="8" w:space="0"/>
              <w:left w:val="single" w:color="auto" w:sz="8" w:space="0"/>
              <w:bottom w:val="single" w:color="auto" w:sz="8" w:space="0"/>
              <w:right w:val="single" w:color="auto" w:sz="8" w:space="0"/>
            </w:tcBorders>
            <w:vAlign w:val="center"/>
          </w:tcPr>
          <w:p w14:paraId="61FD27D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18</w:t>
            </w:r>
          </w:p>
        </w:tc>
        <w:tc>
          <w:tcPr>
            <w:tcW w:w="1654" w:type="dxa"/>
            <w:tcBorders>
              <w:top w:val="single" w:color="auto" w:sz="8" w:space="0"/>
              <w:left w:val="single" w:color="auto" w:sz="4" w:space="0"/>
              <w:bottom w:val="single" w:color="auto" w:sz="8" w:space="0"/>
              <w:right w:val="single" w:color="auto" w:sz="4" w:space="0"/>
            </w:tcBorders>
            <w:vAlign w:val="center"/>
          </w:tcPr>
          <w:p w14:paraId="289798AF">
            <w:pPr>
              <w:pStyle w:val="25"/>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7203" w:type="dxa"/>
            <w:tcBorders>
              <w:top w:val="single" w:color="auto" w:sz="8" w:space="0"/>
              <w:left w:val="single" w:color="auto" w:sz="4" w:space="0"/>
              <w:bottom w:val="single" w:color="auto" w:sz="8" w:space="0"/>
              <w:right w:val="single" w:color="auto" w:sz="8" w:space="0"/>
            </w:tcBorders>
            <w:vAlign w:val="center"/>
          </w:tcPr>
          <w:p w14:paraId="50C3E122">
            <w:pPr>
              <w:pStyle w:val="25"/>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评标委员会推荐</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2</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名中标候选人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并标明排序</w:t>
            </w:r>
            <w:r>
              <w:rPr>
                <w:rFonts w:hint="eastAsia" w:ascii="宋体" w:hAnsi="宋体" w:eastAsia="宋体" w:cs="宋体"/>
                <w:color w:val="auto"/>
                <w:sz w:val="21"/>
                <w:szCs w:val="21"/>
                <w:highlight w:val="none"/>
              </w:rPr>
              <w:t>。</w:t>
            </w:r>
          </w:p>
        </w:tc>
      </w:tr>
      <w:tr w14:paraId="191E86E8">
        <w:tblPrEx>
          <w:tblCellMar>
            <w:top w:w="0" w:type="dxa"/>
            <w:left w:w="0" w:type="dxa"/>
            <w:bottom w:w="0" w:type="dxa"/>
            <w:right w:w="0" w:type="dxa"/>
          </w:tblCellMar>
        </w:tblPrEx>
        <w:trPr>
          <w:trHeight w:val="786" w:hRule="atLeast"/>
        </w:trPr>
        <w:tc>
          <w:tcPr>
            <w:tcW w:w="731" w:type="dxa"/>
            <w:tcBorders>
              <w:top w:val="single" w:color="auto" w:sz="8" w:space="0"/>
              <w:left w:val="single" w:color="auto" w:sz="8" w:space="0"/>
              <w:bottom w:val="single" w:color="auto" w:sz="8" w:space="0"/>
              <w:right w:val="single" w:color="auto" w:sz="8" w:space="0"/>
            </w:tcBorders>
            <w:vAlign w:val="center"/>
          </w:tcPr>
          <w:p w14:paraId="1D007CD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19</w:t>
            </w:r>
          </w:p>
        </w:tc>
        <w:tc>
          <w:tcPr>
            <w:tcW w:w="1654" w:type="dxa"/>
            <w:tcBorders>
              <w:top w:val="single" w:color="auto" w:sz="8" w:space="0"/>
              <w:left w:val="single" w:color="auto" w:sz="4" w:space="0"/>
              <w:bottom w:val="single" w:color="auto" w:sz="8" w:space="0"/>
              <w:right w:val="single" w:color="auto" w:sz="4" w:space="0"/>
            </w:tcBorders>
            <w:vAlign w:val="center"/>
          </w:tcPr>
          <w:p w14:paraId="77F75070">
            <w:pPr>
              <w:pStyle w:val="25"/>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中标结果公告媒介</w:t>
            </w:r>
          </w:p>
        </w:tc>
        <w:tc>
          <w:tcPr>
            <w:tcW w:w="7203" w:type="dxa"/>
            <w:tcBorders>
              <w:top w:val="single" w:color="auto" w:sz="8" w:space="0"/>
              <w:left w:val="single" w:color="auto" w:sz="4" w:space="0"/>
              <w:bottom w:val="single" w:color="auto" w:sz="8" w:space="0"/>
              <w:right w:val="single" w:color="auto" w:sz="8" w:space="0"/>
            </w:tcBorders>
            <w:vAlign w:val="top"/>
          </w:tcPr>
          <w:p w14:paraId="2F0DB711">
            <w:pPr>
              <w:pStyle w:val="25"/>
              <w:keepNext w:val="0"/>
              <w:keepLines w:val="0"/>
              <w:pageBreakBefore w:val="0"/>
              <w:kinsoku/>
              <w:wordWrap w:val="0"/>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滁州市城投工程咨询管理有限公司（https://www.czctgczx.com/）</w:t>
            </w:r>
            <w:r>
              <w:rPr>
                <w:rFonts w:hint="eastAsia" w:ascii="宋体" w:hAnsi="宋体" w:eastAsia="宋体" w:cs="宋体"/>
                <w:color w:val="auto"/>
                <w:spacing w:val="-4"/>
                <w:sz w:val="21"/>
                <w:szCs w:val="21"/>
                <w:highlight w:val="none"/>
              </w:rPr>
              <w:t>等网站</w:t>
            </w:r>
          </w:p>
        </w:tc>
      </w:tr>
      <w:tr w14:paraId="6EA640C0">
        <w:tblPrEx>
          <w:tblCellMar>
            <w:top w:w="0" w:type="dxa"/>
            <w:left w:w="0" w:type="dxa"/>
            <w:bottom w:w="0" w:type="dxa"/>
            <w:right w:w="0" w:type="dxa"/>
          </w:tblCellMar>
        </w:tblPrEx>
        <w:trPr>
          <w:trHeight w:val="478" w:hRule="atLeast"/>
        </w:trPr>
        <w:tc>
          <w:tcPr>
            <w:tcW w:w="731" w:type="dxa"/>
            <w:tcBorders>
              <w:top w:val="single" w:color="auto" w:sz="8" w:space="0"/>
              <w:left w:val="single" w:color="auto" w:sz="8" w:space="0"/>
              <w:bottom w:val="single" w:color="auto" w:sz="8" w:space="0"/>
              <w:right w:val="single" w:color="auto" w:sz="8" w:space="0"/>
            </w:tcBorders>
            <w:vAlign w:val="center"/>
          </w:tcPr>
          <w:p w14:paraId="300286F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20</w:t>
            </w:r>
          </w:p>
        </w:tc>
        <w:tc>
          <w:tcPr>
            <w:tcW w:w="1654" w:type="dxa"/>
            <w:tcBorders>
              <w:top w:val="single" w:color="auto" w:sz="8" w:space="0"/>
              <w:left w:val="single" w:color="auto" w:sz="4" w:space="0"/>
              <w:bottom w:val="single" w:color="auto" w:sz="8" w:space="0"/>
              <w:right w:val="single" w:color="auto" w:sz="4" w:space="0"/>
            </w:tcBorders>
            <w:vAlign w:val="center"/>
          </w:tcPr>
          <w:p w14:paraId="5C02703D">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203" w:type="dxa"/>
            <w:tcBorders>
              <w:top w:val="single" w:color="auto" w:sz="8" w:space="0"/>
              <w:left w:val="single" w:color="auto" w:sz="4" w:space="0"/>
              <w:bottom w:val="single" w:color="auto" w:sz="8" w:space="0"/>
              <w:right w:val="single" w:color="auto" w:sz="8" w:space="0"/>
            </w:tcBorders>
            <w:vAlign w:val="center"/>
          </w:tcPr>
          <w:p w14:paraId="492E7E00">
            <w:pPr>
              <w:keepNext w:val="0"/>
              <w:keepLines w:val="0"/>
              <w:pageBreakBefore w:val="0"/>
              <w:widowControl/>
              <w:kinsoku/>
              <w:overflowPunct/>
              <w:topLinePunct w:val="0"/>
              <w:autoSpaceDE/>
              <w:autoSpaceDN/>
              <w:bidi w:val="0"/>
              <w:spacing w:line="440" w:lineRule="exact"/>
              <w:ind w:left="5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是否收取履约担保：□收取，</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不收取</w:t>
            </w:r>
          </w:p>
        </w:tc>
      </w:tr>
      <w:tr w14:paraId="53B9F13B">
        <w:tblPrEx>
          <w:tblCellMar>
            <w:top w:w="0" w:type="dxa"/>
            <w:left w:w="0" w:type="dxa"/>
            <w:bottom w:w="0" w:type="dxa"/>
            <w:right w:w="0" w:type="dxa"/>
          </w:tblCellMar>
        </w:tblPrEx>
        <w:trPr>
          <w:trHeight w:val="478" w:hRule="atLeast"/>
        </w:trPr>
        <w:tc>
          <w:tcPr>
            <w:tcW w:w="9588" w:type="dxa"/>
            <w:gridSpan w:val="3"/>
            <w:tcBorders>
              <w:top w:val="single" w:color="auto" w:sz="8" w:space="0"/>
              <w:left w:val="single" w:color="auto" w:sz="8" w:space="0"/>
              <w:bottom w:val="single" w:color="auto" w:sz="8" w:space="0"/>
              <w:right w:val="single" w:color="auto" w:sz="8" w:space="0"/>
            </w:tcBorders>
            <w:vAlign w:val="center"/>
          </w:tcPr>
          <w:p w14:paraId="0FD01F5C">
            <w:pPr>
              <w:keepNext w:val="0"/>
              <w:keepLines w:val="0"/>
              <w:pageBreakBefore w:val="0"/>
              <w:widowControl/>
              <w:kinsoku/>
              <w:overflowPunct/>
              <w:topLinePunct w:val="0"/>
              <w:autoSpaceDE/>
              <w:autoSpaceDN/>
              <w:bidi w:val="0"/>
              <w:spacing w:line="440" w:lineRule="exact"/>
              <w:ind w:left="57"/>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需要补充的其他内容</w:t>
            </w:r>
          </w:p>
        </w:tc>
      </w:tr>
      <w:tr w14:paraId="54EFCC42">
        <w:tblPrEx>
          <w:tblCellMar>
            <w:top w:w="0" w:type="dxa"/>
            <w:left w:w="0" w:type="dxa"/>
            <w:bottom w:w="0" w:type="dxa"/>
            <w:right w:w="0" w:type="dxa"/>
          </w:tblCellMar>
        </w:tblPrEx>
        <w:trPr>
          <w:trHeight w:val="478"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5A46107E">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电子招标投标</w:t>
            </w:r>
          </w:p>
        </w:tc>
        <w:tc>
          <w:tcPr>
            <w:tcW w:w="7203" w:type="dxa"/>
            <w:tcBorders>
              <w:top w:val="single" w:color="auto" w:sz="8" w:space="0"/>
              <w:left w:val="single" w:color="auto" w:sz="4" w:space="0"/>
              <w:bottom w:val="single" w:color="auto" w:sz="8" w:space="0"/>
              <w:right w:val="single" w:color="auto" w:sz="8" w:space="0"/>
            </w:tcBorders>
            <w:vAlign w:val="center"/>
          </w:tcPr>
          <w:p w14:paraId="042E25F9">
            <w:pPr>
              <w:keepNext w:val="0"/>
              <w:keepLines w:val="0"/>
              <w:pageBreakBefore w:val="0"/>
              <w:kinsoku/>
              <w:overflowPunct/>
              <w:topLinePunct w:val="0"/>
              <w:autoSpaceDE/>
              <w:autoSpaceDN/>
              <w:bidi w:val="0"/>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1140AE85">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41EEFE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Cs w:val="21"/>
                <w:highlight w:val="none"/>
                <w:lang w:val="en-US" w:eastAsia="zh-CN"/>
              </w:rPr>
              <w:t>重要说明</w:t>
            </w:r>
          </w:p>
        </w:tc>
        <w:tc>
          <w:tcPr>
            <w:tcW w:w="7203" w:type="dxa"/>
            <w:tcBorders>
              <w:top w:val="single" w:color="auto" w:sz="8" w:space="0"/>
              <w:left w:val="single" w:color="auto" w:sz="4" w:space="0"/>
              <w:bottom w:val="single" w:color="auto" w:sz="8" w:space="0"/>
              <w:right w:val="single" w:color="auto" w:sz="8" w:space="0"/>
            </w:tcBorders>
            <w:vAlign w:val="center"/>
          </w:tcPr>
          <w:p w14:paraId="5F2A2E55">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本项目招标代理单位、清单控制价编制单位及监理单位不得参加投标。</w:t>
            </w:r>
          </w:p>
        </w:tc>
      </w:tr>
      <w:tr w14:paraId="234C8D6C">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359C7E4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特别要求</w:t>
            </w:r>
          </w:p>
        </w:tc>
        <w:tc>
          <w:tcPr>
            <w:tcW w:w="7203" w:type="dxa"/>
            <w:tcBorders>
              <w:top w:val="single" w:color="auto" w:sz="8" w:space="0"/>
              <w:left w:val="single" w:color="auto" w:sz="4" w:space="0"/>
              <w:bottom w:val="single" w:color="auto" w:sz="8" w:space="0"/>
              <w:right w:val="single" w:color="auto" w:sz="8" w:space="0"/>
            </w:tcBorders>
            <w:vAlign w:val="center"/>
          </w:tcPr>
          <w:p w14:paraId="7ED64295">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1、项目建设期间，相关部门将对跟踪审计工作进行不定期检查，如发现有不符合《跟踪审计委托协议》相关工作要求的行为，</w:t>
            </w:r>
            <w:r>
              <w:rPr>
                <w:rFonts w:hint="eastAsia" w:ascii="宋体" w:hAnsi="宋体" w:cs="宋体"/>
                <w:color w:val="auto"/>
                <w:kern w:val="0"/>
                <w:sz w:val="21"/>
                <w:szCs w:val="21"/>
                <w:highlight w:val="none"/>
                <w:lang w:val="en-US" w:eastAsia="zh-CN"/>
              </w:rPr>
              <w:t>我单位</w:t>
            </w:r>
            <w:r>
              <w:rPr>
                <w:rFonts w:hint="eastAsia" w:ascii="宋体" w:hAnsi="宋体" w:eastAsia="宋体" w:cs="宋体"/>
                <w:color w:val="auto"/>
                <w:kern w:val="0"/>
                <w:sz w:val="21"/>
                <w:szCs w:val="21"/>
                <w:highlight w:val="none"/>
                <w:lang w:val="en-US" w:eastAsia="zh-CN"/>
              </w:rPr>
              <w:t>将按照约定给予相应的处罚。</w:t>
            </w:r>
          </w:p>
          <w:p w14:paraId="6D70A519">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2、我单位将严格执行《工程造价咨询服务管理办法》。</w:t>
            </w:r>
          </w:p>
          <w:p w14:paraId="1470349C">
            <w:pPr>
              <w:pStyle w:val="2"/>
              <w:keepNext w:val="0"/>
              <w:keepLines w:val="0"/>
              <w:pageBreakBefore w:val="0"/>
              <w:kinsoku/>
              <w:overflowPunct/>
              <w:topLinePunct w:val="0"/>
              <w:autoSpaceDE/>
              <w:autoSpaceDN/>
              <w:bidi w:val="0"/>
              <w:spacing w:line="440" w:lineRule="exact"/>
              <w:ind w:left="57" w:leftChars="0" w:firstLine="0" w:firstLineChars="0"/>
              <w:textAlignment w:val="auto"/>
              <w:rPr>
                <w:rFonts w:hint="default"/>
                <w:b/>
                <w:bCs/>
                <w:color w:val="auto"/>
                <w:highlight w:val="none"/>
                <w:lang w:val="en-US" w:eastAsia="zh-CN"/>
              </w:rPr>
            </w:pPr>
            <w:r>
              <w:rPr>
                <w:rFonts w:hint="eastAsia" w:ascii="宋体" w:hAnsi="宋体" w:cs="宋体"/>
                <w:b/>
                <w:bCs/>
                <w:color w:val="auto"/>
                <w:kern w:val="0"/>
                <w:sz w:val="21"/>
                <w:szCs w:val="21"/>
                <w:highlight w:val="none"/>
                <w:lang w:val="en-US" w:eastAsia="zh-CN"/>
              </w:rPr>
              <w:t>3、本项目工程款结算仅支付给中标单位，不支持支付给授权的分公司、子公司等分支机构。（请款所提供的发票名称须与中标单位名称保持一致）。</w:t>
            </w:r>
          </w:p>
          <w:p w14:paraId="549DC940">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中标单位项目组人员变更，变更后人员必须满足本项目招标要求。由中标单位向综合计划科提出申请并提供相应证明，由中标单位向业主单位提出申请并提供相应证明，业主单位会商提出意见，报业主单位领导批准后予以备案。</w:t>
            </w:r>
          </w:p>
          <w:p w14:paraId="589A0E2D">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负责人因以下原因变更不予处罚：①亡故；②重病（或重伤）三个月以上，不能履行职责；③受到刑事或行政处罚，不能胜任；④犯罪被羁押或判刑；⑤被责令停止职业资格。其他原因，造价企业须缴纳2万元违约金。</w:t>
            </w:r>
          </w:p>
        </w:tc>
      </w:tr>
      <w:tr w14:paraId="6E099D79">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0D745D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付款方式</w:t>
            </w:r>
          </w:p>
        </w:tc>
        <w:tc>
          <w:tcPr>
            <w:tcW w:w="7203" w:type="dxa"/>
            <w:tcBorders>
              <w:top w:val="single" w:color="auto" w:sz="8" w:space="0"/>
              <w:left w:val="single" w:color="auto" w:sz="4" w:space="0"/>
              <w:bottom w:val="single" w:color="auto" w:sz="8" w:space="0"/>
              <w:right w:val="single" w:color="auto" w:sz="8" w:space="0"/>
            </w:tcBorders>
            <w:vAlign w:val="center"/>
          </w:tcPr>
          <w:p w14:paraId="10C60DD9">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 xml:space="preserve">出具审核报告，交付招标人初审确认，出具审核报告后，交付招标人审核确认后支付审计服务费用。 </w:t>
            </w:r>
          </w:p>
        </w:tc>
      </w:tr>
      <w:tr w14:paraId="25B900FF">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5CE4694A">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招标代理费及专家评审费</w:t>
            </w:r>
          </w:p>
        </w:tc>
        <w:tc>
          <w:tcPr>
            <w:tcW w:w="7203" w:type="dxa"/>
            <w:tcBorders>
              <w:top w:val="single" w:color="auto" w:sz="8" w:space="0"/>
              <w:left w:val="single" w:color="auto" w:sz="4" w:space="0"/>
              <w:bottom w:val="single" w:color="auto" w:sz="8" w:space="0"/>
              <w:right w:val="single" w:color="auto" w:sz="8" w:space="0"/>
            </w:tcBorders>
            <w:vAlign w:val="center"/>
          </w:tcPr>
          <w:p w14:paraId="63D232A1">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本项目招标代理服务费用</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val="en-US" w:eastAsia="zh-CN"/>
              </w:rPr>
              <w:t>元，专家评审费另计（最终以实际发生为准），中标单位在领取中标通知书前一次性支付给代理公司</w:t>
            </w:r>
            <w:r>
              <w:rPr>
                <w:rFonts w:hint="eastAsia" w:ascii="宋体" w:hAnsi="宋体" w:eastAsia="宋体" w:cs="宋体"/>
                <w:b/>
                <w:bCs/>
                <w:color w:val="auto"/>
                <w:kern w:val="0"/>
                <w:sz w:val="21"/>
                <w:szCs w:val="21"/>
                <w:highlight w:val="none"/>
                <w:lang w:val="en-US" w:eastAsia="zh-CN"/>
              </w:rPr>
              <w:t>。</w:t>
            </w:r>
          </w:p>
        </w:tc>
      </w:tr>
      <w:tr w14:paraId="6C5E33CA">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DBB6D63">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sz w:val="21"/>
                <w:szCs w:val="21"/>
                <w:highlight w:val="none"/>
              </w:rPr>
              <w:t>评标过程中的澄清、说明或补正</w:t>
            </w:r>
          </w:p>
        </w:tc>
        <w:tc>
          <w:tcPr>
            <w:tcW w:w="7203" w:type="dxa"/>
            <w:tcBorders>
              <w:top w:val="single" w:color="auto" w:sz="8" w:space="0"/>
              <w:left w:val="single" w:color="auto" w:sz="4" w:space="0"/>
              <w:bottom w:val="single" w:color="auto" w:sz="8" w:space="0"/>
              <w:right w:val="single" w:color="auto" w:sz="8" w:space="0"/>
            </w:tcBorders>
            <w:vAlign w:val="center"/>
          </w:tcPr>
          <w:p w14:paraId="22C167F8">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）评标委员会通过</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系统将需要澄清、说明或补正的内容以询标函的形式发送给投标人，投标人应安排专人登录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系统并保持在线状态，以便及时接收评标委员会可能发出的询标函。</w:t>
            </w:r>
          </w:p>
          <w:p w14:paraId="6C77080F">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）因投标人未登录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2410C0F2">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705F4D2">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bookmarkStart w:id="40" w:name="_Toc13663"/>
            <w:bookmarkStart w:id="41" w:name="_Toc515"/>
            <w:r>
              <w:rPr>
                <w:rFonts w:hint="eastAsia" w:ascii="宋体" w:hAnsi="宋体" w:eastAsia="宋体" w:cs="宋体"/>
                <w:color w:val="auto"/>
                <w:sz w:val="21"/>
                <w:szCs w:val="21"/>
                <w:highlight w:val="none"/>
              </w:rPr>
              <w:t>解释权</w:t>
            </w:r>
          </w:p>
        </w:tc>
        <w:tc>
          <w:tcPr>
            <w:tcW w:w="7203" w:type="dxa"/>
            <w:tcBorders>
              <w:top w:val="single" w:color="auto" w:sz="8" w:space="0"/>
              <w:left w:val="single" w:color="auto" w:sz="4" w:space="0"/>
              <w:bottom w:val="single" w:color="auto" w:sz="8" w:space="0"/>
              <w:right w:val="single" w:color="auto" w:sz="8" w:space="0"/>
            </w:tcBorders>
            <w:vAlign w:val="center"/>
          </w:tcPr>
          <w:p w14:paraId="742D0067">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1、构成本招标文件的各个组成文件应互为解释，互为说明；</w:t>
            </w:r>
          </w:p>
          <w:p w14:paraId="7558CB5B">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2、同一组成文件中就同一事项的规定或约定不一致的，以编排顺序在后者为准；</w:t>
            </w:r>
          </w:p>
          <w:p w14:paraId="12A1C4B2">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3、如有不明确或不一致，构成合同文件组成内容的，以合同文件约定内容为准，且以专用合同条款约定的合同文件优先顺序解释；</w:t>
            </w:r>
          </w:p>
          <w:p w14:paraId="166A876D">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4、系统中提供的表格（或格式文件）与招标文件中不一致时，以招标文件中提供的为准；</w:t>
            </w:r>
          </w:p>
          <w:p w14:paraId="4FAE2F1B">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5、按本款前述规定仍不能形成结论的，由招标人负责解释。</w:t>
            </w:r>
          </w:p>
        </w:tc>
      </w:tr>
    </w:tbl>
    <w:p w14:paraId="768D0C63">
      <w:pPr>
        <w:pStyle w:val="2"/>
        <w:rPr>
          <w:rFonts w:hint="eastAsia"/>
          <w:color w:val="auto"/>
          <w:highlight w:val="none"/>
        </w:rPr>
      </w:pPr>
    </w:p>
    <w:p w14:paraId="5115A68F">
      <w:pPr>
        <w:pStyle w:val="2"/>
        <w:rPr>
          <w:rFonts w:hint="eastAsia"/>
          <w:color w:val="auto"/>
          <w:highlight w:val="none"/>
        </w:rPr>
      </w:pPr>
    </w:p>
    <w:p w14:paraId="4F1B10CE">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p>
    <w:p w14:paraId="727A26BE">
      <w:pP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br w:type="page"/>
      </w:r>
    </w:p>
    <w:p w14:paraId="6094F76D">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一、总  则</w:t>
      </w:r>
      <w:bookmarkEnd w:id="40"/>
      <w:bookmarkEnd w:id="41"/>
    </w:p>
    <w:p w14:paraId="5FB33392">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53A8EFA9">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20" w:firstLineChars="20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val="en-US" w:eastAsia="zh-CN"/>
        </w:rPr>
        <w:t>明湖新区道路绿化项目跟踪审计项目</w:t>
      </w:r>
    </w:p>
    <w:p w14:paraId="26F9FD9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工程地址：滁州市</w:t>
      </w:r>
      <w:r>
        <w:rPr>
          <w:rFonts w:hint="eastAsia" w:ascii="宋体" w:hAnsi="宋体" w:eastAsia="宋体" w:cs="宋体"/>
          <w:color w:val="auto"/>
          <w:sz w:val="21"/>
          <w:szCs w:val="21"/>
          <w:highlight w:val="none"/>
          <w:u w:val="none"/>
          <w:lang w:val="en-US" w:eastAsia="zh-CN"/>
        </w:rPr>
        <w:t>内</w:t>
      </w:r>
    </w:p>
    <w:p w14:paraId="4E7F6254">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招标</w:t>
      </w:r>
      <w:r>
        <w:rPr>
          <w:rFonts w:hint="eastAsia" w:ascii="宋体" w:hAnsi="宋体" w:eastAsia="宋体" w:cs="宋体"/>
          <w:color w:val="auto"/>
          <w:sz w:val="21"/>
          <w:szCs w:val="21"/>
          <w:highlight w:val="none"/>
          <w:u w:val="none"/>
        </w:rPr>
        <w:t>单位：</w:t>
      </w:r>
      <w:r>
        <w:rPr>
          <w:rFonts w:hint="eastAsia" w:ascii="宋体" w:hAnsi="宋体" w:cs="宋体"/>
          <w:color w:val="auto"/>
          <w:sz w:val="21"/>
          <w:szCs w:val="21"/>
          <w:highlight w:val="none"/>
          <w:u w:val="none"/>
          <w:lang w:eastAsia="zh-CN"/>
        </w:rPr>
        <w:t>滁州市明湖建设管理服务中心</w:t>
      </w:r>
    </w:p>
    <w:p w14:paraId="19E13A7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1.2本工程建设规模：</w:t>
      </w:r>
      <w:r>
        <w:rPr>
          <w:rFonts w:hint="eastAsia" w:ascii="宋体" w:hAnsi="宋体" w:cs="宋体"/>
          <w:i w:val="0"/>
          <w:iCs w:val="0"/>
          <w:caps w:val="0"/>
          <w:color w:val="auto"/>
          <w:spacing w:val="0"/>
          <w:kern w:val="0"/>
          <w:sz w:val="21"/>
          <w:szCs w:val="21"/>
          <w:highlight w:val="none"/>
          <w:shd w:val="clear" w:fill="FFFFFF"/>
          <w:lang w:val="en-US" w:eastAsia="zh-CN" w:bidi="ar"/>
        </w:rPr>
        <w:t>主要内容是对明湖新区龙兴路、滁州大道及金陵路等沿线及交口空地进行绿化建设。总投资约约47.7万元</w:t>
      </w:r>
      <w:r>
        <w:rPr>
          <w:rFonts w:hint="eastAsia" w:ascii="宋体" w:hAnsi="宋体" w:eastAsia="宋体" w:cs="宋体"/>
          <w:color w:val="auto"/>
          <w:sz w:val="21"/>
          <w:szCs w:val="21"/>
          <w:highlight w:val="none"/>
          <w:u w:val="none"/>
          <w:lang w:val="en-US" w:eastAsia="zh-CN"/>
        </w:rPr>
        <w:t>。</w:t>
      </w:r>
    </w:p>
    <w:p w14:paraId="67586197">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cs="宋体"/>
          <w:color w:val="auto"/>
          <w:sz w:val="21"/>
          <w:szCs w:val="21"/>
          <w:highlight w:val="none"/>
          <w:lang w:val="en-US" w:eastAsia="zh-CN"/>
        </w:rPr>
        <w:t>服务需求</w:t>
      </w:r>
    </w:p>
    <w:p w14:paraId="67DEE0C4">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40FE54FE">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7F965071">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 w:val="21"/>
          <w:szCs w:val="21"/>
          <w:highlight w:val="none"/>
          <w:u w:val="single"/>
          <w:lang w:val="en-US" w:eastAsia="zh-CN"/>
        </w:rPr>
        <w:t>固定</w:t>
      </w:r>
      <w:r>
        <w:rPr>
          <w:rFonts w:hint="eastAsia" w:ascii="宋体" w:hAnsi="宋体" w:cs="宋体"/>
          <w:color w:val="auto"/>
          <w:sz w:val="21"/>
          <w:szCs w:val="21"/>
          <w:highlight w:val="none"/>
          <w:u w:val="single"/>
          <w:lang w:val="en-US" w:eastAsia="zh-CN"/>
        </w:rPr>
        <w:t>费率</w:t>
      </w:r>
      <w:r>
        <w:rPr>
          <w:rFonts w:hint="eastAsia" w:ascii="宋体" w:hAnsi="宋体" w:eastAsia="宋体" w:cs="宋体"/>
          <w:color w:val="auto"/>
          <w:sz w:val="21"/>
          <w:szCs w:val="21"/>
          <w:highlight w:val="none"/>
        </w:rPr>
        <w:t>。</w:t>
      </w:r>
    </w:p>
    <w:p w14:paraId="06FDAF9B">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p>
    <w:p w14:paraId="2E0A7DF4">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kern w:val="0"/>
          <w:sz w:val="21"/>
          <w:szCs w:val="21"/>
          <w:highlight w:val="none"/>
        </w:rPr>
        <w:t>。</w:t>
      </w:r>
    </w:p>
    <w:p w14:paraId="0BCBF344">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5.质量要求</w:t>
      </w:r>
    </w:p>
    <w:p w14:paraId="4592EB5D">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sz w:val="21"/>
          <w:szCs w:val="21"/>
          <w:highlight w:val="none"/>
        </w:rPr>
        <w:t>。</w:t>
      </w:r>
    </w:p>
    <w:p w14:paraId="796160D6">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1DAD49D1">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788E0003">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04B3D660">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财政</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16562C86">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2EB90A2C">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个标段  </w:t>
      </w:r>
    </w:p>
    <w:p w14:paraId="084D1B0F">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585C687E">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公开</w:t>
      </w:r>
      <w:r>
        <w:rPr>
          <w:rFonts w:hint="eastAsia" w:ascii="宋体" w:hAnsi="宋体" w:eastAsia="宋体" w:cs="宋体"/>
          <w:color w:val="auto"/>
          <w:sz w:val="21"/>
          <w:szCs w:val="21"/>
          <w:highlight w:val="none"/>
          <w:u w:val="single"/>
        </w:rPr>
        <w:t xml:space="preserve">招标 </w:t>
      </w:r>
      <w:r>
        <w:rPr>
          <w:rFonts w:hint="eastAsia" w:ascii="宋体" w:hAnsi="宋体" w:eastAsia="宋体" w:cs="宋体"/>
          <w:color w:val="auto"/>
          <w:sz w:val="21"/>
          <w:szCs w:val="21"/>
          <w:highlight w:val="none"/>
        </w:rPr>
        <w:t>。</w:t>
      </w:r>
    </w:p>
    <w:p w14:paraId="4E82FFBC">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7A62DB5F">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lang w:val="en-US" w:eastAsia="zh-CN"/>
        </w:rPr>
        <w:t>固定费率</w:t>
      </w:r>
      <w:r>
        <w:rPr>
          <w:rFonts w:hint="eastAsia" w:ascii="宋体" w:hAnsi="宋体" w:eastAsia="宋体" w:cs="宋体"/>
          <w:color w:val="auto"/>
          <w:sz w:val="21"/>
          <w:szCs w:val="21"/>
          <w:highlight w:val="none"/>
        </w:rPr>
        <w:t>。</w:t>
      </w:r>
    </w:p>
    <w:p w14:paraId="08A7EAA4">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5C11E0E5">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综合评估法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章评标办法）。</w:t>
      </w:r>
    </w:p>
    <w:p w14:paraId="2DD47ABF">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2" w:name="_Toc17301"/>
      <w:bookmarkStart w:id="43" w:name="_Toc29988"/>
      <w:r>
        <w:rPr>
          <w:rFonts w:hint="eastAsia" w:ascii="宋体" w:hAnsi="宋体" w:eastAsia="宋体" w:cs="宋体"/>
          <w:b/>
          <w:bCs/>
          <w:color w:val="auto"/>
          <w:sz w:val="28"/>
          <w:highlight w:val="none"/>
        </w:rPr>
        <w:t>二、招标文件</w:t>
      </w:r>
      <w:bookmarkEnd w:id="42"/>
      <w:bookmarkEnd w:id="43"/>
    </w:p>
    <w:p w14:paraId="62AC36E5">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12.招标文件的编制依据</w:t>
      </w:r>
    </w:p>
    <w:p w14:paraId="6640ED8C">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00599032">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3FC2C949">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13.1招标文件包括内容：</w:t>
      </w:r>
    </w:p>
    <w:p w14:paraId="27C5F634">
      <w:pPr>
        <w:keepNext w:val="0"/>
        <w:keepLines w:val="0"/>
        <w:pageBreakBefore w:val="0"/>
        <w:widowControl w:val="0"/>
        <w:kinsoku/>
        <w:wordWrap/>
        <w:overflowPunct/>
        <w:topLinePunct w:val="0"/>
        <w:autoSpaceDE/>
        <w:autoSpaceDN/>
        <w:bidi w:val="0"/>
        <w:spacing w:line="480" w:lineRule="exact"/>
        <w:ind w:firstLine="840" w:firstLineChars="4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第一章  </w:t>
      </w:r>
      <w:r>
        <w:rPr>
          <w:rFonts w:hint="eastAsia" w:ascii="宋体" w:hAnsi="宋体" w:cs="宋体"/>
          <w:color w:val="auto"/>
          <w:sz w:val="21"/>
          <w:szCs w:val="21"/>
          <w:highlight w:val="none"/>
          <w:lang w:eastAsia="zh-CN"/>
        </w:rPr>
        <w:t>投标人须知</w:t>
      </w:r>
    </w:p>
    <w:p w14:paraId="3E882546">
      <w:pPr>
        <w:keepNext w:val="0"/>
        <w:keepLines w:val="0"/>
        <w:pageBreakBefore w:val="0"/>
        <w:widowControl w:val="0"/>
        <w:kinsoku/>
        <w:wordWrap/>
        <w:overflowPunct/>
        <w:topLinePunct w:val="0"/>
        <w:autoSpaceDE/>
        <w:autoSpaceDN/>
        <w:bidi w:val="0"/>
        <w:spacing w:line="480" w:lineRule="exact"/>
        <w:ind w:firstLine="840" w:firstLineChars="4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val="en-US" w:eastAsia="zh-CN"/>
        </w:rPr>
        <w:t>评标办法</w:t>
      </w:r>
    </w:p>
    <w:p w14:paraId="091E054E">
      <w:pPr>
        <w:keepNext w:val="0"/>
        <w:keepLines w:val="0"/>
        <w:pageBreakBefore w:val="0"/>
        <w:widowControl w:val="0"/>
        <w:kinsoku/>
        <w:wordWrap/>
        <w:overflowPunct/>
        <w:topLinePunct w:val="0"/>
        <w:autoSpaceDE/>
        <w:autoSpaceDN/>
        <w:bidi w:val="0"/>
        <w:spacing w:line="480" w:lineRule="exact"/>
        <w:ind w:firstLine="840" w:firstLineChars="4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5C6D9635">
      <w:pPr>
        <w:keepNext w:val="0"/>
        <w:keepLines w:val="0"/>
        <w:pageBreakBefore w:val="0"/>
        <w:widowControl w:val="0"/>
        <w:kinsoku/>
        <w:wordWrap/>
        <w:overflowPunct/>
        <w:topLinePunct w:val="0"/>
        <w:autoSpaceDE/>
        <w:autoSpaceDN/>
        <w:bidi w:val="0"/>
        <w:spacing w:line="480" w:lineRule="exact"/>
        <w:ind w:firstLine="840" w:firstLineChars="4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3A70C4EA">
      <w:pPr>
        <w:keepNext w:val="0"/>
        <w:keepLines w:val="0"/>
        <w:pageBreakBefore w:val="0"/>
        <w:widowControl w:val="0"/>
        <w:kinsoku/>
        <w:wordWrap/>
        <w:overflowPunct/>
        <w:topLinePunct w:val="0"/>
        <w:autoSpaceDE/>
        <w:autoSpaceDN/>
        <w:bidi w:val="0"/>
        <w:adjustRightInd w:val="0"/>
        <w:snapToGrid w:val="0"/>
        <w:spacing w:line="480" w:lineRule="exact"/>
        <w:ind w:firstLine="840" w:firstLineChars="4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  招标单位、招标代理机构对本招标文件的确认</w:t>
      </w:r>
    </w:p>
    <w:p w14:paraId="426A67FC">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4DAD4163">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13.3</w:t>
      </w:r>
      <w:r>
        <w:rPr>
          <w:rFonts w:hint="eastAsia" w:ascii="宋体"/>
          <w:color w:val="auto"/>
          <w:szCs w:val="21"/>
          <w:highlight w:val="none"/>
        </w:rPr>
        <w:t>投标人应仔细阅读和检查招标文件的全部内容。如发现缺页或附件不全，应及时向</w:t>
      </w:r>
      <w:r>
        <w:rPr>
          <w:rFonts w:hint="eastAsia" w:ascii="宋体"/>
          <w:color w:val="auto"/>
          <w:szCs w:val="21"/>
          <w:highlight w:val="none"/>
          <w:lang w:eastAsia="zh-CN"/>
        </w:rPr>
        <w:t>招标人</w:t>
      </w:r>
      <w:r>
        <w:rPr>
          <w:rFonts w:hint="eastAsia" w:ascii="宋体"/>
          <w:color w:val="auto"/>
          <w:szCs w:val="21"/>
          <w:highlight w:val="none"/>
        </w:rPr>
        <w:t>提出，以便补齐</w:t>
      </w:r>
      <w:r>
        <w:rPr>
          <w:rFonts w:hint="eastAsia" w:ascii="宋体" w:hAnsi="宋体" w:eastAsia="宋体" w:cs="宋体"/>
          <w:color w:val="auto"/>
          <w:kern w:val="0"/>
          <w:sz w:val="21"/>
          <w:szCs w:val="21"/>
          <w:highlight w:val="none"/>
          <w:lang w:val="zh-CN"/>
        </w:rPr>
        <w:t>。</w:t>
      </w:r>
    </w:p>
    <w:p w14:paraId="2C32EE20">
      <w:pPr>
        <w:pStyle w:val="63"/>
        <w:keepNext w:val="0"/>
        <w:keepLines w:val="0"/>
        <w:pageBreakBefore w:val="0"/>
        <w:widowControl w:val="0"/>
        <w:kinsoku/>
        <w:wordWrap w:val="0"/>
        <w:overflowPunct/>
        <w:topLinePunct w:val="0"/>
        <w:autoSpaceDE/>
        <w:autoSpaceDN/>
        <w:bidi w:val="0"/>
        <w:adjustRightInd/>
        <w:snapToGrid/>
        <w:spacing w:line="480" w:lineRule="exact"/>
        <w:ind w:left="0" w:leftChars="0" w:firstLine="422" w:firstLineChars="200"/>
        <w:textAlignment w:val="auto"/>
        <w:rPr>
          <w:rFonts w:hint="default" w:eastAsia="宋体"/>
          <w:color w:val="auto"/>
          <w:highlight w:val="none"/>
          <w:lang w:val="en-US" w:eastAsia="zh-CN"/>
        </w:rPr>
      </w:pPr>
      <w:r>
        <w:rPr>
          <w:rFonts w:hint="eastAsia" w:ascii="宋体" w:hAnsi="宋体" w:eastAsia="宋体" w:cs="宋体"/>
          <w:b/>
          <w:bCs/>
          <w:color w:val="auto"/>
          <w:kern w:val="0"/>
          <w:sz w:val="21"/>
          <w:szCs w:val="21"/>
          <w:highlight w:val="none"/>
          <w:lang w:val="en-US" w:eastAsia="zh-CN"/>
        </w:rPr>
        <w:t>13.4投标人可以通过新点电子交易平台【滁州专区】对招标文件提出澄清（质疑）。招标文件的澄清将在滁州市城投工程咨询管理有限公司（https://www.czctgczx.com/）发布，但不指明澄清问题的来源。如果澄清内容影响投标文件编制的，将相应延长投标截止时间。</w:t>
      </w:r>
    </w:p>
    <w:p w14:paraId="182D12DA">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6B0F2D10">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并在</w:t>
      </w:r>
      <w:r>
        <w:rPr>
          <w:rFonts w:hint="eastAsia" w:ascii="宋体" w:hAnsi="宋体" w:cs="宋体"/>
          <w:color w:val="auto"/>
          <w:sz w:val="21"/>
          <w:szCs w:val="21"/>
          <w:highlight w:val="none"/>
          <w:lang w:eastAsia="zh-CN"/>
        </w:rPr>
        <w:t>滁州市城投工程咨询管理有限公司（https://www.czctgczx.com/）</w:t>
      </w:r>
      <w:r>
        <w:rPr>
          <w:rFonts w:hint="eastAsia"/>
          <w:color w:val="auto"/>
          <w:szCs w:val="21"/>
          <w:highlight w:val="none"/>
          <w:lang w:val="en-US" w:eastAsia="zh-CN"/>
        </w:rPr>
        <w:t>网站发布</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91D1EEA">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本招标文件由招标人委托的招标代理机构负责解释。</w:t>
      </w:r>
    </w:p>
    <w:p w14:paraId="2B94AB1C">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15.踏勘现场及投标预备会</w:t>
      </w:r>
    </w:p>
    <w:p w14:paraId="275BCF22">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50495330">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w:t>
      </w:r>
      <w:r>
        <w:rPr>
          <w:rFonts w:hint="eastAsia" w:ascii="宋体" w:hAnsi="宋体" w:eastAsia="宋体" w:cs="宋体"/>
          <w:color w:val="auto"/>
          <w:kern w:val="0"/>
          <w:sz w:val="21"/>
          <w:szCs w:val="21"/>
          <w:highlight w:val="none"/>
        </w:rPr>
        <w:t>不再集中召开招标答疑会；投标人自行组织勘察现场。</w:t>
      </w:r>
    </w:p>
    <w:p w14:paraId="6FE74C30">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15.2投标预备会</w:t>
      </w:r>
    </w:p>
    <w:p w14:paraId="13F5946E">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15.2.1</w:t>
      </w:r>
      <w:r>
        <w:rPr>
          <w:rFonts w:hint="eastAsia" w:ascii="宋体" w:hAnsi="宋体" w:cs="宋体"/>
          <w:color w:val="auto"/>
          <w:sz w:val="21"/>
          <w:szCs w:val="21"/>
          <w:highlight w:val="none"/>
          <w:lang w:val="en-US" w:eastAsia="zh-CN"/>
        </w:rPr>
        <w:t>本项目不组织</w:t>
      </w:r>
      <w:r>
        <w:rPr>
          <w:rFonts w:hint="eastAsia" w:ascii="宋体" w:hAnsi="宋体" w:eastAsia="宋体" w:cs="宋体"/>
          <w:color w:val="auto"/>
          <w:sz w:val="21"/>
          <w:szCs w:val="21"/>
          <w:highlight w:val="none"/>
        </w:rPr>
        <w:t>投标预备会</w:t>
      </w:r>
      <w:r>
        <w:rPr>
          <w:rFonts w:hint="eastAsia" w:ascii="宋体" w:hAnsi="宋体" w:eastAsia="宋体" w:cs="宋体"/>
          <w:bCs/>
          <w:color w:val="auto"/>
          <w:sz w:val="21"/>
          <w:szCs w:val="21"/>
          <w:highlight w:val="none"/>
        </w:rPr>
        <w:t>。</w:t>
      </w:r>
    </w:p>
    <w:p w14:paraId="13802E14">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16.招标文件的发出</w:t>
      </w:r>
    </w:p>
    <w:p w14:paraId="185B78E9">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0E4E3056">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17.最高投标限价的作用和说明</w:t>
      </w:r>
    </w:p>
    <w:p w14:paraId="32E39163">
      <w:pPr>
        <w:keepNext w:val="0"/>
        <w:keepLines w:val="0"/>
        <w:pageBreakBefore w:val="0"/>
        <w:widowControl w:val="0"/>
        <w:kinsoku/>
        <w:wordWrap/>
        <w:overflowPunct/>
        <w:topLinePunct w:val="0"/>
        <w:autoSpaceDE/>
        <w:autoSpaceDN/>
        <w:bidi w:val="0"/>
        <w:spacing w:line="48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17.1</w:t>
      </w:r>
      <w:r>
        <w:rPr>
          <w:rFonts w:hint="eastAsia" w:ascii="宋体" w:hAnsi="宋体" w:eastAsia="宋体" w:cs="宋体"/>
          <w:b/>
          <w:bCs/>
          <w:color w:val="auto"/>
          <w:sz w:val="21"/>
          <w:szCs w:val="21"/>
          <w:highlight w:val="none"/>
        </w:rPr>
        <w:t>本项目的</w:t>
      </w:r>
      <w:r>
        <w:rPr>
          <w:rFonts w:hint="eastAsia" w:ascii="宋体" w:hAnsi="宋体" w:eastAsia="宋体" w:cs="宋体"/>
          <w:b/>
          <w:bCs/>
          <w:color w:val="auto"/>
          <w:sz w:val="21"/>
          <w:szCs w:val="21"/>
          <w:highlight w:val="none"/>
          <w:lang w:val="en-US" w:eastAsia="zh-CN"/>
        </w:rPr>
        <w:t>最高限价</w:t>
      </w:r>
      <w:r>
        <w:rPr>
          <w:rFonts w:hint="eastAsia" w:ascii="宋体" w:hAnsi="宋体" w:eastAsia="宋体" w:cs="宋体"/>
          <w:b/>
          <w:bCs/>
          <w:color w:val="auto"/>
          <w:sz w:val="21"/>
          <w:szCs w:val="21"/>
          <w:highlight w:val="none"/>
        </w:rPr>
        <w:t>为基本费率</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审核成果费率</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%（审核成果费率</w:t>
      </w:r>
      <w:r>
        <w:rPr>
          <w:rFonts w:hint="eastAsia" w:ascii="宋体" w:hAnsi="宋体" w:cs="宋体"/>
          <w:b/>
          <w:bCs/>
          <w:color w:val="auto"/>
          <w:sz w:val="21"/>
          <w:szCs w:val="21"/>
          <w:highlight w:val="none"/>
          <w:lang w:val="en-US" w:eastAsia="zh-CN"/>
        </w:rPr>
        <w:t>为不可竞争费率，</w:t>
      </w:r>
      <w:r>
        <w:rPr>
          <w:rFonts w:hint="eastAsia" w:ascii="宋体" w:hAnsi="宋体" w:eastAsia="宋体" w:cs="宋体"/>
          <w:b/>
          <w:bCs/>
          <w:color w:val="auto"/>
          <w:sz w:val="21"/>
          <w:szCs w:val="21"/>
          <w:highlight w:val="none"/>
        </w:rPr>
        <w:t>固定不变）</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基本费率由投标人自主报价，</w:t>
      </w:r>
      <w:r>
        <w:rPr>
          <w:rFonts w:hint="eastAsia" w:ascii="宋体" w:hAnsi="宋体" w:eastAsia="宋体" w:cs="宋体"/>
          <w:b/>
          <w:bCs/>
          <w:color w:val="auto"/>
          <w:sz w:val="21"/>
          <w:szCs w:val="21"/>
          <w:highlight w:val="none"/>
        </w:rPr>
        <w:t>不得高于上述基本</w:t>
      </w:r>
      <w:r>
        <w:rPr>
          <w:rFonts w:hint="eastAsia" w:ascii="宋体" w:hAnsi="宋体" w:eastAsia="宋体" w:cs="宋体"/>
          <w:b/>
          <w:bCs/>
          <w:color w:val="auto"/>
          <w:sz w:val="21"/>
          <w:szCs w:val="21"/>
          <w:highlight w:val="none"/>
          <w:lang w:eastAsia="zh-CN"/>
        </w:rPr>
        <w:t>费率</w:t>
      </w:r>
      <w:r>
        <w:rPr>
          <w:rFonts w:hint="eastAsia" w:ascii="宋体" w:hAnsi="宋体" w:eastAsia="宋体" w:cs="宋体"/>
          <w:b/>
          <w:bCs/>
          <w:color w:val="auto"/>
          <w:sz w:val="21"/>
          <w:szCs w:val="21"/>
          <w:highlight w:val="none"/>
        </w:rPr>
        <w:t>最高限价，否则按无效标处理。</w:t>
      </w:r>
    </w:p>
    <w:p w14:paraId="344A8BB9">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4" w:name="_Toc6831"/>
      <w:bookmarkStart w:id="45" w:name="_Toc24852"/>
      <w:r>
        <w:rPr>
          <w:rFonts w:hint="eastAsia" w:ascii="宋体" w:hAnsi="宋体" w:eastAsia="宋体" w:cs="宋体"/>
          <w:b/>
          <w:bCs/>
          <w:color w:val="auto"/>
          <w:sz w:val="28"/>
          <w:highlight w:val="none"/>
        </w:rPr>
        <w:t>三、投标文件的编制</w:t>
      </w:r>
      <w:bookmarkEnd w:id="44"/>
      <w:bookmarkEnd w:id="45"/>
    </w:p>
    <w:p w14:paraId="64695F4A">
      <w:pPr>
        <w:keepNext w:val="0"/>
        <w:keepLines w:val="0"/>
        <w:pageBreakBefore w:val="0"/>
        <w:widowControl w:val="0"/>
        <w:kinsoku/>
        <w:wordWrap/>
        <w:overflowPunct/>
        <w:topLinePunct w:val="0"/>
        <w:autoSpaceDE/>
        <w:autoSpaceDN/>
        <w:bidi w:val="0"/>
        <w:spacing w:line="48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投标文件的组成</w:t>
      </w:r>
      <w:r>
        <w:rPr>
          <w:rFonts w:hint="eastAsia" w:ascii="宋体" w:hAnsi="宋体" w:eastAsia="宋体" w:cs="宋体"/>
          <w:b/>
          <w:bCs/>
          <w:color w:val="auto"/>
          <w:sz w:val="21"/>
          <w:szCs w:val="21"/>
          <w:highlight w:val="none"/>
          <w:lang w:val="en-US" w:eastAsia="zh-CN"/>
        </w:rPr>
        <w:t xml:space="preserve"> </w:t>
      </w:r>
    </w:p>
    <w:p w14:paraId="57A6517E">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r>
        <w:rPr>
          <w:rFonts w:hint="eastAsia" w:ascii="宋体" w:hAnsi="宋体" w:cs="宋体"/>
          <w:color w:val="auto"/>
          <w:sz w:val="21"/>
          <w:szCs w:val="21"/>
          <w:highlight w:val="none"/>
          <w:lang w:val="en-US" w:eastAsia="zh-CN"/>
        </w:rPr>
        <w:t>（格式见附件）</w:t>
      </w:r>
    </w:p>
    <w:p w14:paraId="2342D3FE">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eastAsia="宋体" w:cs="宋体"/>
          <w:color w:val="auto"/>
          <w:sz w:val="21"/>
          <w:szCs w:val="21"/>
          <w:highlight w:val="none"/>
          <w:lang w:val="en-US" w:eastAsia="zh-CN"/>
        </w:rPr>
        <w:t xml:space="preserve"> </w:t>
      </w:r>
    </w:p>
    <w:p w14:paraId="14CE7639">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项目人员配备表；（格式见附件）</w:t>
      </w:r>
    </w:p>
    <w:p w14:paraId="65209427">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p>
    <w:p w14:paraId="01A2C048">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cs="宋体"/>
          <w:i w:val="0"/>
          <w:iCs w:val="0"/>
          <w:caps w:val="0"/>
          <w:color w:val="auto"/>
          <w:spacing w:val="0"/>
          <w:kern w:val="0"/>
          <w:sz w:val="21"/>
          <w:szCs w:val="21"/>
          <w:highlight w:val="none"/>
          <w:shd w:val="clear" w:fill="FFFFFF"/>
          <w:lang w:val="en-US" w:eastAsia="zh-CN" w:bidi="ar"/>
        </w:rPr>
        <w:t>不少于2名且具有在本单位注册的二级及以上造价工程师（土木建筑工程专业至少1名）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p>
    <w:p w14:paraId="70AD6D8C">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承诺书：投标人对所提供的上述材料作出承诺，若投标人存在弄虚作假，提供虚假资料的，若中标，则取消中标资格。（承诺书格式自拟并注明开标日期，加盖投标单位公章）</w:t>
      </w:r>
    </w:p>
    <w:p w14:paraId="3F0F7B4A">
      <w:pPr>
        <w:keepNext w:val="0"/>
        <w:keepLines w:val="0"/>
        <w:pageBreakBefore w:val="0"/>
        <w:widowControl w:val="0"/>
        <w:numPr>
          <w:ilvl w:val="0"/>
          <w:numId w:val="0"/>
        </w:numPr>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须持有社保部门出具的本单位为其缴纳的投标前近三个月内任意一月的养老保险证明（含官网在线打印件，证明文件两个月内有效），或投标人提供承诺已为上述人员缴纳养老保险证明的承诺书（格式自拟）。</w:t>
      </w:r>
    </w:p>
    <w:p w14:paraId="1D000F8A">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（格式见附件）</w:t>
      </w:r>
    </w:p>
    <w:p w14:paraId="3DC867D5">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）投标人认为需要提供的其他材料。</w:t>
      </w:r>
    </w:p>
    <w:p w14:paraId="6CFB64B6">
      <w:pPr>
        <w:keepNext w:val="0"/>
        <w:keepLines w:val="0"/>
        <w:pageBreakBefore w:val="0"/>
        <w:widowControl w:val="0"/>
        <w:numPr>
          <w:ilvl w:val="0"/>
          <w:numId w:val="0"/>
        </w:numPr>
        <w:kinsoku/>
        <w:wordWrap/>
        <w:overflowPunct/>
        <w:topLinePunct w:val="0"/>
        <w:autoSpaceDE/>
        <w:autoSpaceDN/>
        <w:bidi w:val="0"/>
        <w:spacing w:line="480" w:lineRule="exact"/>
        <w:ind w:firstLine="422" w:firstLineChars="200"/>
        <w:jc w:val="both"/>
        <w:textAlignment w:val="auto"/>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 xml:space="preserve">19.投标文件的组成、上传说明 </w:t>
      </w:r>
    </w:p>
    <w:p w14:paraId="344E5516">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19.1 投标文件的组成 </w:t>
      </w:r>
    </w:p>
    <w:p w14:paraId="6BBBE030">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具体内容详见第四章投标文件格式内容。 </w:t>
      </w:r>
    </w:p>
    <w:p w14:paraId="559C5DB4">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19.2 投标文件的上传 </w:t>
      </w:r>
    </w:p>
    <w:p w14:paraId="276CFE5B">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宋体" w:hAnsi="Calibri"/>
          <w:color w:val="auto"/>
          <w:szCs w:val="21"/>
          <w:highlight w:val="none"/>
          <w:lang w:val="en-US" w:eastAsia="zh-CN"/>
        </w:rPr>
        <w:t xml:space="preserve">。 </w:t>
      </w:r>
    </w:p>
    <w:p w14:paraId="42834304">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Calibri"/>
          <w:b/>
          <w:bCs/>
          <w:color w:val="auto"/>
          <w:szCs w:val="21"/>
          <w:highlight w:val="none"/>
          <w:lang w:val="en-US" w:eastAsia="zh-CN"/>
        </w:rPr>
        <w:t>投标人在投标文件编制、签章、上传过程中如有任何操作的疑问请及时联系技术支持，电话： 0512-58151515 （工作日）或者网站首页在线客服</w:t>
      </w:r>
      <w:r>
        <w:rPr>
          <w:rFonts w:hint="eastAsia" w:ascii="宋体" w:hAnsi="Calibri"/>
          <w:color w:val="auto"/>
          <w:szCs w:val="21"/>
          <w:highlight w:val="none"/>
          <w:lang w:val="en-US" w:eastAsia="zh-CN"/>
        </w:rPr>
        <w:t xml:space="preserve">。 </w:t>
      </w:r>
    </w:p>
    <w:p w14:paraId="1EADF7E1">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3）如果因投标人自身原因导致投标文件在规定时间内未能解密、解密失败或解密超时，投标文件无效；因代理公司原因或网上平台发生故障，导致无法按时完成投标文件解密的，经代理公司申请后可延迟解密时间。 </w:t>
      </w:r>
    </w:p>
    <w:p w14:paraId="2A77AAEF">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19.3 投标文件的编制 </w:t>
      </w:r>
    </w:p>
    <w:p w14:paraId="64DCFAF7">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（1）投标文件应按第四章“投标文件格式”进行编写，如有必要，可以增加附页，作为投标文件的组成部分。 </w:t>
      </w:r>
    </w:p>
    <w:p w14:paraId="6D4B70A1">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 xml:space="preserve">。 </w:t>
      </w:r>
    </w:p>
    <w:p w14:paraId="12304D1D">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（3）网上递交的电子投标文件制作工具等要求详见系统内帮助模块。 </w:t>
      </w:r>
    </w:p>
    <w:p w14:paraId="62D31D9D">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lang w:val="en-US" w:eastAsia="zh-CN"/>
        </w:rPr>
      </w:pPr>
      <w:r>
        <w:rPr>
          <w:rFonts w:hint="eastAsia" w:ascii="宋体" w:hAnsi="Calibri"/>
          <w:color w:val="auto"/>
          <w:szCs w:val="21"/>
          <w:highlight w:val="none"/>
          <w:lang w:val="en-US" w:eastAsia="zh-CN"/>
        </w:rPr>
        <w:t>（4）网上递交的电子投标文件应按招标文件规定的格式由投标人的法定代表人和投标人分别签章。</w:t>
      </w:r>
    </w:p>
    <w:p w14:paraId="62849197">
      <w:pPr>
        <w:pStyle w:val="2"/>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eastAsia="宋体" w:cs="Times New Roman"/>
          <w:color w:val="auto"/>
          <w:kern w:val="2"/>
          <w:sz w:val="21"/>
          <w:szCs w:val="21"/>
          <w:highlight w:val="none"/>
          <w:lang w:val="en-US" w:eastAsia="zh-CN" w:bidi="ar-SA"/>
        </w:rPr>
      </w:pPr>
      <w:r>
        <w:rPr>
          <w:rFonts w:hint="eastAsia" w:ascii="宋体" w:hAnsi="Calibri" w:eastAsia="宋体" w:cs="Times New Roman"/>
          <w:color w:val="auto"/>
          <w:kern w:val="2"/>
          <w:sz w:val="21"/>
          <w:szCs w:val="21"/>
          <w:highlight w:val="none"/>
          <w:lang w:val="en-US" w:eastAsia="zh-CN" w:bidi="ar-SA"/>
        </w:rPr>
        <w:t>（5）招标人有权核查投标人在投标文件中提供的资料，若在评标期间发现投标人提供了虚假资料，其投标将被否决；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5A82299E">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投标文件的制作应满足以下规定：</w:t>
      </w:r>
    </w:p>
    <w:p w14:paraId="48490317">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rPr>
        <w:t>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424145B6">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b/>
          <w:color w:val="auto"/>
          <w:szCs w:val="21"/>
          <w:highlight w:val="none"/>
        </w:rPr>
        <w:t>招标文件中“签章”是指签字或盖章</w:t>
      </w:r>
      <w:r>
        <w:rPr>
          <w:rFonts w:hint="eastAsia" w:ascii="宋体" w:hAnsi="宋体" w:cs="宋体"/>
          <w:b/>
          <w:color w:val="auto"/>
          <w:szCs w:val="21"/>
          <w:highlight w:val="none"/>
          <w:lang w:val="en-US" w:eastAsia="zh-CN"/>
        </w:rPr>
        <w:t>。在“投标文件格式”中要求单位签章的，投标人应加盖投标人单位电子印章或直接上传加盖投标人单位印章原件彩色扫描件。要求个人签章的，加盖相应人员印章（或电子印章）或相应人员签字均可。</w:t>
      </w:r>
    </w:p>
    <w:p w14:paraId="52D29299">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BE993A2">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color w:val="auto"/>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p>
    <w:p w14:paraId="235F678A">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投标报价</w:t>
      </w:r>
    </w:p>
    <w:p w14:paraId="05488F20">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.1投标人的投标报价包括按合同规定的范围所提供的全部服务所需的费用，即招标范围内人员工资、办公费用、</w:t>
      </w:r>
      <w:r>
        <w:rPr>
          <w:rFonts w:hint="eastAsia" w:ascii="宋体" w:hAnsi="宋体" w:eastAsia="宋体" w:cs="宋体"/>
          <w:color w:val="auto"/>
          <w:sz w:val="21"/>
          <w:szCs w:val="21"/>
          <w:highlight w:val="none"/>
          <w:lang w:val="en-US" w:eastAsia="zh-CN"/>
        </w:rPr>
        <w:t>专家评审费、</w:t>
      </w:r>
      <w:r>
        <w:rPr>
          <w:rFonts w:hint="eastAsia" w:ascii="宋体" w:hAnsi="宋体" w:eastAsia="宋体" w:cs="宋体"/>
          <w:color w:val="auto"/>
          <w:sz w:val="21"/>
          <w:szCs w:val="21"/>
          <w:highlight w:val="none"/>
        </w:rPr>
        <w:t>成本、利润及税金等</w:t>
      </w:r>
      <w:r>
        <w:rPr>
          <w:rFonts w:hint="eastAsia" w:ascii="宋体" w:hAnsi="宋体" w:eastAsia="宋体" w:cs="宋体"/>
          <w:color w:val="auto"/>
          <w:sz w:val="21"/>
          <w:szCs w:val="21"/>
          <w:highlight w:val="none"/>
          <w:lang w:val="en-US" w:eastAsia="zh-CN"/>
        </w:rPr>
        <w:t>完成本项目所有工作所产生的</w:t>
      </w:r>
      <w:r>
        <w:rPr>
          <w:rFonts w:hint="eastAsia" w:ascii="宋体" w:hAnsi="宋体" w:eastAsia="宋体" w:cs="宋体"/>
          <w:color w:val="auto"/>
          <w:sz w:val="21"/>
          <w:szCs w:val="21"/>
          <w:highlight w:val="none"/>
        </w:rPr>
        <w:t>全部费用。</w:t>
      </w:r>
    </w:p>
    <w:p w14:paraId="076B814B">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 投标报价不按规定报价的，其投标文件按无效标处理。</w:t>
      </w:r>
    </w:p>
    <w:p w14:paraId="79647B60">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.投标有效期</w:t>
      </w:r>
    </w:p>
    <w:p w14:paraId="6BD254F2">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EF24EAB">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0A229A7F">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color w:val="auto"/>
          <w:sz w:val="28"/>
          <w:szCs w:val="28"/>
          <w:highlight w:val="none"/>
        </w:rPr>
      </w:pPr>
      <w:bookmarkStart w:id="46" w:name="_Toc13407"/>
      <w:bookmarkStart w:id="47" w:name="_Toc27519"/>
      <w:r>
        <w:rPr>
          <w:rFonts w:hint="eastAsia" w:ascii="宋体" w:hAnsi="宋体" w:eastAsia="宋体" w:cs="宋体"/>
          <w:b/>
          <w:bCs/>
          <w:color w:val="auto"/>
          <w:sz w:val="28"/>
          <w:highlight w:val="none"/>
        </w:rPr>
        <w:t>四、投标文件的递交</w:t>
      </w:r>
      <w:bookmarkEnd w:id="46"/>
      <w:bookmarkEnd w:id="47"/>
    </w:p>
    <w:p w14:paraId="3545408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2" w:firstLineChars="200"/>
        <w:jc w:val="both"/>
        <w:textAlignment w:val="auto"/>
        <w:rPr>
          <w:rFonts w:hint="eastAsia" w:ascii="宋体" w:hAnsi="Times New Roman" w:eastAsia="宋体" w:cs="Times New Roman"/>
          <w:b/>
          <w:bCs/>
          <w:color w:val="auto"/>
          <w:szCs w:val="21"/>
          <w:highlight w:val="none"/>
        </w:rPr>
      </w:pPr>
      <w:r>
        <w:rPr>
          <w:rFonts w:hint="eastAsia" w:ascii="宋体" w:hAnsi="宋体" w:cs="宋体"/>
          <w:b/>
          <w:bCs/>
          <w:color w:val="auto"/>
          <w:sz w:val="21"/>
          <w:szCs w:val="21"/>
          <w:highlight w:val="none"/>
          <w:lang w:val="en-US" w:eastAsia="zh-CN"/>
        </w:rPr>
        <w:t>22.</w:t>
      </w:r>
      <w:r>
        <w:rPr>
          <w:rFonts w:hint="eastAsia" w:ascii="宋体" w:hAnsi="Times New Roman" w:eastAsia="宋体" w:cs="Times New Roman"/>
          <w:b/>
          <w:bCs/>
          <w:color w:val="auto"/>
          <w:szCs w:val="21"/>
          <w:highlight w:val="none"/>
        </w:rPr>
        <w:t>投标文件的份数和签署</w:t>
      </w:r>
    </w:p>
    <w:p w14:paraId="0F10380A">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b/>
          <w:bCs/>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.1</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28A205A5">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63552288">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b/>
          <w:bCs/>
          <w:color w:val="auto"/>
          <w:szCs w:val="21"/>
          <w:highlight w:val="none"/>
        </w:rPr>
      </w:pPr>
      <w:r>
        <w:rPr>
          <w:rFonts w:hint="eastAsia" w:ascii="宋体" w:hAnsi="宋体" w:cs="宋体"/>
          <w:b/>
          <w:bCs/>
          <w:color w:val="auto"/>
          <w:sz w:val="21"/>
          <w:szCs w:val="21"/>
          <w:highlight w:val="none"/>
          <w:lang w:val="en-US" w:eastAsia="zh-CN"/>
        </w:rPr>
        <w:t>23.</w:t>
      </w:r>
      <w:r>
        <w:rPr>
          <w:rFonts w:hint="eastAsia" w:ascii="宋体" w:hAnsi="宋体"/>
          <w:b/>
          <w:bCs/>
          <w:color w:val="auto"/>
          <w:szCs w:val="21"/>
          <w:highlight w:val="none"/>
        </w:rPr>
        <w:t>投标文件的</w:t>
      </w:r>
      <w:r>
        <w:rPr>
          <w:rFonts w:hint="eastAsia" w:ascii="宋体" w:hAnsi="宋体"/>
          <w:b/>
          <w:color w:val="auto"/>
          <w:szCs w:val="21"/>
          <w:highlight w:val="none"/>
        </w:rPr>
        <w:t>递</w:t>
      </w:r>
      <w:r>
        <w:rPr>
          <w:rFonts w:hint="eastAsia" w:ascii="宋体" w:hAnsi="宋体"/>
          <w:b/>
          <w:bCs/>
          <w:color w:val="auto"/>
          <w:szCs w:val="21"/>
          <w:highlight w:val="none"/>
        </w:rPr>
        <w:t>交</w:t>
      </w:r>
    </w:p>
    <w:p w14:paraId="7F8AEA89">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3</w:t>
      </w:r>
      <w:r>
        <w:rPr>
          <w:rFonts w:hint="eastAsia" w:ascii="宋体" w:hAnsi="宋体"/>
          <w:b/>
          <w:color w:val="auto"/>
          <w:szCs w:val="21"/>
          <w:highlight w:val="none"/>
        </w:rPr>
        <w:t>.1 投标人应当在投标截止时间前完成投标文件的网上递交，并可以补充、修改或者撤回投标文件。投标截止时间前未完成投标文件网上递交的，视为撤回投标文件。未按规定加密或投标截止时间后通过</w:t>
      </w:r>
      <w:r>
        <w:rPr>
          <w:rFonts w:hint="eastAsia" w:ascii="宋体" w:hAnsi="宋体"/>
          <w:b/>
          <w:color w:val="auto"/>
          <w:szCs w:val="21"/>
          <w:highlight w:val="none"/>
          <w:lang w:val="en-US" w:eastAsia="zh-CN"/>
        </w:rPr>
        <w:t>新点电子交易平台</w:t>
      </w:r>
      <w:r>
        <w:rPr>
          <w:rFonts w:hint="eastAsia" w:ascii="宋体" w:hAnsi="宋体"/>
          <w:b/>
          <w:color w:val="auto"/>
          <w:szCs w:val="21"/>
          <w:highlight w:val="none"/>
        </w:rPr>
        <w:t>递交电子投标文件的，电子交易系统应当拒收，投标无效</w:t>
      </w:r>
      <w:r>
        <w:rPr>
          <w:rFonts w:hint="eastAsia" w:ascii="宋体" w:hAnsi="宋体" w:eastAsia="宋体" w:cs="宋体"/>
          <w:color w:val="auto"/>
          <w:sz w:val="21"/>
          <w:szCs w:val="21"/>
          <w:highlight w:val="none"/>
        </w:rPr>
        <w:t>。</w:t>
      </w:r>
    </w:p>
    <w:p w14:paraId="6948FF47">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4</w:t>
      </w:r>
      <w:r>
        <w:rPr>
          <w:rFonts w:hint="eastAsia" w:ascii="宋体"/>
          <w:b/>
          <w:color w:val="auto"/>
          <w:szCs w:val="21"/>
          <w:highlight w:val="none"/>
        </w:rPr>
        <w:t>．投标文件的修改与撤回</w:t>
      </w:r>
    </w:p>
    <w:p w14:paraId="1800A27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8"/>
          <w:szCs w:val="28"/>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.1 </w:t>
      </w:r>
      <w:r>
        <w:rPr>
          <w:rFonts w:hint="eastAsia" w:ascii="宋体" w:hAnsi="宋体" w:cs="宋体"/>
          <w:color w:val="auto"/>
          <w:szCs w:val="21"/>
          <w:highlight w:val="none"/>
        </w:rPr>
        <w:t>在“招标公告”规定的投标截止时间前，投标人可以自行从网上</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撤回已递交的投标文件，并可修改后重新加密上传，开标时以投标截止时间前投标人最终上传的投标文件为准</w:t>
      </w:r>
      <w:r>
        <w:rPr>
          <w:rFonts w:hint="eastAsia" w:ascii="宋体" w:hAnsi="宋体" w:cs="宋体"/>
          <w:color w:val="auto"/>
          <w:szCs w:val="21"/>
          <w:highlight w:val="none"/>
          <w:lang w:eastAsia="zh-CN"/>
        </w:rPr>
        <w:t>。</w:t>
      </w:r>
    </w:p>
    <w:p w14:paraId="7500E7D0">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48" w:name="_Toc18173"/>
      <w:bookmarkStart w:id="49" w:name="_Toc24005"/>
      <w:r>
        <w:rPr>
          <w:rFonts w:hint="eastAsia" w:ascii="宋体" w:hAnsi="宋体" w:eastAsia="宋体" w:cs="宋体"/>
          <w:b/>
          <w:bCs/>
          <w:color w:val="auto"/>
          <w:sz w:val="28"/>
          <w:highlight w:val="none"/>
        </w:rPr>
        <w:t>五、开标、评标和定标</w:t>
      </w:r>
      <w:bookmarkEnd w:id="48"/>
      <w:bookmarkEnd w:id="49"/>
    </w:p>
    <w:p w14:paraId="066918F9">
      <w:pPr>
        <w:keepNext w:val="0"/>
        <w:keepLines w:val="0"/>
        <w:pageBreakBefore w:val="0"/>
        <w:widowControl w:val="0"/>
        <w:kinsoku/>
        <w:wordWrap/>
        <w:overflowPunct/>
        <w:topLinePunct w:val="0"/>
        <w:autoSpaceDE/>
        <w:autoSpaceDN/>
        <w:bidi w:val="0"/>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w:t>
      </w:r>
    </w:p>
    <w:p w14:paraId="4366EFD4">
      <w:pPr>
        <w:keepNext w:val="0"/>
        <w:keepLines w:val="0"/>
        <w:pageBreakBefore w:val="0"/>
        <w:widowControl w:val="0"/>
        <w:kinsoku/>
        <w:wordWrap/>
        <w:overflowPunct/>
        <w:topLinePunct w:val="0"/>
        <w:autoSpaceDE/>
        <w:autoSpaceDN/>
        <w:bidi w:val="0"/>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5776DF3D">
      <w:pPr>
        <w:keepNext w:val="0"/>
        <w:keepLines w:val="0"/>
        <w:pageBreakBefore w:val="0"/>
        <w:widowControl w:val="0"/>
        <w:kinsoku/>
        <w:wordWrap/>
        <w:overflowPunct/>
        <w:topLinePunct w:val="0"/>
        <w:autoSpaceDE/>
        <w:autoSpaceDN/>
        <w:bidi w:val="0"/>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w:t>
      </w:r>
      <w:r>
        <w:rPr>
          <w:rFonts w:hint="eastAsia" w:ascii="宋体" w:hAnsi="宋体" w:cs="宋体"/>
          <w:color w:val="auto"/>
          <w:szCs w:val="21"/>
          <w:highlight w:val="none"/>
        </w:rPr>
        <w:t>招标人在“招标公告”规定的投标截止时间前（开标时间）和地点</w:t>
      </w:r>
      <w:r>
        <w:rPr>
          <w:color w:val="auto"/>
          <w:highlight w:val="none"/>
        </w:rPr>
        <w:t>通过</w:t>
      </w:r>
      <w:r>
        <w:rPr>
          <w:rFonts w:hint="eastAsia"/>
          <w:color w:val="auto"/>
          <w:highlight w:val="none"/>
          <w:lang w:val="en-US" w:eastAsia="zh-CN"/>
        </w:rPr>
        <w:t>新点电子交易平台</w:t>
      </w:r>
      <w:r>
        <w:rPr>
          <w:color w:val="auto"/>
          <w:highlight w:val="none"/>
        </w:rPr>
        <w:t>公开开标</w:t>
      </w:r>
      <w:r>
        <w:rPr>
          <w:rFonts w:hint="eastAsia" w:ascii="宋体" w:hAnsi="宋体" w:eastAsia="宋体" w:cs="宋体"/>
          <w:color w:val="auto"/>
          <w:sz w:val="21"/>
          <w:szCs w:val="21"/>
          <w:highlight w:val="none"/>
        </w:rPr>
        <w:t>。</w:t>
      </w:r>
    </w:p>
    <w:p w14:paraId="1CEDA917">
      <w:pPr>
        <w:keepNext w:val="0"/>
        <w:keepLines w:val="0"/>
        <w:pageBreakBefore w:val="0"/>
        <w:widowControl w:val="0"/>
        <w:kinsoku/>
        <w:wordWrap/>
        <w:overflowPunct/>
        <w:topLinePunct w:val="0"/>
        <w:autoSpaceDE/>
        <w:autoSpaceDN/>
        <w:bidi w:val="0"/>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1AB92E7B">
      <w:pPr>
        <w:keepNext w:val="0"/>
        <w:keepLines w:val="0"/>
        <w:pageBreakBefore w:val="0"/>
        <w:widowControl w:val="0"/>
        <w:kinsoku/>
        <w:wordWrap/>
        <w:overflowPunct/>
        <w:topLinePunct w:val="0"/>
        <w:autoSpaceDE/>
        <w:autoSpaceDN/>
        <w:bidi w:val="0"/>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开标程序</w:t>
      </w:r>
    </w:p>
    <w:p w14:paraId="52832887">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 xml:space="preserve">开标会议由采购代理机构主持。 </w:t>
      </w:r>
    </w:p>
    <w:p w14:paraId="04855B42">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（1）公布在投标截止时间前通过新点电子交易平台完成投标文件递交的投标人名称；</w:t>
      </w:r>
    </w:p>
    <w:p w14:paraId="7F3D1C47">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（2）投标人在投标截止时间后在投标人须知前附表规定的解密时间内完成投标文件的解密工作；</w:t>
      </w:r>
    </w:p>
    <w:p w14:paraId="160BAA64">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（3）招标人或招标代理机构完成解密工作，导入并读取所有成功解密的投标文件；</w:t>
      </w:r>
    </w:p>
    <w:p w14:paraId="223FEB96">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（4）按投标人须知前附表规定公布投标人名称、投标报价等内容；</w:t>
      </w:r>
    </w:p>
    <w:p w14:paraId="6CDC20D3">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 xml:space="preserve">（5）开标结束。 </w:t>
      </w:r>
    </w:p>
    <w:p w14:paraId="10B86A20">
      <w:pPr>
        <w:keepNext w:val="0"/>
        <w:keepLines w:val="0"/>
        <w:pageBreakBefore w:val="0"/>
        <w:widowControl w:val="0"/>
        <w:kinsoku/>
        <w:wordWrap/>
        <w:overflowPunct/>
        <w:topLinePunct w:val="0"/>
        <w:autoSpaceDE/>
        <w:autoSpaceDN/>
        <w:bidi w:val="0"/>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25.4</w:t>
      </w:r>
      <w:r>
        <w:rPr>
          <w:rFonts w:hint="eastAsia" w:ascii="宋体" w:hAnsi="宋体" w:eastAsia="宋体" w:cs="宋体"/>
          <w:color w:val="auto"/>
          <w:sz w:val="21"/>
          <w:szCs w:val="21"/>
          <w:highlight w:val="none"/>
        </w:rPr>
        <w:t>开标异议</w:t>
      </w:r>
    </w:p>
    <w:p w14:paraId="742AB9AD">
      <w:pPr>
        <w:pStyle w:val="2"/>
        <w:keepNext w:val="0"/>
        <w:keepLines w:val="0"/>
        <w:pageBreakBefore w:val="0"/>
        <w:widowControl w:val="0"/>
        <w:kinsoku/>
        <w:overflowPunct/>
        <w:topLinePunct w:val="0"/>
        <w:autoSpaceDE/>
        <w:autoSpaceDN/>
        <w:bidi w:val="0"/>
        <w:spacing w:line="480" w:lineRule="exact"/>
        <w:ind w:right="0" w:rightChars="0" w:firstLine="420" w:firstLineChars="200"/>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投标人对开标有异议的，应当在开标过程中提出，招标人在开标过程中作出答复，并制作记录。异议与答复应通过新点电子交易平台进行。</w:t>
      </w:r>
    </w:p>
    <w:p w14:paraId="5F39FAB5">
      <w:pPr>
        <w:keepNext w:val="0"/>
        <w:keepLines w:val="0"/>
        <w:pageBreakBefore w:val="0"/>
        <w:widowControl w:val="0"/>
        <w:kinsoku/>
        <w:overflowPunct/>
        <w:topLinePunct w:val="0"/>
        <w:autoSpaceDE/>
        <w:autoSpaceDN/>
        <w:bidi w:val="0"/>
        <w:spacing w:line="480" w:lineRule="exact"/>
        <w:ind w:right="0" w:rightChars="0" w:firstLine="420" w:firstLineChars="200"/>
        <w:jc w:val="left"/>
        <w:textAlignment w:val="auto"/>
        <w:rPr>
          <w:rFonts w:hint="eastAsia" w:ascii="宋体"/>
          <w:b/>
          <w:color w:val="auto"/>
          <w:szCs w:val="21"/>
          <w:highlight w:val="none"/>
        </w:rPr>
      </w:pPr>
      <w:r>
        <w:rPr>
          <w:rFonts w:hint="eastAsia" w:ascii="宋体" w:hAnsi="宋体" w:cs="宋体"/>
          <w:color w:val="auto"/>
          <w:sz w:val="21"/>
          <w:szCs w:val="21"/>
          <w:highlight w:val="none"/>
          <w:lang w:val="en-US" w:eastAsia="zh-CN"/>
        </w:rPr>
        <w:t>26.</w:t>
      </w:r>
      <w:r>
        <w:rPr>
          <w:rFonts w:hint="eastAsia" w:ascii="宋体"/>
          <w:b/>
          <w:color w:val="auto"/>
          <w:szCs w:val="21"/>
          <w:highlight w:val="none"/>
          <w:lang w:val="en-US" w:eastAsia="zh-CN"/>
        </w:rPr>
        <w:t xml:space="preserve">评标委员会 </w:t>
      </w:r>
    </w:p>
    <w:p w14:paraId="614AC1B9">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评标委员会的组成</w:t>
      </w:r>
    </w:p>
    <w:p w14:paraId="34BBFEB7">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.1.1评标由</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人依法组建的评标委员会负责。</w:t>
      </w:r>
    </w:p>
    <w:p w14:paraId="6BFAB9B1">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.1.2评标委员会负责人依法推荐或确定。</w:t>
      </w:r>
    </w:p>
    <w:p w14:paraId="516CBD51">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评标委员会成员名单在中标结果确定前应当保密</w:t>
      </w:r>
      <w:r>
        <w:rPr>
          <w:rFonts w:hint="eastAsia" w:ascii="宋体" w:hAnsi="宋体" w:eastAsia="宋体" w:cs="宋体"/>
          <w:color w:val="auto"/>
          <w:szCs w:val="21"/>
          <w:highlight w:val="none"/>
          <w:lang w:eastAsia="zh-CN"/>
        </w:rPr>
        <w:t>。</w:t>
      </w:r>
    </w:p>
    <w:p w14:paraId="34B9A838">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授权评标委员会对投标人资格进行审查。</w:t>
      </w:r>
    </w:p>
    <w:p w14:paraId="694DE14C">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 评标委员会应当向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提出书面评标报告，并抄送有关行政监督部门。评标报告应当如实记载以下内容：</w:t>
      </w:r>
    </w:p>
    <w:p w14:paraId="362811A3">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235777">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1A7EEFA">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D99B7ED">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0F8B7677">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（5）无效情况说明；</w:t>
      </w:r>
    </w:p>
    <w:p w14:paraId="4FC8D2BF">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（6）评标标准、评标方法或者评标因素一览表；</w:t>
      </w:r>
    </w:p>
    <w:p w14:paraId="792874DB">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（7）经评审的价格或者评分比较一览表；</w:t>
      </w:r>
    </w:p>
    <w:p w14:paraId="33EDF466">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（8）投标人串标、围标等违规行为的确认报告；</w:t>
      </w:r>
    </w:p>
    <w:p w14:paraId="378AB277">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（9）经评审的投标人排序；</w:t>
      </w:r>
    </w:p>
    <w:p w14:paraId="4B027C5E">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（10）推荐的中标候选人名单；</w:t>
      </w:r>
    </w:p>
    <w:p w14:paraId="59D25F26">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（11）澄清、说明、补正事项纪要。</w:t>
      </w:r>
    </w:p>
    <w:p w14:paraId="4331CA60">
      <w:pPr>
        <w:keepNext w:val="0"/>
        <w:keepLines w:val="0"/>
        <w:pageBreakBefore w:val="0"/>
        <w:widowControl w:val="0"/>
        <w:kinsoku/>
        <w:overflowPunct/>
        <w:topLinePunct w:val="0"/>
        <w:autoSpaceDE/>
        <w:autoSpaceDN/>
        <w:bidi w:val="0"/>
        <w:spacing w:line="480" w:lineRule="exact"/>
        <w:ind w:right="0" w:rightChars="0" w:firstLine="420" w:firstLineChars="200"/>
        <w:jc w:val="left"/>
        <w:textAlignment w:val="auto"/>
        <w:rPr>
          <w:rFonts w:hint="eastAsia" w:ascii="宋体"/>
          <w:b w:val="0"/>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r>
        <w:rPr>
          <w:rFonts w:hint="eastAsia" w:ascii="宋体"/>
          <w:b w:val="0"/>
          <w:bCs/>
          <w:color w:val="auto"/>
          <w:szCs w:val="21"/>
          <w:highlight w:val="none"/>
          <w:lang w:val="en-US" w:eastAsia="zh-CN"/>
        </w:rPr>
        <w:t xml:space="preserve">。 </w:t>
      </w:r>
    </w:p>
    <w:p w14:paraId="256E6BE5">
      <w:pPr>
        <w:keepNext w:val="0"/>
        <w:keepLines w:val="0"/>
        <w:pageBreakBefore w:val="0"/>
        <w:widowControl w:val="0"/>
        <w:kinsoku/>
        <w:overflowPunct/>
        <w:topLinePunct w:val="0"/>
        <w:autoSpaceDE/>
        <w:autoSpaceDN/>
        <w:bidi w:val="0"/>
        <w:spacing w:line="480" w:lineRule="exact"/>
        <w:ind w:right="0" w:rightChars="0" w:firstLine="422" w:firstLineChars="200"/>
        <w:jc w:val="left"/>
        <w:textAlignment w:val="auto"/>
        <w:rPr>
          <w:rFonts w:hint="eastAsia" w:ascii="宋体"/>
          <w:b/>
          <w:color w:val="auto"/>
          <w:szCs w:val="21"/>
          <w:highlight w:val="none"/>
        </w:rPr>
      </w:pPr>
      <w:r>
        <w:rPr>
          <w:rFonts w:hint="eastAsia" w:ascii="宋体"/>
          <w:b/>
          <w:color w:val="auto"/>
          <w:szCs w:val="21"/>
          <w:highlight w:val="none"/>
          <w:lang w:val="en-US" w:eastAsia="zh-CN"/>
        </w:rPr>
        <w:t xml:space="preserve">27. 评标 </w:t>
      </w:r>
    </w:p>
    <w:p w14:paraId="3113249A">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  评标准备工作</w:t>
      </w:r>
    </w:p>
    <w:p w14:paraId="7BDC760B">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27.1.1阅读由招标人或招标代理单位编写的招标项目情况的说明材料；</w:t>
      </w:r>
    </w:p>
    <w:p w14:paraId="001C443B">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27.1.2阅读、研究招标文件和相关评标资料，获取评标所需要的重要信息和数据；</w:t>
      </w:r>
    </w:p>
    <w:p w14:paraId="299648D5">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27.1.3熟悉招标文件规定的评标方法及在评标过程中需要考虑的相关因素；</w:t>
      </w:r>
    </w:p>
    <w:p w14:paraId="169461A8">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27.1.4核对评标工作用表。</w:t>
      </w:r>
    </w:p>
    <w:p w14:paraId="6D87DD6F">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  评标办法</w:t>
      </w:r>
    </w:p>
    <w:p w14:paraId="4ABF6CE0">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27.2.1评标委员会按照第二章“评标办法”规定的方法、评审因素、标准和程序对投标文件进行评审。第二章“评标办法”没有规定的方法、评审因素和标准，不作为评标依据。</w:t>
      </w:r>
    </w:p>
    <w:p w14:paraId="5E75C0DF">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27.3评标原则：</w:t>
      </w:r>
    </w:p>
    <w:p w14:paraId="27CFAFC6">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遵循公平、公正、科学和择优的原则。</w:t>
      </w:r>
    </w:p>
    <w:p w14:paraId="4E4A2BF0">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 投标文件的澄清</w:t>
      </w:r>
    </w:p>
    <w:p w14:paraId="2A215DB6">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27.4.1 在评标过程中，评标委员会认为需要，可要求投标人对投标文件中的有关问题进行澄清或提供补充说明及有关资料，投标人应做出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196EDBAE">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27.4.2投标截止时间后，投标人对投标报价或其它实质性内容修正的函件和增加的任何优惠条件，一律不得作为评标、定标的依据。</w:t>
      </w:r>
    </w:p>
    <w:p w14:paraId="379380B5">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27.4.3 招标人不接受投标人主动提出的澄清。</w:t>
      </w:r>
    </w:p>
    <w:p w14:paraId="06F0B09C">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27.5评审意见分歧的处理办法</w:t>
      </w:r>
    </w:p>
    <w:p w14:paraId="69F124AD">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（1）评标委员会应当对投标人提供的报告、证明材料及详细说明认真研究。对存在意见分歧的，可采用投票方式表决决定（按多数评委意见为准）；</w:t>
      </w:r>
    </w:p>
    <w:p w14:paraId="6DE5331A">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（2）招标投标当事人对评标结果提出质疑或者投诉，公共资源交易监督机构认为需要重新进行评标的，评标委员会成员应当按照公共资源交易监督机构要求重新评标。</w:t>
      </w:r>
    </w:p>
    <w:p w14:paraId="630F06F4">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27.6评标报告的签署</w:t>
      </w:r>
    </w:p>
    <w:p w14:paraId="2A2F6083">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3A96828">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27.7评标过程的保密</w:t>
      </w:r>
    </w:p>
    <w:p w14:paraId="4E822EA3">
      <w:pPr>
        <w:keepNext w:val="0"/>
        <w:keepLines w:val="0"/>
        <w:pageBreakBefore w:val="0"/>
        <w:widowControl w:val="0"/>
        <w:kinsoku/>
        <w:overflowPunct/>
        <w:topLinePunct w:val="0"/>
        <w:autoSpaceDE/>
        <w:autoSpaceDN/>
        <w:bidi w:val="0"/>
        <w:spacing w:line="480" w:lineRule="exact"/>
        <w:ind w:right="0" w:rightChars="0" w:firstLine="420" w:firstLineChars="200"/>
        <w:jc w:val="left"/>
        <w:textAlignment w:val="auto"/>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 评标委员会成员和与评标活动有关的工作人员不得透露对投标文件的评审和比较、中标候选人的推荐情况以及与评标有关的其他情况</w:t>
      </w:r>
      <w:r>
        <w:rPr>
          <w:rFonts w:hint="eastAsia" w:ascii="宋体" w:hAnsi="Times New Roman" w:eastAsia="宋体" w:cs="Times New Roman"/>
          <w:b w:val="0"/>
          <w:bCs/>
          <w:color w:val="auto"/>
          <w:szCs w:val="21"/>
          <w:highlight w:val="none"/>
          <w:lang w:val="en-US" w:eastAsia="zh-CN"/>
        </w:rPr>
        <w:t xml:space="preserve">。 </w:t>
      </w:r>
    </w:p>
    <w:p w14:paraId="67425CE3">
      <w:pPr>
        <w:keepNext w:val="0"/>
        <w:keepLines w:val="0"/>
        <w:pageBreakBefore w:val="0"/>
        <w:widowControl w:val="0"/>
        <w:kinsoku/>
        <w:wordWrap/>
        <w:overflowPunct/>
        <w:topLinePunct w:val="0"/>
        <w:autoSpaceDE/>
        <w:autoSpaceDN/>
        <w:bidi w:val="0"/>
        <w:adjustRightInd/>
        <w:snapToGrid/>
        <w:spacing w:line="480" w:lineRule="exact"/>
        <w:ind w:right="0" w:rightChars="0"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27.8评标结果公告</w:t>
      </w:r>
    </w:p>
    <w:p w14:paraId="002C3227">
      <w:pPr>
        <w:keepNext w:val="0"/>
        <w:keepLines w:val="0"/>
        <w:pageBreakBefore w:val="0"/>
        <w:widowControl w:val="0"/>
        <w:kinsoku/>
        <w:overflowPunct/>
        <w:topLinePunct w:val="0"/>
        <w:autoSpaceDE/>
        <w:autoSpaceDN/>
        <w:bidi w:val="0"/>
        <w:spacing w:line="480" w:lineRule="exact"/>
        <w:ind w:right="0" w:rightChars="0" w:firstLine="422" w:firstLineChars="200"/>
        <w:jc w:val="left"/>
        <w:textAlignment w:val="auto"/>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b/>
          <w:bCs/>
          <w:color w:val="auto"/>
          <w:szCs w:val="21"/>
          <w:highlight w:val="none"/>
          <w:lang w:val="en-US" w:eastAsia="zh-CN"/>
        </w:rPr>
        <w:t>招标人应将中标人的情况在</w:t>
      </w:r>
      <w:r>
        <w:rPr>
          <w:rFonts w:hint="eastAsia" w:ascii="宋体" w:hAnsi="宋体" w:cs="宋体"/>
          <w:b/>
          <w:bCs/>
          <w:color w:val="auto"/>
          <w:szCs w:val="21"/>
          <w:highlight w:val="none"/>
          <w:lang w:val="en-US" w:eastAsia="zh-CN"/>
        </w:rPr>
        <w:t>滁州市城投工程咨询管理有限公司（https://www.czctgczx.com/）</w:t>
      </w:r>
      <w:r>
        <w:rPr>
          <w:rFonts w:hint="eastAsia" w:ascii="宋体" w:hAnsi="宋体" w:eastAsia="宋体" w:cs="宋体"/>
          <w:b/>
          <w:bCs/>
          <w:color w:val="auto"/>
          <w:szCs w:val="21"/>
          <w:highlight w:val="none"/>
          <w:lang w:val="en-US" w:eastAsia="zh-CN"/>
        </w:rPr>
        <w:t>等网站上予以公告，公告期为3日</w:t>
      </w:r>
      <w:r>
        <w:rPr>
          <w:rFonts w:hint="eastAsia" w:ascii="宋体" w:hAnsi="Times New Roman" w:eastAsia="宋体" w:cs="Times New Roman"/>
          <w:b w:val="0"/>
          <w:bCs/>
          <w:color w:val="auto"/>
          <w:szCs w:val="21"/>
          <w:highlight w:val="none"/>
          <w:lang w:val="en-US" w:eastAsia="zh-CN"/>
        </w:rPr>
        <w:t xml:space="preserve">。 </w:t>
      </w:r>
    </w:p>
    <w:p w14:paraId="7B732A45">
      <w:pPr>
        <w:keepNext w:val="0"/>
        <w:keepLines w:val="0"/>
        <w:pageBreakBefore w:val="0"/>
        <w:widowControl w:val="0"/>
        <w:kinsoku/>
        <w:wordWrap/>
        <w:overflowPunct/>
        <w:topLinePunct w:val="0"/>
        <w:autoSpaceDE/>
        <w:autoSpaceDN/>
        <w:bidi w:val="0"/>
        <w:adjustRightInd/>
        <w:snapToGrid/>
        <w:spacing w:line="480" w:lineRule="exact"/>
        <w:ind w:right="0" w:rightChars="0"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定标</w:t>
      </w:r>
    </w:p>
    <w:p w14:paraId="7CBC244B">
      <w:pPr>
        <w:pStyle w:val="18"/>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中标人的确定</w:t>
      </w:r>
    </w:p>
    <w:p w14:paraId="312012EC">
      <w:pPr>
        <w:pStyle w:val="18"/>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.1.1除投标人须知前附表规定评标委员会直接确定中标人外，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人依据评标委员会推荐的中标候选人确定中标人，评标委员会推荐中标候选人的人数见投标人须知前附表。</w:t>
      </w:r>
    </w:p>
    <w:p w14:paraId="7A869D92">
      <w:pPr>
        <w:pStyle w:val="18"/>
        <w:keepNext w:val="0"/>
        <w:keepLines w:val="0"/>
        <w:pageBreakBefore w:val="0"/>
        <w:widowControl w:val="0"/>
        <w:kinsoku/>
        <w:wordWrap w:val="0"/>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.1.2中标人确定后，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应将中标信息在</w:t>
      </w:r>
      <w:r>
        <w:rPr>
          <w:rFonts w:hint="eastAsia" w:ascii="宋体" w:hAnsi="宋体" w:cs="宋体"/>
          <w:color w:val="auto"/>
          <w:szCs w:val="21"/>
          <w:highlight w:val="none"/>
          <w:lang w:val="en-US" w:eastAsia="zh-CN"/>
        </w:rPr>
        <w:t>滁州市城投工程咨询管理有限公司（https://www.czctgczx.com/）</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rPr>
        <w:t>网站上公告。</w:t>
      </w:r>
    </w:p>
    <w:p w14:paraId="5604CD8A">
      <w:pPr>
        <w:pStyle w:val="18"/>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中标通知书</w:t>
      </w:r>
    </w:p>
    <w:p w14:paraId="240A53A8">
      <w:pPr>
        <w:pStyle w:val="18"/>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代理机构应在中标人确定之日起2个工作日内，向中标人发出中标通知书。</w:t>
      </w:r>
    </w:p>
    <w:p w14:paraId="6292799B">
      <w:pPr>
        <w:pStyle w:val="18"/>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.2.2中标通知书须加盖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代理机构公章后，方可发出。</w:t>
      </w:r>
    </w:p>
    <w:p w14:paraId="13613C44">
      <w:pPr>
        <w:keepNext w:val="0"/>
        <w:keepLines w:val="0"/>
        <w:pageBreakBefore w:val="0"/>
        <w:widowControl w:val="0"/>
        <w:kinsoku/>
        <w:wordWrap/>
        <w:overflowPunct/>
        <w:topLinePunct w:val="0"/>
        <w:autoSpaceDE/>
        <w:autoSpaceDN/>
        <w:bidi w:val="0"/>
        <w:adjustRightInd/>
        <w:snapToGrid/>
        <w:spacing w:line="480" w:lineRule="exact"/>
        <w:ind w:right="0" w:rightChars="0"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29</w:t>
      </w:r>
      <w:r>
        <w:rPr>
          <w:rFonts w:hint="eastAsia" w:ascii="宋体" w:hAnsi="宋体" w:eastAsia="宋体" w:cs="宋体"/>
          <w:b/>
          <w:color w:val="auto"/>
          <w:szCs w:val="21"/>
          <w:highlight w:val="none"/>
        </w:rPr>
        <w:t>. 开评标异常情况处理</w:t>
      </w:r>
    </w:p>
    <w:p w14:paraId="5C9BE4A3">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 xml:space="preserve">.1重新招标 </w:t>
      </w:r>
    </w:p>
    <w:p w14:paraId="446F54DF">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有下列情形之一的，</w:t>
      </w:r>
      <w:r>
        <w:rPr>
          <w:rFonts w:hint="eastAsia" w:ascii="宋体" w:hAnsi="宋体" w:eastAsia="宋体" w:cs="宋体"/>
          <w:color w:val="auto"/>
          <w:kern w:val="10"/>
          <w:szCs w:val="21"/>
          <w:highlight w:val="none"/>
          <w:lang w:eastAsia="zh-CN"/>
        </w:rPr>
        <w:t>招标人</w:t>
      </w:r>
      <w:r>
        <w:rPr>
          <w:rFonts w:hint="eastAsia" w:ascii="宋体" w:hAnsi="宋体" w:eastAsia="宋体" w:cs="宋体"/>
          <w:color w:val="auto"/>
          <w:kern w:val="10"/>
          <w:szCs w:val="21"/>
          <w:highlight w:val="none"/>
        </w:rPr>
        <w:t>将重新招标：</w:t>
      </w:r>
    </w:p>
    <w:p w14:paraId="3E17D152">
      <w:pPr>
        <w:keepNext w:val="0"/>
        <w:keepLines w:val="0"/>
        <w:pageBreakBefore w:val="0"/>
        <w:widowControl w:val="0"/>
        <w:kinsoku/>
        <w:overflowPunct/>
        <w:topLinePunct w:val="0"/>
        <w:autoSpaceDE/>
        <w:autoSpaceDN/>
        <w:bidi w:val="0"/>
        <w:adjustRightInd w:val="0"/>
        <w:snapToGrid w:val="0"/>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 xml:space="preserve">(1)投标截止时间止，投标人少于三个的； </w:t>
      </w:r>
    </w:p>
    <w:p w14:paraId="556D50B6">
      <w:pPr>
        <w:keepNext w:val="0"/>
        <w:keepLines w:val="0"/>
        <w:pageBreakBefore w:val="0"/>
        <w:widowControl w:val="0"/>
        <w:kinsoku/>
        <w:overflowPunct/>
        <w:topLinePunct w:val="0"/>
        <w:autoSpaceDE/>
        <w:autoSpaceDN/>
        <w:bidi w:val="0"/>
        <w:adjustRightInd w:val="0"/>
        <w:snapToGrid w:val="0"/>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(2)经评标委员会评审后否决所有投标的；</w:t>
      </w:r>
    </w:p>
    <w:p w14:paraId="750F8A2C">
      <w:pPr>
        <w:keepNext w:val="0"/>
        <w:keepLines w:val="0"/>
        <w:pageBreakBefore w:val="0"/>
        <w:widowControl w:val="0"/>
        <w:kinsoku/>
        <w:overflowPunct/>
        <w:topLinePunct w:val="0"/>
        <w:autoSpaceDE/>
        <w:autoSpaceDN/>
        <w:bidi w:val="0"/>
        <w:adjustRightInd w:val="0"/>
        <w:snapToGrid w:val="0"/>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(3)出现影响采购公正的违法、违规行为的；</w:t>
      </w:r>
    </w:p>
    <w:p w14:paraId="02A4A144">
      <w:pPr>
        <w:keepNext w:val="0"/>
        <w:keepLines w:val="0"/>
        <w:pageBreakBefore w:val="0"/>
        <w:widowControl w:val="0"/>
        <w:kinsoku/>
        <w:overflowPunct/>
        <w:topLinePunct w:val="0"/>
        <w:autoSpaceDE/>
        <w:autoSpaceDN/>
        <w:bidi w:val="0"/>
        <w:adjustRightInd w:val="0"/>
        <w:snapToGrid w:val="0"/>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14:paraId="4C565AB0">
      <w:pPr>
        <w:keepNext w:val="0"/>
        <w:keepLines w:val="0"/>
        <w:pageBreakBefore w:val="0"/>
        <w:widowControl w:val="0"/>
        <w:kinsoku/>
        <w:overflowPunct/>
        <w:topLinePunct w:val="0"/>
        <w:autoSpaceDE/>
        <w:autoSpaceDN/>
        <w:bidi w:val="0"/>
        <w:adjustRightInd w:val="0"/>
        <w:snapToGrid w:val="0"/>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(5)因重大变故，采购任务取消的。</w:t>
      </w:r>
    </w:p>
    <w:p w14:paraId="44A10C61">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.2变更采购方式</w:t>
      </w:r>
    </w:p>
    <w:p w14:paraId="7295FCC4">
      <w:pPr>
        <w:keepNext w:val="0"/>
        <w:keepLines w:val="0"/>
        <w:pageBreakBefore w:val="0"/>
        <w:widowControl w:val="0"/>
        <w:kinsoku/>
        <w:overflowPunct/>
        <w:topLinePunct w:val="0"/>
        <w:autoSpaceDE/>
        <w:autoSpaceDN/>
        <w:bidi w:val="0"/>
        <w:spacing w:line="480" w:lineRule="exact"/>
        <w:ind w:right="0" w:rightChars="0" w:firstLine="420" w:firstLineChars="200"/>
        <w:jc w:val="left"/>
        <w:textAlignment w:val="auto"/>
        <w:rPr>
          <w:rFonts w:hint="eastAsia" w:ascii="宋体" w:hAnsi="Times New Roman" w:eastAsia="宋体" w:cs="Times New Roman"/>
          <w:b w:val="0"/>
          <w:bCs/>
          <w:color w:val="auto"/>
          <w:szCs w:val="21"/>
          <w:highlight w:val="none"/>
          <w:lang w:val="en-US" w:eastAsia="zh-CN"/>
        </w:rPr>
      </w:pPr>
      <w:r>
        <w:rPr>
          <w:rFonts w:hint="eastAsia" w:ascii="宋体" w:hAnsi="Times New Roman" w:eastAsia="宋体" w:cs="Times New Roman"/>
          <w:b w:val="0"/>
          <w:bCs/>
          <w:color w:val="auto"/>
          <w:szCs w:val="21"/>
          <w:highlight w:val="none"/>
          <w:lang w:val="en-US" w:eastAsia="zh-CN"/>
        </w:rPr>
        <w:t xml:space="preserve">/。 </w:t>
      </w:r>
    </w:p>
    <w:p w14:paraId="6CB16242">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0" w:name="_Toc21491"/>
      <w:bookmarkStart w:id="51" w:name="_Toc22926"/>
      <w:r>
        <w:rPr>
          <w:rFonts w:hint="eastAsia" w:ascii="宋体" w:hAnsi="宋体" w:eastAsia="宋体" w:cs="宋体"/>
          <w:b/>
          <w:bCs/>
          <w:color w:val="auto"/>
          <w:sz w:val="28"/>
          <w:highlight w:val="none"/>
        </w:rPr>
        <w:t>六、合同的授予</w:t>
      </w:r>
      <w:bookmarkEnd w:id="50"/>
      <w:bookmarkEnd w:id="51"/>
    </w:p>
    <w:p w14:paraId="2EDC141E">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.合同授予标准</w:t>
      </w:r>
    </w:p>
    <w:p w14:paraId="282F2584">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.1本招标工程的合同授予按本须知第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条规定所确定的中标人。</w:t>
      </w:r>
    </w:p>
    <w:p w14:paraId="3811C16F">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.合同协议书的签订</w:t>
      </w:r>
    </w:p>
    <w:p w14:paraId="65ADE3E6">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.1中标通知书发放后3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433C1E40">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中标人如不按本</w:t>
      </w:r>
      <w:r>
        <w:rPr>
          <w:rFonts w:hint="eastAsia" w:ascii="宋体" w:hAnsi="宋体" w:cs="宋体"/>
          <w:color w:val="auto"/>
          <w:sz w:val="21"/>
          <w:szCs w:val="21"/>
          <w:highlight w:val="none"/>
          <w:lang w:eastAsia="zh-CN"/>
        </w:rPr>
        <w:t>投标人须知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6CA53D9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中标人应当按照合同约定履行义务，完成中标项目的实施，不得将中标项目转让（转包）给他人。</w:t>
      </w:r>
      <w:r>
        <w:rPr>
          <w:rFonts w:hint="eastAsia" w:ascii="宋体" w:hAnsi="宋体" w:eastAsia="宋体" w:cs="宋体"/>
          <w:color w:val="auto"/>
          <w:highlight w:val="none"/>
          <w:lang w:val="en-US" w:eastAsia="zh-CN"/>
        </w:rPr>
        <w:t xml:space="preserve"> </w:t>
      </w:r>
      <w:bookmarkStart w:id="52" w:name="_Toc3222"/>
      <w:bookmarkStart w:id="53" w:name="_Toc31589_WPSOffice_Level1"/>
      <w:r>
        <w:rPr>
          <w:rFonts w:hint="eastAsia" w:ascii="宋体" w:hAnsi="宋体" w:eastAsia="宋体" w:cs="宋体"/>
          <w:color w:val="auto"/>
          <w:highlight w:val="none"/>
          <w:lang w:val="en-US" w:eastAsia="zh-CN"/>
        </w:rPr>
        <w:t xml:space="preserve"> </w:t>
      </w:r>
    </w:p>
    <w:p w14:paraId="1A0FFB64">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七</w:t>
      </w:r>
      <w:r>
        <w:rPr>
          <w:rFonts w:hint="eastAsia" w:ascii="宋体" w:hAnsi="宋体" w:eastAsia="宋体" w:cs="宋体"/>
          <w:b/>
          <w:bCs/>
          <w:color w:val="auto"/>
          <w:sz w:val="28"/>
          <w:highlight w:val="none"/>
          <w:lang w:eastAsia="zh-CN"/>
        </w:rPr>
        <w:t>、</w:t>
      </w:r>
      <w:r>
        <w:rPr>
          <w:rFonts w:hint="eastAsia" w:ascii="宋体" w:hAnsi="宋体" w:eastAsia="宋体" w:cs="宋体"/>
          <w:b/>
          <w:bCs/>
          <w:color w:val="auto"/>
          <w:sz w:val="28"/>
          <w:highlight w:val="none"/>
        </w:rPr>
        <w:t>纪律和监督</w:t>
      </w:r>
    </w:p>
    <w:p w14:paraId="4D39E8B8">
      <w:pPr>
        <w:keepNext w:val="0"/>
        <w:keepLines w:val="0"/>
        <w:pageBreakBefore w:val="0"/>
        <w:widowControl w:val="0"/>
        <w:kinsoku/>
        <w:wordWrap/>
        <w:overflowPunct/>
        <w:topLinePunct w:val="0"/>
        <w:autoSpaceDE/>
        <w:autoSpaceDN/>
        <w:bidi w:val="0"/>
        <w:spacing w:line="48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 对</w:t>
      </w:r>
      <w:r>
        <w:rPr>
          <w:rFonts w:hint="eastAsia" w:ascii="宋体" w:hAnsi="宋体" w:eastAsia="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 xml:space="preserve">人的纪律要求 </w:t>
      </w:r>
    </w:p>
    <w:p w14:paraId="4F26488C">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2</w:t>
      </w:r>
      <w:r>
        <w:rPr>
          <w:rFonts w:hint="eastAsia" w:ascii="宋体" w:hAnsi="宋体" w:eastAsia="宋体" w:cs="宋体"/>
          <w:color w:val="auto"/>
          <w:kern w:val="10"/>
          <w:sz w:val="21"/>
          <w:szCs w:val="21"/>
          <w:highlight w:val="none"/>
        </w:rPr>
        <w:t>.1</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 xml:space="preserve">人不得泄漏招标投标活动中应当保密的情况和资料，不得与投标人串通损害国家利益，社会公共利益或者他人合法权益。 </w:t>
      </w:r>
    </w:p>
    <w:p w14:paraId="5551F485">
      <w:pPr>
        <w:keepNext w:val="0"/>
        <w:keepLines w:val="0"/>
        <w:pageBreakBefore w:val="0"/>
        <w:widowControl w:val="0"/>
        <w:kinsoku/>
        <w:wordWrap/>
        <w:overflowPunct/>
        <w:topLinePunct w:val="0"/>
        <w:autoSpaceDE/>
        <w:autoSpaceDN/>
        <w:bidi w:val="0"/>
        <w:spacing w:line="48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对投标人的纪律要求 </w:t>
      </w:r>
    </w:p>
    <w:p w14:paraId="7504D9C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3</w:t>
      </w:r>
      <w:r>
        <w:rPr>
          <w:rFonts w:hint="eastAsia" w:ascii="宋体" w:hAnsi="宋体" w:eastAsia="宋体" w:cs="宋体"/>
          <w:color w:val="auto"/>
          <w:kern w:val="10"/>
          <w:sz w:val="21"/>
          <w:szCs w:val="21"/>
          <w:highlight w:val="none"/>
        </w:rPr>
        <w:t>.1投标人不得相互串通投标或者与</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人串通投标，不得向</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人或者评标委员会成员行贿谋取中标，不得以他人名义投标或者以其他方式弄虚作假骗取中标；投标人不得以任何方式干扰、影响评标工作。</w:t>
      </w:r>
    </w:p>
    <w:p w14:paraId="7BDEB768">
      <w:pPr>
        <w:keepNext w:val="0"/>
        <w:keepLines w:val="0"/>
        <w:pageBreakBefore w:val="0"/>
        <w:widowControl w:val="0"/>
        <w:kinsoku/>
        <w:wordWrap/>
        <w:overflowPunct/>
        <w:topLinePunct w:val="0"/>
        <w:autoSpaceDE/>
        <w:autoSpaceDN/>
        <w:bidi w:val="0"/>
        <w:spacing w:line="48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对评标委员会成员的纪律要求 </w:t>
      </w:r>
    </w:p>
    <w:p w14:paraId="6CB3C107">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.1评标委员会成员不得收受他人的财物或者其他好处，不得向他人透漏对投标文件的评审和比较、中标候选人的推荐情况以及评标有关的其他情况。</w:t>
      </w:r>
    </w:p>
    <w:p w14:paraId="03E470DE">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.2在评标活动中，评标委员会成员不得擅离职守，影响评标程序正常进行，不得使用第</w:t>
      </w:r>
      <w:r>
        <w:rPr>
          <w:rFonts w:hint="eastAsia" w:ascii="宋体" w:hAnsi="宋体" w:cs="宋体"/>
          <w:color w:val="auto"/>
          <w:kern w:val="10"/>
          <w:sz w:val="21"/>
          <w:szCs w:val="21"/>
          <w:highlight w:val="none"/>
          <w:lang w:eastAsia="zh-CN"/>
        </w:rPr>
        <w:t>二</w:t>
      </w:r>
      <w:r>
        <w:rPr>
          <w:rFonts w:hint="eastAsia" w:ascii="宋体" w:hAnsi="宋体" w:eastAsia="宋体" w:cs="宋体"/>
          <w:color w:val="auto"/>
          <w:kern w:val="10"/>
          <w:sz w:val="21"/>
          <w:szCs w:val="21"/>
          <w:highlight w:val="none"/>
        </w:rPr>
        <w:t xml:space="preserve">章“评标办法”没有规定的评审因素和标准进行评标。 </w:t>
      </w:r>
    </w:p>
    <w:p w14:paraId="72153F7E">
      <w:pPr>
        <w:keepNext w:val="0"/>
        <w:keepLines w:val="0"/>
        <w:pageBreakBefore w:val="0"/>
        <w:widowControl w:val="0"/>
        <w:kinsoku/>
        <w:wordWrap/>
        <w:overflowPunct/>
        <w:topLinePunct w:val="0"/>
        <w:autoSpaceDE/>
        <w:autoSpaceDN/>
        <w:bidi w:val="0"/>
        <w:spacing w:line="48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 xml:space="preserve">. 对与评标活动有关的工作人员的纪律要求 </w:t>
      </w:r>
    </w:p>
    <w:p w14:paraId="27E68A89">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color w:val="auto"/>
          <w:kern w:val="10"/>
          <w:szCs w:val="21"/>
          <w:highlight w:val="none"/>
        </w:rPr>
      </w:pPr>
      <w:r>
        <w:rPr>
          <w:rFonts w:hint="eastAsia" w:ascii="宋体" w:hAnsi="宋体" w:eastAsia="宋体" w:cs="宋体"/>
          <w:color w:val="auto"/>
          <w:kern w:val="10"/>
          <w:sz w:val="21"/>
          <w:szCs w:val="21"/>
          <w:highlight w:val="none"/>
          <w:lang w:val="en-US" w:eastAsia="zh-CN"/>
        </w:rPr>
        <w:t>35.1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r>
        <w:rPr>
          <w:rFonts w:hint="eastAsia" w:ascii="宋体"/>
          <w:color w:val="auto"/>
          <w:kern w:val="10"/>
          <w:szCs w:val="21"/>
          <w:highlight w:val="none"/>
        </w:rPr>
        <w:t>。</w:t>
      </w:r>
    </w:p>
    <w:p w14:paraId="5F5F9D3C">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4" w:name="_Toc449028875"/>
      <w:r>
        <w:rPr>
          <w:rFonts w:hint="eastAsia" w:ascii="宋体" w:hAnsi="宋体" w:eastAsia="宋体" w:cs="宋体"/>
          <w:b/>
          <w:bCs/>
          <w:color w:val="auto"/>
          <w:sz w:val="28"/>
          <w:highlight w:val="none"/>
          <w:lang w:val="en-US" w:eastAsia="zh-CN"/>
        </w:rPr>
        <w:t>八、</w:t>
      </w:r>
      <w:r>
        <w:rPr>
          <w:rFonts w:hint="eastAsia" w:ascii="宋体" w:hAnsi="宋体" w:eastAsia="宋体" w:cs="宋体"/>
          <w:b/>
          <w:bCs/>
          <w:color w:val="auto"/>
          <w:sz w:val="28"/>
          <w:highlight w:val="none"/>
        </w:rPr>
        <w:t>质疑</w:t>
      </w:r>
      <w:bookmarkEnd w:id="54"/>
    </w:p>
    <w:p w14:paraId="1CD4C1C5">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36</w:t>
      </w:r>
      <w:r>
        <w:rPr>
          <w:rFonts w:hint="eastAsia" w:ascii="宋体" w:hAnsi="宋体" w:eastAsia="宋体" w:cs="宋体"/>
          <w:b/>
          <w:color w:val="auto"/>
          <w:sz w:val="21"/>
          <w:szCs w:val="21"/>
          <w:highlight w:val="none"/>
        </w:rPr>
        <w:t>. 询问、质疑</w:t>
      </w:r>
    </w:p>
    <w:p w14:paraId="2E4B5FF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 投标人对招标活动事项有疑问的，可以向招标人提出询问，招标人将在三日内作出答复，但答复的内容不涉及商业秘密。</w:t>
      </w:r>
    </w:p>
    <w:p w14:paraId="0294DB2C">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36.2 </w:t>
      </w:r>
      <w:r>
        <w:rPr>
          <w:rFonts w:hint="eastAsia" w:ascii="宋体" w:hAnsi="宋体" w:eastAsia="宋体" w:cs="宋体"/>
          <w:color w:val="auto"/>
          <w:sz w:val="21"/>
          <w:szCs w:val="21"/>
          <w:highlight w:val="none"/>
        </w:rPr>
        <w:t>投标人和其他利害关系人认为本次招标活动违反法律、法规和规章规定的，有权向有关行政监督部门投诉。投诉应当有明确的请求和必要的证明材料。</w:t>
      </w:r>
    </w:p>
    <w:p w14:paraId="4AC960A2">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投标人或其他利害关系人对评标结果有异议的，应在公示期间提出。招标人将在收到异议之日起3日内作出答复；作出答复前，将暂停招标投标活动。</w:t>
      </w: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一份质疑（异议）函只能针对一个项目提出质疑（异议），且针对同一招标采购程序环节的质疑（异议）应当一次性提出</w:t>
      </w:r>
      <w:r>
        <w:rPr>
          <w:rFonts w:hint="eastAsia" w:ascii="宋体" w:hAnsi="宋体" w:eastAsia="宋体" w:cs="宋体"/>
          <w:b/>
          <w:bCs/>
          <w:color w:val="auto"/>
          <w:sz w:val="21"/>
          <w:szCs w:val="21"/>
          <w:highlight w:val="none"/>
          <w:lang w:eastAsia="zh-CN"/>
        </w:rPr>
        <w:t>。</w:t>
      </w:r>
    </w:p>
    <w:p w14:paraId="358F522D">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36.4参与投标的投标人对中标公告提出的质疑，负有举证的责任。投标人提出质疑应当提交质疑函和必要的证明材料。质疑函应当包括下列内容：</w:t>
      </w:r>
    </w:p>
    <w:p w14:paraId="1CBAEEF6">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（一）投标人的姓名或者名称、地址、邮编、联系人及联系电话；</w:t>
      </w:r>
    </w:p>
    <w:p w14:paraId="7763497A">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（二）质疑项目的名称、编号；</w:t>
      </w:r>
    </w:p>
    <w:p w14:paraId="2B5293BB">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（三）具体、明确的质疑事项和与质疑事项相关的请求；</w:t>
      </w:r>
    </w:p>
    <w:p w14:paraId="0CC942E4">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（四）事实依据；</w:t>
      </w:r>
    </w:p>
    <w:p w14:paraId="0F584D02">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（五）必要的法律依据；</w:t>
      </w:r>
    </w:p>
    <w:p w14:paraId="615070B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（六）提出质疑的日期。</w:t>
      </w:r>
    </w:p>
    <w:p w14:paraId="07F11C0E">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投标人为自然人的，应当由本人签字；投标人为法人或者其他组织的，应当由法定代表人、主要负责人，或者其授权代表签字或者盖章，并加盖公章。</w:t>
      </w:r>
    </w:p>
    <w:p w14:paraId="26A452B3">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w:t>
      </w:r>
      <w:r>
        <w:rPr>
          <w:rFonts w:hint="eastAsia" w:ascii="宋体" w:hAnsi="宋体" w:eastAsia="宋体" w:cs="宋体"/>
          <w:color w:val="auto"/>
          <w:kern w:val="10"/>
          <w:sz w:val="21"/>
          <w:szCs w:val="21"/>
          <w:highlight w:val="none"/>
          <w:lang w:eastAsia="zh-CN"/>
        </w:rPr>
        <w:t>招标人</w:t>
      </w:r>
      <w:r>
        <w:rPr>
          <w:rFonts w:hint="eastAsia" w:ascii="宋体" w:hAnsi="宋体" w:eastAsia="宋体" w:cs="宋体"/>
          <w:color w:val="auto"/>
          <w:kern w:val="10"/>
          <w:sz w:val="21"/>
          <w:szCs w:val="21"/>
          <w:highlight w:val="none"/>
        </w:rPr>
        <w:t>或</w:t>
      </w:r>
      <w:r>
        <w:rPr>
          <w:rFonts w:hint="eastAsia" w:ascii="宋体" w:hAnsi="宋体" w:eastAsia="宋体" w:cs="宋体"/>
          <w:color w:val="auto"/>
          <w:kern w:val="10"/>
          <w:sz w:val="21"/>
          <w:szCs w:val="21"/>
          <w:highlight w:val="none"/>
          <w:lang w:eastAsia="zh-CN"/>
        </w:rPr>
        <w:t>招标代理机构</w:t>
      </w:r>
      <w:r>
        <w:rPr>
          <w:rFonts w:hint="eastAsia" w:ascii="宋体" w:hAnsi="宋体" w:eastAsia="宋体" w:cs="宋体"/>
          <w:color w:val="auto"/>
          <w:kern w:val="10"/>
          <w:sz w:val="21"/>
          <w:szCs w:val="21"/>
          <w:highlight w:val="none"/>
        </w:rPr>
        <w:t>在收到投标人的质疑函后，将审查质疑函的格式、内容以及所附的证明文件是否符合要求。如不符合，说明原因退回投标人；如符合要求，则接受该质疑函并向投标人出具受理证明</w:t>
      </w:r>
      <w:r>
        <w:rPr>
          <w:rFonts w:hint="eastAsia" w:ascii="宋体" w:hAnsi="宋体" w:eastAsia="宋体" w:cs="宋体"/>
          <w:color w:val="auto"/>
          <w:sz w:val="21"/>
          <w:szCs w:val="21"/>
          <w:highlight w:val="none"/>
          <w:lang w:val="en-US" w:eastAsia="zh-CN"/>
        </w:rPr>
        <w:t>。</w:t>
      </w:r>
    </w:p>
    <w:p w14:paraId="65F1D038">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lang w:val="en-US" w:eastAsia="zh-CN"/>
        </w:rPr>
        <w:t>36.6处理质疑的时间，从实际接受投标人质疑函的时间开始计算</w:t>
      </w:r>
      <w:r>
        <w:rPr>
          <w:rFonts w:hint="eastAsia" w:ascii="宋体" w:hAnsi="宋体" w:eastAsia="宋体" w:cs="宋体"/>
          <w:color w:val="auto"/>
          <w:kern w:val="10"/>
          <w:sz w:val="21"/>
          <w:szCs w:val="21"/>
          <w:highlight w:val="none"/>
        </w:rPr>
        <w:t>。</w:t>
      </w:r>
    </w:p>
    <w:p w14:paraId="2DFD0EC6">
      <w:pPr>
        <w:pStyle w:val="5"/>
        <w:spacing w:before="0" w:after="0"/>
        <w:rPr>
          <w:rFonts w:hint="eastAsia" w:ascii="宋体" w:hAnsi="宋体" w:eastAsia="宋体" w:cs="宋体"/>
          <w:color w:val="auto"/>
          <w:highlight w:val="none"/>
          <w:lang w:val="en-US" w:eastAsia="zh-CN"/>
        </w:rPr>
      </w:pPr>
    </w:p>
    <w:p w14:paraId="32EDDA19">
      <w:pPr>
        <w:pStyle w:val="5"/>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55" w:name="_Toc13234"/>
      <w:r>
        <w:rPr>
          <w:rFonts w:hint="eastAsia" w:ascii="宋体" w:hAnsi="宋体" w:eastAsia="宋体" w:cs="宋体"/>
          <w:color w:val="auto"/>
          <w:highlight w:val="none"/>
          <w:lang w:val="en-US" w:eastAsia="zh-CN"/>
        </w:rPr>
        <w:t>第二章 评标办法</w:t>
      </w:r>
      <w:bookmarkEnd w:id="55"/>
    </w:p>
    <w:p w14:paraId="4E420EF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56" w:name="_Toc14912"/>
      <w:r>
        <w:rPr>
          <w:rFonts w:hint="eastAsia" w:ascii="宋体" w:hAnsi="宋体" w:eastAsia="宋体" w:cs="宋体"/>
          <w:b/>
          <w:bCs/>
          <w:color w:val="auto"/>
          <w:sz w:val="24"/>
          <w:szCs w:val="24"/>
          <w:highlight w:val="none"/>
          <w:lang w:val="en-US" w:eastAsia="zh-CN"/>
        </w:rPr>
        <w:t>一、总则</w:t>
      </w:r>
      <w:bookmarkEnd w:id="56"/>
    </w:p>
    <w:p w14:paraId="068C5033">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 本次评标采用综合评估法</w:t>
      </w:r>
    </w:p>
    <w:p w14:paraId="64AB08B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1.1综合评</w:t>
      </w:r>
      <w:r>
        <w:rPr>
          <w:rFonts w:hint="eastAsia" w:ascii="宋体" w:hAnsi="宋体" w:cs="宋体"/>
          <w:color w:val="auto"/>
          <w:sz w:val="21"/>
          <w:szCs w:val="21"/>
          <w:highlight w:val="none"/>
          <w:lang w:val="en-US" w:eastAsia="zh-CN"/>
        </w:rPr>
        <w:t>估</w:t>
      </w:r>
      <w:r>
        <w:rPr>
          <w:rFonts w:hint="eastAsia" w:ascii="宋体" w:hAnsi="宋体" w:eastAsia="宋体" w:cs="宋体"/>
          <w:color w:val="auto"/>
          <w:sz w:val="21"/>
          <w:szCs w:val="21"/>
          <w:highlight w:val="none"/>
          <w:lang w:val="en-US" w:eastAsia="zh-CN"/>
        </w:rPr>
        <w:t>法，评标委员会按照本章规定的评分标准进行打分，</w:t>
      </w:r>
      <w:r>
        <w:rPr>
          <w:rFonts w:hint="eastAsia" w:ascii="宋体" w:hAnsi="宋体" w:cs="宋体"/>
          <w:b/>
          <w:bCs/>
          <w:color w:val="auto"/>
          <w:szCs w:val="21"/>
          <w:highlight w:val="none"/>
        </w:rPr>
        <w:t>并按总得分由高到低顺序推荐</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名中标候选人，并标明排序</w:t>
      </w:r>
      <w:r>
        <w:rPr>
          <w:rFonts w:hint="eastAsia" w:ascii="宋体" w:hAnsi="宋体" w:cs="宋体"/>
          <w:b/>
          <w:bCs/>
          <w:color w:val="auto"/>
          <w:szCs w:val="21"/>
          <w:highlight w:val="none"/>
          <w:lang w:eastAsia="zh-CN"/>
        </w:rPr>
        <w:t>，但投标报价低于其成本的除外</w:t>
      </w:r>
      <w:r>
        <w:rPr>
          <w:rFonts w:hint="eastAsia" w:ascii="宋体" w:hAnsi="宋体" w:eastAsia="宋体" w:cs="宋体"/>
          <w:color w:val="auto"/>
          <w:sz w:val="21"/>
          <w:szCs w:val="21"/>
          <w:highlight w:val="none"/>
          <w:lang w:val="en-US" w:eastAsia="zh-CN"/>
        </w:rPr>
        <w:t>。得分最高的为第一中标候选人，第二高的为第二中标候选人。</w:t>
      </w:r>
      <w:r>
        <w:rPr>
          <w:rFonts w:hint="eastAsia" w:ascii="宋体" w:hAnsi="宋体" w:eastAsia="宋体" w:cs="宋体"/>
          <w:b/>
          <w:bCs/>
          <w:color w:val="auto"/>
          <w:sz w:val="21"/>
          <w:szCs w:val="21"/>
          <w:highlight w:val="none"/>
        </w:rPr>
        <w:t>如总得分相等，以投标报价低的优先，投标报价仍相等，由评标委员会或招标人随机抽取确定排名，不得并列</w:t>
      </w:r>
      <w:r>
        <w:rPr>
          <w:rFonts w:hint="eastAsia" w:ascii="宋体" w:hAnsi="宋体" w:eastAsia="宋体" w:cs="宋体"/>
          <w:color w:val="auto"/>
          <w:sz w:val="21"/>
          <w:szCs w:val="21"/>
          <w:highlight w:val="none"/>
        </w:rPr>
        <w:t>。</w:t>
      </w:r>
    </w:p>
    <w:p w14:paraId="403526C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2．评标程序</w:t>
      </w:r>
    </w:p>
    <w:p w14:paraId="59C70429">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先对投标人报价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以投标文件投标函中填写报价为准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按计算标准计算得分，得分按照从高到低进行排序（如总得分相等，以投标报价低的优先，投标报价仍相等，由招标人</w:t>
      </w:r>
      <w:r>
        <w:rPr>
          <w:rFonts w:hint="eastAsia" w:ascii="宋体" w:hAnsi="宋体" w:eastAsia="宋体" w:cs="宋体"/>
          <w:b/>
          <w:bCs/>
          <w:color w:val="auto"/>
          <w:sz w:val="21"/>
          <w:szCs w:val="21"/>
          <w:highlight w:val="none"/>
          <w:lang w:val="en-US" w:eastAsia="zh-CN"/>
        </w:rPr>
        <w:t>或评标委员会</w:t>
      </w:r>
      <w:r>
        <w:rPr>
          <w:rFonts w:hint="eastAsia" w:ascii="宋体" w:hAnsi="宋体" w:eastAsia="宋体" w:cs="宋体"/>
          <w:b/>
          <w:bCs/>
          <w:color w:val="auto"/>
          <w:sz w:val="21"/>
          <w:szCs w:val="21"/>
          <w:highlight w:val="none"/>
        </w:rPr>
        <w:t>随机抽取确定排名，不得并列）。对排序前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名的投标人投标文件进行评审并确定中标候选人。若排序前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w:t>
      </w: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文件评审不通过，则按得分排序递补至</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家投标人进行</w:t>
      </w:r>
      <w:r>
        <w:rPr>
          <w:rFonts w:hint="eastAsia" w:ascii="宋体" w:hAnsi="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eastAsia="zh-CN"/>
        </w:rPr>
        <w:t>。</w:t>
      </w:r>
    </w:p>
    <w:p w14:paraId="591D37D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2.1投标文件的初审</w:t>
      </w:r>
    </w:p>
    <w:p w14:paraId="29ADB920">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2.1.1资格性检查。依据法律法规和</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的规定，对投标文件中的资格证明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等进行审查，以确定投标人是否具备投标资格。</w:t>
      </w:r>
    </w:p>
    <w:p w14:paraId="0B195F56">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2.1.2符合性检查。依据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的规定，从投标文件的有效性、完整性和对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的响应程度进行审查，以确定投标人是否对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的实质性要求作出响应。</w:t>
      </w:r>
    </w:p>
    <w:p w14:paraId="7593A8C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2.2投标文件的澄清</w:t>
      </w:r>
    </w:p>
    <w:p w14:paraId="11B3623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在评标过程中，评标委员会认为需要，可要求投标单位对投标文件中的有关问题进行澄清或提供补充说明及有关资料，投标单位应做出书面答复。书面答复中不得变更价格、供货（服务）期、自报质量等实质性内容。</w:t>
      </w:r>
    </w:p>
    <w:p w14:paraId="0684D5D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79CAB15D">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sz w:val="21"/>
          <w:szCs w:val="21"/>
          <w:highlight w:val="none"/>
        </w:rPr>
        <w:t>2.2.3  招标人不接受投标单位主动提出的澄清。</w:t>
      </w:r>
    </w:p>
    <w:p w14:paraId="34335270">
      <w:pPr>
        <w:keepNext w:val="0"/>
        <w:keepLines w:val="0"/>
        <w:pageBreakBefore w:val="0"/>
        <w:widowControl w:val="0"/>
        <w:kinsoku/>
        <w:wordWrap/>
        <w:overflowPunct/>
        <w:topLinePunct w:val="0"/>
        <w:autoSpaceDE/>
        <w:autoSpaceDN/>
        <w:bidi w:val="0"/>
        <w:adjustRightInd/>
        <w:snapToGrid/>
        <w:spacing w:before="313" w:beforeLines="100"/>
        <w:jc w:val="center"/>
        <w:textAlignment w:val="auto"/>
        <w:outlineLvl w:val="1"/>
        <w:rPr>
          <w:rFonts w:hint="eastAsia" w:ascii="宋体"/>
          <w:b/>
          <w:color w:val="auto"/>
          <w:sz w:val="28"/>
          <w:szCs w:val="28"/>
          <w:highlight w:val="none"/>
        </w:rPr>
      </w:pPr>
      <w:bookmarkStart w:id="57" w:name="_Toc449028878"/>
      <w:bookmarkStart w:id="58" w:name="_Toc58430318"/>
      <w:bookmarkStart w:id="59" w:name="_Toc29779"/>
      <w:r>
        <w:rPr>
          <w:rFonts w:hint="eastAsia" w:ascii="宋体"/>
          <w:b/>
          <w:color w:val="auto"/>
          <w:sz w:val="28"/>
          <w:szCs w:val="28"/>
          <w:highlight w:val="none"/>
        </w:rPr>
        <w:t>二、投标文件初审</w:t>
      </w:r>
      <w:bookmarkEnd w:id="57"/>
      <w:bookmarkEnd w:id="58"/>
    </w:p>
    <w:p w14:paraId="60FE3D0D">
      <w:pPr>
        <w:ind w:firstLine="310" w:firstLineChars="147"/>
        <w:rPr>
          <w:rFonts w:hint="eastAsia" w:ascii="宋体"/>
          <w:b/>
          <w:color w:val="auto"/>
          <w:szCs w:val="21"/>
          <w:highlight w:val="none"/>
        </w:rPr>
      </w:pPr>
      <w:r>
        <w:rPr>
          <w:rFonts w:hint="eastAsia" w:ascii="宋体"/>
          <w:b/>
          <w:color w:val="auto"/>
          <w:szCs w:val="21"/>
          <w:highlight w:val="none"/>
        </w:rPr>
        <w:t>3.资格性审查:</w:t>
      </w:r>
    </w:p>
    <w:p w14:paraId="31119948">
      <w:pPr>
        <w:spacing w:line="400" w:lineRule="exact"/>
        <w:ind w:firstLine="308" w:firstLineChars="147"/>
        <w:rPr>
          <w:rFonts w:hint="eastAsia"/>
          <w:color w:val="auto"/>
          <w:szCs w:val="21"/>
          <w:highlight w:val="none"/>
        </w:rPr>
      </w:pPr>
      <w:r>
        <w:rPr>
          <w:rFonts w:hint="eastAsia" w:ascii="宋体"/>
          <w:color w:val="auto"/>
          <w:szCs w:val="21"/>
          <w:highlight w:val="none"/>
        </w:rPr>
        <w:t>3.1</w:t>
      </w:r>
      <w:r>
        <w:rPr>
          <w:rFonts w:hint="eastAsia"/>
          <w:color w:val="auto"/>
          <w:szCs w:val="21"/>
          <w:highlight w:val="none"/>
        </w:rPr>
        <w:t>评审细则</w:t>
      </w:r>
    </w:p>
    <w:tbl>
      <w:tblPr>
        <w:tblStyle w:val="45"/>
        <w:tblW w:w="10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757"/>
      </w:tblGrid>
      <w:tr w14:paraId="1697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7CC68F38">
            <w:pPr>
              <w:spacing w:line="320" w:lineRule="exact"/>
              <w:jc w:val="center"/>
              <w:rPr>
                <w:rFonts w:hint="eastAsia"/>
                <w:color w:val="auto"/>
                <w:highlight w:val="none"/>
              </w:rPr>
            </w:pPr>
            <w:r>
              <w:rPr>
                <w:rFonts w:hint="eastAsia" w:ascii="黑体" w:eastAsia="黑体" w:cs="黑体"/>
                <w:b/>
                <w:bCs/>
                <w:color w:val="auto"/>
                <w:szCs w:val="21"/>
                <w:highlight w:val="none"/>
              </w:rPr>
              <w:t>序号</w:t>
            </w:r>
          </w:p>
        </w:tc>
        <w:tc>
          <w:tcPr>
            <w:tcW w:w="6531" w:type="dxa"/>
            <w:gridSpan w:val="2"/>
            <w:noWrap w:val="0"/>
            <w:vAlign w:val="center"/>
          </w:tcPr>
          <w:p w14:paraId="7F5E48E7">
            <w:pPr>
              <w:spacing w:line="320" w:lineRule="exact"/>
              <w:jc w:val="center"/>
              <w:rPr>
                <w:rFonts w:hint="eastAsia"/>
                <w:color w:val="auto"/>
                <w:highlight w:val="none"/>
              </w:rPr>
            </w:pPr>
            <w:r>
              <w:rPr>
                <w:rFonts w:hint="eastAsia" w:ascii="宋体" w:hAnsi="宋体"/>
                <w:color w:val="auto"/>
                <w:szCs w:val="21"/>
                <w:highlight w:val="none"/>
              </w:rPr>
              <w:t>评审因素</w:t>
            </w:r>
          </w:p>
        </w:tc>
        <w:tc>
          <w:tcPr>
            <w:tcW w:w="2757" w:type="dxa"/>
            <w:noWrap w:val="0"/>
            <w:vAlign w:val="center"/>
          </w:tcPr>
          <w:p w14:paraId="52F81DF4">
            <w:pPr>
              <w:spacing w:line="320" w:lineRule="exact"/>
              <w:jc w:val="center"/>
              <w:rPr>
                <w:rFonts w:hint="eastAsia"/>
                <w:color w:val="auto"/>
                <w:highlight w:val="none"/>
              </w:rPr>
            </w:pPr>
            <w:r>
              <w:rPr>
                <w:rFonts w:hint="eastAsia" w:ascii="宋体" w:hAnsi="宋体"/>
                <w:color w:val="auto"/>
                <w:szCs w:val="21"/>
                <w:highlight w:val="none"/>
              </w:rPr>
              <w:t>评审标准</w:t>
            </w:r>
          </w:p>
        </w:tc>
      </w:tr>
      <w:tr w14:paraId="5D78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0B9A4B5D">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3034F54A">
            <w:pPr>
              <w:spacing w:line="320" w:lineRule="exact"/>
              <w:jc w:val="center"/>
              <w:rPr>
                <w:rFonts w:hint="eastAsia" w:ascii="宋体" w:hAnsi="宋体"/>
                <w:color w:val="auto"/>
                <w:szCs w:val="21"/>
                <w:highlight w:val="none"/>
              </w:rPr>
            </w:pPr>
            <w:r>
              <w:rPr>
                <w:rFonts w:hint="eastAsia" w:ascii="宋体"/>
                <w:color w:val="auto"/>
                <w:szCs w:val="21"/>
                <w:highlight w:val="none"/>
              </w:rPr>
              <w:t>重要要求</w:t>
            </w:r>
          </w:p>
        </w:tc>
        <w:tc>
          <w:tcPr>
            <w:tcW w:w="5296" w:type="dxa"/>
            <w:noWrap w:val="0"/>
            <w:vAlign w:val="center"/>
          </w:tcPr>
          <w:p w14:paraId="79A38230">
            <w:pPr>
              <w:spacing w:line="320" w:lineRule="exact"/>
              <w:rPr>
                <w:rFonts w:hint="eastAsia" w:ascii="宋体" w:hAnsi="宋体"/>
                <w:color w:val="auto"/>
                <w:szCs w:val="21"/>
                <w:highlight w:val="none"/>
              </w:rPr>
            </w:pPr>
            <w:r>
              <w:rPr>
                <w:rFonts w:hint="eastAsia"/>
                <w:color w:val="auto"/>
                <w:highlight w:val="none"/>
              </w:rPr>
              <w:t>（1）法定代表人身份证明和本人有效身份证(或法定代表人授权委托书和委托代理人有效身份证)</w:t>
            </w:r>
          </w:p>
        </w:tc>
        <w:tc>
          <w:tcPr>
            <w:tcW w:w="2757" w:type="dxa"/>
            <w:noWrap w:val="0"/>
            <w:vAlign w:val="center"/>
          </w:tcPr>
          <w:p w14:paraId="27142348">
            <w:pPr>
              <w:spacing w:line="320" w:lineRule="exact"/>
              <w:jc w:val="left"/>
              <w:rPr>
                <w:rFonts w:hint="eastAsia" w:ascii="宋体" w:hAnsi="宋体"/>
                <w:color w:val="auto"/>
                <w:szCs w:val="21"/>
                <w:highlight w:val="none"/>
              </w:rPr>
            </w:pPr>
            <w:r>
              <w:rPr>
                <w:rFonts w:hint="eastAsia"/>
                <w:color w:val="auto"/>
                <w:highlight w:val="none"/>
              </w:rPr>
              <w:t>检验电子标书。</w:t>
            </w:r>
          </w:p>
        </w:tc>
      </w:tr>
      <w:tr w14:paraId="206B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399706DB">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5C913C04">
            <w:pPr>
              <w:spacing w:line="320" w:lineRule="exact"/>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296" w:type="dxa"/>
            <w:noWrap w:val="0"/>
            <w:vAlign w:val="center"/>
          </w:tcPr>
          <w:p w14:paraId="3C024E83">
            <w:pPr>
              <w:spacing w:line="320" w:lineRule="exac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）具有为本项目提供相应服务的能力</w:t>
            </w:r>
          </w:p>
        </w:tc>
        <w:tc>
          <w:tcPr>
            <w:tcW w:w="2757" w:type="dxa"/>
            <w:noWrap w:val="0"/>
            <w:vAlign w:val="center"/>
          </w:tcPr>
          <w:p w14:paraId="607FD99B">
            <w:pPr>
              <w:spacing w:line="320" w:lineRule="exact"/>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734641F7">
            <w:pPr>
              <w:spacing w:line="320" w:lineRule="exact"/>
              <w:rPr>
                <w:rFonts w:hint="eastAsia" w:ascii="宋体"/>
                <w:color w:val="auto"/>
                <w:szCs w:val="21"/>
                <w:highlight w:val="none"/>
              </w:rPr>
            </w:pPr>
            <w:r>
              <w:rPr>
                <w:rFonts w:hint="eastAsia"/>
                <w:color w:val="auto"/>
                <w:highlight w:val="none"/>
              </w:rPr>
              <w:t>投标人有效的营业执照、税务登记证、组</w:t>
            </w:r>
            <w:r>
              <w:rPr>
                <w:rFonts w:hint="eastAsia" w:ascii="Times New Roman" w:hAnsi="Times New Roman" w:eastAsia="宋体" w:cs="Times New Roman"/>
                <w:color w:val="auto"/>
                <w:highlight w:val="none"/>
              </w:rPr>
              <w:t>织机构码证（或“三证合一证书”）</w:t>
            </w:r>
          </w:p>
        </w:tc>
      </w:tr>
      <w:tr w14:paraId="7F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1878E8D">
            <w:pPr>
              <w:spacing w:line="320" w:lineRule="exact"/>
              <w:jc w:val="center"/>
              <w:rPr>
                <w:rFonts w:hint="eastAsia" w:ascii="宋体" w:hAnsi="宋体"/>
                <w:color w:val="auto"/>
                <w:szCs w:val="21"/>
                <w:highlight w:val="none"/>
              </w:rPr>
            </w:pPr>
          </w:p>
        </w:tc>
        <w:tc>
          <w:tcPr>
            <w:tcW w:w="1235" w:type="dxa"/>
            <w:vMerge w:val="continue"/>
            <w:noWrap w:val="0"/>
            <w:vAlign w:val="center"/>
          </w:tcPr>
          <w:p w14:paraId="7227E239">
            <w:pPr>
              <w:spacing w:line="320" w:lineRule="exact"/>
              <w:rPr>
                <w:rFonts w:hint="eastAsia" w:ascii="宋体" w:hAnsi="宋体"/>
                <w:color w:val="auto"/>
                <w:szCs w:val="21"/>
                <w:highlight w:val="none"/>
              </w:rPr>
            </w:pPr>
          </w:p>
        </w:tc>
        <w:tc>
          <w:tcPr>
            <w:tcW w:w="5296" w:type="dxa"/>
            <w:noWrap w:val="0"/>
            <w:vAlign w:val="center"/>
          </w:tcPr>
          <w:p w14:paraId="45201212">
            <w:pPr>
              <w:spacing w:line="360" w:lineRule="exact"/>
              <w:jc w:val="both"/>
              <w:rPr>
                <w:rFonts w:hint="eastAsia" w:ascii="宋体" w:hAnsi="宋体" w:cs="宋体"/>
                <w:b/>
                <w:color w:val="auto"/>
                <w:szCs w:val="21"/>
                <w:highlight w:val="none"/>
              </w:rPr>
            </w:pPr>
            <w:r>
              <w:rPr>
                <w:rFonts w:hint="eastAsia"/>
                <w:color w:val="auto"/>
                <w:highlight w:val="none"/>
              </w:rPr>
              <w:t>（3）</w:t>
            </w:r>
            <w:r>
              <w:rPr>
                <w:rFonts w:hint="eastAsia" w:ascii="宋体" w:hAnsi="宋体" w:cs="宋体"/>
                <w:color w:val="auto"/>
                <w:sz w:val="21"/>
                <w:szCs w:val="21"/>
                <w:highlight w:val="none"/>
                <w:lang w:val="en-US" w:eastAsia="zh-CN"/>
              </w:rPr>
              <w:t>项目人员配备表</w:t>
            </w:r>
          </w:p>
        </w:tc>
        <w:tc>
          <w:tcPr>
            <w:tcW w:w="2757" w:type="dxa"/>
            <w:noWrap w:val="0"/>
            <w:vAlign w:val="center"/>
          </w:tcPr>
          <w:p w14:paraId="2E0E8AE1">
            <w:pPr>
              <w:spacing w:line="360" w:lineRule="exact"/>
              <w:jc w:val="both"/>
              <w:rPr>
                <w:rFonts w:hint="eastAsia" w:ascii="宋体"/>
                <w:b/>
                <w:color w:val="auto"/>
                <w:szCs w:val="21"/>
                <w:highlight w:val="none"/>
              </w:rPr>
            </w:pPr>
            <w:r>
              <w:rPr>
                <w:rFonts w:hint="eastAsia"/>
                <w:color w:val="auto"/>
                <w:highlight w:val="none"/>
              </w:rPr>
              <w:t>格式见附件，检验电子标书</w:t>
            </w:r>
          </w:p>
        </w:tc>
      </w:tr>
      <w:tr w14:paraId="5B8A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DD7B0EC">
            <w:pPr>
              <w:spacing w:line="320" w:lineRule="exact"/>
              <w:jc w:val="center"/>
              <w:rPr>
                <w:rFonts w:hint="eastAsia" w:ascii="宋体" w:hAnsi="宋体"/>
                <w:color w:val="auto"/>
                <w:szCs w:val="21"/>
                <w:highlight w:val="none"/>
              </w:rPr>
            </w:pPr>
          </w:p>
        </w:tc>
        <w:tc>
          <w:tcPr>
            <w:tcW w:w="1235" w:type="dxa"/>
            <w:vMerge w:val="continue"/>
            <w:noWrap w:val="0"/>
            <w:vAlign w:val="center"/>
          </w:tcPr>
          <w:p w14:paraId="2744FACC">
            <w:pPr>
              <w:spacing w:line="320" w:lineRule="exact"/>
              <w:rPr>
                <w:rFonts w:hint="eastAsia" w:ascii="宋体" w:hAnsi="宋体"/>
                <w:color w:val="auto"/>
                <w:szCs w:val="21"/>
                <w:highlight w:val="none"/>
              </w:rPr>
            </w:pPr>
          </w:p>
        </w:tc>
        <w:tc>
          <w:tcPr>
            <w:tcW w:w="5296" w:type="dxa"/>
            <w:noWrap w:val="0"/>
            <w:vAlign w:val="center"/>
          </w:tcPr>
          <w:p w14:paraId="69BC9D2B">
            <w:pPr>
              <w:spacing w:line="360" w:lineRule="exact"/>
              <w:jc w:val="both"/>
              <w:rPr>
                <w:rFonts w:hint="eastAsia"/>
                <w:color w:val="auto"/>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p>
        </w:tc>
        <w:tc>
          <w:tcPr>
            <w:tcW w:w="2757" w:type="dxa"/>
            <w:noWrap w:val="0"/>
            <w:vAlign w:val="center"/>
          </w:tcPr>
          <w:p w14:paraId="68DD7B74">
            <w:pPr>
              <w:spacing w:line="360" w:lineRule="exact"/>
              <w:jc w:val="both"/>
              <w:rPr>
                <w:rFonts w:hint="eastAsia"/>
                <w:color w:val="auto"/>
                <w:highlight w:val="none"/>
              </w:rPr>
            </w:pPr>
            <w:r>
              <w:rPr>
                <w:rFonts w:hint="eastAsia"/>
                <w:color w:val="auto"/>
                <w:highlight w:val="none"/>
              </w:rPr>
              <w:t>检验电子标书</w:t>
            </w:r>
          </w:p>
        </w:tc>
      </w:tr>
      <w:tr w14:paraId="4FBF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546C486">
            <w:pPr>
              <w:spacing w:line="320" w:lineRule="exact"/>
              <w:jc w:val="center"/>
              <w:rPr>
                <w:rFonts w:hint="eastAsia" w:ascii="宋体" w:hAnsi="宋体"/>
                <w:color w:val="auto"/>
                <w:szCs w:val="21"/>
                <w:highlight w:val="none"/>
              </w:rPr>
            </w:pPr>
          </w:p>
        </w:tc>
        <w:tc>
          <w:tcPr>
            <w:tcW w:w="1235" w:type="dxa"/>
            <w:vMerge w:val="continue"/>
            <w:noWrap w:val="0"/>
            <w:vAlign w:val="center"/>
          </w:tcPr>
          <w:p w14:paraId="7B141123">
            <w:pPr>
              <w:spacing w:line="320" w:lineRule="exact"/>
              <w:rPr>
                <w:rFonts w:hint="eastAsia" w:ascii="宋体" w:hAnsi="宋体"/>
                <w:color w:val="auto"/>
                <w:szCs w:val="21"/>
                <w:highlight w:val="none"/>
              </w:rPr>
            </w:pPr>
          </w:p>
        </w:tc>
        <w:tc>
          <w:tcPr>
            <w:tcW w:w="5296" w:type="dxa"/>
            <w:noWrap w:val="0"/>
            <w:vAlign w:val="center"/>
          </w:tcPr>
          <w:p w14:paraId="6F4CA723">
            <w:pPr>
              <w:spacing w:line="360" w:lineRule="exact"/>
              <w:jc w:val="both"/>
              <w:rPr>
                <w:rFonts w:hint="eastAsia"/>
                <w:color w:val="auto"/>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cs="宋体"/>
                <w:color w:val="auto"/>
                <w:kern w:val="0"/>
                <w:sz w:val="21"/>
                <w:szCs w:val="21"/>
                <w:highlight w:val="none"/>
                <w:lang w:val="en-US" w:eastAsia="zh-CN"/>
              </w:rPr>
              <w:t>不少于2名且具有在本单位注册的二级及以上造价工程师（土木建筑工程专业至少1名）</w:t>
            </w:r>
          </w:p>
        </w:tc>
        <w:tc>
          <w:tcPr>
            <w:tcW w:w="2757" w:type="dxa"/>
            <w:noWrap w:val="0"/>
            <w:vAlign w:val="center"/>
          </w:tcPr>
          <w:p w14:paraId="551EAE52">
            <w:pPr>
              <w:spacing w:line="360" w:lineRule="exact"/>
              <w:jc w:val="both"/>
              <w:rPr>
                <w:rFonts w:hint="eastAsia"/>
                <w:color w:val="auto"/>
                <w:highlight w:val="none"/>
              </w:rPr>
            </w:pPr>
            <w:r>
              <w:rPr>
                <w:rFonts w:hint="eastAsia"/>
                <w:color w:val="auto"/>
                <w:highlight w:val="none"/>
              </w:rPr>
              <w:t>检验电子标书</w:t>
            </w:r>
          </w:p>
        </w:tc>
      </w:tr>
      <w:tr w14:paraId="386B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725" w:type="dxa"/>
            <w:vMerge w:val="continue"/>
            <w:noWrap w:val="0"/>
            <w:vAlign w:val="center"/>
          </w:tcPr>
          <w:p w14:paraId="62FBCB7F">
            <w:pPr>
              <w:spacing w:line="320" w:lineRule="exact"/>
              <w:jc w:val="center"/>
              <w:rPr>
                <w:rFonts w:hint="eastAsia" w:ascii="宋体" w:hAnsi="宋体"/>
                <w:color w:val="auto"/>
                <w:szCs w:val="21"/>
                <w:highlight w:val="none"/>
              </w:rPr>
            </w:pPr>
          </w:p>
        </w:tc>
        <w:tc>
          <w:tcPr>
            <w:tcW w:w="1235" w:type="dxa"/>
            <w:vMerge w:val="continue"/>
            <w:noWrap w:val="0"/>
            <w:vAlign w:val="center"/>
          </w:tcPr>
          <w:p w14:paraId="1B267B9A">
            <w:pPr>
              <w:spacing w:line="320" w:lineRule="exact"/>
              <w:rPr>
                <w:rFonts w:hint="eastAsia" w:ascii="宋体" w:hAnsi="宋体"/>
                <w:color w:val="auto"/>
                <w:szCs w:val="21"/>
                <w:highlight w:val="none"/>
              </w:rPr>
            </w:pPr>
          </w:p>
        </w:tc>
        <w:tc>
          <w:tcPr>
            <w:tcW w:w="5296" w:type="dxa"/>
            <w:noWrap w:val="0"/>
            <w:vAlign w:val="center"/>
          </w:tcPr>
          <w:p w14:paraId="05277027">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（6）承诺书：投标人对所提供的上述材料作出承诺，若投标人存在弄虚作假，提供虚假资料的，若中标，则取消中标资格</w:t>
            </w:r>
          </w:p>
        </w:tc>
        <w:tc>
          <w:tcPr>
            <w:tcW w:w="2757" w:type="dxa"/>
            <w:noWrap w:val="0"/>
            <w:vAlign w:val="center"/>
          </w:tcPr>
          <w:p w14:paraId="7662CE20">
            <w:pPr>
              <w:spacing w:line="360" w:lineRule="exact"/>
              <w:jc w:val="both"/>
              <w:rPr>
                <w:rFonts w:hint="eastAsia"/>
                <w:color w:val="auto"/>
                <w:highlight w:val="none"/>
              </w:rPr>
            </w:pPr>
            <w:r>
              <w:rPr>
                <w:rFonts w:hint="eastAsia"/>
                <w:color w:val="auto"/>
                <w:highlight w:val="none"/>
              </w:rPr>
              <w:t>检验电子标书</w:t>
            </w:r>
          </w:p>
        </w:tc>
      </w:tr>
      <w:tr w14:paraId="708A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05D7143">
            <w:pPr>
              <w:spacing w:line="320" w:lineRule="exact"/>
              <w:jc w:val="center"/>
              <w:rPr>
                <w:rFonts w:hint="eastAsia" w:ascii="宋体" w:hAnsi="宋体"/>
                <w:color w:val="auto"/>
                <w:szCs w:val="21"/>
                <w:highlight w:val="none"/>
              </w:rPr>
            </w:pPr>
          </w:p>
        </w:tc>
        <w:tc>
          <w:tcPr>
            <w:tcW w:w="1235" w:type="dxa"/>
            <w:vMerge w:val="continue"/>
            <w:noWrap w:val="0"/>
            <w:vAlign w:val="center"/>
          </w:tcPr>
          <w:p w14:paraId="28996A16">
            <w:pPr>
              <w:spacing w:line="320" w:lineRule="exact"/>
              <w:rPr>
                <w:rFonts w:hint="eastAsia" w:ascii="宋体" w:hAnsi="宋体"/>
                <w:color w:val="auto"/>
                <w:szCs w:val="21"/>
                <w:highlight w:val="none"/>
              </w:rPr>
            </w:pPr>
          </w:p>
        </w:tc>
        <w:tc>
          <w:tcPr>
            <w:tcW w:w="5296" w:type="dxa"/>
            <w:noWrap w:val="0"/>
            <w:vAlign w:val="center"/>
          </w:tcPr>
          <w:p w14:paraId="2BA92C2C">
            <w:pPr>
              <w:spacing w:line="360" w:lineRule="exact"/>
              <w:jc w:val="both"/>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须持有社保部门出具的本单位为其缴纳的投标前近三个月内任意一月的养老保险证明，或投标人提供承诺已为上述人员缴纳养老保险证明的承诺书（格式自拟）</w:t>
            </w:r>
          </w:p>
        </w:tc>
        <w:tc>
          <w:tcPr>
            <w:tcW w:w="2757" w:type="dxa"/>
            <w:noWrap w:val="0"/>
            <w:vAlign w:val="center"/>
          </w:tcPr>
          <w:p w14:paraId="4606370E">
            <w:pPr>
              <w:spacing w:line="360" w:lineRule="exact"/>
              <w:jc w:val="both"/>
              <w:rPr>
                <w:rFonts w:hint="eastAsia"/>
                <w:color w:val="auto"/>
                <w:highlight w:val="none"/>
              </w:rPr>
            </w:pPr>
            <w:r>
              <w:rPr>
                <w:rFonts w:hint="eastAsia"/>
                <w:color w:val="auto"/>
                <w:highlight w:val="none"/>
              </w:rPr>
              <w:t>检验电子标书</w:t>
            </w:r>
          </w:p>
        </w:tc>
      </w:tr>
      <w:tr w14:paraId="646E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25" w:type="dxa"/>
            <w:vMerge w:val="continue"/>
            <w:noWrap w:val="0"/>
            <w:vAlign w:val="center"/>
          </w:tcPr>
          <w:p w14:paraId="1E9B2A14">
            <w:pPr>
              <w:spacing w:line="320" w:lineRule="exact"/>
              <w:jc w:val="center"/>
              <w:rPr>
                <w:rFonts w:hint="eastAsia" w:ascii="宋体" w:hAnsi="宋体"/>
                <w:color w:val="auto"/>
                <w:szCs w:val="21"/>
                <w:highlight w:val="none"/>
              </w:rPr>
            </w:pPr>
          </w:p>
        </w:tc>
        <w:tc>
          <w:tcPr>
            <w:tcW w:w="1235" w:type="dxa"/>
            <w:vMerge w:val="continue"/>
            <w:noWrap w:val="0"/>
            <w:vAlign w:val="center"/>
          </w:tcPr>
          <w:p w14:paraId="2546461F">
            <w:pPr>
              <w:spacing w:line="320" w:lineRule="exact"/>
              <w:rPr>
                <w:rFonts w:hint="eastAsia" w:ascii="宋体" w:hAnsi="宋体"/>
                <w:color w:val="auto"/>
                <w:szCs w:val="21"/>
                <w:highlight w:val="none"/>
              </w:rPr>
            </w:pPr>
          </w:p>
        </w:tc>
        <w:tc>
          <w:tcPr>
            <w:tcW w:w="5296" w:type="dxa"/>
            <w:noWrap w:val="0"/>
            <w:vAlign w:val="center"/>
          </w:tcPr>
          <w:p w14:paraId="202375EC">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）投标函</w:t>
            </w:r>
          </w:p>
        </w:tc>
        <w:tc>
          <w:tcPr>
            <w:tcW w:w="2757" w:type="dxa"/>
            <w:noWrap w:val="0"/>
            <w:vAlign w:val="center"/>
          </w:tcPr>
          <w:p w14:paraId="3BC905C0">
            <w:pPr>
              <w:spacing w:line="360" w:lineRule="exact"/>
              <w:jc w:val="both"/>
              <w:rPr>
                <w:rFonts w:hint="eastAsia"/>
                <w:color w:val="auto"/>
                <w:highlight w:val="none"/>
              </w:rPr>
            </w:pPr>
            <w:r>
              <w:rPr>
                <w:rFonts w:hint="eastAsia"/>
                <w:color w:val="auto"/>
                <w:highlight w:val="none"/>
              </w:rPr>
              <w:t>格式见附件，检验电子标书</w:t>
            </w:r>
          </w:p>
        </w:tc>
      </w:tr>
    </w:tbl>
    <w:p w14:paraId="609AB6C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b/>
          <w:color w:val="auto"/>
          <w:szCs w:val="21"/>
          <w:highlight w:val="none"/>
        </w:rPr>
      </w:pPr>
      <w:r>
        <w:rPr>
          <w:rFonts w:hint="eastAsia" w:ascii="宋体"/>
          <w:b/>
          <w:color w:val="auto"/>
          <w:szCs w:val="21"/>
          <w:highlight w:val="none"/>
          <w:lang w:val="en-US" w:eastAsia="zh-CN"/>
        </w:rPr>
        <w:t xml:space="preserve">3.2 </w:t>
      </w:r>
      <w:r>
        <w:rPr>
          <w:rFonts w:hint="eastAsia" w:ascii="宋体" w:hAnsi="宋体"/>
          <w:b/>
          <w:color w:val="auto"/>
          <w:szCs w:val="21"/>
          <w:highlight w:val="none"/>
        </w:rPr>
        <w:t>如评标专家在检验电子投标文件过程中，如果由于投标人自身原因导致评标专家无法查看并检验电子投标文件中相关资料的，否决其投标。即使投标人将原件携带至现场的，同样按否决投标处理。</w:t>
      </w:r>
    </w:p>
    <w:p w14:paraId="5DB09720">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3</w:t>
      </w:r>
      <w:r>
        <w:rPr>
          <w:rFonts w:hint="eastAsia" w:ascii="宋体" w:hAnsi="宋体"/>
          <w:b/>
          <w:color w:val="auto"/>
          <w:szCs w:val="21"/>
          <w:highlight w:val="none"/>
        </w:rPr>
        <w:t>招标文件中资格审查及评标细则中涉及到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r>
        <w:rPr>
          <w:rFonts w:hint="eastAsia" w:ascii="宋体"/>
          <w:b/>
          <w:color w:val="auto"/>
          <w:szCs w:val="21"/>
          <w:highlight w:val="none"/>
          <w:lang w:val="en-US" w:eastAsia="zh-CN"/>
        </w:rPr>
        <w:t xml:space="preserve">。 </w:t>
      </w:r>
    </w:p>
    <w:p w14:paraId="3E11B30C">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b/>
          <w:color w:val="auto"/>
          <w:szCs w:val="21"/>
          <w:highlight w:val="none"/>
        </w:rPr>
      </w:pPr>
      <w:r>
        <w:rPr>
          <w:rFonts w:hint="eastAsia" w:ascii="宋体"/>
          <w:b/>
          <w:color w:val="auto"/>
          <w:szCs w:val="21"/>
          <w:highlight w:val="none"/>
        </w:rPr>
        <w:t>4.符合性审查</w:t>
      </w:r>
    </w:p>
    <w:p w14:paraId="52B4741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4．1评审细则</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5101"/>
      </w:tblGrid>
      <w:tr w14:paraId="21C1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4B6CA4D">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4135" w:type="dxa"/>
            <w:gridSpan w:val="2"/>
            <w:noWrap w:val="0"/>
            <w:vAlign w:val="center"/>
          </w:tcPr>
          <w:p w14:paraId="39163DAC">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5101" w:type="dxa"/>
            <w:noWrap w:val="0"/>
            <w:vAlign w:val="center"/>
          </w:tcPr>
          <w:p w14:paraId="40130CA8">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6972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31" w:type="dxa"/>
            <w:vMerge w:val="restart"/>
            <w:noWrap w:val="0"/>
            <w:vAlign w:val="center"/>
          </w:tcPr>
          <w:p w14:paraId="5E30E1AC">
            <w:pPr>
              <w:spacing w:line="320" w:lineRule="atLeast"/>
              <w:jc w:val="center"/>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14:paraId="14328F55">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投标文件的有效性</w:t>
            </w:r>
          </w:p>
        </w:tc>
        <w:tc>
          <w:tcPr>
            <w:tcW w:w="2931" w:type="dxa"/>
            <w:noWrap w:val="0"/>
            <w:vAlign w:val="center"/>
          </w:tcPr>
          <w:p w14:paraId="01511831">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（1）投标文件签署</w:t>
            </w:r>
          </w:p>
        </w:tc>
        <w:tc>
          <w:tcPr>
            <w:tcW w:w="5101" w:type="dxa"/>
            <w:noWrap w:val="0"/>
            <w:vAlign w:val="center"/>
          </w:tcPr>
          <w:p w14:paraId="1DA41EB0">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签字、盖章符合要求。</w:t>
            </w:r>
          </w:p>
        </w:tc>
      </w:tr>
      <w:tr w14:paraId="553F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7905205E">
            <w:pPr>
              <w:spacing w:line="320" w:lineRule="atLeast"/>
              <w:rPr>
                <w:color w:val="auto"/>
                <w:highlight w:val="none"/>
              </w:rPr>
            </w:pPr>
          </w:p>
        </w:tc>
        <w:tc>
          <w:tcPr>
            <w:tcW w:w="1204" w:type="dxa"/>
            <w:vMerge w:val="continue"/>
            <w:noWrap w:val="0"/>
            <w:vAlign w:val="center"/>
          </w:tcPr>
          <w:p w14:paraId="0C50280C">
            <w:pPr>
              <w:spacing w:line="320" w:lineRule="atLeast"/>
              <w:rPr>
                <w:color w:val="auto"/>
                <w:highlight w:val="none"/>
              </w:rPr>
            </w:pPr>
          </w:p>
        </w:tc>
        <w:tc>
          <w:tcPr>
            <w:tcW w:w="2931" w:type="dxa"/>
            <w:noWrap w:val="0"/>
            <w:vAlign w:val="center"/>
          </w:tcPr>
          <w:p w14:paraId="3A2D0D4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（2）投标方案</w:t>
            </w:r>
          </w:p>
        </w:tc>
        <w:tc>
          <w:tcPr>
            <w:tcW w:w="5101" w:type="dxa"/>
            <w:noWrap w:val="0"/>
            <w:vAlign w:val="center"/>
          </w:tcPr>
          <w:p w14:paraId="49240866">
            <w:pPr>
              <w:spacing w:line="320" w:lineRule="atLeast"/>
              <w:rPr>
                <w:rFonts w:hint="eastAsia" w:ascii="宋体" w:cs="宋体"/>
                <w:color w:val="auto"/>
                <w:szCs w:val="21"/>
                <w:highlight w:val="none"/>
              </w:rPr>
            </w:pPr>
            <w:r>
              <w:rPr>
                <w:rFonts w:hint="eastAsia" w:ascii="宋体" w:hAnsi="宋体" w:cs="仿宋_GB2312"/>
                <w:color w:val="auto"/>
                <w:szCs w:val="21"/>
                <w:highlight w:val="none"/>
                <w:lang w:val="zh-CN"/>
              </w:rPr>
              <w:t>每个分包只能有一个方案投标。</w:t>
            </w:r>
          </w:p>
        </w:tc>
      </w:tr>
      <w:tr w14:paraId="3DA8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3B748B3B">
            <w:pPr>
              <w:spacing w:line="320" w:lineRule="atLeast"/>
              <w:rPr>
                <w:color w:val="auto"/>
                <w:highlight w:val="none"/>
              </w:rPr>
            </w:pPr>
          </w:p>
        </w:tc>
        <w:tc>
          <w:tcPr>
            <w:tcW w:w="1204" w:type="dxa"/>
            <w:vMerge w:val="continue"/>
            <w:noWrap w:val="0"/>
            <w:vAlign w:val="center"/>
          </w:tcPr>
          <w:p w14:paraId="58AA67A8">
            <w:pPr>
              <w:spacing w:line="320" w:lineRule="atLeast"/>
              <w:rPr>
                <w:color w:val="auto"/>
                <w:highlight w:val="none"/>
              </w:rPr>
            </w:pPr>
          </w:p>
        </w:tc>
        <w:tc>
          <w:tcPr>
            <w:tcW w:w="2931" w:type="dxa"/>
            <w:noWrap w:val="0"/>
            <w:vAlign w:val="center"/>
          </w:tcPr>
          <w:p w14:paraId="16A8D7B3">
            <w:pPr>
              <w:spacing w:line="320" w:lineRule="atLeast"/>
              <w:rPr>
                <w:rFonts w:hint="eastAsia" w:ascii="宋体" w:cs="仿宋_GB2312"/>
                <w:color w:val="auto"/>
                <w:szCs w:val="21"/>
                <w:highlight w:val="none"/>
                <w:lang w:val="zh-CN"/>
              </w:rPr>
            </w:pPr>
            <w:r>
              <w:rPr>
                <w:rFonts w:hint="eastAsia" w:ascii="宋体"/>
                <w:color w:val="auto"/>
                <w:szCs w:val="21"/>
                <w:highlight w:val="none"/>
              </w:rPr>
              <w:t>（3）报价唯一</w:t>
            </w:r>
          </w:p>
        </w:tc>
        <w:tc>
          <w:tcPr>
            <w:tcW w:w="5101" w:type="dxa"/>
            <w:noWrap w:val="0"/>
            <w:vAlign w:val="center"/>
          </w:tcPr>
          <w:p w14:paraId="5B76B05E">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只能在限价范围内报价，</w:t>
            </w:r>
            <w:r>
              <w:rPr>
                <w:rFonts w:hint="eastAsia" w:ascii="宋体"/>
                <w:color w:val="auto"/>
                <w:szCs w:val="21"/>
                <w:highlight w:val="none"/>
              </w:rPr>
              <w:t>只能有一个有效报价，不得提交选择性报价。</w:t>
            </w:r>
          </w:p>
        </w:tc>
      </w:tr>
      <w:tr w14:paraId="6D9B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5BB5A752">
            <w:pPr>
              <w:spacing w:line="320" w:lineRule="atLeast"/>
              <w:rPr>
                <w:color w:val="auto"/>
                <w:highlight w:val="none"/>
              </w:rPr>
            </w:pPr>
          </w:p>
        </w:tc>
        <w:tc>
          <w:tcPr>
            <w:tcW w:w="1204" w:type="dxa"/>
            <w:vMerge w:val="continue"/>
            <w:noWrap w:val="0"/>
            <w:vAlign w:val="center"/>
          </w:tcPr>
          <w:p w14:paraId="3D464BDC">
            <w:pPr>
              <w:spacing w:line="320" w:lineRule="atLeast"/>
              <w:rPr>
                <w:color w:val="auto"/>
                <w:highlight w:val="none"/>
              </w:rPr>
            </w:pPr>
          </w:p>
        </w:tc>
        <w:tc>
          <w:tcPr>
            <w:tcW w:w="2931" w:type="dxa"/>
            <w:noWrap w:val="0"/>
            <w:vAlign w:val="center"/>
          </w:tcPr>
          <w:p w14:paraId="1570C2C0">
            <w:pPr>
              <w:spacing w:line="320" w:lineRule="atLeast"/>
              <w:rPr>
                <w:rFonts w:hint="eastAsia" w:ascii="宋体"/>
                <w:color w:val="auto"/>
                <w:szCs w:val="21"/>
                <w:highlight w:val="none"/>
              </w:rPr>
            </w:pPr>
            <w:r>
              <w:rPr>
                <w:rFonts w:hint="eastAsia" w:ascii="宋体"/>
                <w:color w:val="auto"/>
                <w:szCs w:val="21"/>
                <w:highlight w:val="none"/>
              </w:rPr>
              <w:t xml:space="preserve"> (4) 投标文件的有效期</w:t>
            </w:r>
          </w:p>
        </w:tc>
        <w:tc>
          <w:tcPr>
            <w:tcW w:w="5101" w:type="dxa"/>
            <w:noWrap w:val="0"/>
            <w:vAlign w:val="center"/>
          </w:tcPr>
          <w:p w14:paraId="0A104765">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完全响应。</w:t>
            </w:r>
          </w:p>
        </w:tc>
      </w:tr>
      <w:tr w14:paraId="4B6B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731" w:type="dxa"/>
            <w:vMerge w:val="restart"/>
            <w:noWrap w:val="0"/>
            <w:vAlign w:val="center"/>
          </w:tcPr>
          <w:p w14:paraId="4503882E">
            <w:pPr>
              <w:spacing w:line="320" w:lineRule="atLeast"/>
              <w:jc w:val="center"/>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14:paraId="7F325341">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投标文件的完整性</w:t>
            </w:r>
          </w:p>
        </w:tc>
        <w:tc>
          <w:tcPr>
            <w:tcW w:w="2931" w:type="dxa"/>
            <w:noWrap w:val="0"/>
            <w:vAlign w:val="center"/>
          </w:tcPr>
          <w:p w14:paraId="5EF20D31">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（5）投标文件份数</w:t>
            </w:r>
          </w:p>
        </w:tc>
        <w:tc>
          <w:tcPr>
            <w:tcW w:w="5101" w:type="dxa"/>
            <w:noWrap w:val="0"/>
            <w:vAlign w:val="center"/>
          </w:tcPr>
          <w:p w14:paraId="0504A0B0">
            <w:pPr>
              <w:spacing w:line="320" w:lineRule="atLeast"/>
              <w:rPr>
                <w:rFonts w:hint="eastAsia" w:ascii="宋体" w:cs="宋体"/>
                <w:color w:val="auto"/>
                <w:szCs w:val="21"/>
                <w:highlight w:val="none"/>
              </w:rPr>
            </w:pPr>
            <w:r>
              <w:rPr>
                <w:rFonts w:hint="eastAsia" w:ascii="宋体" w:hAnsi="宋体" w:cs="宋体"/>
                <w:color w:val="auto"/>
                <w:szCs w:val="21"/>
                <w:highlight w:val="none"/>
              </w:rPr>
              <w:t>网上递交的电子投标文件：一份</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tc>
      </w:tr>
      <w:tr w14:paraId="2B6B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54C11AB6">
            <w:pPr>
              <w:spacing w:line="320" w:lineRule="atLeast"/>
              <w:rPr>
                <w:color w:val="auto"/>
                <w:highlight w:val="none"/>
              </w:rPr>
            </w:pPr>
          </w:p>
        </w:tc>
        <w:tc>
          <w:tcPr>
            <w:tcW w:w="1204" w:type="dxa"/>
            <w:vMerge w:val="continue"/>
            <w:noWrap w:val="0"/>
            <w:vAlign w:val="center"/>
          </w:tcPr>
          <w:p w14:paraId="068F4ED8">
            <w:pPr>
              <w:spacing w:line="320" w:lineRule="atLeast"/>
              <w:rPr>
                <w:color w:val="auto"/>
                <w:highlight w:val="none"/>
              </w:rPr>
            </w:pPr>
          </w:p>
        </w:tc>
        <w:tc>
          <w:tcPr>
            <w:tcW w:w="2931" w:type="dxa"/>
            <w:noWrap w:val="0"/>
            <w:vAlign w:val="center"/>
          </w:tcPr>
          <w:p w14:paraId="5F71AFEB">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（6）投标文件形式内容</w:t>
            </w:r>
          </w:p>
        </w:tc>
        <w:tc>
          <w:tcPr>
            <w:tcW w:w="5101" w:type="dxa"/>
            <w:noWrap w:val="0"/>
            <w:vAlign w:val="center"/>
          </w:tcPr>
          <w:p w14:paraId="253308E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投标文件内容清晰、齐全无遗漏。</w:t>
            </w:r>
          </w:p>
        </w:tc>
      </w:tr>
      <w:tr w14:paraId="713D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31" w:type="dxa"/>
            <w:vMerge w:val="restart"/>
            <w:noWrap w:val="0"/>
            <w:vAlign w:val="center"/>
          </w:tcPr>
          <w:p w14:paraId="390BF16A">
            <w:pPr>
              <w:spacing w:line="320" w:lineRule="atLeast"/>
              <w:jc w:val="center"/>
              <w:rPr>
                <w:rFonts w:hint="eastAsia" w:ascii="宋体"/>
                <w:color w:val="auto"/>
                <w:szCs w:val="21"/>
                <w:highlight w:val="none"/>
              </w:rPr>
            </w:pPr>
            <w:r>
              <w:rPr>
                <w:rFonts w:hint="eastAsia" w:ascii="宋体"/>
                <w:color w:val="auto"/>
                <w:szCs w:val="21"/>
                <w:highlight w:val="none"/>
              </w:rPr>
              <w:t>3</w:t>
            </w:r>
          </w:p>
        </w:tc>
        <w:tc>
          <w:tcPr>
            <w:tcW w:w="1204" w:type="dxa"/>
            <w:vMerge w:val="restart"/>
            <w:noWrap w:val="0"/>
            <w:vAlign w:val="center"/>
          </w:tcPr>
          <w:p w14:paraId="7CDB2375">
            <w:pPr>
              <w:spacing w:line="320" w:lineRule="atLeast"/>
              <w:jc w:val="center"/>
              <w:rPr>
                <w:rFonts w:hint="eastAsia" w:ascii="宋体" w:cs="仿宋_GB2312"/>
                <w:color w:val="auto"/>
                <w:szCs w:val="21"/>
                <w:highlight w:val="none"/>
                <w:lang w:val="zh-CN"/>
              </w:rPr>
            </w:pPr>
            <w:r>
              <w:rPr>
                <w:rFonts w:hint="eastAsia" w:ascii="宋体" w:cs="仿宋_GB2312"/>
                <w:color w:val="auto"/>
                <w:szCs w:val="21"/>
                <w:highlight w:val="none"/>
                <w:lang w:val="zh-CN"/>
              </w:rPr>
              <w:t>投标文件的响应程度</w:t>
            </w:r>
          </w:p>
        </w:tc>
        <w:tc>
          <w:tcPr>
            <w:tcW w:w="2931" w:type="dxa"/>
            <w:noWrap w:val="0"/>
            <w:vAlign w:val="center"/>
          </w:tcPr>
          <w:p w14:paraId="76621B39">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（7）采购需求响应程度</w:t>
            </w:r>
          </w:p>
        </w:tc>
        <w:tc>
          <w:tcPr>
            <w:tcW w:w="5101" w:type="dxa"/>
            <w:noWrap w:val="0"/>
            <w:vAlign w:val="center"/>
          </w:tcPr>
          <w:p w14:paraId="3CC7D23C">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最大限度地满足招标文件要求。</w:t>
            </w:r>
          </w:p>
        </w:tc>
      </w:tr>
      <w:tr w14:paraId="7B43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7E2F7823">
            <w:pPr>
              <w:spacing w:line="320" w:lineRule="atLeast"/>
              <w:rPr>
                <w:color w:val="auto"/>
                <w:highlight w:val="none"/>
              </w:rPr>
            </w:pPr>
          </w:p>
        </w:tc>
        <w:tc>
          <w:tcPr>
            <w:tcW w:w="1204" w:type="dxa"/>
            <w:vMerge w:val="continue"/>
            <w:noWrap w:val="0"/>
            <w:vAlign w:val="center"/>
          </w:tcPr>
          <w:p w14:paraId="3B6CA584">
            <w:pPr>
              <w:spacing w:line="320" w:lineRule="atLeast"/>
              <w:rPr>
                <w:color w:val="auto"/>
                <w:highlight w:val="none"/>
              </w:rPr>
            </w:pPr>
          </w:p>
        </w:tc>
        <w:tc>
          <w:tcPr>
            <w:tcW w:w="2931" w:type="dxa"/>
            <w:noWrap w:val="0"/>
            <w:vAlign w:val="center"/>
          </w:tcPr>
          <w:p w14:paraId="0D9E24C6">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（8）商务条款响应程度（包括不限于业绩、服务期、售后服务、技术培训等）</w:t>
            </w:r>
          </w:p>
        </w:tc>
        <w:tc>
          <w:tcPr>
            <w:tcW w:w="5101" w:type="dxa"/>
            <w:noWrap w:val="0"/>
            <w:vAlign w:val="center"/>
          </w:tcPr>
          <w:p w14:paraId="1DE6E434">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响应招标文件要求。</w:t>
            </w:r>
          </w:p>
        </w:tc>
      </w:tr>
    </w:tbl>
    <w:p w14:paraId="63A99023">
      <w:pPr>
        <w:spacing w:line="400" w:lineRule="exact"/>
        <w:ind w:firstLine="506" w:firstLineChars="241"/>
        <w:rPr>
          <w:rFonts w:hint="eastAsia" w:ascii="宋体"/>
          <w:color w:val="auto"/>
          <w:szCs w:val="21"/>
          <w:highlight w:val="none"/>
        </w:rPr>
      </w:pPr>
      <w:r>
        <w:rPr>
          <w:rFonts w:hint="eastAsia" w:ascii="宋体"/>
          <w:color w:val="auto"/>
          <w:szCs w:val="21"/>
          <w:highlight w:val="none"/>
        </w:rPr>
        <w:t>4.2资格审查及评分细则中涉及的有关证明材料及相关证书，电子投标文件中须按招标文件要求上传</w:t>
      </w:r>
      <w:r>
        <w:rPr>
          <w:rFonts w:hint="eastAsia" w:ascii="宋体" w:hAnsi="宋体"/>
          <w:b/>
          <w:color w:val="auto"/>
          <w:szCs w:val="21"/>
          <w:highlight w:val="none"/>
        </w:rPr>
        <w:t>扫描件</w:t>
      </w:r>
      <w:r>
        <w:rPr>
          <w:rFonts w:hint="eastAsia" w:ascii="宋体"/>
          <w:color w:val="auto"/>
          <w:szCs w:val="21"/>
          <w:highlight w:val="none"/>
        </w:rPr>
        <w:t>，以供审查。</w:t>
      </w:r>
    </w:p>
    <w:p w14:paraId="7F46A057">
      <w:pPr>
        <w:spacing w:line="400" w:lineRule="exact"/>
        <w:ind w:firstLine="506" w:firstLineChars="241"/>
        <w:rPr>
          <w:rFonts w:hint="eastAsia" w:ascii="宋体"/>
          <w:color w:val="auto"/>
          <w:szCs w:val="21"/>
          <w:highlight w:val="none"/>
        </w:rPr>
      </w:pPr>
      <w:r>
        <w:rPr>
          <w:rFonts w:hint="eastAsia" w:ascii="宋体"/>
          <w:color w:val="auto"/>
          <w:szCs w:val="21"/>
          <w:highlight w:val="none"/>
        </w:rPr>
        <w:t>4.3．评标委员会判定投标文件的响应性只根据投标文件本身的内容，而不寻求外部的证据，但投标有不真实不正确的内容时除外。</w:t>
      </w:r>
    </w:p>
    <w:p w14:paraId="12E29A7C">
      <w:pPr>
        <w:spacing w:line="400" w:lineRule="exact"/>
        <w:ind w:firstLine="506" w:firstLineChars="241"/>
        <w:rPr>
          <w:rFonts w:hint="eastAsia" w:ascii="宋体" w:hAnsi="宋体" w:eastAsia="宋体" w:cs="宋体"/>
          <w:b/>
          <w:bCs/>
          <w:color w:val="auto"/>
          <w:sz w:val="24"/>
          <w:szCs w:val="24"/>
          <w:highlight w:val="none"/>
        </w:rPr>
      </w:pPr>
      <w:r>
        <w:rPr>
          <w:rFonts w:hint="eastAsia" w:ascii="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7D924252">
      <w:pPr>
        <w:keepNext w:val="0"/>
        <w:keepLines w:val="0"/>
        <w:pageBreakBefore w:val="0"/>
        <w:widowControl w:val="0"/>
        <w:kinsoku/>
        <w:wordWrap/>
        <w:overflowPunct/>
        <w:topLinePunct w:val="0"/>
        <w:autoSpaceDE/>
        <w:autoSpaceDN/>
        <w:bidi w:val="0"/>
        <w:adjustRightInd/>
        <w:snapToGrid/>
        <w:spacing w:before="313" w:beforeLines="100" w:line="440" w:lineRule="exact"/>
        <w:jc w:val="center"/>
        <w:textAlignment w:val="auto"/>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投标文件的澄清和补正</w:t>
      </w:r>
      <w:bookmarkEnd w:id="59"/>
    </w:p>
    <w:p w14:paraId="4E35044F">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评审阶段，评委可能会要求有关投标人就其投标书中含义不明确、同类问题表述不一致或者有明显文字和计算错误的内容进行澄清。</w:t>
      </w:r>
      <w:r>
        <w:rPr>
          <w:rFonts w:hint="eastAsia" w:ascii="宋体" w:hAnsi="宋体" w:eastAsia="宋体" w:cs="宋体"/>
          <w:b/>
          <w:bCs/>
          <w:color w:val="auto"/>
          <w:sz w:val="21"/>
          <w:szCs w:val="21"/>
          <w:highlight w:val="none"/>
        </w:rPr>
        <w:t>如因投标人未参加开标导致开评标过程中无法澄清、说明或补正的，视同投标人放弃该权利。</w:t>
      </w:r>
    </w:p>
    <w:p w14:paraId="33FDDA61">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投标人的澄清、说明或者补</w:t>
      </w:r>
    </w:p>
    <w:p w14:paraId="267F1FA5">
      <w:pPr>
        <w:keepNext w:val="0"/>
        <w:keepLines w:val="0"/>
        <w:pageBreakBefore w:val="0"/>
        <w:widowControl w:val="0"/>
        <w:kinsoku/>
        <w:wordWrap/>
        <w:overflowPunct/>
        <w:topLinePunct w:val="0"/>
        <w:autoSpaceDE/>
        <w:autoSpaceDN/>
        <w:bidi w:val="0"/>
        <w:adjustRightInd/>
        <w:snapToGrid/>
        <w:spacing w:line="440" w:lineRule="exact"/>
        <w:ind w:firstLine="527" w:firstLineChars="250"/>
        <w:textAlignment w:val="auto"/>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r>
        <w:rPr>
          <w:rFonts w:hint="eastAsia" w:ascii="宋体" w:hAnsi="宋体" w:cs="宋体"/>
          <w:b/>
          <w:bCs/>
          <w:color w:val="auto"/>
          <w:szCs w:val="21"/>
          <w:highlight w:val="none"/>
        </w:rPr>
        <w:t>。</w:t>
      </w:r>
    </w:p>
    <w:p w14:paraId="23841C5D">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评委会修正错误的原则：</w:t>
      </w:r>
    </w:p>
    <w:p w14:paraId="1053594E">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如果数字表示的金额和用文字表示的金额不一致时，以文字表示的金额为准</w:t>
      </w:r>
      <w:r>
        <w:rPr>
          <w:rFonts w:hint="eastAsia" w:ascii="宋体" w:hAnsi="宋体" w:eastAsia="宋体" w:cs="宋体"/>
          <w:color w:val="auto"/>
          <w:sz w:val="21"/>
          <w:szCs w:val="21"/>
          <w:highlight w:val="none"/>
          <w:lang w:eastAsia="zh-CN"/>
        </w:rPr>
        <w:t>。</w:t>
      </w:r>
    </w:p>
    <w:p w14:paraId="2973CB46">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如果单价与数量的乘积和总价不一致，以单价为准，修正总价；当单价小数点有明显的错位时，评委会将以总价为准，并修正其单价；投标的数量与招标的数量不一致时，以招标数量为准。</w:t>
      </w:r>
    </w:p>
    <w:p w14:paraId="1138E099">
      <w:pPr>
        <w:keepNext w:val="0"/>
        <w:keepLines w:val="0"/>
        <w:pageBreakBefore w:val="0"/>
        <w:widowControl w:val="0"/>
        <w:kinsoku/>
        <w:wordWrap/>
        <w:overflowPunct/>
        <w:topLinePunct w:val="0"/>
        <w:autoSpaceDE/>
        <w:autoSpaceDN/>
        <w:bidi w:val="0"/>
        <w:adjustRightInd/>
        <w:snapToGrid/>
        <w:spacing w:line="44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评委会将按上述修正错误的方法调整投标文件中的投标报价，调整后的价格应对投标人具有约束力。无论投标人是接受或是拒绝调整后的价格，都应当由法定代表人（或委托代理人）签字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予以确认。投标人拒绝对投标文件出现的错漏按上述原则进行修正、澄清、说明，评标委员会应当否决其投标。</w:t>
      </w:r>
    </w:p>
    <w:p w14:paraId="05EF3AE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p>
    <w:p w14:paraId="49A6CEAA">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0" w:name="_Toc30419"/>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、投标报价评分细则</w:t>
      </w:r>
      <w:bookmarkEnd w:id="60"/>
    </w:p>
    <w:tbl>
      <w:tblPr>
        <w:tblStyle w:val="45"/>
        <w:tblW w:w="966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49"/>
        <w:gridCol w:w="1842"/>
        <w:gridCol w:w="6067"/>
      </w:tblGrid>
      <w:tr w14:paraId="5A1E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58" w:type="dxa"/>
            <w:gridSpan w:val="2"/>
            <w:vAlign w:val="center"/>
          </w:tcPr>
          <w:p w14:paraId="14609569">
            <w:pPr>
              <w:spacing w:line="320" w:lineRule="atLeast"/>
              <w:jc w:val="center"/>
              <w:rPr>
                <w:rFonts w:hint="eastAsia" w:ascii="黑体" w:hAnsi="Times New Roman" w:eastAsia="黑体" w:cs="黑体"/>
                <w:b/>
                <w:bCs/>
                <w:color w:val="auto"/>
                <w:szCs w:val="21"/>
                <w:highlight w:val="none"/>
              </w:rPr>
            </w:pPr>
            <w:r>
              <w:rPr>
                <w:rFonts w:hint="eastAsia" w:ascii="黑体" w:hAnsi="Times New Roman" w:eastAsia="黑体" w:cs="黑体"/>
                <w:b/>
                <w:bCs/>
                <w:color w:val="auto"/>
                <w:szCs w:val="21"/>
                <w:highlight w:val="none"/>
              </w:rPr>
              <w:t>评审项</w:t>
            </w:r>
          </w:p>
        </w:tc>
        <w:tc>
          <w:tcPr>
            <w:tcW w:w="1842" w:type="dxa"/>
            <w:vAlign w:val="center"/>
          </w:tcPr>
          <w:p w14:paraId="2E66EDB0">
            <w:pPr>
              <w:spacing w:line="320" w:lineRule="atLeast"/>
              <w:jc w:val="center"/>
              <w:rPr>
                <w:rFonts w:hint="eastAsia" w:ascii="黑体" w:hAnsi="Times New Roman" w:eastAsia="黑体" w:cs="黑体"/>
                <w:b/>
                <w:bCs/>
                <w:color w:val="auto"/>
                <w:szCs w:val="21"/>
                <w:highlight w:val="none"/>
              </w:rPr>
            </w:pPr>
            <w:r>
              <w:rPr>
                <w:rFonts w:hint="eastAsia" w:ascii="黑体" w:hAnsi="Times New Roman" w:eastAsia="黑体" w:cs="黑体"/>
                <w:b/>
                <w:bCs/>
                <w:color w:val="auto"/>
                <w:szCs w:val="21"/>
                <w:highlight w:val="none"/>
              </w:rPr>
              <w:t>评审因素</w:t>
            </w:r>
          </w:p>
        </w:tc>
        <w:tc>
          <w:tcPr>
            <w:tcW w:w="6067" w:type="dxa"/>
            <w:vAlign w:val="center"/>
          </w:tcPr>
          <w:p w14:paraId="22D39B9C">
            <w:pPr>
              <w:spacing w:line="320" w:lineRule="atLeast"/>
              <w:jc w:val="center"/>
              <w:rPr>
                <w:rFonts w:hint="eastAsia" w:ascii="黑体" w:hAnsi="Times New Roman" w:eastAsia="黑体" w:cs="黑体"/>
                <w:b/>
                <w:bCs/>
                <w:color w:val="auto"/>
                <w:szCs w:val="21"/>
                <w:highlight w:val="none"/>
              </w:rPr>
            </w:pPr>
            <w:r>
              <w:rPr>
                <w:rFonts w:hint="eastAsia" w:ascii="黑体" w:hAnsi="Times New Roman" w:eastAsia="黑体" w:cs="黑体"/>
                <w:b/>
                <w:bCs/>
                <w:color w:val="auto"/>
                <w:szCs w:val="21"/>
                <w:highlight w:val="none"/>
              </w:rPr>
              <w:t>评审标准</w:t>
            </w:r>
          </w:p>
        </w:tc>
      </w:tr>
      <w:tr w14:paraId="5FC8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restart"/>
            <w:vAlign w:val="center"/>
          </w:tcPr>
          <w:p w14:paraId="46BB2427">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49" w:type="dxa"/>
            <w:vMerge w:val="restart"/>
            <w:vAlign w:val="center"/>
          </w:tcPr>
          <w:p w14:paraId="4F98269D">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842" w:type="dxa"/>
            <w:vAlign w:val="center"/>
          </w:tcPr>
          <w:p w14:paraId="2BBC26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6067" w:type="dxa"/>
            <w:vAlign w:val="center"/>
          </w:tcPr>
          <w:p w14:paraId="4DD036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 按照无效投标处理。</w:t>
            </w:r>
          </w:p>
        </w:tc>
      </w:tr>
      <w:tr w14:paraId="2A66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Merge w:val="continue"/>
            <w:vAlign w:val="center"/>
          </w:tcPr>
          <w:p w14:paraId="68D41E7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5EB6DDCA">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5F207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067" w:type="dxa"/>
            <w:vAlign w:val="center"/>
          </w:tcPr>
          <w:p w14:paraId="2DA2E2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符合“投标文件格式”的要求，否则经评委会一致认定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,按照无效投标处理.</w:t>
            </w:r>
          </w:p>
        </w:tc>
      </w:tr>
      <w:tr w14:paraId="0D48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9" w:type="dxa"/>
            <w:vMerge w:val="continue"/>
            <w:vAlign w:val="center"/>
          </w:tcPr>
          <w:p w14:paraId="0F6B7664">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2D64B556">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69A3E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067" w:type="dxa"/>
            <w:vAlign w:val="center"/>
          </w:tcPr>
          <w:p w14:paraId="0E620C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只能有一个报价，否则按无效标处理</w:t>
            </w:r>
          </w:p>
        </w:tc>
      </w:tr>
      <w:tr w14:paraId="506B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Merge w:val="continue"/>
            <w:vAlign w:val="center"/>
          </w:tcPr>
          <w:p w14:paraId="37040A36">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025AADEE">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7CFA88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投标函的报价</w:t>
            </w:r>
          </w:p>
        </w:tc>
        <w:tc>
          <w:tcPr>
            <w:tcW w:w="6067" w:type="dxa"/>
            <w:vAlign w:val="center"/>
          </w:tcPr>
          <w:p w14:paraId="7E1DB2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不高于最高限价</w:t>
            </w:r>
          </w:p>
        </w:tc>
      </w:tr>
      <w:tr w14:paraId="78A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vAlign w:val="center"/>
          </w:tcPr>
          <w:p w14:paraId="69CF0CD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49" w:type="dxa"/>
            <w:vAlign w:val="center"/>
          </w:tcPr>
          <w:p w14:paraId="038F436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w:t>
            </w:r>
          </w:p>
          <w:p w14:paraId="4F8F8467">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c>
        <w:tc>
          <w:tcPr>
            <w:tcW w:w="7909" w:type="dxa"/>
            <w:gridSpan w:val="2"/>
            <w:vAlign w:val="center"/>
          </w:tcPr>
          <w:p w14:paraId="4B9CB1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auto"/>
                <w:sz w:val="21"/>
                <w:szCs w:val="21"/>
                <w:highlight w:val="none"/>
                <w:lang w:eastAsia="zh-CN"/>
              </w:rPr>
            </w:pPr>
            <w:r>
              <w:rPr>
                <w:rFonts w:ascii="宋体" w:hAnsi="宋体" w:cs="宋体"/>
                <w:color w:val="auto"/>
                <w:sz w:val="21"/>
                <w:szCs w:val="21"/>
                <w:highlight w:val="none"/>
              </w:rPr>
              <w:t>1</w:t>
            </w:r>
            <w:r>
              <w:rPr>
                <w:rFonts w:hint="eastAsia" w:ascii="宋体" w:hAnsi="宋体" w:cs="宋体"/>
                <w:color w:val="auto"/>
                <w:sz w:val="21"/>
                <w:szCs w:val="21"/>
                <w:highlight w:val="none"/>
              </w:rPr>
              <w:t>、招标人设置投标报价最高限价，各投标人有效报价不得高于最高限价，否则，其投标文件按无效标处理。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投标报价不可以填报0或负数，否则按无效标处理</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以基本费率作为评审价格</w:t>
            </w:r>
            <w:r>
              <w:rPr>
                <w:rFonts w:hint="eastAsia" w:ascii="宋体" w:hAnsi="宋体" w:eastAsia="宋体" w:cs="宋体"/>
                <w:b/>
                <w:bCs/>
                <w:color w:val="auto"/>
                <w:sz w:val="21"/>
                <w:szCs w:val="21"/>
                <w:highlight w:val="none"/>
                <w:lang w:eastAsia="zh-CN"/>
              </w:rPr>
              <w:t>）</w:t>
            </w:r>
          </w:p>
          <w:p w14:paraId="4CF931AD">
            <w:pPr>
              <w:keepNext w:val="0"/>
              <w:keepLines w:val="0"/>
              <w:pageBreakBefore w:val="0"/>
              <w:widowControl w:val="0"/>
              <w:tabs>
                <w:tab w:val="left" w:pos="1080"/>
              </w:tabs>
              <w:kinsoku/>
              <w:wordWrap/>
              <w:overflowPunct/>
              <w:topLinePunct w:val="0"/>
              <w:autoSpaceDE/>
              <w:autoSpaceDN/>
              <w:bidi w:val="0"/>
              <w:adjustRightInd/>
              <w:snapToGrid/>
              <w:spacing w:line="360" w:lineRule="exact"/>
              <w:ind w:right="105"/>
              <w:textAlignment w:val="auto"/>
              <w:rPr>
                <w:rFonts w:hint="eastAsia" w:ascii="宋体" w:hAnsi="宋体" w:eastAsia="宋体" w:cs="宋体"/>
                <w:color w:val="auto"/>
                <w:sz w:val="21"/>
                <w:szCs w:val="21"/>
                <w:highlight w:val="none"/>
                <w:lang w:eastAsia="zh-CN"/>
              </w:rPr>
            </w:pPr>
            <w:r>
              <w:rPr>
                <w:rFonts w:ascii="宋体" w:hAnsi="宋体" w:cs="宋体"/>
                <w:color w:val="auto"/>
                <w:sz w:val="21"/>
                <w:szCs w:val="21"/>
                <w:highlight w:val="none"/>
              </w:rPr>
              <w:t>2</w:t>
            </w:r>
            <w:r>
              <w:rPr>
                <w:rFonts w:hint="eastAsia" w:ascii="宋体" w:hAnsi="宋体" w:cs="宋体"/>
                <w:color w:val="auto"/>
                <w:sz w:val="21"/>
                <w:szCs w:val="21"/>
                <w:highlight w:val="none"/>
              </w:rPr>
              <w:t>、评标基准值为所有投标人投标报价的算术平均值</w:t>
            </w:r>
            <w:r>
              <w:rPr>
                <w:rFonts w:hint="eastAsia" w:ascii="宋体" w:hAnsi="宋体" w:cs="宋体"/>
                <w:color w:val="auto"/>
                <w:sz w:val="21"/>
                <w:szCs w:val="21"/>
                <w:highlight w:val="none"/>
                <w:lang w:eastAsia="zh-CN"/>
              </w:rPr>
              <w:t>。</w:t>
            </w:r>
          </w:p>
          <w:p w14:paraId="72384CD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、各投标人的投标总报价与评标基准值相比，相同的得100分，每高1个点扣1.0分，每低1个点扣0.5分；不足1个点的按插入法计算。</w:t>
            </w:r>
          </w:p>
          <w:p w14:paraId="6741A1B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、本项分值由招标代理机构计算，评标委员会复核。</w:t>
            </w:r>
          </w:p>
          <w:p w14:paraId="4561AEBB">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、评分计算示例：假设评标基准值为</w:t>
            </w:r>
            <w:r>
              <w:rPr>
                <w:rFonts w:hint="eastAsia" w:ascii="宋体" w:hAnsi="宋体" w:cs="宋体"/>
                <w:color w:val="auto"/>
                <w:sz w:val="21"/>
                <w:szCs w:val="21"/>
                <w:highlight w:val="none"/>
                <w:lang w:val="en-US" w:eastAsia="zh-CN"/>
              </w:rPr>
              <w:t>1.12‰</w:t>
            </w:r>
            <w:r>
              <w:rPr>
                <w:rFonts w:hint="eastAsia" w:ascii="宋体" w:hAnsi="宋体" w:cs="宋体"/>
                <w:color w:val="auto"/>
                <w:sz w:val="21"/>
                <w:szCs w:val="21"/>
                <w:highlight w:val="none"/>
              </w:rPr>
              <w:t>，投标人甲的报价为</w:t>
            </w:r>
            <w:r>
              <w:rPr>
                <w:rFonts w:hint="eastAsia" w:ascii="宋体" w:hAnsi="宋体" w:cs="宋体"/>
                <w:color w:val="auto"/>
                <w:sz w:val="21"/>
                <w:szCs w:val="21"/>
                <w:highlight w:val="none"/>
                <w:lang w:val="en-US" w:eastAsia="zh-CN"/>
              </w:rPr>
              <w:t>1.28‰</w:t>
            </w:r>
            <w:r>
              <w:rPr>
                <w:rFonts w:hint="eastAsia" w:ascii="宋体" w:hAnsi="宋体" w:cs="宋体"/>
                <w:color w:val="auto"/>
                <w:sz w:val="21"/>
                <w:szCs w:val="21"/>
                <w:highlight w:val="none"/>
              </w:rPr>
              <w:t>、投标人乙的报价为</w:t>
            </w:r>
            <w:r>
              <w:rPr>
                <w:rFonts w:hint="eastAsia" w:ascii="宋体" w:hAnsi="宋体" w:cs="宋体"/>
                <w:color w:val="auto"/>
                <w:sz w:val="21"/>
                <w:szCs w:val="21"/>
                <w:highlight w:val="none"/>
                <w:lang w:val="en-US" w:eastAsia="zh-CN"/>
              </w:rPr>
              <w:t>0.98‰</w:t>
            </w:r>
            <w:r>
              <w:rPr>
                <w:rFonts w:hint="eastAsia" w:ascii="宋体" w:hAnsi="宋体" w:cs="宋体"/>
                <w:color w:val="auto"/>
                <w:sz w:val="21"/>
                <w:szCs w:val="21"/>
                <w:highlight w:val="none"/>
              </w:rPr>
              <w:t>、投标人丙的报价为</w:t>
            </w:r>
            <w:r>
              <w:rPr>
                <w:rFonts w:hint="eastAsia" w:ascii="宋体" w:hAnsi="宋体" w:cs="宋体"/>
                <w:color w:val="auto"/>
                <w:sz w:val="21"/>
                <w:szCs w:val="21"/>
                <w:highlight w:val="none"/>
                <w:lang w:val="en-US" w:eastAsia="zh-CN"/>
              </w:rPr>
              <w:t>1.12‰</w:t>
            </w:r>
            <w:r>
              <w:rPr>
                <w:rFonts w:hint="eastAsia" w:ascii="宋体" w:hAnsi="宋体" w:cs="宋体"/>
                <w:color w:val="auto"/>
                <w:sz w:val="21"/>
                <w:szCs w:val="21"/>
                <w:highlight w:val="none"/>
              </w:rPr>
              <w:t>，计算各投标人得分如下：</w:t>
            </w:r>
          </w:p>
          <w:p w14:paraId="010D053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hint="eastAsia" w:ascii="宋体" w:hAnsi="宋体" w:cs="宋体"/>
                <w:color w:val="auto"/>
                <w:sz w:val="21"/>
                <w:szCs w:val="21"/>
                <w:highlight w:val="none"/>
              </w:rPr>
              <w:t>投标人甲：</w:t>
            </w:r>
            <w:r>
              <w:rPr>
                <w:rFonts w:hint="eastAsia" w:ascii="宋体" w:hAnsi="宋体" w:cs="宋体"/>
                <w:color w:val="auto"/>
                <w:sz w:val="21"/>
                <w:szCs w:val="21"/>
                <w:highlight w:val="none"/>
                <w:lang w:val="en-US" w:eastAsia="zh-CN"/>
              </w:rPr>
              <w:t>1.28</w:t>
            </w:r>
            <w:r>
              <w:rPr>
                <w:rFonts w:ascii="宋体" w:cs="宋体"/>
                <w:color w:val="auto"/>
                <w:sz w:val="21"/>
                <w:szCs w:val="21"/>
                <w:highlight w:val="none"/>
              </w:rPr>
              <w:t>-</w:t>
            </w:r>
            <w:r>
              <w:rPr>
                <w:rFonts w:hint="eastAsia" w:ascii="宋体" w:hAnsi="宋体" w:cs="宋体"/>
                <w:color w:val="auto"/>
                <w:sz w:val="21"/>
                <w:szCs w:val="21"/>
                <w:highlight w:val="none"/>
                <w:lang w:val="en-US" w:eastAsia="zh-CN"/>
              </w:rPr>
              <w:t>1.12</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0.16</w:t>
            </w:r>
            <w:r>
              <w:rPr>
                <w:rFonts w:hint="eastAsia" w:ascii="宋体" w:hAnsi="宋体" w:cs="宋体"/>
                <w:color w:val="auto"/>
                <w:sz w:val="21"/>
                <w:szCs w:val="21"/>
                <w:highlight w:val="none"/>
              </w:rPr>
              <w:t>，得分</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100</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0.16*1.0</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99.84</w:t>
            </w:r>
            <w:r>
              <w:rPr>
                <w:rFonts w:hint="eastAsia" w:ascii="宋体" w:hAnsi="宋体" w:cs="宋体"/>
                <w:color w:val="auto"/>
                <w:sz w:val="21"/>
                <w:szCs w:val="21"/>
                <w:highlight w:val="none"/>
              </w:rPr>
              <w:t>；</w:t>
            </w:r>
          </w:p>
          <w:p w14:paraId="560EF8E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hint="eastAsia" w:ascii="宋体" w:hAnsi="宋体" w:cs="宋体"/>
                <w:color w:val="auto"/>
                <w:sz w:val="21"/>
                <w:szCs w:val="21"/>
                <w:highlight w:val="none"/>
              </w:rPr>
              <w:t>投标人乙：</w:t>
            </w:r>
            <w:r>
              <w:rPr>
                <w:rFonts w:hint="eastAsia" w:ascii="宋体" w:hAnsi="宋体" w:cs="宋体"/>
                <w:color w:val="auto"/>
                <w:sz w:val="21"/>
                <w:szCs w:val="21"/>
                <w:highlight w:val="none"/>
                <w:lang w:val="en-US" w:eastAsia="zh-CN"/>
              </w:rPr>
              <w:t>0.98-1.12</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-0.14</w:t>
            </w:r>
            <w:r>
              <w:rPr>
                <w:rFonts w:hint="eastAsia" w:ascii="宋体" w:hAnsi="宋体" w:cs="宋体"/>
                <w:color w:val="auto"/>
                <w:sz w:val="21"/>
                <w:szCs w:val="21"/>
                <w:highlight w:val="none"/>
              </w:rPr>
              <w:t>，得分</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100-0.14*0.5=99.93</w:t>
            </w:r>
            <w:r>
              <w:rPr>
                <w:rFonts w:hint="eastAsia" w:ascii="宋体" w:hAnsi="宋体" w:cs="宋体"/>
                <w:color w:val="auto"/>
                <w:sz w:val="21"/>
                <w:szCs w:val="21"/>
                <w:highlight w:val="none"/>
              </w:rPr>
              <w:t>；</w:t>
            </w:r>
          </w:p>
          <w:p w14:paraId="25EEC4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投标人丙：</w:t>
            </w:r>
            <w:r>
              <w:rPr>
                <w:rFonts w:hint="eastAsia" w:ascii="宋体" w:hAnsi="宋体" w:cs="宋体"/>
                <w:color w:val="auto"/>
                <w:sz w:val="21"/>
                <w:szCs w:val="21"/>
                <w:highlight w:val="none"/>
                <w:lang w:val="en-US" w:eastAsia="zh-CN"/>
              </w:rPr>
              <w:t>1.12-1.12</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，得分</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100</w:t>
            </w:r>
            <w:r>
              <w:rPr>
                <w:rFonts w:hint="eastAsia" w:ascii="宋体" w:hAnsi="宋体" w:cs="宋体"/>
                <w:color w:val="auto"/>
                <w:sz w:val="21"/>
                <w:szCs w:val="21"/>
                <w:highlight w:val="none"/>
              </w:rPr>
              <w:t>。</w:t>
            </w:r>
          </w:p>
          <w:p w14:paraId="4482D6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r>
              <w:rPr>
                <w:rFonts w:hint="eastAsia" w:ascii="宋体" w:hAnsi="宋体" w:eastAsia="宋体" w:cs="宋体"/>
                <w:b/>
                <w:bCs/>
                <w:color w:val="auto"/>
                <w:kern w:val="2"/>
                <w:sz w:val="21"/>
                <w:szCs w:val="21"/>
                <w:highlight w:val="none"/>
                <w:lang w:val="en-US" w:eastAsia="zh-CN" w:bidi="ar-SA"/>
              </w:rPr>
              <w:t>注：计算过程中，评标基准值、偏差率、报价得分均保留两位小数，小数点后第三位四舍五入。</w:t>
            </w:r>
          </w:p>
        </w:tc>
      </w:tr>
    </w:tbl>
    <w:p w14:paraId="1DD67D2D">
      <w:pPr>
        <w:keepNext w:val="0"/>
        <w:keepLines w:val="0"/>
        <w:pageBreakBefore w:val="0"/>
        <w:widowControl w:val="0"/>
        <w:kinsoku/>
        <w:wordWrap/>
        <w:overflowPunct/>
        <w:topLinePunct w:val="0"/>
        <w:autoSpaceDE/>
        <w:autoSpaceDN/>
        <w:bidi w:val="0"/>
        <w:adjustRightInd/>
        <w:snapToGrid/>
        <w:spacing w:before="313" w:beforeLines="100" w:line="360" w:lineRule="exact"/>
        <w:jc w:val="center"/>
        <w:textAlignment w:val="auto"/>
        <w:outlineLvl w:val="1"/>
        <w:rPr>
          <w:rFonts w:hint="eastAsia" w:ascii="宋体" w:hAnsi="宋体" w:eastAsia="宋体" w:cs="宋体"/>
          <w:b/>
          <w:bCs/>
          <w:color w:val="auto"/>
          <w:sz w:val="24"/>
          <w:szCs w:val="24"/>
          <w:highlight w:val="none"/>
        </w:rPr>
      </w:pPr>
      <w:bookmarkStart w:id="61" w:name="_Toc20318"/>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推荐中标候选人</w:t>
      </w:r>
      <w:bookmarkEnd w:id="61"/>
    </w:p>
    <w:p w14:paraId="1BD855F9">
      <w:pPr>
        <w:pStyle w:val="2"/>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val="en-US" w:eastAsia="zh-CN"/>
        </w:rPr>
        <w:t>小组先</w:t>
      </w:r>
      <w:r>
        <w:rPr>
          <w:rFonts w:hint="eastAsia" w:ascii="宋体" w:hAnsi="宋体" w:cs="宋体"/>
          <w:color w:val="auto"/>
          <w:sz w:val="21"/>
          <w:szCs w:val="21"/>
          <w:highlight w:val="none"/>
          <w:lang w:val="en-US" w:eastAsia="zh-CN"/>
        </w:rPr>
        <w:t>按标段</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投标报价不高于投标限价的</w:t>
      </w:r>
      <w:r>
        <w:rPr>
          <w:rFonts w:hint="eastAsia" w:ascii="宋体" w:hAnsi="宋体" w:eastAsia="宋体" w:cs="宋体"/>
          <w:color w:val="auto"/>
          <w:sz w:val="21"/>
          <w:szCs w:val="21"/>
          <w:highlight w:val="none"/>
        </w:rPr>
        <w:t>投标人报价按计算标准计算得分，得分按照从高到低进行排序</w:t>
      </w:r>
      <w:r>
        <w:rPr>
          <w:rFonts w:hint="eastAsia" w:ascii="宋体" w:hAnsi="宋体" w:cs="宋体"/>
          <w:color w:val="auto"/>
          <w:sz w:val="21"/>
          <w:szCs w:val="21"/>
          <w:highlight w:val="none"/>
          <w:lang w:eastAsia="zh-CN"/>
        </w:rPr>
        <w:t>，但投标报价低于其成本的除外</w:t>
      </w:r>
      <w:r>
        <w:rPr>
          <w:rFonts w:hint="eastAsia" w:ascii="宋体" w:hAnsi="宋体" w:eastAsia="宋体" w:cs="宋体"/>
          <w:color w:val="auto"/>
          <w:sz w:val="21"/>
          <w:szCs w:val="21"/>
          <w:highlight w:val="none"/>
        </w:rPr>
        <w:t>（如总得分相等，以投标报价低的优先，投标报价仍相等，由招标人</w:t>
      </w:r>
      <w:r>
        <w:rPr>
          <w:rFonts w:hint="eastAsia" w:ascii="宋体" w:hAnsi="宋体" w:eastAsia="宋体" w:cs="宋体"/>
          <w:color w:val="auto"/>
          <w:sz w:val="21"/>
          <w:szCs w:val="21"/>
          <w:highlight w:val="none"/>
          <w:lang w:val="en-US" w:eastAsia="zh-CN"/>
        </w:rPr>
        <w:t>或评标委员会</w:t>
      </w:r>
      <w:r>
        <w:rPr>
          <w:rFonts w:hint="eastAsia" w:ascii="宋体" w:hAnsi="宋体" w:eastAsia="宋体" w:cs="宋体"/>
          <w:color w:val="auto"/>
          <w:sz w:val="21"/>
          <w:szCs w:val="21"/>
          <w:highlight w:val="none"/>
        </w:rPr>
        <w:t>随机抽取确定排名，不得并列）。对排序前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文件进行评审并确定中标候选人。若排序前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文件评审不通过，则按得分排序递补至</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家投标人进行</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w:t>
      </w:r>
    </w:p>
    <w:p w14:paraId="2D219C1B">
      <w:pPr>
        <w:snapToGrid w:val="0"/>
        <w:spacing w:line="400" w:lineRule="exact"/>
        <w:ind w:firstLine="570"/>
        <w:rPr>
          <w:rFonts w:hint="eastAsia" w:ascii="宋体"/>
          <w:b/>
          <w:color w:val="auto"/>
          <w:szCs w:val="21"/>
          <w:highlight w:val="none"/>
        </w:rPr>
      </w:pPr>
      <w:r>
        <w:rPr>
          <w:rFonts w:hint="eastAsia" w:ascii="宋体"/>
          <w:b/>
          <w:color w:val="auto"/>
          <w:szCs w:val="21"/>
          <w:highlight w:val="none"/>
          <w:lang w:val="en-US" w:eastAsia="zh-CN"/>
        </w:rPr>
        <w:t>9.</w:t>
      </w:r>
      <w:r>
        <w:rPr>
          <w:rFonts w:hint="eastAsia" w:ascii="宋体" w:hAnsi="宋体"/>
          <w:b/>
          <w:color w:val="auto"/>
          <w:sz w:val="24"/>
          <w:highlight w:val="none"/>
        </w:rPr>
        <w:t xml:space="preserve"> </w:t>
      </w:r>
      <w:r>
        <w:rPr>
          <w:rFonts w:hint="eastAsia" w:ascii="宋体"/>
          <w:b/>
          <w:color w:val="auto"/>
          <w:szCs w:val="21"/>
          <w:highlight w:val="none"/>
        </w:rPr>
        <w:t>无效投标条款</w:t>
      </w:r>
    </w:p>
    <w:p w14:paraId="4C4B7412">
      <w:pPr>
        <w:snapToGrid w:val="0"/>
        <w:spacing w:line="400" w:lineRule="exact"/>
        <w:ind w:firstLine="525" w:firstLineChars="250"/>
        <w:rPr>
          <w:rFonts w:hint="eastAsia" w:ascii="宋体" w:cs="宋体"/>
          <w:color w:val="auto"/>
          <w:szCs w:val="21"/>
          <w:highlight w:val="none"/>
        </w:rPr>
      </w:pPr>
      <w:r>
        <w:rPr>
          <w:rFonts w:hint="eastAsia" w:ascii="宋体" w:cs="宋体"/>
          <w:color w:val="auto"/>
          <w:szCs w:val="21"/>
          <w:highlight w:val="none"/>
          <w:lang w:val="en-US" w:eastAsia="zh-CN"/>
        </w:rPr>
        <w:t>9</w:t>
      </w:r>
      <w:r>
        <w:rPr>
          <w:rFonts w:hint="eastAsia" w:ascii="宋体" w:cs="宋体"/>
          <w:color w:val="auto"/>
          <w:szCs w:val="21"/>
          <w:highlight w:val="none"/>
        </w:rPr>
        <w:t>.1投标文件有下列情形之一的,其投标文件拒收:</w:t>
      </w:r>
    </w:p>
    <w:p w14:paraId="27A02168">
      <w:pPr>
        <w:snapToGrid w:val="0"/>
        <w:spacing w:line="400" w:lineRule="exact"/>
        <w:ind w:firstLine="420"/>
        <w:rPr>
          <w:rFonts w:hint="eastAsia" w:ascii="宋体" w:hAnsi="宋体" w:cs="宋体"/>
          <w:b/>
          <w:bCs/>
          <w:color w:val="auto"/>
          <w:szCs w:val="21"/>
          <w:highlight w:val="none"/>
        </w:rPr>
      </w:pPr>
      <w:r>
        <w:rPr>
          <w:rFonts w:hint="eastAsia" w:ascii="宋体" w:cs="宋体"/>
          <w:color w:val="auto"/>
          <w:szCs w:val="21"/>
          <w:highlight w:val="none"/>
        </w:rPr>
        <w:t xml:space="preserve"> </w:t>
      </w:r>
      <w:r>
        <w:rPr>
          <w:rFonts w:hint="eastAsia" w:ascii="宋体" w:hAnsi="宋体" w:cs="宋体"/>
          <w:b/>
          <w:bCs/>
          <w:color w:val="auto"/>
          <w:szCs w:val="21"/>
          <w:highlight w:val="none"/>
        </w:rPr>
        <w:t>(1) 未在</w:t>
      </w:r>
      <w:r>
        <w:rPr>
          <w:rFonts w:hint="eastAsia" w:ascii="宋体" w:hAnsi="宋体" w:cs="宋体"/>
          <w:b/>
          <w:bCs/>
          <w:color w:val="auto"/>
          <w:szCs w:val="21"/>
          <w:highlight w:val="none"/>
          <w:lang w:val="en-US" w:eastAsia="zh-CN"/>
        </w:rPr>
        <w:t>投</w:t>
      </w:r>
      <w:r>
        <w:rPr>
          <w:rFonts w:hint="eastAsia" w:ascii="宋体" w:hAnsi="宋体" w:cs="宋体"/>
          <w:b/>
          <w:bCs/>
          <w:color w:val="auto"/>
          <w:szCs w:val="21"/>
          <w:highlight w:val="none"/>
        </w:rPr>
        <w:t>标截止时间前通过网上招标投标系统递交有效电子投标文件的，开标系统不予接收，投标将被拒绝。</w:t>
      </w:r>
    </w:p>
    <w:p w14:paraId="257D62F8">
      <w:pPr>
        <w:snapToGrid w:val="0"/>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2）投标企业接到远程解密指令后，须在规定时间内解密。因投标人自身原因导致投标文件在规定时间内未能解密、解密失败或解密超时，投标文件无效；解密时间：从本项目投标截止时间开始计时，至完成投标文件解密时间，不得超过</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0分钟，否则投标文件将被拒绝。</w:t>
      </w:r>
    </w:p>
    <w:p w14:paraId="60948C9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.2投标人有下列情形之一的,资格审查后其投标作无效投标处理：</w:t>
      </w:r>
    </w:p>
    <w:p w14:paraId="5560F39C">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）投标人为本项目提供招标代理服务的；</w:t>
      </w:r>
    </w:p>
    <w:p w14:paraId="439C100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）投标人与在本项目代理机构存在相互任职或工作的；</w:t>
      </w:r>
    </w:p>
    <w:p w14:paraId="09E3046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）评标专家无法查看并检验电子投标文件中相关资料的；</w:t>
      </w:r>
    </w:p>
    <w:p w14:paraId="3C99BAF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）联合体投标未提交联合体协议的；</w:t>
      </w:r>
    </w:p>
    <w:p w14:paraId="16A15BB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）被暂停营业的；</w:t>
      </w:r>
    </w:p>
    <w:p w14:paraId="348F643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）被暂停或取消投标资格的；</w:t>
      </w:r>
    </w:p>
    <w:p w14:paraId="6F19C305">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）财产被接管或冻结的；</w:t>
      </w:r>
    </w:p>
    <w:p w14:paraId="6F3BA6B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）投标人单位负责人为同一人或者存在控股、管理关系的不同单位的；</w:t>
      </w:r>
    </w:p>
    <w:p w14:paraId="2B286FD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）保证金不按第</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章“投标人须知”及其前附表要求提交投标保证金的；</w:t>
      </w:r>
    </w:p>
    <w:p w14:paraId="31DF76D0">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）投标人未办理省主体库登记入库手续的；</w:t>
      </w:r>
    </w:p>
    <w:p w14:paraId="27D6A744">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）投标人申请开具电子保函 MAC 地址一致的；</w:t>
      </w:r>
    </w:p>
    <w:p w14:paraId="430169F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）投标人基本资格条件和特定资格条件中有一项及以上不符合要求的；</w:t>
      </w:r>
    </w:p>
    <w:p w14:paraId="1C6FAF8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47FA9328">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）其它情形，经评标委员会委提出按无效投标处理；</w:t>
      </w:r>
    </w:p>
    <w:p w14:paraId="1D9C701F">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）投标人投标MAC地址或投标人联系人或联系电话相同的，由评标委员会否决其投标，并进一步调查；</w:t>
      </w:r>
    </w:p>
    <w:p w14:paraId="4416314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）投标人单方面出现其他投标人材料的；</w:t>
      </w:r>
    </w:p>
    <w:p w14:paraId="45E4C8BD">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）招标文件规定的其它无效投标情形。</w:t>
      </w:r>
    </w:p>
    <w:p w14:paraId="56DF612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.3 投标人有下列情形之一的,符合性审查后其投标按无效投标处理：</w:t>
      </w:r>
    </w:p>
    <w:p w14:paraId="79D7196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）投标文件签字、盖章不全，经评标委员会一致认定对开评标内容有实质性影响的；</w:t>
      </w:r>
    </w:p>
    <w:p w14:paraId="71D14C6F">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）未按规定的格式填写</w:t>
      </w:r>
      <w:r>
        <w:rPr>
          <w:rFonts w:hint="eastAsia" w:ascii="宋体" w:hAnsi="宋体" w:cs="宋体"/>
          <w:color w:val="auto"/>
          <w:szCs w:val="21"/>
          <w:highlight w:val="none"/>
          <w:lang w:val="en-US" w:eastAsia="zh-CN"/>
        </w:rPr>
        <w:t>导致</w:t>
      </w:r>
      <w:r>
        <w:rPr>
          <w:rFonts w:hint="eastAsia" w:ascii="宋体" w:hAnsi="宋体" w:cs="宋体"/>
          <w:color w:val="auto"/>
          <w:szCs w:val="21"/>
          <w:highlight w:val="none"/>
        </w:rPr>
        <w:t>实质性内容不全</w:t>
      </w:r>
      <w:r>
        <w:rPr>
          <w:rFonts w:hint="eastAsia" w:ascii="宋体" w:hAnsi="宋体" w:cs="宋体"/>
          <w:color w:val="auto"/>
          <w:szCs w:val="21"/>
          <w:highlight w:val="none"/>
          <w:lang w:val="en-US" w:eastAsia="zh-CN"/>
        </w:rPr>
        <w:t>以及实质上不响应，</w:t>
      </w:r>
      <w:r>
        <w:rPr>
          <w:rFonts w:hint="eastAsia" w:ascii="宋体" w:hAnsi="宋体" w:cs="宋体"/>
          <w:color w:val="auto"/>
          <w:szCs w:val="21"/>
          <w:highlight w:val="none"/>
        </w:rPr>
        <w:t>或</w:t>
      </w:r>
      <w:r>
        <w:rPr>
          <w:rFonts w:hint="eastAsia" w:ascii="宋体" w:hAnsi="宋体" w:cs="宋体"/>
          <w:color w:val="auto"/>
          <w:szCs w:val="21"/>
          <w:highlight w:val="none"/>
          <w:lang w:val="en-US" w:eastAsia="zh-CN"/>
        </w:rPr>
        <w:t>者</w:t>
      </w:r>
      <w:r>
        <w:rPr>
          <w:rFonts w:hint="eastAsia" w:ascii="宋体" w:hAnsi="宋体" w:cs="宋体"/>
          <w:color w:val="auto"/>
          <w:szCs w:val="21"/>
          <w:highlight w:val="none"/>
        </w:rPr>
        <w:t>关键字迹模糊、无法辨认；</w:t>
      </w:r>
    </w:p>
    <w:p w14:paraId="66318CA2">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）同一投标人提交两个以上不同的投标文件或者投标报价，但招标文件规定提交备选方案的除外；</w:t>
      </w:r>
    </w:p>
    <w:p w14:paraId="7CC4909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）投标文件没有对招标文件的实质性要求和条件作出响应;</w:t>
      </w:r>
    </w:p>
    <w:p w14:paraId="0C4016D3">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）投标报价超出规定的投标限价或公布的采购预算的或投标人的投标报价各项单价高于招标文件给定的单价最高限价；</w:t>
      </w:r>
    </w:p>
    <w:p w14:paraId="651ECF07">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）不按评标委员会要求澄清、说明或补正的，或者评标委员会根据招标文件的规定对招标文件的计算错误进行修正后，投标人不接受修正的投标报价的。</w:t>
      </w:r>
    </w:p>
    <w:p w14:paraId="55085D8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（7）其它情形，经评标委员会委提出按无效投标处理，并经公共资源交易监督部门核准的；</w:t>
      </w:r>
    </w:p>
    <w:p w14:paraId="46FF0A7C">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（8）投标文件含有招标人不能接受的附加条件的;</w:t>
      </w:r>
    </w:p>
    <w:p w14:paraId="280CABC2">
      <w:pPr>
        <w:keepNext w:val="0"/>
        <w:keepLines w:val="0"/>
        <w:pageBreakBefore w:val="0"/>
        <w:widowControl w:val="0"/>
        <w:tabs>
          <w:tab w:val="left" w:pos="1123"/>
        </w:tabs>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5C181207">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.4 投标人有下列情形之一的, 详细评审后其投标按无效投标处理：</w:t>
      </w:r>
    </w:p>
    <w:p w14:paraId="33F2018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）投标产品不符合必须强制执行的国家标准的；</w:t>
      </w:r>
    </w:p>
    <w:p w14:paraId="089679DE">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）投标人有串通投标、弄虚作假、行贿等违法行为；</w:t>
      </w:r>
    </w:p>
    <w:p w14:paraId="67F9813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）投标文件含有违反国家法律、法规的内容，或附有招标人不能接受的条件的；</w:t>
      </w:r>
    </w:p>
    <w:p w14:paraId="154B8023">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）报价明显低于其他投标人，且不能证明报价合理性的投标无效；</w:t>
      </w:r>
    </w:p>
    <w:p w14:paraId="65F25D2A">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76381DE8">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）其它情形，经评标委员会委提出按无效投标处理，并经公共资源交易监督部门核准的；</w:t>
      </w:r>
    </w:p>
    <w:p w14:paraId="095585C1">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p>
    <w:p w14:paraId="1825D070">
      <w:pPr>
        <w:rPr>
          <w:rFonts w:hint="eastAsia"/>
          <w:color w:val="auto"/>
          <w:highlight w:val="none"/>
        </w:rPr>
      </w:pPr>
    </w:p>
    <w:p w14:paraId="79D4181F">
      <w:pPr>
        <w:pStyle w:val="5"/>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44"/>
          <w:szCs w:val="44"/>
          <w:highlight w:val="none"/>
          <w:lang w:val="en-US" w:eastAsia="zh-CN"/>
        </w:rPr>
      </w:pPr>
      <w:bookmarkStart w:id="62" w:name="_Toc3848"/>
      <w:r>
        <w:rPr>
          <w:rFonts w:hint="eastAsia" w:ascii="宋体" w:hAnsi="宋体" w:eastAsia="宋体" w:cs="宋体"/>
          <w:color w:val="auto"/>
          <w:sz w:val="44"/>
          <w:szCs w:val="44"/>
          <w:highlight w:val="none"/>
          <w:lang w:val="en-US" w:eastAsia="zh-CN"/>
        </w:rPr>
        <w:t>第三章 合同条款</w:t>
      </w:r>
      <w:bookmarkEnd w:id="52"/>
      <w:bookmarkEnd w:id="53"/>
      <w:bookmarkEnd w:id="62"/>
    </w:p>
    <w:p w14:paraId="209DF1AC">
      <w:pPr>
        <w:jc w:val="center"/>
        <w:rPr>
          <w:rFonts w:hint="eastAsia" w:ascii="宋体" w:hAnsi="宋体" w:eastAsia="宋体" w:cs="宋体"/>
          <w:color w:val="auto"/>
          <w:highlight w:val="none"/>
        </w:rPr>
      </w:pPr>
      <w:r>
        <w:rPr>
          <w:rFonts w:hint="eastAsia"/>
          <w:color w:val="auto"/>
          <w:highlight w:val="none"/>
          <w:lang w:val="en-US" w:eastAsia="zh-CN"/>
        </w:rPr>
        <w:t>(合同格式仅供参考，具体内容合同签订时协商）</w:t>
      </w:r>
    </w:p>
    <w:p w14:paraId="20AE09FF">
      <w:pPr>
        <w:spacing w:line="360" w:lineRule="auto"/>
        <w:jc w:val="center"/>
        <w:rPr>
          <w:rFonts w:hint="eastAsia" w:ascii="宋体"/>
          <w:b/>
          <w:color w:val="auto"/>
          <w:sz w:val="52"/>
          <w:szCs w:val="24"/>
          <w:highlight w:val="none"/>
        </w:rPr>
      </w:pPr>
    </w:p>
    <w:p w14:paraId="76816DEE">
      <w:pPr>
        <w:spacing w:line="360" w:lineRule="auto"/>
        <w:jc w:val="center"/>
        <w:rPr>
          <w:rFonts w:hint="eastAsia" w:ascii="宋体"/>
          <w:b/>
          <w:color w:val="auto"/>
          <w:sz w:val="52"/>
          <w:szCs w:val="24"/>
          <w:highlight w:val="none"/>
        </w:rPr>
      </w:pPr>
    </w:p>
    <w:p w14:paraId="133AA17D">
      <w:pPr>
        <w:spacing w:line="360" w:lineRule="auto"/>
        <w:jc w:val="center"/>
        <w:rPr>
          <w:rFonts w:hint="eastAsia" w:ascii="宋体"/>
          <w:b/>
          <w:color w:val="auto"/>
          <w:sz w:val="52"/>
          <w:szCs w:val="24"/>
          <w:highlight w:val="none"/>
        </w:rPr>
      </w:pPr>
    </w:p>
    <w:p w14:paraId="7ADF00C0">
      <w:pPr>
        <w:spacing w:line="360" w:lineRule="auto"/>
        <w:jc w:val="center"/>
        <w:rPr>
          <w:rFonts w:hint="eastAsia" w:ascii="宋体"/>
          <w:b/>
          <w:color w:val="auto"/>
          <w:sz w:val="52"/>
          <w:szCs w:val="24"/>
          <w:highlight w:val="none"/>
        </w:rPr>
      </w:pPr>
      <w:r>
        <w:rPr>
          <w:rFonts w:hint="eastAsia" w:ascii="宋体"/>
          <w:b/>
          <w:color w:val="auto"/>
          <w:sz w:val="52"/>
          <w:szCs w:val="24"/>
          <w:highlight w:val="none"/>
        </w:rPr>
        <w:t>委</w:t>
      </w:r>
    </w:p>
    <w:p w14:paraId="34EBF081">
      <w:pPr>
        <w:spacing w:line="360" w:lineRule="auto"/>
        <w:jc w:val="center"/>
        <w:rPr>
          <w:rFonts w:hint="eastAsia" w:ascii="宋体"/>
          <w:b/>
          <w:color w:val="auto"/>
          <w:sz w:val="52"/>
          <w:szCs w:val="24"/>
          <w:highlight w:val="none"/>
        </w:rPr>
      </w:pPr>
      <w:r>
        <w:rPr>
          <w:rFonts w:hint="eastAsia" w:ascii="宋体"/>
          <w:b/>
          <w:color w:val="auto"/>
          <w:sz w:val="52"/>
          <w:szCs w:val="24"/>
          <w:highlight w:val="none"/>
        </w:rPr>
        <w:t>托</w:t>
      </w:r>
    </w:p>
    <w:p w14:paraId="38D336A5">
      <w:pPr>
        <w:spacing w:line="360" w:lineRule="auto"/>
        <w:jc w:val="center"/>
        <w:rPr>
          <w:rFonts w:hint="eastAsia" w:ascii="宋体"/>
          <w:b/>
          <w:color w:val="auto"/>
          <w:sz w:val="52"/>
          <w:szCs w:val="24"/>
          <w:highlight w:val="none"/>
        </w:rPr>
      </w:pPr>
      <w:r>
        <w:rPr>
          <w:rFonts w:hint="eastAsia" w:ascii="宋体"/>
          <w:b/>
          <w:color w:val="auto"/>
          <w:sz w:val="52"/>
          <w:szCs w:val="24"/>
          <w:highlight w:val="none"/>
        </w:rPr>
        <w:t>协</w:t>
      </w:r>
    </w:p>
    <w:p w14:paraId="13559191">
      <w:pPr>
        <w:spacing w:line="360" w:lineRule="auto"/>
        <w:jc w:val="center"/>
        <w:rPr>
          <w:rFonts w:hint="eastAsia" w:ascii="宋体"/>
          <w:b/>
          <w:color w:val="auto"/>
          <w:sz w:val="52"/>
          <w:szCs w:val="24"/>
          <w:highlight w:val="none"/>
        </w:rPr>
      </w:pPr>
      <w:r>
        <w:rPr>
          <w:rFonts w:hint="eastAsia" w:ascii="宋体"/>
          <w:b/>
          <w:color w:val="auto"/>
          <w:sz w:val="52"/>
          <w:szCs w:val="24"/>
          <w:highlight w:val="none"/>
        </w:rPr>
        <w:t>议</w:t>
      </w:r>
    </w:p>
    <w:p w14:paraId="3355515F">
      <w:pPr>
        <w:jc w:val="center"/>
        <w:rPr>
          <w:rFonts w:hint="default" w:ascii="Times New Roman" w:hAnsi="Times New Roman" w:eastAsia="华文中宋"/>
          <w:b/>
          <w:color w:val="auto"/>
          <w:sz w:val="52"/>
          <w:szCs w:val="24"/>
          <w:highlight w:val="none"/>
        </w:rPr>
      </w:pPr>
    </w:p>
    <w:p w14:paraId="1E4A1E6C">
      <w:pPr>
        <w:spacing w:line="240" w:lineRule="exact"/>
        <w:rPr>
          <w:rFonts w:hint="default" w:ascii="Times New Roman" w:hAnsi="Times New Roman" w:eastAsia="楷体_GB2312"/>
          <w:b/>
          <w:color w:val="auto"/>
          <w:sz w:val="72"/>
          <w:szCs w:val="24"/>
          <w:highlight w:val="none"/>
        </w:rPr>
      </w:pPr>
    </w:p>
    <w:p w14:paraId="59121782">
      <w:pPr>
        <w:spacing w:line="240" w:lineRule="exact"/>
        <w:jc w:val="center"/>
        <w:rPr>
          <w:rFonts w:hint="default" w:ascii="Times New Roman" w:hAnsi="Times New Roman" w:eastAsia="楷体_GB2312"/>
          <w:b/>
          <w:color w:val="auto"/>
          <w:sz w:val="72"/>
          <w:szCs w:val="24"/>
          <w:highlight w:val="none"/>
        </w:rPr>
      </w:pPr>
    </w:p>
    <w:p w14:paraId="1F8B0DA3">
      <w:pPr>
        <w:spacing w:line="240" w:lineRule="exact"/>
        <w:jc w:val="center"/>
        <w:rPr>
          <w:rFonts w:hint="default" w:ascii="Times New Roman" w:hAnsi="Times New Roman" w:eastAsia="楷体_GB2312"/>
          <w:b/>
          <w:color w:val="auto"/>
          <w:sz w:val="72"/>
          <w:szCs w:val="24"/>
          <w:highlight w:val="none"/>
        </w:rPr>
      </w:pPr>
    </w:p>
    <w:p w14:paraId="497509AE">
      <w:pPr>
        <w:spacing w:line="800" w:lineRule="exact"/>
        <w:ind w:firstLine="944" w:firstLineChars="295"/>
        <w:rPr>
          <w:rFonts w:hint="eastAsia" w:ascii="宋体"/>
          <w:color w:val="auto"/>
          <w:sz w:val="32"/>
          <w:szCs w:val="24"/>
          <w:highlight w:val="none"/>
          <w:u w:val="single"/>
        </w:rPr>
      </w:pPr>
      <w:r>
        <w:rPr>
          <w:rFonts w:hint="eastAsia" w:ascii="宋体" w:hAnsi="宋体" w:eastAsia="仿宋_GB2312" w:cs="Times New Roman"/>
          <w:color w:val="auto"/>
          <w:kern w:val="2"/>
          <w:sz w:val="32"/>
          <w:szCs w:val="24"/>
          <w:highlight w:val="none"/>
          <w:lang w:val="en-US" w:eastAsia="zh-CN" w:bidi="ar-SA"/>
        </w:rPr>
        <w:t>合同编号：</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u w:val="single"/>
        </w:rPr>
        <w:t xml:space="preserve">                  </w:t>
      </w:r>
    </w:p>
    <w:p w14:paraId="01288131">
      <w:pPr>
        <w:pStyle w:val="27"/>
        <w:spacing w:line="800" w:lineRule="exact"/>
        <w:ind w:left="0" w:leftChars="0" w:firstLine="960" w:firstLineChars="300"/>
        <w:jc w:val="left"/>
        <w:rPr>
          <w:rFonts w:hint="eastAsia" w:ascii="宋体" w:hAnsi="宋体"/>
          <w:color w:val="auto"/>
          <w:spacing w:val="-20"/>
          <w:sz w:val="32"/>
          <w:szCs w:val="24"/>
          <w:highlight w:val="none"/>
          <w:u w:val="single"/>
        </w:rPr>
      </w:pPr>
      <w:r>
        <w:rPr>
          <w:rFonts w:hint="eastAsia" w:ascii="宋体" w:hAnsi="宋体" w:cs="Times New Roman"/>
          <w:color w:val="auto"/>
          <w:sz w:val="32"/>
          <w:szCs w:val="24"/>
          <w:highlight w:val="none"/>
        </w:rPr>
        <w:t>工程名称：</w:t>
      </w:r>
      <w:r>
        <w:rPr>
          <w:rFonts w:hint="eastAsia" w:ascii="宋体" w:hAnsi="宋体" w:cs="Times New Roman"/>
          <w:color w:val="auto"/>
          <w:sz w:val="32"/>
          <w:szCs w:val="24"/>
          <w:highlight w:val="none"/>
          <w:u w:val="single"/>
          <w:lang w:val="en-US" w:eastAsia="zh-CN"/>
        </w:rPr>
        <w:t xml:space="preserve"> </w:t>
      </w:r>
      <w:r>
        <w:rPr>
          <w:rFonts w:hint="eastAsia" w:ascii="宋体" w:hAnsi="宋体" w:cs="Times New Roman"/>
          <w:color w:val="auto"/>
          <w:sz w:val="32"/>
          <w:szCs w:val="24"/>
          <w:highlight w:val="none"/>
          <w:u w:val="single"/>
        </w:rPr>
        <w:t xml:space="preserve">   </w:t>
      </w:r>
      <w:r>
        <w:rPr>
          <w:rFonts w:hint="eastAsia" w:ascii="宋体" w:hAnsi="宋体" w:cs="Times New Roman"/>
          <w:color w:val="auto"/>
          <w:spacing w:val="-20"/>
          <w:sz w:val="32"/>
          <w:szCs w:val="24"/>
          <w:highlight w:val="none"/>
          <w:u w:val="single"/>
        </w:rPr>
        <w:t xml:space="preserve"> </w:t>
      </w:r>
      <w:r>
        <w:rPr>
          <w:rFonts w:hint="eastAsia" w:ascii="宋体" w:hAnsi="宋体"/>
          <w:color w:val="auto"/>
          <w:spacing w:val="-20"/>
          <w:sz w:val="32"/>
          <w:szCs w:val="24"/>
          <w:highlight w:val="none"/>
          <w:u w:val="single"/>
        </w:rPr>
        <w:t xml:space="preserve">        </w:t>
      </w:r>
    </w:p>
    <w:p w14:paraId="7BADD5C4">
      <w:pPr>
        <w:pStyle w:val="27"/>
        <w:spacing w:line="800" w:lineRule="exact"/>
        <w:ind w:left="0" w:leftChars="0" w:firstLine="944" w:firstLineChars="295"/>
        <w:rPr>
          <w:rFonts w:hint="eastAsia" w:ascii="宋体"/>
          <w:color w:val="auto"/>
          <w:sz w:val="32"/>
          <w:szCs w:val="24"/>
          <w:highlight w:val="none"/>
        </w:rPr>
      </w:pPr>
      <w:r>
        <w:rPr>
          <w:rFonts w:hint="eastAsia" w:ascii="宋体" w:hAnsi="宋体"/>
          <w:color w:val="auto"/>
          <w:sz w:val="32"/>
          <w:szCs w:val="24"/>
          <w:highlight w:val="none"/>
          <w:lang w:val="en-US" w:eastAsia="zh-CN"/>
        </w:rPr>
        <w:t>项目</w:t>
      </w:r>
      <w:r>
        <w:rPr>
          <w:rFonts w:hint="eastAsia" w:ascii="宋体" w:hAnsi="宋体"/>
          <w:color w:val="auto"/>
          <w:sz w:val="32"/>
          <w:szCs w:val="24"/>
          <w:highlight w:val="none"/>
        </w:rPr>
        <w:t>地点：</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u w:val="none"/>
        </w:rPr>
        <w:t xml:space="preserve">               </w:t>
      </w:r>
      <w:r>
        <w:rPr>
          <w:rFonts w:hint="eastAsia" w:ascii="宋体" w:hAnsi="宋体"/>
          <w:color w:val="auto"/>
          <w:sz w:val="32"/>
          <w:szCs w:val="24"/>
          <w:highlight w:val="none"/>
          <w:u w:val="single"/>
        </w:rPr>
        <w:t xml:space="preserve">        </w:t>
      </w:r>
    </w:p>
    <w:p w14:paraId="2229D5A7">
      <w:pPr>
        <w:pStyle w:val="27"/>
        <w:spacing w:line="800" w:lineRule="exact"/>
        <w:ind w:left="0" w:leftChars="0" w:firstLine="944" w:firstLineChars="295"/>
        <w:rPr>
          <w:rFonts w:hint="eastAsia" w:ascii="宋体"/>
          <w:color w:val="auto"/>
          <w:sz w:val="32"/>
          <w:szCs w:val="24"/>
          <w:highlight w:val="none"/>
        </w:rPr>
      </w:pPr>
      <w:r>
        <w:rPr>
          <w:rFonts w:hint="eastAsia" w:ascii="宋体" w:hAnsi="宋体"/>
          <w:color w:val="auto"/>
          <w:sz w:val="32"/>
          <w:szCs w:val="24"/>
          <w:highlight w:val="none"/>
        </w:rPr>
        <w:t>签订时间：</w:t>
      </w:r>
      <w:r>
        <w:rPr>
          <w:rFonts w:hint="eastAsia" w:ascii="宋体" w:hAnsi="宋体"/>
          <w:color w:val="auto"/>
          <w:sz w:val="32"/>
          <w:szCs w:val="24"/>
          <w:highlight w:val="none"/>
          <w:u w:val="single"/>
        </w:rPr>
        <w:t xml:space="preserve"> 20</w:t>
      </w:r>
      <w:r>
        <w:rPr>
          <w:rFonts w:hint="eastAsia" w:ascii="宋体" w:hAnsi="宋体"/>
          <w:color w:val="auto"/>
          <w:sz w:val="32"/>
          <w:szCs w:val="24"/>
          <w:highlight w:val="none"/>
          <w:u w:val="single"/>
          <w:lang w:val="en-US" w:eastAsia="zh-CN"/>
        </w:rPr>
        <w:t>26</w:t>
      </w:r>
      <w:r>
        <w:rPr>
          <w:rFonts w:hint="eastAsia" w:ascii="宋体" w:hAnsi="宋体"/>
          <w:color w:val="auto"/>
          <w:sz w:val="32"/>
          <w:szCs w:val="24"/>
          <w:highlight w:val="none"/>
        </w:rPr>
        <w:t>年</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rPr>
        <w:t>月</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rPr>
        <w:t>日</w:t>
      </w:r>
    </w:p>
    <w:p w14:paraId="25971BA6">
      <w:pPr>
        <w:jc w:val="center"/>
        <w:rPr>
          <w:rFonts w:hint="default" w:ascii="Times New Roman" w:hAnsi="Times New Roman" w:eastAsia="黑体"/>
          <w:color w:val="auto"/>
          <w:sz w:val="52"/>
          <w:szCs w:val="24"/>
          <w:highlight w:val="none"/>
        </w:rPr>
      </w:pPr>
    </w:p>
    <w:p w14:paraId="0ABE6042">
      <w:pPr>
        <w:spacing w:line="240" w:lineRule="exact"/>
        <w:jc w:val="center"/>
        <w:rPr>
          <w:rFonts w:hint="default" w:ascii="Times New Roman" w:hAnsi="Times New Roman" w:eastAsia="黑体"/>
          <w:color w:val="auto"/>
          <w:sz w:val="52"/>
          <w:szCs w:val="24"/>
          <w:highlight w:val="none"/>
        </w:rPr>
      </w:pPr>
    </w:p>
    <w:p w14:paraId="068F415F">
      <w:pPr>
        <w:spacing w:line="360" w:lineRule="auto"/>
        <w:ind w:firstLine="2100" w:firstLineChars="1000"/>
        <w:rPr>
          <w:rFonts w:hint="eastAsia" w:ascii="华文中宋" w:hAnsi="华文中宋" w:eastAsia="华文中宋"/>
          <w:color w:val="auto"/>
          <w:spacing w:val="20"/>
          <w:sz w:val="32"/>
          <w:szCs w:val="24"/>
          <w:highlight w:val="none"/>
        </w:rPr>
        <w:sectPr>
          <w:footerReference r:id="rId6" w:type="default"/>
          <w:pgSz w:w="11906" w:h="16838"/>
          <w:pgMar w:top="1418" w:right="1028" w:bottom="1418" w:left="998" w:header="851" w:footer="907" w:gutter="0"/>
          <w:lnNumType w:countBy="0" w:distance="360"/>
          <w:pgNumType w:fmt="decimal" w:start="1"/>
          <w:cols w:space="720" w:num="1"/>
          <w:docGrid w:type="lines" w:linePitch="312" w:charSpace="0"/>
        </w:sectPr>
      </w:pPr>
      <w:r>
        <w:rPr>
          <w:rFonts w:hint="default"/>
          <w:color w:val="auto"/>
          <w:sz w:val="21"/>
          <w:szCs w:val="24"/>
          <w:highlight w:val="none"/>
        </w:rPr>
        <mc:AlternateContent>
          <mc:Choice Requires="wps">
            <w:drawing>
              <wp:anchor distT="0" distB="0" distL="114300" distR="114300" simplePos="0" relativeHeight="251661312" behindDoc="0" locked="0" layoutInCell="1" allowOverlap="1">
                <wp:simplePos x="0" y="0"/>
                <wp:positionH relativeFrom="column">
                  <wp:posOffset>3429635</wp:posOffset>
                </wp:positionH>
                <wp:positionV relativeFrom="paragraph">
                  <wp:posOffset>339725</wp:posOffset>
                </wp:positionV>
                <wp:extent cx="723900" cy="457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a:noFill/>
                        </a:ln>
                      </wps:spPr>
                      <wps:txbx>
                        <w:txbxContent>
                          <w:p w14:paraId="443750C3">
                            <w:pPr>
                              <w:spacing w:line="360" w:lineRule="auto"/>
                              <w:jc w:val="center"/>
                              <w:rPr>
                                <w:rFonts w:hint="eastAsia" w:ascii="宋体"/>
                                <w:b/>
                                <w:sz w:val="34"/>
                                <w:szCs w:val="24"/>
                              </w:rPr>
                            </w:pPr>
                          </w:p>
                        </w:txbxContent>
                      </wps:txbx>
                      <wps:bodyPr upright="1"/>
                    </wps:wsp>
                  </a:graphicData>
                </a:graphic>
              </wp:anchor>
            </w:drawing>
          </mc:Choice>
          <mc:Fallback>
            <w:pict>
              <v:shape id="_x0000_s1026" o:spid="_x0000_s1026" o:spt="202" type="#_x0000_t202" style="position:absolute;left:0pt;margin-left:270.05pt;margin-top:26.75pt;height:36pt;width:57pt;z-index:251661312;mso-width-relative:page;mso-height-relative:page;" filled="f" stroked="f" coordsize="21600,21600" o:gfxdata="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ZBHB9YAAAAK&#10;AQAADwAAAAAAAAABACAAAAAiAAAAZHJzL2Rvd25yZXYueG1sUEsBAhQAFAAAAAgAh07iQGZLq8is&#10;AQAATQMAAA4AAAAAAAAAAQAgAAAAJQEAAGRycy9lMm9Eb2MueG1sUEsFBgAAAAAGAAYAWQEAAEMF&#10;AAAAAA==&#10;">
                <v:fill on="f" focussize="0,0"/>
                <v:stroke on="f"/>
                <v:imagedata o:title=""/>
                <o:lock v:ext="edit" aspectratio="f"/>
                <v:textbox>
                  <w:txbxContent>
                    <w:p w14:paraId="443750C3">
                      <w:pPr>
                        <w:spacing w:line="360" w:lineRule="auto"/>
                        <w:jc w:val="center"/>
                        <w:rPr>
                          <w:rFonts w:hint="eastAsia" w:ascii="宋体"/>
                          <w:b/>
                          <w:sz w:val="34"/>
                          <w:szCs w:val="24"/>
                        </w:rPr>
                      </w:pPr>
                    </w:p>
                  </w:txbxContent>
                </v:textbox>
              </v:shape>
            </w:pict>
          </mc:Fallback>
        </mc:AlternateContent>
      </w:r>
    </w:p>
    <w:p w14:paraId="12D65945">
      <w:pPr>
        <w:adjustRightInd w:val="0"/>
        <w:snapToGrid w:val="0"/>
        <w:spacing w:line="440" w:lineRule="exact"/>
        <w:jc w:val="center"/>
        <w:rPr>
          <w:rFonts w:hint="eastAsia" w:ascii="宋体" w:cs="宋体"/>
          <w:b/>
          <w:color w:val="auto"/>
          <w:kern w:val="0"/>
          <w:sz w:val="28"/>
          <w:szCs w:val="28"/>
          <w:highlight w:val="none"/>
        </w:rPr>
      </w:pPr>
      <w:r>
        <w:rPr>
          <w:rFonts w:hint="eastAsia" w:ascii="宋体" w:cs="宋体"/>
          <w:b/>
          <w:color w:val="auto"/>
          <w:kern w:val="0"/>
          <w:sz w:val="28"/>
          <w:szCs w:val="28"/>
          <w:highlight w:val="none"/>
          <w:lang w:val="en-US" w:eastAsia="zh-CN"/>
        </w:rPr>
        <w:t>明湖新区道路绿化项目跟踪审计项目</w:t>
      </w:r>
      <w:r>
        <w:rPr>
          <w:rFonts w:hint="eastAsia" w:ascii="宋体" w:cs="宋体"/>
          <w:b/>
          <w:color w:val="auto"/>
          <w:kern w:val="0"/>
          <w:sz w:val="28"/>
          <w:szCs w:val="28"/>
          <w:highlight w:val="none"/>
        </w:rPr>
        <w:t>委托协议</w:t>
      </w:r>
    </w:p>
    <w:p w14:paraId="1F2F7CED">
      <w:pPr>
        <w:keepNext w:val="0"/>
        <w:keepLines w:val="0"/>
        <w:pageBreakBefore w:val="0"/>
        <w:kinsoku/>
        <w:overflowPunct/>
        <w:topLinePunct w:val="0"/>
        <w:autoSpaceDE/>
        <w:autoSpaceDN/>
        <w:bidi w:val="0"/>
        <w:adjustRightInd w:val="0"/>
        <w:snapToGrid w:val="0"/>
        <w:spacing w:line="312" w:lineRule="auto"/>
        <w:textAlignment w:val="auto"/>
        <w:rPr>
          <w:rFonts w:hint="eastAsia" w:ascii="宋体" w:cs="宋体"/>
          <w:color w:val="auto"/>
          <w:kern w:val="0"/>
          <w:sz w:val="24"/>
          <w:szCs w:val="24"/>
          <w:highlight w:val="none"/>
        </w:rPr>
      </w:pPr>
    </w:p>
    <w:p w14:paraId="0A914C52">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宋体" w:eastAsia="宋体" w:cs="宋体"/>
          <w:color w:val="auto"/>
          <w:kern w:val="0"/>
          <w:sz w:val="21"/>
          <w:szCs w:val="21"/>
          <w:highlight w:val="none"/>
          <w:lang w:val="en-US" w:eastAsia="zh-CN"/>
        </w:rPr>
      </w:pPr>
      <w:r>
        <w:rPr>
          <w:rFonts w:hint="eastAsia" w:ascii="宋体" w:cs="宋体"/>
          <w:color w:val="auto"/>
          <w:kern w:val="0"/>
          <w:sz w:val="21"/>
          <w:szCs w:val="21"/>
          <w:highlight w:val="none"/>
        </w:rPr>
        <w:t>委托方（甲方）：</w:t>
      </w:r>
      <w:r>
        <w:rPr>
          <w:rFonts w:hint="eastAsia" w:ascii="宋体" w:cs="宋体"/>
          <w:color w:val="auto"/>
          <w:kern w:val="0"/>
          <w:sz w:val="21"/>
          <w:szCs w:val="21"/>
          <w:highlight w:val="none"/>
          <w:u w:val="single"/>
          <w:lang w:val="en-US" w:eastAsia="zh-CN"/>
        </w:rPr>
        <w:t xml:space="preserve">                      </w:t>
      </w:r>
    </w:p>
    <w:p w14:paraId="6A23C706">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宋体" w:eastAsia="宋体" w:cs="宋体"/>
          <w:color w:val="auto"/>
          <w:kern w:val="0"/>
          <w:sz w:val="21"/>
          <w:szCs w:val="21"/>
          <w:highlight w:val="none"/>
          <w:lang w:val="en-US" w:eastAsia="zh-CN"/>
        </w:rPr>
      </w:pPr>
      <w:r>
        <w:rPr>
          <w:rFonts w:hint="eastAsia" w:ascii="宋体" w:cs="宋体"/>
          <w:color w:val="auto"/>
          <w:kern w:val="0"/>
          <w:sz w:val="21"/>
          <w:szCs w:val="21"/>
          <w:highlight w:val="none"/>
        </w:rPr>
        <w:t>受托方（乙方）：</w:t>
      </w:r>
      <w:r>
        <w:rPr>
          <w:rFonts w:hint="eastAsia" w:ascii="宋体" w:cs="宋体"/>
          <w:color w:val="auto"/>
          <w:kern w:val="0"/>
          <w:sz w:val="21"/>
          <w:szCs w:val="21"/>
          <w:highlight w:val="none"/>
          <w:u w:val="single"/>
        </w:rPr>
        <w:t xml:space="preserve">    </w:t>
      </w:r>
      <w:r>
        <w:rPr>
          <w:rFonts w:hint="eastAsia" w:ascii="宋体" w:cs="宋体"/>
          <w:color w:val="auto"/>
          <w:kern w:val="0"/>
          <w:sz w:val="21"/>
          <w:szCs w:val="21"/>
          <w:highlight w:val="none"/>
          <w:u w:val="single"/>
          <w:lang w:val="en-US" w:eastAsia="zh-CN"/>
        </w:rPr>
        <w:t xml:space="preserve">                  </w:t>
      </w:r>
    </w:p>
    <w:p w14:paraId="3CBECA3A">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为保证滁州市政府投资项目审计工作质量和效率，依据《中华人民共和国审计法》、《中华人民共和国</w:t>
      </w:r>
      <w:r>
        <w:rPr>
          <w:rFonts w:hint="eastAsia" w:ascii="宋体" w:cs="宋体"/>
          <w:color w:val="auto"/>
          <w:kern w:val="0"/>
          <w:sz w:val="21"/>
          <w:szCs w:val="21"/>
          <w:highlight w:val="none"/>
          <w:lang w:val="en-US" w:eastAsia="zh-CN"/>
        </w:rPr>
        <w:t>民法典</w:t>
      </w:r>
      <w:r>
        <w:rPr>
          <w:rFonts w:hint="eastAsia" w:ascii="宋体" w:cs="宋体"/>
          <w:color w:val="auto"/>
          <w:kern w:val="0"/>
          <w:sz w:val="21"/>
          <w:szCs w:val="21"/>
          <w:highlight w:val="none"/>
        </w:rPr>
        <w:t>》、《滁州市政府投资项目管理暂行办法》、《滁州市政府投资建设项目审计监督办法》等有关法律法规，甲、乙双方经协商一致，自愿签订本协议。</w:t>
      </w:r>
    </w:p>
    <w:p w14:paraId="09986841">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cs="宋体"/>
          <w:b/>
          <w:bCs/>
          <w:color w:val="auto"/>
          <w:kern w:val="0"/>
          <w:sz w:val="24"/>
          <w:szCs w:val="24"/>
          <w:highlight w:val="none"/>
        </w:rPr>
      </w:pPr>
      <w:r>
        <w:rPr>
          <w:rFonts w:hint="eastAsia" w:ascii="宋体" w:cs="宋体"/>
          <w:b/>
          <w:bCs/>
          <w:color w:val="auto"/>
          <w:kern w:val="0"/>
          <w:sz w:val="24"/>
          <w:szCs w:val="24"/>
          <w:highlight w:val="none"/>
        </w:rPr>
        <w:t>一、跟踪（结算）审计项目</w:t>
      </w:r>
    </w:p>
    <w:p w14:paraId="33EFA55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eastAsia="宋体" w:cs="宋体"/>
          <w:color w:val="auto"/>
          <w:kern w:val="0"/>
          <w:sz w:val="21"/>
          <w:szCs w:val="21"/>
          <w:highlight w:val="none"/>
          <w:lang w:eastAsia="zh-CN"/>
        </w:rPr>
      </w:pPr>
      <w:r>
        <w:rPr>
          <w:rFonts w:hint="eastAsia" w:ascii="宋体" w:cs="宋体"/>
          <w:color w:val="auto"/>
          <w:kern w:val="0"/>
          <w:sz w:val="21"/>
          <w:szCs w:val="21"/>
          <w:highlight w:val="none"/>
        </w:rPr>
        <w:t>1.项目名称：</w:t>
      </w:r>
      <w:r>
        <w:rPr>
          <w:rFonts w:hint="eastAsia" w:ascii="宋体" w:cs="宋体"/>
          <w:color w:val="auto"/>
          <w:kern w:val="0"/>
          <w:sz w:val="21"/>
          <w:szCs w:val="21"/>
          <w:highlight w:val="none"/>
          <w:lang w:val="en-US" w:eastAsia="zh-CN"/>
        </w:rPr>
        <w:t>明湖新区道路绿化项目跟踪审计项目</w:t>
      </w:r>
    </w:p>
    <w:p w14:paraId="3F7A1B18">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Times New Roman" w:cs="宋体"/>
          <w:color w:val="auto"/>
          <w:kern w:val="0"/>
          <w:sz w:val="21"/>
          <w:szCs w:val="21"/>
          <w:highlight w:val="none"/>
          <w:lang w:val="en-US" w:eastAsia="zh-CN"/>
        </w:rPr>
      </w:pPr>
      <w:r>
        <w:rPr>
          <w:rFonts w:hint="eastAsia" w:ascii="宋体" w:cs="宋体"/>
          <w:color w:val="auto"/>
          <w:kern w:val="0"/>
          <w:sz w:val="21"/>
          <w:szCs w:val="21"/>
          <w:highlight w:val="none"/>
        </w:rPr>
        <w:t>2.项目投资额：主要内容是对明湖新区龙兴路、滁州大道及金陵路等沿线及交口空地进行绿化建设。总投资</w:t>
      </w:r>
      <w:r>
        <w:rPr>
          <w:rFonts w:hint="eastAsia" w:ascii="宋体" w:cs="宋体"/>
          <w:color w:val="auto"/>
          <w:kern w:val="0"/>
          <w:sz w:val="21"/>
          <w:szCs w:val="21"/>
          <w:highlight w:val="none"/>
          <w:lang w:eastAsia="zh-CN"/>
        </w:rPr>
        <w:t>约约47.7万元</w:t>
      </w:r>
      <w:r>
        <w:rPr>
          <w:rFonts w:hint="eastAsia" w:ascii="宋体" w:hAnsi="宋体" w:cs="宋体"/>
          <w:i w:val="0"/>
          <w:iCs w:val="0"/>
          <w:caps w:val="0"/>
          <w:color w:val="auto"/>
          <w:spacing w:val="0"/>
          <w:kern w:val="0"/>
          <w:sz w:val="21"/>
          <w:szCs w:val="21"/>
          <w:highlight w:val="none"/>
          <w:shd w:val="clear" w:fill="FFFFFF"/>
          <w:lang w:val="en-US" w:eastAsia="zh-CN" w:bidi="ar"/>
        </w:rPr>
        <w:t>。</w:t>
      </w:r>
      <w:r>
        <w:rPr>
          <w:rFonts w:hint="eastAsia" w:ascii="宋体" w:hAnsi="Times New Roman" w:cs="宋体"/>
          <w:color w:val="auto"/>
          <w:kern w:val="0"/>
          <w:sz w:val="21"/>
          <w:szCs w:val="21"/>
          <w:highlight w:val="none"/>
          <w:lang w:val="en-US" w:eastAsia="zh-CN"/>
        </w:rPr>
        <w:t>（具体以施工实际发生为准）。</w:t>
      </w:r>
    </w:p>
    <w:p w14:paraId="3CD0A40E">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3.委托内容：跟踪审计</w:t>
      </w:r>
    </w:p>
    <w:p w14:paraId="7568D35D">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1</w:t>
      </w:r>
      <w:r>
        <w:rPr>
          <w:rFonts w:hint="eastAsia" w:ascii="宋体"/>
          <w:color w:val="auto"/>
          <w:sz w:val="21"/>
          <w:szCs w:val="21"/>
          <w:highlight w:val="none"/>
          <w:lang w:eastAsia="zh-CN"/>
        </w:rPr>
        <w:t>）</w:t>
      </w:r>
      <w:r>
        <w:rPr>
          <w:rFonts w:hint="eastAsia" w:ascii="宋体"/>
          <w:color w:val="auto"/>
          <w:sz w:val="21"/>
          <w:szCs w:val="21"/>
          <w:highlight w:val="none"/>
        </w:rPr>
        <w:t xml:space="preserve">成立项目跟踪（结算）审计组，编制跟踪（结算）审计实施方案，确定投资控制目标、重点环节及应对措施； </w:t>
      </w:r>
    </w:p>
    <w:p w14:paraId="5167918E">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2</w:t>
      </w:r>
      <w:r>
        <w:rPr>
          <w:rFonts w:hint="eastAsia" w:ascii="宋体"/>
          <w:color w:val="auto"/>
          <w:sz w:val="21"/>
          <w:szCs w:val="21"/>
          <w:highlight w:val="none"/>
          <w:lang w:eastAsia="zh-CN"/>
        </w:rPr>
        <w:t>）</w:t>
      </w:r>
      <w:r>
        <w:rPr>
          <w:rFonts w:hint="eastAsia" w:ascii="宋体"/>
          <w:color w:val="auto"/>
          <w:sz w:val="21"/>
          <w:szCs w:val="21"/>
          <w:highlight w:val="none"/>
        </w:rPr>
        <w:t>审核项目前期资料（图纸、工程量清单及控制价、招标投标文件、施工合同等），向甲方提交审核结果；</w:t>
      </w:r>
    </w:p>
    <w:p w14:paraId="225E023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3</w:t>
      </w:r>
      <w:r>
        <w:rPr>
          <w:rFonts w:hint="eastAsia" w:ascii="宋体"/>
          <w:color w:val="auto"/>
          <w:sz w:val="21"/>
          <w:szCs w:val="21"/>
          <w:highlight w:val="none"/>
          <w:lang w:eastAsia="zh-CN"/>
        </w:rPr>
        <w:t>）</w:t>
      </w:r>
      <w:r>
        <w:rPr>
          <w:rFonts w:hint="eastAsia" w:ascii="宋体"/>
          <w:color w:val="auto"/>
          <w:sz w:val="21"/>
          <w:szCs w:val="21"/>
          <w:highlight w:val="none"/>
        </w:rPr>
        <w:t>对承包方上报的请款期已完成合格工程量的计量、计价进行审核，并提供按工程形象进度付款的意见、建议；</w:t>
      </w:r>
    </w:p>
    <w:p w14:paraId="4A9E963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4</w:t>
      </w:r>
      <w:r>
        <w:rPr>
          <w:rFonts w:hint="eastAsia" w:ascii="宋体"/>
          <w:color w:val="auto"/>
          <w:sz w:val="21"/>
          <w:szCs w:val="21"/>
          <w:highlight w:val="none"/>
          <w:lang w:eastAsia="zh-CN"/>
        </w:rPr>
        <w:t>）</w:t>
      </w:r>
      <w:r>
        <w:rPr>
          <w:rFonts w:hint="eastAsia" w:ascii="宋体"/>
          <w:color w:val="auto"/>
          <w:sz w:val="21"/>
          <w:szCs w:val="21"/>
          <w:highlight w:val="none"/>
        </w:rPr>
        <w:t>及时核定分阶段完工的项目分部、分项工程价款结算，项目竣工后，及时提交完整的竣工结算审核报告；</w:t>
      </w:r>
    </w:p>
    <w:p w14:paraId="2B3DEBC1">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5</w:t>
      </w:r>
      <w:r>
        <w:rPr>
          <w:rFonts w:hint="eastAsia" w:ascii="宋体"/>
          <w:color w:val="auto"/>
          <w:sz w:val="21"/>
          <w:szCs w:val="21"/>
          <w:highlight w:val="none"/>
          <w:lang w:eastAsia="zh-CN"/>
        </w:rPr>
        <w:t>）</w:t>
      </w:r>
      <w:r>
        <w:rPr>
          <w:rFonts w:hint="eastAsia" w:ascii="宋体"/>
          <w:color w:val="auto"/>
          <w:sz w:val="21"/>
          <w:szCs w:val="21"/>
          <w:highlight w:val="none"/>
        </w:rPr>
        <w:t>协助甲方及时审核设计变更、经济签证等发生的费用，超过一定限额的，提请甲方履行报批程序；</w:t>
      </w:r>
    </w:p>
    <w:p w14:paraId="5680E1A0">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6</w:t>
      </w:r>
      <w:r>
        <w:rPr>
          <w:rFonts w:hint="eastAsia" w:ascii="宋体"/>
          <w:color w:val="auto"/>
          <w:sz w:val="21"/>
          <w:szCs w:val="21"/>
          <w:highlight w:val="none"/>
          <w:lang w:eastAsia="zh-CN"/>
        </w:rPr>
        <w:t>）</w:t>
      </w:r>
      <w:r>
        <w:rPr>
          <w:rFonts w:hint="eastAsia" w:ascii="宋体"/>
          <w:color w:val="auto"/>
          <w:sz w:val="21"/>
          <w:szCs w:val="21"/>
          <w:highlight w:val="none"/>
        </w:rPr>
        <w:t>项目承、发包方发生工程价款结算争议时，为甲方提供咨询意见；</w:t>
      </w:r>
    </w:p>
    <w:p w14:paraId="63F7615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7</w:t>
      </w:r>
      <w:r>
        <w:rPr>
          <w:rFonts w:hint="eastAsia" w:ascii="宋体"/>
          <w:color w:val="auto"/>
          <w:sz w:val="21"/>
          <w:szCs w:val="21"/>
          <w:highlight w:val="none"/>
          <w:lang w:eastAsia="zh-CN"/>
        </w:rPr>
        <w:t>）</w:t>
      </w:r>
      <w:r>
        <w:rPr>
          <w:rFonts w:hint="eastAsia" w:ascii="宋体"/>
          <w:color w:val="auto"/>
          <w:sz w:val="21"/>
          <w:szCs w:val="21"/>
          <w:highlight w:val="none"/>
        </w:rPr>
        <w:t xml:space="preserve">参与项目建设管理的有关会议，对项目投资控制的有关事项发表独立审计意见； </w:t>
      </w:r>
    </w:p>
    <w:p w14:paraId="78096D1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8</w:t>
      </w:r>
      <w:r>
        <w:rPr>
          <w:rFonts w:hint="eastAsia" w:ascii="宋体"/>
          <w:color w:val="auto"/>
          <w:sz w:val="21"/>
          <w:szCs w:val="21"/>
          <w:highlight w:val="none"/>
          <w:lang w:eastAsia="zh-CN"/>
        </w:rPr>
        <w:t>）</w:t>
      </w:r>
      <w:r>
        <w:rPr>
          <w:rFonts w:hint="eastAsia" w:ascii="宋体"/>
          <w:color w:val="auto"/>
          <w:sz w:val="21"/>
          <w:szCs w:val="21"/>
          <w:highlight w:val="none"/>
        </w:rPr>
        <w:t>其他与项目投资控制相关的工作。</w:t>
      </w:r>
    </w:p>
    <w:p w14:paraId="3B4A51D7">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color w:val="auto"/>
          <w:sz w:val="24"/>
          <w:szCs w:val="24"/>
          <w:highlight w:val="none"/>
        </w:rPr>
      </w:pPr>
      <w:r>
        <w:rPr>
          <w:rFonts w:hint="eastAsia" w:ascii="宋体" w:cs="宋体"/>
          <w:b/>
          <w:bCs/>
          <w:color w:val="auto"/>
          <w:kern w:val="0"/>
          <w:sz w:val="24"/>
          <w:szCs w:val="24"/>
          <w:highlight w:val="none"/>
          <w:lang w:val="en-US" w:eastAsia="zh-CN"/>
        </w:rPr>
        <w:t>二</w:t>
      </w:r>
      <w:r>
        <w:rPr>
          <w:rFonts w:hint="eastAsia" w:ascii="宋体" w:cs="宋体"/>
          <w:b/>
          <w:bCs/>
          <w:color w:val="auto"/>
          <w:kern w:val="0"/>
          <w:sz w:val="24"/>
          <w:szCs w:val="24"/>
          <w:highlight w:val="none"/>
        </w:rPr>
        <w:t>、项目跟踪（结算）审计制度及相关要求</w:t>
      </w:r>
    </w:p>
    <w:p w14:paraId="50104B61">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1.滁州市政府投资项目审计“八不准制度”；</w:t>
      </w:r>
    </w:p>
    <w:p w14:paraId="44C87A3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2.滁州市政府投资项目竣工结算审计结果备案制度；</w:t>
      </w:r>
    </w:p>
    <w:p w14:paraId="5E2CA5E9">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3.滁州市建设项目施工阶段全过程造价控制管理暂行办法；</w:t>
      </w:r>
    </w:p>
    <w:p w14:paraId="123FE01F">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4.实行定期、分段报告制度。乙方应及时提交项目前期资料审核结果、跟踪（结算）审计月报、竣工结算审核报告；</w:t>
      </w:r>
    </w:p>
    <w:p w14:paraId="7AC2383A">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5.加强对项目变更事项的合理性、经济性审核。对涉及工程造价的重大事项须及时书面报告甲方，否则项目竣工结算不予审核备案，由此造成的后果由乙方承担；</w:t>
      </w:r>
    </w:p>
    <w:p w14:paraId="350FFCA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6.协助甲方完成项目投资控制的各项工作，接受甲方的项目现场管理。</w:t>
      </w:r>
    </w:p>
    <w:p w14:paraId="6FF92F17">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color w:val="auto"/>
          <w:sz w:val="24"/>
          <w:szCs w:val="24"/>
          <w:highlight w:val="none"/>
        </w:rPr>
      </w:pPr>
      <w:r>
        <w:rPr>
          <w:rFonts w:hint="eastAsia" w:ascii="宋体" w:cs="宋体"/>
          <w:b/>
          <w:bCs/>
          <w:color w:val="auto"/>
          <w:kern w:val="0"/>
          <w:sz w:val="24"/>
          <w:szCs w:val="24"/>
          <w:highlight w:val="none"/>
          <w:lang w:val="en-US" w:eastAsia="zh-CN"/>
        </w:rPr>
        <w:t>三、项目跟踪（结算）审计组及人员配备要求</w:t>
      </w:r>
    </w:p>
    <w:p w14:paraId="6C0C649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1.乙方须成立项目跟踪（结算）审计组，配备相应数量具有相关专业执业资质的审计人员（须为备选库入库人员）。本项目审计组负责人为</w:t>
      </w:r>
      <w:r>
        <w:rPr>
          <w:rFonts w:hint="eastAsia" w:ascii="宋体"/>
          <w:color w:val="auto"/>
          <w:sz w:val="21"/>
          <w:szCs w:val="21"/>
          <w:highlight w:val="none"/>
          <w:u w:val="single"/>
        </w:rPr>
        <w:t>姓名、注册造价师证书号、联系电话</w:t>
      </w:r>
      <w:r>
        <w:rPr>
          <w:rFonts w:hint="eastAsia" w:ascii="宋体"/>
          <w:color w:val="auto"/>
          <w:sz w:val="21"/>
          <w:szCs w:val="21"/>
          <w:highlight w:val="none"/>
        </w:rPr>
        <w:t>，成员为</w:t>
      </w:r>
      <w:r>
        <w:rPr>
          <w:rFonts w:hint="eastAsia" w:ascii="宋体"/>
          <w:color w:val="auto"/>
          <w:sz w:val="21"/>
          <w:szCs w:val="21"/>
          <w:highlight w:val="none"/>
          <w:u w:val="single"/>
        </w:rPr>
        <w:t>姓名、</w:t>
      </w:r>
      <w:r>
        <w:rPr>
          <w:rFonts w:hint="eastAsia" w:ascii="宋体"/>
          <w:color w:val="auto"/>
          <w:sz w:val="21"/>
          <w:szCs w:val="21"/>
          <w:highlight w:val="none"/>
          <w:u w:val="single"/>
          <w:lang w:val="en-US" w:eastAsia="zh-CN"/>
        </w:rPr>
        <w:t>造价师</w:t>
      </w:r>
      <w:r>
        <w:rPr>
          <w:rFonts w:hint="eastAsia" w:ascii="宋体"/>
          <w:color w:val="auto"/>
          <w:sz w:val="21"/>
          <w:szCs w:val="21"/>
          <w:highlight w:val="none"/>
          <w:u w:val="single"/>
        </w:rPr>
        <w:t>证书号、联系电话（现场负责人）</w:t>
      </w:r>
      <w:r>
        <w:rPr>
          <w:rFonts w:hint="eastAsia" w:ascii="宋体"/>
          <w:color w:val="auto"/>
          <w:sz w:val="21"/>
          <w:szCs w:val="21"/>
          <w:highlight w:val="none"/>
        </w:rPr>
        <w:t>；</w:t>
      </w:r>
    </w:p>
    <w:p w14:paraId="78211BD2">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2.项目审计人员须服从甲方的工作安排，未经甲方许可，乙方不得随意更换、调整审计组人员。</w:t>
      </w:r>
    </w:p>
    <w:p w14:paraId="20235ED6">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color w:val="auto"/>
          <w:kern w:val="2"/>
          <w:sz w:val="24"/>
          <w:szCs w:val="24"/>
          <w:highlight w:val="none"/>
        </w:rPr>
      </w:pPr>
      <w:r>
        <w:rPr>
          <w:rFonts w:hint="eastAsia" w:hAnsi="Times New Roman" w:eastAsia="宋体" w:cs="宋体"/>
          <w:b/>
          <w:bCs/>
          <w:color w:val="auto"/>
          <w:kern w:val="0"/>
          <w:sz w:val="24"/>
          <w:szCs w:val="24"/>
          <w:highlight w:val="none"/>
          <w:lang w:val="en-US" w:eastAsia="zh-CN" w:bidi="ar-SA"/>
        </w:rPr>
        <w:t>四</w:t>
      </w:r>
      <w:r>
        <w:rPr>
          <w:rFonts w:hint="eastAsia" w:ascii="宋体" w:hAnsi="Times New Roman" w:eastAsia="宋体" w:cs="宋体"/>
          <w:b/>
          <w:bCs/>
          <w:color w:val="auto"/>
          <w:kern w:val="0"/>
          <w:sz w:val="24"/>
          <w:szCs w:val="24"/>
          <w:highlight w:val="none"/>
          <w:lang w:val="en-US" w:eastAsia="zh-CN" w:bidi="ar-SA"/>
        </w:rPr>
        <w:t>、项目跟踪（结算）审计质量要求</w:t>
      </w:r>
    </w:p>
    <w:p w14:paraId="44F5B9E4">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项目跟踪审计、结算审核服务费的误差违约金处罚根据第三方复审、综合计划科复核或市财政工程造价审核中心的审核结果确定：</w:t>
      </w:r>
    </w:p>
    <w:p w14:paraId="29DA9FA9">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（一）审核结果误差在1%-2%（含）之间，以服务费的25%作为违约金；</w:t>
      </w:r>
    </w:p>
    <w:p w14:paraId="307F83FE">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（二）审核结果误差在2%-3%（含）之间，以服务费的50%作为违约金；</w:t>
      </w:r>
    </w:p>
    <w:p w14:paraId="268C8DAC">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（三）审核结果误差在3%-4%（含）之间，以服务费的75%作为违约金；</w:t>
      </w:r>
    </w:p>
    <w:p w14:paraId="6F776228">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（四）审核结果误差超过4%的, 以全额服务费作为违约金。同时，工程造价 1000-5000 万元项目，暂停业务6个月；工程造价 5000 万元以上项目，暂停业务12个月。</w:t>
      </w:r>
    </w:p>
    <w:p w14:paraId="4A3427E2">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hAnsi="Times New Roman" w:eastAsia="宋体" w:cs="宋体"/>
          <w:b/>
          <w:bCs/>
          <w:color w:val="auto"/>
          <w:kern w:val="0"/>
          <w:sz w:val="24"/>
          <w:szCs w:val="24"/>
          <w:highlight w:val="none"/>
          <w:lang w:val="en-US" w:eastAsia="zh-CN" w:bidi="ar-SA"/>
        </w:rPr>
      </w:pPr>
      <w:r>
        <w:rPr>
          <w:rFonts w:hint="eastAsia" w:hAnsi="Times New Roman" w:eastAsia="宋体" w:cs="宋体"/>
          <w:b/>
          <w:bCs/>
          <w:color w:val="auto"/>
          <w:kern w:val="0"/>
          <w:sz w:val="24"/>
          <w:szCs w:val="24"/>
          <w:highlight w:val="none"/>
          <w:lang w:val="en-US" w:eastAsia="zh-CN" w:bidi="ar-SA"/>
        </w:rPr>
        <w:t>五、项目跟踪（结算）审计服务费用标准及结算方式</w:t>
      </w:r>
    </w:p>
    <w:p w14:paraId="7CADC871">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（一） 项目跟踪审计服务费标准</w:t>
      </w:r>
    </w:p>
    <w:tbl>
      <w:tblPr>
        <w:tblStyle w:val="45"/>
        <w:tblW w:w="8247" w:type="dxa"/>
        <w:jc w:val="center"/>
        <w:tblLayout w:type="fixed"/>
        <w:tblCellMar>
          <w:top w:w="0" w:type="dxa"/>
          <w:left w:w="108" w:type="dxa"/>
          <w:bottom w:w="0" w:type="dxa"/>
          <w:right w:w="108" w:type="dxa"/>
        </w:tblCellMar>
      </w:tblPr>
      <w:tblGrid>
        <w:gridCol w:w="3685"/>
        <w:gridCol w:w="2262"/>
        <w:gridCol w:w="2300"/>
      </w:tblGrid>
      <w:tr w14:paraId="0A7874F0">
        <w:trPr>
          <w:trHeight w:val="70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43743AE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工程造价金额（万元）</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0AB931F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基本费</w:t>
            </w:r>
          </w:p>
        </w:tc>
        <w:tc>
          <w:tcPr>
            <w:tcW w:w="2300" w:type="dxa"/>
            <w:tcBorders>
              <w:top w:val="single" w:color="auto" w:sz="4" w:space="0"/>
              <w:left w:val="nil"/>
              <w:bottom w:val="single" w:color="auto" w:sz="4" w:space="0"/>
              <w:right w:val="single" w:color="auto" w:sz="4" w:space="0"/>
            </w:tcBorders>
            <w:noWrap w:val="0"/>
            <w:vAlign w:val="center"/>
          </w:tcPr>
          <w:p w14:paraId="24C79E4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firstLine="210" w:firstLineChars="1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审核成果费</w:t>
            </w:r>
          </w:p>
        </w:tc>
      </w:tr>
      <w:tr w14:paraId="52C93ED8">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2F2D615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1000</w:t>
            </w:r>
            <w:r>
              <w:rPr>
                <w:rFonts w:hint="eastAsia" w:ascii="宋体" w:hAnsi="宋体" w:eastAsia="宋体" w:cs="宋体"/>
                <w:color w:val="auto"/>
                <w:kern w:val="0"/>
                <w:sz w:val="21"/>
                <w:szCs w:val="21"/>
                <w:highlight w:val="none"/>
              </w:rPr>
              <w:t>以内（含）</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0B9C7F9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3</w:t>
            </w:r>
            <w:r>
              <w:rPr>
                <w:rFonts w:hint="eastAsia" w:ascii="宋体" w:hAnsi="宋体" w:eastAsia="宋体" w:cs="宋体"/>
                <w:color w:val="auto"/>
                <w:kern w:val="0"/>
                <w:sz w:val="21"/>
                <w:szCs w:val="21"/>
                <w:highlight w:val="none"/>
              </w:rPr>
              <w:t>‰</w:t>
            </w:r>
          </w:p>
        </w:tc>
        <w:tc>
          <w:tcPr>
            <w:tcW w:w="2300" w:type="dxa"/>
            <w:tcBorders>
              <w:top w:val="nil"/>
              <w:left w:val="nil"/>
              <w:bottom w:val="single" w:color="auto" w:sz="4" w:space="0"/>
              <w:right w:val="single" w:color="auto" w:sz="4" w:space="0"/>
            </w:tcBorders>
            <w:noWrap w:val="0"/>
            <w:vAlign w:val="center"/>
          </w:tcPr>
          <w:p w14:paraId="7E8C1E5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rPr>
              <w:t>%</w:t>
            </w:r>
          </w:p>
        </w:tc>
      </w:tr>
      <w:tr w14:paraId="71AAC484">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13B377D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1000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5000</w:t>
            </w:r>
            <w:r>
              <w:rPr>
                <w:rFonts w:hint="eastAsia" w:ascii="宋体" w:hAnsi="宋体" w:eastAsia="宋体" w:cs="宋体"/>
                <w:color w:val="auto"/>
                <w:kern w:val="0"/>
                <w:sz w:val="21"/>
                <w:szCs w:val="21"/>
                <w:highlight w:val="none"/>
              </w:rPr>
              <w:t>以内（含）</w:t>
            </w:r>
          </w:p>
        </w:tc>
        <w:tc>
          <w:tcPr>
            <w:tcW w:w="2262" w:type="dxa"/>
            <w:tcBorders>
              <w:top w:val="single" w:color="auto" w:sz="4" w:space="0"/>
              <w:left w:val="nil"/>
              <w:bottom w:val="single" w:color="auto" w:sz="4" w:space="0"/>
              <w:right w:val="single" w:color="auto" w:sz="4" w:space="0"/>
            </w:tcBorders>
            <w:noWrap w:val="0"/>
            <w:vAlign w:val="center"/>
          </w:tcPr>
          <w:p w14:paraId="0621269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2</w:t>
            </w:r>
            <w:r>
              <w:rPr>
                <w:rFonts w:hint="eastAsia" w:ascii="宋体" w:hAnsi="宋体" w:eastAsia="宋体" w:cs="宋体"/>
                <w:color w:val="auto"/>
                <w:kern w:val="0"/>
                <w:sz w:val="21"/>
                <w:szCs w:val="21"/>
                <w:highlight w:val="none"/>
              </w:rPr>
              <w:t>‰</w:t>
            </w:r>
          </w:p>
        </w:tc>
        <w:tc>
          <w:tcPr>
            <w:tcW w:w="2300" w:type="dxa"/>
            <w:tcBorders>
              <w:top w:val="nil"/>
              <w:left w:val="nil"/>
              <w:bottom w:val="single" w:color="auto" w:sz="4" w:space="0"/>
              <w:right w:val="single" w:color="auto" w:sz="4" w:space="0"/>
            </w:tcBorders>
            <w:noWrap w:val="0"/>
            <w:vAlign w:val="center"/>
          </w:tcPr>
          <w:p w14:paraId="114B733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rPr>
              <w:t>%</w:t>
            </w:r>
          </w:p>
        </w:tc>
      </w:tr>
      <w:tr w14:paraId="5EE55B88">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4A4B837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5000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10000</w:t>
            </w:r>
            <w:r>
              <w:rPr>
                <w:rFonts w:hint="eastAsia" w:ascii="宋体" w:hAnsi="宋体" w:eastAsia="宋体" w:cs="宋体"/>
                <w:color w:val="auto"/>
                <w:kern w:val="0"/>
                <w:sz w:val="21"/>
                <w:szCs w:val="21"/>
                <w:highlight w:val="none"/>
              </w:rPr>
              <w:t>以内（含）</w:t>
            </w:r>
          </w:p>
        </w:tc>
        <w:tc>
          <w:tcPr>
            <w:tcW w:w="2262" w:type="dxa"/>
            <w:tcBorders>
              <w:top w:val="nil"/>
              <w:left w:val="nil"/>
              <w:bottom w:val="single" w:color="auto" w:sz="4" w:space="0"/>
              <w:right w:val="single" w:color="auto" w:sz="4" w:space="0"/>
            </w:tcBorders>
            <w:noWrap w:val="0"/>
            <w:vAlign w:val="center"/>
          </w:tcPr>
          <w:p w14:paraId="164A353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5</w:t>
            </w:r>
            <w:r>
              <w:rPr>
                <w:rFonts w:hint="eastAsia" w:ascii="宋体" w:hAnsi="宋体" w:eastAsia="宋体" w:cs="宋体"/>
                <w:color w:val="auto"/>
                <w:kern w:val="0"/>
                <w:sz w:val="21"/>
                <w:szCs w:val="21"/>
                <w:highlight w:val="none"/>
              </w:rPr>
              <w:t>‰</w:t>
            </w:r>
          </w:p>
        </w:tc>
        <w:tc>
          <w:tcPr>
            <w:tcW w:w="2300" w:type="dxa"/>
            <w:tcBorders>
              <w:top w:val="nil"/>
              <w:left w:val="nil"/>
              <w:bottom w:val="single" w:color="auto" w:sz="4" w:space="0"/>
              <w:right w:val="single" w:color="auto" w:sz="4" w:space="0"/>
            </w:tcBorders>
            <w:noWrap w:val="0"/>
            <w:vAlign w:val="center"/>
          </w:tcPr>
          <w:p w14:paraId="78A2A77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rPr>
              <w:t>%</w:t>
            </w:r>
          </w:p>
        </w:tc>
      </w:tr>
      <w:tr w14:paraId="0AEA36D9">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32A8CF4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10000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0000</w:t>
            </w:r>
            <w:r>
              <w:rPr>
                <w:rFonts w:hint="eastAsia" w:ascii="宋体" w:hAnsi="宋体" w:eastAsia="宋体" w:cs="宋体"/>
                <w:color w:val="auto"/>
                <w:kern w:val="0"/>
                <w:sz w:val="21"/>
                <w:szCs w:val="21"/>
                <w:highlight w:val="none"/>
              </w:rPr>
              <w:t>以内（含）</w:t>
            </w:r>
          </w:p>
        </w:tc>
        <w:tc>
          <w:tcPr>
            <w:tcW w:w="2262" w:type="dxa"/>
            <w:tcBorders>
              <w:top w:val="nil"/>
              <w:left w:val="nil"/>
              <w:bottom w:val="single" w:color="auto" w:sz="4" w:space="0"/>
              <w:right w:val="single" w:color="auto" w:sz="4" w:space="0"/>
            </w:tcBorders>
            <w:noWrap w:val="0"/>
            <w:vAlign w:val="center"/>
          </w:tcPr>
          <w:p w14:paraId="2D4BE6C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3</w:t>
            </w:r>
            <w:r>
              <w:rPr>
                <w:rFonts w:hint="eastAsia" w:ascii="宋体" w:hAnsi="宋体" w:eastAsia="宋体" w:cs="宋体"/>
                <w:color w:val="auto"/>
                <w:kern w:val="0"/>
                <w:sz w:val="21"/>
                <w:szCs w:val="21"/>
                <w:highlight w:val="none"/>
              </w:rPr>
              <w:t>‰</w:t>
            </w:r>
          </w:p>
        </w:tc>
        <w:tc>
          <w:tcPr>
            <w:tcW w:w="2300" w:type="dxa"/>
            <w:tcBorders>
              <w:top w:val="nil"/>
              <w:left w:val="nil"/>
              <w:bottom w:val="single" w:color="auto" w:sz="4" w:space="0"/>
              <w:right w:val="single" w:color="auto" w:sz="4" w:space="0"/>
            </w:tcBorders>
            <w:noWrap w:val="0"/>
            <w:vAlign w:val="center"/>
          </w:tcPr>
          <w:p w14:paraId="3A7F6D2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rPr>
              <w:t>%</w:t>
            </w:r>
          </w:p>
        </w:tc>
      </w:tr>
      <w:tr w14:paraId="0C84FBE1">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21E7C3E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50000</w:t>
            </w:r>
            <w:r>
              <w:rPr>
                <w:rFonts w:hint="eastAsia" w:ascii="宋体" w:hAnsi="宋体" w:eastAsia="宋体" w:cs="宋体"/>
                <w:color w:val="auto"/>
                <w:kern w:val="0"/>
                <w:sz w:val="21"/>
                <w:szCs w:val="21"/>
                <w:highlight w:val="none"/>
              </w:rPr>
              <w:t>以上</w:t>
            </w:r>
          </w:p>
        </w:tc>
        <w:tc>
          <w:tcPr>
            <w:tcW w:w="2262" w:type="dxa"/>
            <w:tcBorders>
              <w:top w:val="single" w:color="auto" w:sz="4" w:space="0"/>
              <w:left w:val="nil"/>
              <w:bottom w:val="single" w:color="auto" w:sz="4" w:space="0"/>
              <w:right w:val="single" w:color="auto" w:sz="4" w:space="0"/>
            </w:tcBorders>
            <w:noWrap w:val="0"/>
            <w:vAlign w:val="center"/>
          </w:tcPr>
          <w:p w14:paraId="494D873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8</w:t>
            </w:r>
            <w:r>
              <w:rPr>
                <w:rFonts w:hint="eastAsia" w:ascii="宋体" w:hAnsi="宋体" w:eastAsia="宋体" w:cs="宋体"/>
                <w:color w:val="auto"/>
                <w:kern w:val="0"/>
                <w:sz w:val="21"/>
                <w:szCs w:val="21"/>
                <w:highlight w:val="none"/>
              </w:rPr>
              <w:t>‰</w:t>
            </w:r>
          </w:p>
        </w:tc>
        <w:tc>
          <w:tcPr>
            <w:tcW w:w="2300" w:type="dxa"/>
            <w:tcBorders>
              <w:top w:val="single" w:color="auto" w:sz="4" w:space="0"/>
              <w:left w:val="nil"/>
              <w:bottom w:val="single" w:color="auto" w:sz="4" w:space="0"/>
              <w:right w:val="single" w:color="auto" w:sz="4" w:space="0"/>
            </w:tcBorders>
            <w:noWrap w:val="0"/>
            <w:vAlign w:val="center"/>
          </w:tcPr>
          <w:p w14:paraId="5EB10D0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rPr>
              <w:t>%</w:t>
            </w:r>
          </w:p>
        </w:tc>
      </w:tr>
    </w:tbl>
    <w:p w14:paraId="334EB0EB">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rPr>
        <w:t>（</w:t>
      </w:r>
      <w:r>
        <w:rPr>
          <w:rFonts w:hint="eastAsia" w:ascii="宋体" w:hAnsi="宋体" w:eastAsia="宋体" w:cs="Times New Roman"/>
          <w:color w:val="auto"/>
          <w:kern w:val="2"/>
          <w:sz w:val="21"/>
          <w:szCs w:val="21"/>
          <w:highlight w:val="none"/>
          <w:lang w:val="en-US" w:eastAsia="zh-CN"/>
        </w:rPr>
        <w:t>二</w:t>
      </w:r>
      <w:r>
        <w:rPr>
          <w:rFonts w:hint="eastAsia" w:ascii="宋体" w:hAnsi="宋体" w:eastAsia="宋体" w:cs="Times New Roman"/>
          <w:color w:val="auto"/>
          <w:kern w:val="2"/>
          <w:sz w:val="21"/>
          <w:szCs w:val="21"/>
          <w:highlight w:val="none"/>
        </w:rPr>
        <w:t>）项目跟踪（结算</w:t>
      </w:r>
      <w:r>
        <w:rPr>
          <w:rFonts w:hint="eastAsia" w:eastAsia="宋体" w:cs="Times New Roman"/>
          <w:color w:val="auto"/>
          <w:kern w:val="2"/>
          <w:sz w:val="21"/>
          <w:szCs w:val="21"/>
          <w:highlight w:val="none"/>
        </w:rPr>
        <w:t>）审计服务费用</w:t>
      </w:r>
      <w:r>
        <w:rPr>
          <w:rFonts w:hint="eastAsia" w:cs="Times New Roman"/>
          <w:color w:val="auto"/>
          <w:kern w:val="2"/>
          <w:sz w:val="21"/>
          <w:szCs w:val="21"/>
          <w:highlight w:val="none"/>
          <w:lang w:eastAsia="zh-CN"/>
        </w:rPr>
        <w:t>：为基本费率</w:t>
      </w:r>
      <w:r>
        <w:rPr>
          <w:rFonts w:hint="eastAsia" w:cs="Times New Roman"/>
          <w:color w:val="auto"/>
          <w:kern w:val="2"/>
          <w:sz w:val="21"/>
          <w:szCs w:val="21"/>
          <w:highlight w:val="none"/>
          <w:u w:val="single"/>
          <w:lang w:val="en-US" w:eastAsia="zh-CN"/>
        </w:rPr>
        <w:t xml:space="preserve">    </w:t>
      </w:r>
      <w:r>
        <w:rPr>
          <w:rFonts w:hint="eastAsia" w:cs="Times New Roman"/>
          <w:color w:val="auto"/>
          <w:kern w:val="2"/>
          <w:sz w:val="21"/>
          <w:szCs w:val="21"/>
          <w:highlight w:val="none"/>
          <w:lang w:eastAsia="zh-CN"/>
        </w:rPr>
        <w:t>‰、审核成果费率</w:t>
      </w:r>
      <w:r>
        <w:rPr>
          <w:rFonts w:hint="eastAsia" w:cs="Times New Roman"/>
          <w:color w:val="auto"/>
          <w:kern w:val="2"/>
          <w:sz w:val="21"/>
          <w:szCs w:val="21"/>
          <w:highlight w:val="none"/>
          <w:u w:val="single"/>
          <w:lang w:eastAsia="zh-CN"/>
        </w:rPr>
        <w:t>4</w:t>
      </w:r>
      <w:r>
        <w:rPr>
          <w:rFonts w:hint="eastAsia" w:cs="Times New Roman"/>
          <w:color w:val="auto"/>
          <w:kern w:val="2"/>
          <w:sz w:val="21"/>
          <w:szCs w:val="21"/>
          <w:highlight w:val="none"/>
          <w:lang w:eastAsia="zh-CN"/>
        </w:rPr>
        <w:t>%。</w:t>
      </w:r>
    </w:p>
    <w:p w14:paraId="1D3B6FE7">
      <w:pPr>
        <w:keepNext w:val="0"/>
        <w:keepLines w:val="0"/>
        <w:pageBreakBefore w:val="0"/>
        <w:kinsoku/>
        <w:wordWrap/>
        <w:overflowPunct/>
        <w:topLinePunct w:val="0"/>
        <w:autoSpaceDE/>
        <w:autoSpaceDN/>
        <w:bidi w:val="0"/>
        <w:adjustRightInd/>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费计算方式为：基本费+审核成果费。其中，跟踪审计服务基本费计算基数为审定金额；审核成果费计算基数为</w:t>
      </w:r>
      <w:r>
        <w:rPr>
          <w:rFonts w:hint="eastAsia" w:ascii="宋体" w:hAnsi="宋体" w:eastAsia="宋体" w:cs="宋体"/>
          <w:color w:val="auto"/>
          <w:sz w:val="21"/>
          <w:szCs w:val="21"/>
          <w:highlight w:val="none"/>
          <w:lang w:eastAsia="zh-CN"/>
        </w:rPr>
        <w:t>独立</w:t>
      </w:r>
      <w:r>
        <w:rPr>
          <w:rFonts w:hint="eastAsia" w:ascii="宋体" w:hAnsi="宋体" w:eastAsia="宋体" w:cs="宋体"/>
          <w:color w:val="auto"/>
          <w:sz w:val="21"/>
          <w:szCs w:val="21"/>
          <w:highlight w:val="none"/>
        </w:rPr>
        <w:t>核减金额。</w:t>
      </w:r>
    </w:p>
    <w:p w14:paraId="2C08F6CB">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cs="Times New Roman"/>
          <w:color w:val="auto"/>
          <w:kern w:val="2"/>
          <w:sz w:val="21"/>
          <w:szCs w:val="21"/>
          <w:highlight w:val="none"/>
          <w:lang w:val="en-US" w:eastAsia="zh-CN"/>
        </w:rPr>
        <w:t>三</w:t>
      </w:r>
      <w:r>
        <w:rPr>
          <w:rFonts w:hint="eastAsia" w:eastAsia="宋体" w:cs="Times New Roman"/>
          <w:color w:val="auto"/>
          <w:kern w:val="2"/>
          <w:sz w:val="21"/>
          <w:szCs w:val="21"/>
          <w:highlight w:val="none"/>
        </w:rPr>
        <w:t>）项目跟踪（结算）审计费用结算方式</w:t>
      </w:r>
    </w:p>
    <w:p w14:paraId="358E7696">
      <w:pPr>
        <w:widowControl w:val="0"/>
        <w:adjustRightInd w:val="0"/>
        <w:snapToGrid w:val="0"/>
        <w:spacing w:line="600" w:lineRule="exact"/>
        <w:ind w:firstLine="422" w:firstLineChars="200"/>
        <w:textAlignment w:val="auto"/>
        <w:rPr>
          <w:rFonts w:hint="eastAsia" w:ascii="宋体" w:hAnsi="宋体" w:eastAsia="宋体" w:cs="Times New Roman"/>
          <w:b/>
          <w:bCs/>
          <w:color w:val="auto"/>
          <w:kern w:val="2"/>
          <w:sz w:val="21"/>
          <w:szCs w:val="21"/>
          <w:highlight w:val="none"/>
          <w:lang w:val="en-US" w:eastAsia="zh-CN" w:bidi="ar-SA"/>
        </w:rPr>
      </w:pPr>
      <w:r>
        <w:rPr>
          <w:rFonts w:hint="eastAsia" w:eastAsia="宋体" w:cs="Times New Roman"/>
          <w:b/>
          <w:bCs/>
          <w:color w:val="auto"/>
          <w:kern w:val="2"/>
          <w:sz w:val="21"/>
          <w:szCs w:val="21"/>
          <w:highlight w:val="none"/>
        </w:rPr>
        <w:t>（1）</w:t>
      </w:r>
      <w:r>
        <w:rPr>
          <w:rFonts w:hint="eastAsia" w:cs="Times New Roman"/>
          <w:b/>
          <w:bCs/>
          <w:color w:val="auto"/>
          <w:kern w:val="2"/>
          <w:sz w:val="21"/>
          <w:szCs w:val="21"/>
          <w:highlight w:val="none"/>
          <w:lang w:val="en-US" w:eastAsia="zh-CN"/>
        </w:rPr>
        <w:t>付款方式：</w:t>
      </w:r>
      <w:r>
        <w:rPr>
          <w:rFonts w:hint="eastAsia" w:ascii="宋体" w:hAnsi="宋体" w:cs="Times New Roman"/>
          <w:b/>
          <w:bCs/>
          <w:color w:val="auto"/>
          <w:kern w:val="2"/>
          <w:sz w:val="21"/>
          <w:szCs w:val="21"/>
          <w:highlight w:val="none"/>
          <w:lang w:val="en-US" w:eastAsia="zh-CN" w:bidi="ar-SA"/>
        </w:rPr>
        <w:t xml:space="preserve">出具审核报告，交付招标人初审确认，出具审核报告后，交付招标人审核确认后支付审计服务费用。 </w:t>
      </w:r>
    </w:p>
    <w:p w14:paraId="3855DD4C">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2" w:firstLineChars="200"/>
        <w:textAlignment w:val="auto"/>
        <w:rPr>
          <w:rFonts w:hint="eastAsia" w:eastAsia="宋体" w:cs="Times New Roman"/>
          <w:b/>
          <w:bCs/>
          <w:color w:val="auto"/>
          <w:kern w:val="2"/>
          <w:sz w:val="21"/>
          <w:szCs w:val="21"/>
          <w:highlight w:val="none"/>
          <w:lang w:eastAsia="zh-CN"/>
        </w:rPr>
      </w:pPr>
      <w:r>
        <w:rPr>
          <w:rFonts w:hint="eastAsia" w:eastAsia="宋体" w:cs="Times New Roman"/>
          <w:b/>
          <w:bCs/>
          <w:color w:val="auto"/>
          <w:kern w:val="2"/>
          <w:sz w:val="21"/>
          <w:szCs w:val="21"/>
          <w:highlight w:val="none"/>
        </w:rPr>
        <w:t>（2）项目</w:t>
      </w:r>
      <w:r>
        <w:rPr>
          <w:rFonts w:hint="eastAsia" w:eastAsia="宋体" w:cs="Times New Roman"/>
          <w:b/>
          <w:bCs/>
          <w:color w:val="auto"/>
          <w:kern w:val="2"/>
          <w:sz w:val="21"/>
          <w:szCs w:val="21"/>
          <w:highlight w:val="none"/>
          <w:lang w:eastAsia="zh-CN"/>
        </w:rPr>
        <w:t>跟踪审计机构</w:t>
      </w:r>
      <w:r>
        <w:rPr>
          <w:rFonts w:hint="eastAsia" w:eastAsia="宋体" w:cs="Times New Roman"/>
          <w:b/>
          <w:bCs/>
          <w:color w:val="auto"/>
          <w:kern w:val="2"/>
          <w:sz w:val="21"/>
          <w:szCs w:val="21"/>
          <w:highlight w:val="none"/>
        </w:rPr>
        <w:t>未按要求完成协审工作并移交相关资料，招标人有权拒付审计服务费用，并按照《工程造价咨询服务管理办法》的有关规定追究该项目</w:t>
      </w:r>
      <w:r>
        <w:rPr>
          <w:rFonts w:hint="eastAsia" w:eastAsia="宋体" w:cs="Times New Roman"/>
          <w:b/>
          <w:bCs/>
          <w:color w:val="auto"/>
          <w:kern w:val="2"/>
          <w:sz w:val="21"/>
          <w:szCs w:val="21"/>
          <w:highlight w:val="none"/>
          <w:lang w:eastAsia="zh-CN"/>
        </w:rPr>
        <w:t>跟踪审计机构相关责任。</w:t>
      </w:r>
    </w:p>
    <w:p w14:paraId="655744F8">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hAnsi="Times New Roman" w:eastAsia="宋体" w:cs="宋体"/>
          <w:b/>
          <w:bCs/>
          <w:color w:val="auto"/>
          <w:kern w:val="0"/>
          <w:sz w:val="24"/>
          <w:szCs w:val="24"/>
          <w:highlight w:val="none"/>
          <w:lang w:val="en-US" w:eastAsia="zh-CN" w:bidi="ar-SA"/>
        </w:rPr>
      </w:pPr>
      <w:r>
        <w:rPr>
          <w:rFonts w:hint="eastAsia" w:hAnsi="Times New Roman" w:eastAsia="宋体" w:cs="宋体"/>
          <w:b/>
          <w:bCs/>
          <w:color w:val="auto"/>
          <w:kern w:val="0"/>
          <w:sz w:val="24"/>
          <w:szCs w:val="24"/>
          <w:highlight w:val="none"/>
          <w:lang w:val="en-US" w:eastAsia="zh-CN" w:bidi="ar-SA"/>
        </w:rPr>
        <w:t>六、审计质量、时限及过程管理要求</w:t>
      </w:r>
    </w:p>
    <w:p w14:paraId="3582F073">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lang w:val="en-US" w:eastAsia="zh-CN"/>
        </w:rPr>
        <w:t>跟踪审计</w:t>
      </w:r>
      <w:r>
        <w:rPr>
          <w:rFonts w:hint="eastAsia" w:eastAsia="宋体" w:cs="Times New Roman"/>
          <w:color w:val="auto"/>
          <w:kern w:val="2"/>
          <w:sz w:val="21"/>
          <w:szCs w:val="21"/>
          <w:highlight w:val="none"/>
        </w:rPr>
        <w:t>机构应及时认真地分析阅读工程量清单及控制价、招投标文件、合同（协议）、施工图纸、设计变更、技术签证等相关文件资料，在施工现场勘察测量和了解实际情况并做好记录。</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应根据建设单位、监理单位、施工单位提供的有关资料在《工程造价咨询服务管理办法》文件规定的工作日内完成审核工作，不得无故拖延时间。</w:t>
      </w:r>
    </w:p>
    <w:p w14:paraId="0319EC1B">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lang w:val="en-US" w:eastAsia="zh-CN"/>
        </w:rPr>
        <w:t>跟踪审计</w:t>
      </w:r>
      <w:r>
        <w:rPr>
          <w:rFonts w:hint="eastAsia" w:eastAsia="宋体" w:cs="Times New Roman"/>
          <w:color w:val="auto"/>
          <w:kern w:val="2"/>
          <w:sz w:val="21"/>
          <w:szCs w:val="21"/>
          <w:highlight w:val="none"/>
        </w:rPr>
        <w:t>机构在</w:t>
      </w:r>
      <w:r>
        <w:rPr>
          <w:rFonts w:hint="eastAsia" w:eastAsia="宋体" w:cs="Times New Roman"/>
          <w:color w:val="auto"/>
          <w:kern w:val="2"/>
          <w:sz w:val="21"/>
          <w:szCs w:val="21"/>
          <w:highlight w:val="none"/>
          <w:lang w:val="en-US" w:eastAsia="zh-CN"/>
        </w:rPr>
        <w:t>跟踪审计</w:t>
      </w:r>
      <w:r>
        <w:rPr>
          <w:rFonts w:hint="eastAsia" w:eastAsia="宋体" w:cs="Times New Roman"/>
          <w:color w:val="auto"/>
          <w:kern w:val="2"/>
          <w:sz w:val="21"/>
          <w:szCs w:val="21"/>
          <w:highlight w:val="none"/>
        </w:rPr>
        <w:t>过程须遵守遵守现行国家或行业工程计价有关规定、标准、规范的要求</w:t>
      </w:r>
      <w:r>
        <w:rPr>
          <w:rFonts w:hint="eastAsia" w:eastAsia="宋体" w:cs="Times New Roman"/>
          <w:color w:val="auto"/>
          <w:kern w:val="2"/>
          <w:sz w:val="21"/>
          <w:szCs w:val="21"/>
          <w:highlight w:val="none"/>
          <w:lang w:eastAsia="zh-CN"/>
        </w:rPr>
        <w:t>、</w:t>
      </w:r>
      <w:r>
        <w:rPr>
          <w:rFonts w:hint="eastAsia" w:eastAsia="宋体" w:cs="Times New Roman"/>
          <w:color w:val="auto"/>
          <w:kern w:val="2"/>
          <w:sz w:val="21"/>
          <w:szCs w:val="21"/>
          <w:highlight w:val="none"/>
        </w:rPr>
        <w:t>以及为提升审计质量和效率、控制廉政风险等方面制定的各项规定。</w:t>
      </w:r>
    </w:p>
    <w:p w14:paraId="36487EBF">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b/>
          <w:bCs/>
          <w:color w:val="auto"/>
          <w:kern w:val="2"/>
          <w:sz w:val="24"/>
          <w:szCs w:val="24"/>
          <w:highlight w:val="none"/>
        </w:rPr>
      </w:pPr>
      <w:r>
        <w:rPr>
          <w:rFonts w:hint="eastAsia" w:eastAsia="宋体" w:cs="Times New Roman"/>
          <w:b/>
          <w:bCs/>
          <w:color w:val="auto"/>
          <w:kern w:val="2"/>
          <w:sz w:val="24"/>
          <w:szCs w:val="24"/>
          <w:highlight w:val="none"/>
          <w:lang w:val="en-US" w:eastAsia="zh-CN"/>
        </w:rPr>
        <w:t>七</w:t>
      </w:r>
      <w:r>
        <w:rPr>
          <w:rFonts w:hint="eastAsia" w:eastAsia="宋体" w:cs="Times New Roman"/>
          <w:b/>
          <w:bCs/>
          <w:color w:val="auto"/>
          <w:kern w:val="2"/>
          <w:sz w:val="24"/>
          <w:szCs w:val="24"/>
          <w:highlight w:val="none"/>
        </w:rPr>
        <w:t>、项目跟踪（结算）审计工作考核奖惩</w:t>
      </w:r>
    </w:p>
    <w:p w14:paraId="19858E5C">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造价企业有下列情形之一的，可扣减审计服务费用，终止审计委托协议，提请行政主管部门给予警告、通报，有限期或无限期禁止从事</w:t>
      </w:r>
      <w:r>
        <w:rPr>
          <w:rFonts w:hint="eastAsia" w:cs="Times New Roman"/>
          <w:color w:val="auto"/>
          <w:kern w:val="2"/>
          <w:sz w:val="21"/>
          <w:szCs w:val="21"/>
          <w:highlight w:val="none"/>
          <w:lang w:eastAsia="zh-CN"/>
        </w:rPr>
        <w:t>我单位</w:t>
      </w:r>
      <w:r>
        <w:rPr>
          <w:rFonts w:hint="eastAsia" w:eastAsia="宋体" w:cs="Times New Roman"/>
          <w:color w:val="auto"/>
          <w:kern w:val="2"/>
          <w:sz w:val="21"/>
          <w:szCs w:val="21"/>
          <w:highlight w:val="none"/>
        </w:rPr>
        <w:t>项目等处罚，构成犯罪的，依法追究刑事责任：</w:t>
      </w:r>
    </w:p>
    <w:p w14:paraId="65ED82B6">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1</w:t>
      </w:r>
      <w:r>
        <w:rPr>
          <w:rFonts w:hint="eastAsia" w:eastAsia="宋体" w:cs="Times New Roman"/>
          <w:color w:val="auto"/>
          <w:kern w:val="2"/>
          <w:sz w:val="21"/>
          <w:szCs w:val="21"/>
          <w:highlight w:val="none"/>
        </w:rPr>
        <w:t>）工程结算审核报告存在重大失误或质量低劣；</w:t>
      </w:r>
    </w:p>
    <w:p w14:paraId="7DC53350">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2</w:t>
      </w:r>
      <w:r>
        <w:rPr>
          <w:rFonts w:hint="eastAsia" w:eastAsia="宋体" w:cs="Times New Roman"/>
          <w:color w:val="auto"/>
          <w:kern w:val="2"/>
          <w:sz w:val="21"/>
          <w:szCs w:val="21"/>
          <w:highlight w:val="none"/>
        </w:rPr>
        <w:t>）因自身工作错误或过失造成重大损失；</w:t>
      </w:r>
    </w:p>
    <w:p w14:paraId="671B960A">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3</w:t>
      </w:r>
      <w:r>
        <w:rPr>
          <w:rFonts w:hint="eastAsia" w:eastAsia="宋体" w:cs="Times New Roman"/>
          <w:color w:val="auto"/>
          <w:kern w:val="2"/>
          <w:sz w:val="21"/>
          <w:szCs w:val="21"/>
          <w:highlight w:val="none"/>
        </w:rPr>
        <w:t>）未经允许私自向施工单位透露审核情况或信息；</w:t>
      </w:r>
    </w:p>
    <w:p w14:paraId="751EB501">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4</w:t>
      </w:r>
      <w:r>
        <w:rPr>
          <w:rFonts w:hint="eastAsia" w:eastAsia="宋体" w:cs="Times New Roman"/>
          <w:color w:val="auto"/>
          <w:kern w:val="2"/>
          <w:sz w:val="21"/>
          <w:szCs w:val="21"/>
          <w:highlight w:val="none"/>
        </w:rPr>
        <w:t>）向相关单位或个人索要财物等谋取不正当利益；</w:t>
      </w:r>
    </w:p>
    <w:p w14:paraId="3F030942">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5</w:t>
      </w:r>
      <w:r>
        <w:rPr>
          <w:rFonts w:hint="eastAsia" w:eastAsia="宋体" w:cs="Times New Roman"/>
          <w:color w:val="auto"/>
          <w:kern w:val="2"/>
          <w:sz w:val="21"/>
          <w:szCs w:val="21"/>
          <w:highlight w:val="none"/>
        </w:rPr>
        <w:t>）单独或与其他各方串通舞弊、弄虚作假；</w:t>
      </w:r>
    </w:p>
    <w:p w14:paraId="16802531">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6</w:t>
      </w:r>
      <w:r>
        <w:rPr>
          <w:rFonts w:hint="eastAsia" w:eastAsia="宋体" w:cs="Times New Roman"/>
          <w:color w:val="auto"/>
          <w:kern w:val="2"/>
          <w:sz w:val="21"/>
          <w:szCs w:val="21"/>
          <w:highlight w:val="none"/>
        </w:rPr>
        <w:t>）其他违反法律法规和规定的行为。</w:t>
      </w:r>
    </w:p>
    <w:p w14:paraId="626627EC">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color w:val="auto"/>
          <w:kern w:val="2"/>
          <w:sz w:val="24"/>
          <w:szCs w:val="24"/>
          <w:highlight w:val="none"/>
        </w:rPr>
      </w:pPr>
      <w:r>
        <w:rPr>
          <w:rFonts w:hint="eastAsia" w:eastAsia="宋体" w:cs="Times New Roman"/>
          <w:b/>
          <w:bCs/>
          <w:color w:val="auto"/>
          <w:kern w:val="2"/>
          <w:sz w:val="24"/>
          <w:szCs w:val="24"/>
          <w:highlight w:val="none"/>
          <w:lang w:val="en-US" w:eastAsia="zh-CN"/>
        </w:rPr>
        <w:t>八</w:t>
      </w:r>
      <w:r>
        <w:rPr>
          <w:rFonts w:hint="eastAsia" w:eastAsia="宋体" w:cs="Times New Roman"/>
          <w:b/>
          <w:bCs/>
          <w:color w:val="auto"/>
          <w:kern w:val="2"/>
          <w:sz w:val="24"/>
          <w:szCs w:val="24"/>
          <w:highlight w:val="none"/>
        </w:rPr>
        <w:t>、甲乙双方的权利和义务</w:t>
      </w:r>
      <w:r>
        <w:rPr>
          <w:rFonts w:hint="eastAsia" w:eastAsia="宋体" w:cs="Times New Roman"/>
          <w:color w:val="auto"/>
          <w:kern w:val="2"/>
          <w:sz w:val="24"/>
          <w:szCs w:val="24"/>
          <w:highlight w:val="none"/>
        </w:rPr>
        <w:t xml:space="preserve"> </w:t>
      </w:r>
    </w:p>
    <w:p w14:paraId="0F763974">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 xml:space="preserve">1.甲方权利和义务 </w:t>
      </w:r>
    </w:p>
    <w:p w14:paraId="654C321B">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（1）甲方有权对乙方的跟踪（结算）审计项目实施监督，配合市跟审办对乙方审计工作程序、质量和效率等进行检查考核，考核结果作为奖惩和参与政府投资项目跟踪（结算）审计的重要依据；</w:t>
      </w:r>
    </w:p>
    <w:p w14:paraId="39A4D2B7">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（2）项目跟踪（结算）审计过程中，甲方如发现乙方所派审计人员不符合要求或不能胜任岗位工作职责的，甲方有权要求乙方及时调换，或视情况给予相应的处理、处罚；</w:t>
      </w:r>
    </w:p>
    <w:p w14:paraId="6FCD3CCB">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（3）甲方保证乙方审计服务费用的按时到位。</w:t>
      </w:r>
    </w:p>
    <w:p w14:paraId="07322FFD">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2.乙方权利和义务</w:t>
      </w:r>
    </w:p>
    <w:p w14:paraId="33AA2842">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（1）乙方在完成审计任务后，有权及时取得审计服务费用；</w:t>
      </w:r>
    </w:p>
    <w:p w14:paraId="3CB820EA">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（2）乙方须依照甲方工作要求及行业准则、规范，按时、保质、保量完成所承担的审计任务；</w:t>
      </w:r>
    </w:p>
    <w:p w14:paraId="221FB8C8">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乙方必须对审计人员进行廉政教育，如发现有违反廉洁自律规定的行为，应立即更换人员，并对其严肃处理。同时，甲方可根据性质及情节，扣减相应审计服务费用，并可提请市跟审办没收相应的质量及廉政保证金。</w:t>
      </w:r>
    </w:p>
    <w:p w14:paraId="7EA0C46A">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3、双方权力和责任</w:t>
      </w:r>
    </w:p>
    <w:p w14:paraId="261D9675">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3.1 招标人有权进行现场调查和监督，随时调阅有关资料，参与审计的查证、对账和答疑等有关活动。若</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未按委托协议完成业务或审计工作中出现严重差错，招标人有权追究</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法律和经济责任，并视情节扣减部分或全部审计服务费用，直至终止委托关系。</w:t>
      </w:r>
    </w:p>
    <w:p w14:paraId="0243ECD8">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3.2 招标人监督协议的执行，协调和处理履约过程中的问题，对</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审计工作开展情况进行考核，主要内容包括审计程序、现场履职、审计质量和效率、廉政纪律等方面，考核结果作为经济奖惩和以后参与政府投资项目审计服务的重要依据。</w:t>
      </w:r>
    </w:p>
    <w:p w14:paraId="1FE6A7C1">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 xml:space="preserve">3.3 </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应本着客观、公正、公平的原则，正确履行审计职责，同时承担相应的法律责任。对</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滥用职权、与施工单位串通、徇私舞弊、玩忽职守的，视情节，按有关规定对</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及其当事人进行处理处罚；情节严重，涉嫌违法违纪的，依法移送纪检、司法机关查处。</w:t>
      </w:r>
    </w:p>
    <w:p w14:paraId="5545759E">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b/>
          <w:bCs/>
          <w:color w:val="auto"/>
          <w:kern w:val="2"/>
          <w:sz w:val="24"/>
          <w:szCs w:val="24"/>
          <w:highlight w:val="none"/>
        </w:rPr>
      </w:pPr>
      <w:r>
        <w:rPr>
          <w:rFonts w:hint="eastAsia" w:eastAsia="宋体" w:cs="Times New Roman"/>
          <w:b/>
          <w:bCs/>
          <w:color w:val="auto"/>
          <w:kern w:val="2"/>
          <w:sz w:val="24"/>
          <w:szCs w:val="24"/>
          <w:highlight w:val="none"/>
          <w:lang w:val="en-US" w:eastAsia="zh-CN"/>
        </w:rPr>
        <w:t>九</w:t>
      </w:r>
      <w:r>
        <w:rPr>
          <w:rFonts w:hint="eastAsia" w:eastAsia="宋体" w:cs="Times New Roman"/>
          <w:b/>
          <w:bCs/>
          <w:color w:val="auto"/>
          <w:kern w:val="2"/>
          <w:sz w:val="24"/>
          <w:szCs w:val="24"/>
          <w:highlight w:val="none"/>
        </w:rPr>
        <w:t>、附则</w:t>
      </w:r>
    </w:p>
    <w:p w14:paraId="219F5A99">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1.本协议一式肆份，具有同等法律效力，甲方、乙方各执贰份。</w:t>
      </w:r>
    </w:p>
    <w:p w14:paraId="51E0F887">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2.本协议未尽事宜，由甲乙双方协商解决。协商不成，提请滁州仲裁委员会裁决。 　</w:t>
      </w:r>
    </w:p>
    <w:p w14:paraId="25F4F5D3">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3.本合同自双方签章后生效。</w:t>
      </w:r>
    </w:p>
    <w:p w14:paraId="5A387F13">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p>
    <w:p w14:paraId="7D2E1392">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p>
    <w:p w14:paraId="56CD9580">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 xml:space="preserve">甲方（签章）                              乙方（签章）           </w:t>
      </w:r>
    </w:p>
    <w:p w14:paraId="0DCB36CB">
      <w:pPr>
        <w:ind w:firstLine="1470" w:firstLineChars="700"/>
        <w:rPr>
          <w:rFonts w:hint="eastAsia" w:ascii="宋体" w:hAnsi="宋体" w:eastAsia="宋体" w:cs="宋体"/>
          <w:color w:val="auto"/>
          <w:sz w:val="21"/>
          <w:szCs w:val="21"/>
          <w:highlight w:val="none"/>
        </w:rPr>
      </w:pPr>
      <w:r>
        <w:rPr>
          <w:rFonts w:hint="eastAsia" w:eastAsia="宋体" w:cs="Times New Roman"/>
          <w:color w:val="auto"/>
          <w:kern w:val="2"/>
          <w:sz w:val="21"/>
          <w:szCs w:val="21"/>
          <w:highlight w:val="none"/>
        </w:rPr>
        <w:t>年   月   日                             年  月  日</w:t>
      </w:r>
    </w:p>
    <w:p w14:paraId="6BCD3E8E">
      <w:pPr>
        <w:pStyle w:val="5"/>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63" w:name="_Toc30675"/>
      <w:r>
        <w:rPr>
          <w:rFonts w:hint="eastAsia" w:ascii="宋体" w:hAnsi="宋体" w:eastAsia="宋体" w:cs="宋体"/>
          <w:color w:val="auto"/>
          <w:highlight w:val="none"/>
          <w:lang w:val="en-US" w:eastAsia="zh-CN"/>
        </w:rPr>
        <w:t>第四章 投标文件格式</w:t>
      </w:r>
      <w:bookmarkEnd w:id="63"/>
    </w:p>
    <w:p w14:paraId="2AC451A3">
      <w:pPr>
        <w:jc w:val="center"/>
        <w:rPr>
          <w:rFonts w:hint="eastAsia" w:ascii="宋体" w:hAnsi="宋体" w:eastAsia="宋体" w:cs="宋体"/>
          <w:color w:val="auto"/>
          <w:sz w:val="28"/>
          <w:szCs w:val="28"/>
          <w:highlight w:val="none"/>
          <w:u w:val="single"/>
        </w:rPr>
      </w:pPr>
    </w:p>
    <w:p w14:paraId="2BF899C5">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5984FAB0">
      <w:pPr>
        <w:jc w:val="center"/>
        <w:rPr>
          <w:rFonts w:hint="eastAsia" w:ascii="宋体" w:hAnsi="宋体" w:eastAsia="宋体" w:cs="宋体"/>
          <w:color w:val="auto"/>
          <w:sz w:val="20"/>
          <w:szCs w:val="20"/>
          <w:highlight w:val="none"/>
        </w:rPr>
      </w:pPr>
    </w:p>
    <w:p w14:paraId="774E9746">
      <w:pPr>
        <w:jc w:val="center"/>
        <w:rPr>
          <w:rFonts w:hint="eastAsia" w:ascii="宋体" w:hAnsi="宋体" w:eastAsia="宋体" w:cs="宋体"/>
          <w:color w:val="auto"/>
          <w:sz w:val="20"/>
          <w:szCs w:val="20"/>
          <w:highlight w:val="none"/>
        </w:rPr>
      </w:pPr>
    </w:p>
    <w:p w14:paraId="530D7441">
      <w:pPr>
        <w:rPr>
          <w:rFonts w:hint="eastAsia" w:ascii="宋体" w:hAnsi="宋体" w:eastAsia="宋体" w:cs="宋体"/>
          <w:color w:val="auto"/>
          <w:sz w:val="20"/>
          <w:szCs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8867CFF">
      <w:pPr>
        <w:ind w:firstLine="2880" w:firstLineChars="900"/>
        <w:jc w:val="both"/>
        <w:rPr>
          <w:rFonts w:hint="eastAsia" w:ascii="宋体" w:hAnsi="宋体" w:eastAsia="宋体" w:cs="宋体"/>
          <w:color w:val="auto"/>
          <w:sz w:val="32"/>
          <w:highlight w:val="none"/>
          <w:u w:val="none"/>
          <w:lang w:val="en-US" w:eastAsia="zh-CN"/>
        </w:rPr>
      </w:pPr>
    </w:p>
    <w:p w14:paraId="3D29AF2E">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14:paraId="0366733A">
      <w:pPr>
        <w:rPr>
          <w:rFonts w:hint="eastAsia" w:ascii="宋体" w:hAnsi="宋体" w:eastAsia="宋体" w:cs="宋体"/>
          <w:color w:val="auto"/>
          <w:sz w:val="28"/>
          <w:szCs w:val="28"/>
          <w:highlight w:val="none"/>
        </w:rPr>
      </w:pPr>
    </w:p>
    <w:p w14:paraId="51E6DC1B">
      <w:pPr>
        <w:rPr>
          <w:rFonts w:hint="eastAsia" w:ascii="宋体" w:hAnsi="宋体" w:eastAsia="宋体" w:cs="宋体"/>
          <w:color w:val="auto"/>
          <w:sz w:val="28"/>
          <w:szCs w:val="28"/>
          <w:highlight w:val="none"/>
        </w:rPr>
      </w:pPr>
    </w:p>
    <w:p w14:paraId="2A26D9A6">
      <w:pPr>
        <w:rPr>
          <w:rFonts w:hint="eastAsia" w:ascii="宋体" w:hAnsi="宋体" w:eastAsia="宋体" w:cs="宋体"/>
          <w:color w:val="auto"/>
          <w:sz w:val="28"/>
          <w:szCs w:val="28"/>
          <w:highlight w:val="none"/>
        </w:rPr>
      </w:pPr>
    </w:p>
    <w:p w14:paraId="740AB8F5">
      <w:pPr>
        <w:rPr>
          <w:rFonts w:hint="eastAsia" w:ascii="宋体" w:hAnsi="宋体" w:eastAsia="宋体" w:cs="宋体"/>
          <w:color w:val="auto"/>
          <w:sz w:val="28"/>
          <w:szCs w:val="28"/>
          <w:highlight w:val="none"/>
        </w:rPr>
      </w:pPr>
    </w:p>
    <w:p w14:paraId="178B625A">
      <w:pPr>
        <w:rPr>
          <w:rFonts w:hint="eastAsia" w:ascii="宋体" w:hAnsi="宋体" w:eastAsia="宋体" w:cs="宋体"/>
          <w:color w:val="auto"/>
          <w:sz w:val="28"/>
          <w:szCs w:val="28"/>
          <w:highlight w:val="none"/>
        </w:rPr>
      </w:pPr>
    </w:p>
    <w:p w14:paraId="053334BB">
      <w:pPr>
        <w:rPr>
          <w:rFonts w:hint="eastAsia" w:ascii="宋体" w:hAnsi="宋体" w:eastAsia="宋体" w:cs="宋体"/>
          <w:color w:val="auto"/>
          <w:sz w:val="28"/>
          <w:szCs w:val="28"/>
          <w:highlight w:val="none"/>
        </w:rPr>
      </w:pPr>
    </w:p>
    <w:p w14:paraId="4DB35F7F">
      <w:pPr>
        <w:rPr>
          <w:rFonts w:hint="eastAsia" w:ascii="宋体" w:hAnsi="宋体" w:eastAsia="宋体" w:cs="宋体"/>
          <w:color w:val="auto"/>
          <w:sz w:val="28"/>
          <w:szCs w:val="28"/>
          <w:highlight w:val="none"/>
        </w:rPr>
      </w:pPr>
    </w:p>
    <w:p w14:paraId="7EB0B0BD">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699EC1E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4D73F47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FC527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6C9FDD6">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目录</w:t>
      </w:r>
    </w:p>
    <w:p w14:paraId="4FDABD1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w:t>
      </w:r>
      <w:bookmarkStart w:id="66" w:name="_GoBack"/>
      <w:r>
        <w:rPr>
          <w:rFonts w:hint="eastAsia" w:ascii="宋体" w:hAnsi="宋体" w:eastAsia="宋体" w:cs="宋体"/>
          <w:color w:val="auto"/>
          <w:sz w:val="21"/>
          <w:szCs w:val="21"/>
          <w:highlight w:val="none"/>
        </w:rPr>
        <w:t>文件和本人有效身份证(或法定代表人授权委托书和委托代理人有效身份证)；</w:t>
      </w:r>
      <w:r>
        <w:rPr>
          <w:rFonts w:hint="eastAsia" w:ascii="宋体" w:hAnsi="宋体" w:cs="宋体"/>
          <w:color w:val="auto"/>
          <w:sz w:val="21"/>
          <w:szCs w:val="21"/>
          <w:highlight w:val="none"/>
          <w:lang w:val="en-US" w:eastAsia="zh-CN"/>
        </w:rPr>
        <w:t>（格式见附件）</w:t>
      </w:r>
    </w:p>
    <w:p w14:paraId="0187A6D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eastAsia="宋体" w:cs="宋体"/>
          <w:color w:val="auto"/>
          <w:sz w:val="21"/>
          <w:szCs w:val="21"/>
          <w:highlight w:val="none"/>
          <w:lang w:val="en-US" w:eastAsia="zh-CN"/>
        </w:rPr>
        <w:t xml:space="preserve"> </w:t>
      </w:r>
    </w:p>
    <w:p w14:paraId="197A11D3">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项目人员配备表；（格式见附件）</w:t>
      </w:r>
    </w:p>
    <w:p w14:paraId="6B8FA70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p>
    <w:p w14:paraId="4A58C64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cs="宋体"/>
          <w:color w:val="auto"/>
          <w:kern w:val="0"/>
          <w:sz w:val="21"/>
          <w:szCs w:val="21"/>
          <w:highlight w:val="none"/>
          <w:lang w:val="en-US" w:eastAsia="zh-CN"/>
        </w:rPr>
        <w:t>不少于2名且具有在本单位注册的二级及以上造价工程师（土木建筑工程专业至少1名）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p>
    <w:p w14:paraId="432C691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承诺书：投标人对所提供的上述材料</w:t>
      </w:r>
      <w:bookmarkEnd w:id="66"/>
      <w:r>
        <w:rPr>
          <w:rFonts w:hint="eastAsia" w:ascii="宋体" w:hAnsi="宋体" w:cs="宋体"/>
          <w:color w:val="auto"/>
          <w:sz w:val="21"/>
          <w:szCs w:val="21"/>
          <w:highlight w:val="none"/>
          <w:lang w:val="en-US" w:eastAsia="zh-CN"/>
        </w:rPr>
        <w:t>作出承诺，若投标人存在弄虚作假，提供虚假资料的，若中标，则取消中标资格。（</w:t>
      </w:r>
      <w:r>
        <w:rPr>
          <w:rFonts w:hint="eastAsia" w:ascii="宋体" w:hAnsi="宋体" w:cs="宋体"/>
          <w:b/>
          <w:bCs/>
          <w:color w:val="auto"/>
          <w:sz w:val="21"/>
          <w:szCs w:val="21"/>
          <w:highlight w:val="none"/>
          <w:lang w:val="en-US" w:eastAsia="zh-CN"/>
        </w:rPr>
        <w:t>承诺书格式自拟</w:t>
      </w:r>
      <w:r>
        <w:rPr>
          <w:rFonts w:hint="eastAsia" w:ascii="宋体" w:hAnsi="宋体" w:cs="宋体"/>
          <w:color w:val="auto"/>
          <w:sz w:val="21"/>
          <w:szCs w:val="21"/>
          <w:highlight w:val="none"/>
          <w:lang w:val="en-US" w:eastAsia="zh-CN"/>
        </w:rPr>
        <w:t>并注明开标日期，加盖投标单位公章）</w:t>
      </w:r>
    </w:p>
    <w:p w14:paraId="1966D4D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须持有社保部门出具的本单位为其缴纳的投标前近三个月内任意一月的养老保险证明（含官网在线打印件，证明文件两个月内有效），或投标人提供承诺已为上述人员缴纳养老保险证明的承诺书（格式自拟）。</w:t>
      </w:r>
    </w:p>
    <w:p w14:paraId="25725BF6">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（格式见附件）</w:t>
      </w:r>
    </w:p>
    <w:p w14:paraId="7AE780D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）投标人认为需要提供的其他材料。</w:t>
      </w:r>
    </w:p>
    <w:p w14:paraId="7525A41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p>
    <w:p w14:paraId="0CC44DA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AF3D236">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0E2F3567">
      <w:pPr>
        <w:pStyle w:val="145"/>
        <w:keepNext w:val="0"/>
        <w:keepLines w:val="0"/>
        <w:pageBreakBefore w:val="0"/>
        <w:kinsoku/>
        <w:wordWrap/>
        <w:overflowPunct/>
        <w:topLinePunct w:val="0"/>
        <w:autoSpaceDE/>
        <w:autoSpaceDN/>
        <w:bidi w:val="0"/>
        <w:adjustRightInd/>
        <w:snapToGrid/>
        <w:spacing w:beforeLines="100" w:afterLines="100" w:line="500" w:lineRule="exact"/>
        <w:ind w:firstLine="180" w:firstLineChars="75"/>
        <w:rPr>
          <w:rFonts w:hint="eastAsia" w:ascii="宋体" w:hAnsi="宋体" w:eastAsia="宋体" w:cs="宋体"/>
          <w:b/>
          <w:color w:val="auto"/>
          <w:sz w:val="24"/>
          <w:szCs w:val="24"/>
          <w:highlight w:val="none"/>
        </w:rPr>
      </w:pPr>
      <w:bookmarkStart w:id="64" w:name="OLE_LINK13"/>
      <w:r>
        <w:rPr>
          <w:rFonts w:hint="eastAsia" w:ascii="宋体" w:hAnsi="宋体" w:eastAsia="宋体" w:cs="宋体"/>
          <w:color w:val="auto"/>
          <w:sz w:val="24"/>
          <w:szCs w:val="24"/>
          <w:highlight w:val="none"/>
        </w:rPr>
        <w:t>1、法定代表人身份证明</w:t>
      </w:r>
    </w:p>
    <w:p w14:paraId="41F8C1B0">
      <w:pPr>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00D46D">
      <w:pPr>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4F28CA">
      <w:pPr>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CFE56">
      <w:pPr>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28DCD">
      <w:pPr>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38176A">
      <w:pPr>
        <w:keepNext w:val="0"/>
        <w:keepLines w:val="0"/>
        <w:pageBreakBefore w:val="0"/>
        <w:kinsoku/>
        <w:wordWrap/>
        <w:overflowPunct/>
        <w:topLinePunct w:val="0"/>
        <w:autoSpaceDE/>
        <w:autoSpaceDN/>
        <w:bidi w:val="0"/>
        <w:adjustRightInd/>
        <w:snapToGrid/>
        <w:spacing w:line="50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8CAD9F">
      <w:pPr>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DACF58B">
      <w:pPr>
        <w:keepNext w:val="0"/>
        <w:keepLines w:val="0"/>
        <w:pageBreakBefore w:val="0"/>
        <w:kinsoku/>
        <w:wordWrap/>
        <w:overflowPunct/>
        <w:topLinePunct w:val="0"/>
        <w:autoSpaceDE/>
        <w:autoSpaceDN/>
        <w:bidi w:val="0"/>
        <w:adjustRightInd/>
        <w:snapToGrid/>
        <w:spacing w:line="50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9F19DA4">
      <w:pPr>
        <w:keepNext w:val="0"/>
        <w:keepLines w:val="0"/>
        <w:pageBreakBefore w:val="0"/>
        <w:kinsoku/>
        <w:wordWrap/>
        <w:overflowPunct/>
        <w:topLinePunct w:val="0"/>
        <w:autoSpaceDE/>
        <w:autoSpaceDN/>
        <w:bidi w:val="0"/>
        <w:adjustRightInd/>
        <w:snapToGrid/>
        <w:spacing w:line="500" w:lineRule="exact"/>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（签章）</w:t>
      </w:r>
    </w:p>
    <w:p w14:paraId="71183CCD">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64"/>
    <w:p w14:paraId="1102F2AB">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0864FD2B">
      <w:pPr>
        <w:keepNext w:val="0"/>
        <w:keepLines w:val="0"/>
        <w:pageBreakBefore w:val="0"/>
        <w:kinsoku/>
        <w:wordWrap/>
        <w:overflowPunct/>
        <w:topLinePunct w:val="0"/>
        <w:autoSpaceDE/>
        <w:autoSpaceDN/>
        <w:bidi w:val="0"/>
        <w:adjustRightInd/>
        <w:snapToGrid/>
        <w:spacing w:line="500" w:lineRule="exact"/>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招标人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3D2F7968">
      <w:pPr>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宋体" w:hAnsi="宋体" w:eastAsia="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lang w:eastAsia="zh-CN"/>
        </w:rPr>
        <w:t>。</w:t>
      </w:r>
    </w:p>
    <w:p w14:paraId="5186FBCB">
      <w:pPr>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ECF78C8">
      <w:pPr>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宋体"/>
          <w:color w:val="auto"/>
          <w:sz w:val="24"/>
          <w:highlight w:val="none"/>
        </w:rPr>
      </w:pPr>
      <w:r>
        <w:rPr>
          <w:rFonts w:hint="eastAsia" w:ascii="宋体" w:hAnsi="宋体" w:eastAsia="宋体" w:cs="宋体"/>
          <w:color w:val="auto"/>
          <w:sz w:val="24"/>
          <w:szCs w:val="24"/>
          <w:highlight w:val="none"/>
        </w:rPr>
        <w:t>附：</w:t>
      </w:r>
      <w:r>
        <w:rPr>
          <w:rFonts w:hint="eastAsia" w:ascii="宋体"/>
          <w:color w:val="auto"/>
          <w:sz w:val="24"/>
          <w:highlight w:val="none"/>
        </w:rPr>
        <w:t>授权委托人有效身份证及法定代表人有效身份证</w:t>
      </w:r>
    </w:p>
    <w:p w14:paraId="54CB3CE1">
      <w:pPr>
        <w:keepNext w:val="0"/>
        <w:keepLines w:val="0"/>
        <w:pageBreakBefore w:val="0"/>
        <w:kinsoku/>
        <w:wordWrap/>
        <w:overflowPunct/>
        <w:topLinePunct w:val="0"/>
        <w:autoSpaceDE/>
        <w:autoSpaceDN/>
        <w:bidi w:val="0"/>
        <w:adjustRightInd/>
        <w:snapToGrid/>
        <w:spacing w:line="500" w:lineRule="exact"/>
        <w:ind w:firstLine="480" w:firstLineChars="200"/>
        <w:jc w:val="right"/>
        <w:rPr>
          <w:rFonts w:hint="eastAsia" w:ascii="宋体" w:hAnsi="Times New Roman" w:eastAsia="宋体" w:cs="Times New Roman"/>
          <w:color w:val="auto"/>
          <w:sz w:val="24"/>
          <w:highlight w:val="none"/>
        </w:rPr>
      </w:pPr>
      <w:r>
        <w:rPr>
          <w:rFonts w:hint="eastAsia" w:ascii="宋体"/>
          <w:color w:val="auto"/>
          <w:sz w:val="24"/>
          <w:highlight w:val="none"/>
        </w:rPr>
        <w:t xml:space="preserve">                                    </w:t>
      </w:r>
      <w:r>
        <w:rPr>
          <w:rFonts w:hint="eastAsia" w:ascii="宋体" w:hAnsi="Times New Roman" w:eastAsia="宋体" w:cs="Times New Roman"/>
          <w:color w:val="auto"/>
          <w:sz w:val="24"/>
          <w:highlight w:val="none"/>
        </w:rPr>
        <w:t xml:space="preserve"> 投标人：             （签章）</w:t>
      </w:r>
    </w:p>
    <w:p w14:paraId="2B8D027D">
      <w:pPr>
        <w:keepNext w:val="0"/>
        <w:keepLines w:val="0"/>
        <w:pageBreakBefore w:val="0"/>
        <w:kinsoku/>
        <w:wordWrap/>
        <w:overflowPunct/>
        <w:topLinePunct w:val="0"/>
        <w:autoSpaceDE/>
        <w:autoSpaceDN/>
        <w:bidi w:val="0"/>
        <w:adjustRightInd/>
        <w:snapToGrid/>
        <w:spacing w:line="50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33159AC">
      <w:pPr>
        <w:keepNext w:val="0"/>
        <w:keepLines w:val="0"/>
        <w:pageBreakBefore w:val="0"/>
        <w:kinsoku/>
        <w:wordWrap/>
        <w:overflowPunct/>
        <w:topLinePunct w:val="0"/>
        <w:autoSpaceDE/>
        <w:autoSpaceDN/>
        <w:bidi w:val="0"/>
        <w:adjustRightInd/>
        <w:snapToGrid/>
        <w:spacing w:line="50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10F35531">
      <w:pPr>
        <w:spacing w:line="480" w:lineRule="auto"/>
        <w:ind w:right="980" w:firstLine="482" w:firstLineChars="200"/>
        <w:jc w:val="center"/>
        <w:rPr>
          <w:rFonts w:hint="eastAsia" w:ascii="宋体" w:hAnsi="宋体" w:eastAsia="宋体" w:cs="宋体"/>
          <w:b/>
          <w:bCs/>
          <w:color w:val="auto"/>
          <w:kern w:val="0"/>
          <w:sz w:val="24"/>
          <w:szCs w:val="24"/>
          <w:highlight w:val="none"/>
        </w:rPr>
      </w:pPr>
    </w:p>
    <w:p w14:paraId="120AF3BB">
      <w:pPr>
        <w:pStyle w:val="2"/>
        <w:rPr>
          <w:rFonts w:hint="eastAsia" w:ascii="宋体" w:hAnsi="宋体" w:eastAsia="宋体" w:cs="宋体"/>
          <w:b/>
          <w:bCs/>
          <w:color w:val="auto"/>
          <w:kern w:val="0"/>
          <w:sz w:val="24"/>
          <w:szCs w:val="24"/>
          <w:highlight w:val="none"/>
        </w:rPr>
      </w:pPr>
    </w:p>
    <w:p w14:paraId="211E7ADA">
      <w:pPr>
        <w:rPr>
          <w:rFonts w:hint="eastAsia" w:ascii="宋体" w:hAnsi="宋体" w:eastAsia="宋体" w:cs="宋体"/>
          <w:b/>
          <w:bCs/>
          <w:color w:val="auto"/>
          <w:kern w:val="0"/>
          <w:sz w:val="24"/>
          <w:szCs w:val="24"/>
          <w:highlight w:val="none"/>
        </w:rPr>
      </w:pPr>
    </w:p>
    <w:p w14:paraId="092A8BF1">
      <w:pPr>
        <w:pStyle w:val="2"/>
        <w:rPr>
          <w:rFonts w:hint="eastAsia" w:ascii="宋体" w:hAnsi="宋体" w:eastAsia="宋体" w:cs="宋体"/>
          <w:b/>
          <w:bCs/>
          <w:color w:val="auto"/>
          <w:kern w:val="0"/>
          <w:sz w:val="24"/>
          <w:szCs w:val="24"/>
          <w:highlight w:val="none"/>
        </w:rPr>
      </w:pPr>
    </w:p>
    <w:p w14:paraId="659E2F7C">
      <w:pPr>
        <w:rPr>
          <w:rFonts w:hint="eastAsia" w:ascii="宋体" w:hAnsi="宋体" w:eastAsia="宋体" w:cs="宋体"/>
          <w:b/>
          <w:bCs/>
          <w:color w:val="auto"/>
          <w:kern w:val="0"/>
          <w:sz w:val="24"/>
          <w:szCs w:val="24"/>
          <w:highlight w:val="none"/>
        </w:rPr>
      </w:pPr>
    </w:p>
    <w:p w14:paraId="3391986C">
      <w:pPr>
        <w:pStyle w:val="2"/>
        <w:rPr>
          <w:rFonts w:hint="eastAsia"/>
          <w:color w:val="auto"/>
          <w:highlight w:val="none"/>
        </w:rPr>
      </w:pPr>
    </w:p>
    <w:p w14:paraId="21FDDC94">
      <w:pPr>
        <w:pStyle w:val="42"/>
        <w:keepNext w:val="0"/>
        <w:keepLines w:val="0"/>
        <w:pageBreakBefore w:val="0"/>
        <w:kinsoku/>
        <w:wordWrap/>
        <w:overflowPunct/>
        <w:topLinePunct w:val="0"/>
        <w:autoSpaceDE/>
        <w:autoSpaceDN/>
        <w:bidi w:val="0"/>
        <w:snapToGrid w:val="0"/>
        <w:spacing w:before="0" w:beforeAutospacing="0" w:after="0" w:afterAutospacing="0" w:line="500" w:lineRule="exact"/>
        <w:jc w:val="center"/>
        <w:textAlignment w:val="auto"/>
        <w:rPr>
          <w:rFonts w:hint="default" w:ascii="宋体" w:hAnsi="宋体" w:eastAsia="宋体" w:cs="宋体"/>
          <w:b/>
          <w:color w:val="auto"/>
          <w:kern w:val="2"/>
          <w:sz w:val="28"/>
          <w:szCs w:val="28"/>
          <w:highlight w:val="none"/>
          <w:lang w:val="en-US" w:eastAsia="zh-CN" w:bidi="ar-SA"/>
        </w:rPr>
      </w:pPr>
      <w:r>
        <w:rPr>
          <w:rFonts w:hint="default" w:ascii="宋体" w:hAnsi="宋体" w:eastAsia="宋体" w:cs="宋体"/>
          <w:b/>
          <w:color w:val="auto"/>
          <w:kern w:val="2"/>
          <w:sz w:val="28"/>
          <w:szCs w:val="28"/>
          <w:highlight w:val="none"/>
          <w:lang w:val="en-US" w:eastAsia="zh-CN" w:bidi="ar-SA"/>
        </w:rPr>
        <w:t>项目人员配备表</w:t>
      </w:r>
    </w:p>
    <w:tbl>
      <w:tblPr>
        <w:tblStyle w:val="46"/>
        <w:tblW w:w="935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82"/>
        <w:gridCol w:w="792"/>
        <w:gridCol w:w="1454"/>
        <w:gridCol w:w="2355"/>
        <w:gridCol w:w="1183"/>
        <w:gridCol w:w="1292"/>
      </w:tblGrid>
      <w:tr w14:paraId="4F16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center"/>
          </w:tcPr>
          <w:p w14:paraId="39F5E91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w:t>
            </w:r>
          </w:p>
        </w:tc>
        <w:tc>
          <w:tcPr>
            <w:tcW w:w="782" w:type="dxa"/>
            <w:noWrap w:val="0"/>
            <w:vAlign w:val="center"/>
          </w:tcPr>
          <w:p w14:paraId="299851A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792" w:type="dxa"/>
            <w:noWrap w:val="0"/>
            <w:vAlign w:val="center"/>
          </w:tcPr>
          <w:p w14:paraId="11BFADF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性别</w:t>
            </w:r>
          </w:p>
        </w:tc>
        <w:tc>
          <w:tcPr>
            <w:tcW w:w="1454" w:type="dxa"/>
            <w:noWrap w:val="0"/>
            <w:vAlign w:val="center"/>
          </w:tcPr>
          <w:p w14:paraId="7B59E80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p>
        </w:tc>
        <w:tc>
          <w:tcPr>
            <w:tcW w:w="2355" w:type="dxa"/>
            <w:noWrap w:val="0"/>
            <w:vAlign w:val="center"/>
          </w:tcPr>
          <w:p w14:paraId="50D228A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注册证书资格等级</w:t>
            </w:r>
          </w:p>
        </w:tc>
        <w:tc>
          <w:tcPr>
            <w:tcW w:w="1183" w:type="dxa"/>
            <w:noWrap w:val="0"/>
            <w:vAlign w:val="top"/>
          </w:tcPr>
          <w:p w14:paraId="2402AD7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1292" w:type="dxa"/>
            <w:noWrap w:val="0"/>
            <w:vAlign w:val="center"/>
          </w:tcPr>
          <w:p w14:paraId="5C4A99C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r>
      <w:tr w14:paraId="759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7DAD8EA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782" w:type="dxa"/>
            <w:noWrap w:val="0"/>
            <w:vAlign w:val="top"/>
          </w:tcPr>
          <w:p w14:paraId="04B14B9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0435731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B389EA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4CE83D5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08E0B9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E359D28">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5B22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499511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68959EE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E41E0C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014F463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3861A87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C1F938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239EAA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1FE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26281E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7C9B9D8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113C41B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7E8F5D6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523DE6F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614F96D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2489B64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670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49CD33A1">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46BBC33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2E1640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3E1BBC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17498B7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0B5DA3D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75F0B41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bl>
    <w:p w14:paraId="6D79D3F9">
      <w:pPr>
        <w:jc w:val="center"/>
        <w:rPr>
          <w:rFonts w:hint="eastAsia" w:ascii="宋体" w:hAnsi="宋体" w:eastAsia="宋体" w:cs="宋体"/>
          <w:color w:val="auto"/>
          <w:sz w:val="28"/>
          <w:szCs w:val="28"/>
          <w:highlight w:val="none"/>
          <w:u w:val="single"/>
        </w:rPr>
      </w:pPr>
    </w:p>
    <w:p w14:paraId="01683548">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             （签章）</w:t>
      </w:r>
    </w:p>
    <w:p w14:paraId="2538AB6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法定代表人或其委托代理人：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407EB7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30963256">
      <w:pPr>
        <w:jc w:val="center"/>
        <w:rPr>
          <w:rFonts w:hint="eastAsia" w:ascii="宋体" w:hAnsi="宋体" w:eastAsia="宋体" w:cs="宋体"/>
          <w:b/>
          <w:bCs/>
          <w:color w:val="auto"/>
          <w:sz w:val="28"/>
          <w:szCs w:val="28"/>
          <w:highlight w:val="none"/>
        </w:rPr>
      </w:pPr>
    </w:p>
    <w:p w14:paraId="7774A8B9">
      <w:pPr>
        <w:pStyle w:val="2"/>
        <w:rPr>
          <w:rFonts w:hint="eastAsia"/>
          <w:color w:val="auto"/>
          <w:highlight w:val="none"/>
        </w:rPr>
      </w:pPr>
    </w:p>
    <w:p w14:paraId="14A4BCCA">
      <w:pPr>
        <w:jc w:val="center"/>
        <w:rPr>
          <w:rFonts w:hint="eastAsia" w:ascii="宋体" w:hAnsi="宋体" w:eastAsia="宋体" w:cs="宋体"/>
          <w:b/>
          <w:bCs/>
          <w:color w:val="auto"/>
          <w:sz w:val="28"/>
          <w:szCs w:val="28"/>
          <w:highlight w:val="none"/>
        </w:rPr>
      </w:pPr>
    </w:p>
    <w:p w14:paraId="3CCC12D7">
      <w:pPr>
        <w:jc w:val="center"/>
        <w:rPr>
          <w:rFonts w:hint="eastAsia" w:ascii="宋体" w:hAnsi="宋体" w:eastAsia="宋体" w:cs="宋体"/>
          <w:b/>
          <w:bCs/>
          <w:color w:val="auto"/>
          <w:sz w:val="28"/>
          <w:szCs w:val="28"/>
          <w:highlight w:val="none"/>
        </w:rPr>
      </w:pPr>
    </w:p>
    <w:p w14:paraId="5E9002FF">
      <w:pPr>
        <w:jc w:val="center"/>
        <w:rPr>
          <w:rFonts w:hint="eastAsia" w:ascii="宋体" w:hAnsi="宋体" w:eastAsia="宋体" w:cs="宋体"/>
          <w:b/>
          <w:bCs/>
          <w:color w:val="auto"/>
          <w:sz w:val="28"/>
          <w:szCs w:val="28"/>
          <w:highlight w:val="none"/>
        </w:rPr>
      </w:pPr>
    </w:p>
    <w:p w14:paraId="5443CE27">
      <w:pPr>
        <w:jc w:val="center"/>
        <w:rPr>
          <w:rFonts w:hint="eastAsia" w:ascii="宋体" w:hAnsi="宋体" w:eastAsia="宋体" w:cs="宋体"/>
          <w:b/>
          <w:bCs/>
          <w:color w:val="auto"/>
          <w:sz w:val="28"/>
          <w:szCs w:val="28"/>
          <w:highlight w:val="none"/>
        </w:rPr>
      </w:pPr>
    </w:p>
    <w:p w14:paraId="57A6ABA6">
      <w:pPr>
        <w:jc w:val="center"/>
        <w:rPr>
          <w:rFonts w:hint="eastAsia" w:ascii="宋体" w:hAnsi="宋体" w:eastAsia="宋体" w:cs="宋体"/>
          <w:b/>
          <w:bCs/>
          <w:color w:val="auto"/>
          <w:sz w:val="28"/>
          <w:szCs w:val="28"/>
          <w:highlight w:val="none"/>
        </w:rPr>
      </w:pPr>
    </w:p>
    <w:p w14:paraId="41257297">
      <w:pPr>
        <w:jc w:val="center"/>
        <w:rPr>
          <w:rFonts w:hint="eastAsia" w:ascii="宋体" w:hAnsi="宋体" w:eastAsia="宋体" w:cs="宋体"/>
          <w:b/>
          <w:bCs/>
          <w:color w:val="auto"/>
          <w:sz w:val="28"/>
          <w:szCs w:val="28"/>
          <w:highlight w:val="none"/>
        </w:rPr>
      </w:pPr>
    </w:p>
    <w:p w14:paraId="22AD1574">
      <w:pPr>
        <w:jc w:val="center"/>
        <w:rPr>
          <w:rFonts w:hint="eastAsia" w:ascii="宋体" w:hAnsi="宋体" w:eastAsia="宋体" w:cs="宋体"/>
          <w:b/>
          <w:bCs/>
          <w:color w:val="auto"/>
          <w:sz w:val="28"/>
          <w:szCs w:val="28"/>
          <w:highlight w:val="none"/>
        </w:rPr>
      </w:pPr>
    </w:p>
    <w:p w14:paraId="60ABF83A">
      <w:pPr>
        <w:pStyle w:val="2"/>
        <w:rPr>
          <w:rFonts w:hint="eastAsia" w:ascii="宋体" w:hAnsi="宋体" w:eastAsia="宋体" w:cs="宋体"/>
          <w:b/>
          <w:bCs/>
          <w:color w:val="auto"/>
          <w:sz w:val="28"/>
          <w:szCs w:val="28"/>
          <w:highlight w:val="none"/>
        </w:rPr>
      </w:pPr>
    </w:p>
    <w:p w14:paraId="6845B6C8">
      <w:pPr>
        <w:rPr>
          <w:rFonts w:hint="eastAsia" w:ascii="宋体" w:hAnsi="宋体" w:eastAsia="宋体" w:cs="宋体"/>
          <w:b/>
          <w:bCs/>
          <w:color w:val="auto"/>
          <w:sz w:val="28"/>
          <w:szCs w:val="28"/>
          <w:highlight w:val="none"/>
        </w:rPr>
      </w:pPr>
    </w:p>
    <w:p w14:paraId="76B03207">
      <w:pPr>
        <w:pStyle w:val="2"/>
        <w:rPr>
          <w:rFonts w:hint="eastAsia"/>
          <w:color w:val="auto"/>
          <w:highlight w:val="none"/>
        </w:rPr>
      </w:pPr>
    </w:p>
    <w:p w14:paraId="54964737">
      <w:pPr>
        <w:jc w:val="center"/>
        <w:rPr>
          <w:rFonts w:hint="eastAsia" w:ascii="宋体" w:hAnsi="宋体" w:eastAsia="宋体" w:cs="宋体"/>
          <w:b/>
          <w:bCs/>
          <w:color w:val="auto"/>
          <w:sz w:val="28"/>
          <w:szCs w:val="28"/>
          <w:highlight w:val="none"/>
        </w:rPr>
      </w:pPr>
    </w:p>
    <w:p w14:paraId="6B9E4E6B">
      <w:pPr>
        <w:jc w:val="center"/>
        <w:rPr>
          <w:rFonts w:hint="eastAsia" w:ascii="宋体" w:hAnsi="宋体" w:eastAsia="宋体" w:cs="宋体"/>
          <w:b/>
          <w:bCs/>
          <w:color w:val="auto"/>
          <w:sz w:val="28"/>
          <w:szCs w:val="28"/>
          <w:highlight w:val="none"/>
        </w:rPr>
      </w:pPr>
    </w:p>
    <w:p w14:paraId="19883A2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561AA3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14:paraId="0BB8801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招标</w:t>
      </w:r>
      <w:r>
        <w:rPr>
          <w:rFonts w:hint="eastAsia" w:ascii="宋体" w:hAnsi="宋体" w:eastAsia="宋体" w:cs="宋体"/>
          <w:color w:val="auto"/>
          <w:szCs w:val="21"/>
          <w:highlight w:val="none"/>
          <w:u w:val="single"/>
        </w:rPr>
        <w:t xml:space="preserve">人)       </w:t>
      </w:r>
      <w:r>
        <w:rPr>
          <w:rFonts w:hint="eastAsia" w:ascii="宋体" w:hAnsi="宋体" w:eastAsia="宋体" w:cs="宋体"/>
          <w:color w:val="auto"/>
          <w:szCs w:val="21"/>
          <w:highlight w:val="none"/>
        </w:rPr>
        <w:t xml:space="preserve"> </w:t>
      </w:r>
    </w:p>
    <w:p w14:paraId="0D5B4C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1.我们决定参加贵单位组织的“</w:t>
      </w:r>
      <w:r>
        <w:rPr>
          <w:rFonts w:hint="eastAsia" w:ascii="宋体" w:hAnsi="宋体" w:eastAsia="宋体" w:cs="宋体"/>
          <w:color w:val="auto"/>
          <w:szCs w:val="21"/>
          <w:highlight w:val="none"/>
          <w:u w:val="single"/>
        </w:rPr>
        <w:t xml:space="preserve"> （项目名称</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 xml:space="preserve">。我方授权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(姓名和职务)代表我方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（投标人的名称）全权处理本项目投标的有关事宜。</w:t>
      </w:r>
    </w:p>
    <w:p w14:paraId="73B46545">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2.我方愿意按照招标文件规定的各项要求，</w:t>
      </w:r>
      <w:r>
        <w:rPr>
          <w:rFonts w:hint="eastAsia" w:ascii="宋体"/>
          <w:color w:val="auto"/>
          <w:szCs w:val="21"/>
          <w:highlight w:val="none"/>
        </w:rPr>
        <w:t>向</w:t>
      </w:r>
      <w:r>
        <w:rPr>
          <w:rFonts w:hint="eastAsia" w:ascii="宋体"/>
          <w:color w:val="auto"/>
          <w:szCs w:val="21"/>
          <w:highlight w:val="none"/>
          <w:lang w:val="en-US" w:eastAsia="zh-CN"/>
        </w:rPr>
        <w:t>招标</w:t>
      </w:r>
      <w:r>
        <w:rPr>
          <w:rFonts w:hint="eastAsia" w:ascii="宋体"/>
          <w:color w:val="auto"/>
          <w:szCs w:val="21"/>
          <w:highlight w:val="none"/>
        </w:rPr>
        <w:t>人提供</w:t>
      </w:r>
      <w:r>
        <w:rPr>
          <w:rFonts w:hint="eastAsia" w:ascii="宋体"/>
          <w:color w:val="auto"/>
          <w:szCs w:val="21"/>
          <w:highlight w:val="none"/>
          <w:lang w:val="en-US" w:eastAsia="zh-CN"/>
        </w:rPr>
        <w:t>本</w:t>
      </w:r>
      <w:r>
        <w:rPr>
          <w:rFonts w:hint="eastAsia" w:ascii="宋体"/>
          <w:color w:val="auto"/>
          <w:szCs w:val="21"/>
          <w:highlight w:val="none"/>
        </w:rPr>
        <w:t>项目的服务，我方报价为</w:t>
      </w:r>
      <w:r>
        <w:rPr>
          <w:rFonts w:hint="eastAsia" w:ascii="宋体"/>
          <w:b/>
          <w:bCs/>
          <w:color w:val="auto"/>
          <w:szCs w:val="21"/>
          <w:highlight w:val="none"/>
        </w:rPr>
        <w:t>基本费率</w:t>
      </w:r>
      <w:r>
        <w:rPr>
          <w:rFonts w:hint="eastAsia" w:ascii="宋体"/>
          <w:b/>
          <w:bCs/>
          <w:color w:val="auto"/>
          <w:szCs w:val="21"/>
          <w:highlight w:val="none"/>
          <w:u w:val="single"/>
        </w:rPr>
        <w:t xml:space="preserve">      </w:t>
      </w:r>
      <w:r>
        <w:rPr>
          <w:rFonts w:hint="eastAsia" w:ascii="宋体"/>
          <w:b/>
          <w:bCs/>
          <w:color w:val="auto"/>
          <w:szCs w:val="21"/>
          <w:highlight w:val="none"/>
        </w:rPr>
        <w:t>‰</w:t>
      </w:r>
      <w:r>
        <w:rPr>
          <w:rFonts w:hint="eastAsia" w:ascii="宋体"/>
          <w:b/>
          <w:bCs/>
          <w:color w:val="auto"/>
          <w:szCs w:val="21"/>
          <w:highlight w:val="none"/>
          <w:lang w:eastAsia="zh-CN"/>
        </w:rPr>
        <w:t>、</w:t>
      </w:r>
      <w:r>
        <w:rPr>
          <w:rFonts w:hint="eastAsia" w:ascii="宋体" w:hAnsi="Times New Roman" w:eastAsia="宋体" w:cs="Times New Roman"/>
          <w:b/>
          <w:bCs/>
          <w:color w:val="auto"/>
          <w:szCs w:val="21"/>
          <w:highlight w:val="none"/>
        </w:rPr>
        <w:t>审核成果费率</w:t>
      </w:r>
      <w:r>
        <w:rPr>
          <w:rFonts w:hint="eastAsia" w:ascii="宋体" w:hAnsi="Times New Roman" w:eastAsia="宋体" w:cs="Times New Roman"/>
          <w:b/>
          <w:bCs/>
          <w:color w:val="auto"/>
          <w:szCs w:val="21"/>
          <w:highlight w:val="none"/>
          <w:lang w:val="en-US" w:eastAsia="zh-CN"/>
        </w:rPr>
        <w:t>4</w:t>
      </w:r>
      <w:r>
        <w:rPr>
          <w:rFonts w:hint="eastAsia" w:ascii="宋体" w:hAnsi="Times New Roman" w:eastAsia="宋体" w:cs="Times New Roman"/>
          <w:b/>
          <w:bCs/>
          <w:color w:val="auto"/>
          <w:szCs w:val="21"/>
          <w:highlight w:val="none"/>
        </w:rPr>
        <w:t>%</w:t>
      </w:r>
      <w:r>
        <w:rPr>
          <w:rFonts w:hint="eastAsia" w:ascii="宋体"/>
          <w:b/>
          <w:bCs/>
          <w:color w:val="auto"/>
          <w:szCs w:val="21"/>
          <w:highlight w:val="none"/>
        </w:rPr>
        <w:t>。</w:t>
      </w:r>
      <w:r>
        <w:rPr>
          <w:rFonts w:hint="eastAsia" w:ascii="宋体"/>
          <w:color w:val="auto"/>
          <w:szCs w:val="21"/>
          <w:highlight w:val="none"/>
        </w:rPr>
        <w:t>项目负责人为</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 xml:space="preserve">    </w:t>
      </w:r>
      <w:r>
        <w:rPr>
          <w:rFonts w:hint="eastAsia" w:ascii="宋体"/>
          <w:color w:val="auto"/>
          <w:szCs w:val="21"/>
          <w:highlight w:val="none"/>
          <w:u w:val="single"/>
        </w:rPr>
        <w:t xml:space="preserve">  </w:t>
      </w:r>
      <w:r>
        <w:rPr>
          <w:rFonts w:hint="eastAsia" w:ascii="宋体"/>
          <w:color w:val="auto"/>
          <w:szCs w:val="21"/>
          <w:highlight w:val="none"/>
        </w:rPr>
        <w:t>，服务期：</w:t>
      </w:r>
      <w:r>
        <w:rPr>
          <w:rFonts w:hint="eastAsia" w:ascii="宋体" w:hAnsi="宋体" w:cs="宋体"/>
          <w:color w:val="auto"/>
          <w:sz w:val="21"/>
          <w:szCs w:val="21"/>
          <w:highlight w:val="none"/>
          <w:u w:val="single"/>
          <w:lang w:val="en-US" w:eastAsia="zh-CN"/>
        </w:rPr>
        <w:t>自签订合同之日起至整体竣工验收合格并出具经审核的审核成果文件止</w:t>
      </w:r>
      <w:r>
        <w:rPr>
          <w:rFonts w:hint="eastAsia" w:ascii="宋体" w:hAnsi="宋体" w:eastAsia="宋体" w:cs="宋体"/>
          <w:color w:val="auto"/>
          <w:szCs w:val="21"/>
          <w:highlight w:val="none"/>
        </w:rPr>
        <w:t>。</w:t>
      </w:r>
    </w:p>
    <w:p w14:paraId="03D443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3.本项目投标有效期为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lang w:val="en-US" w:eastAsia="zh-CN"/>
        </w:rPr>
        <w:t xml:space="preserve">0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日历天（从投标截止之日算起）。</w:t>
      </w:r>
    </w:p>
    <w:p w14:paraId="73D569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4.一旦我方成为合同签字人，我方将严格履行合同规定的责任和义务。</w:t>
      </w:r>
    </w:p>
    <w:p w14:paraId="36FF69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.若我方中标，愿意为本项目提交的纸质投标文件一式</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份，其中正本一份、副本</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份。</w:t>
      </w:r>
    </w:p>
    <w:p w14:paraId="4C35FC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.我方愿意提供可能另外要求的、与采购投标有关的文件资料，并保证我方已提供和将要提供的文件是真实的、准确的。</w:t>
      </w:r>
    </w:p>
    <w:p w14:paraId="43EBE829">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.我单位提供如下通讯地址：</w:t>
      </w:r>
      <w:r>
        <w:rPr>
          <w:rFonts w:hint="eastAsia" w:ascii="宋体" w:hAnsi="宋体" w:eastAsia="宋体" w:cs="宋体"/>
          <w:color w:val="auto"/>
          <w:szCs w:val="21"/>
          <w:highlight w:val="none"/>
          <w:u w:val="single"/>
        </w:rPr>
        <w:t xml:space="preserve">                电子邮箱（地址）</w:t>
      </w:r>
      <w:r>
        <w:rPr>
          <w:rFonts w:hint="eastAsia" w:ascii="宋体" w:hAnsi="宋体" w:eastAsia="宋体" w:cs="宋体"/>
          <w:color w:val="auto"/>
          <w:szCs w:val="21"/>
          <w:highlight w:val="none"/>
        </w:rPr>
        <w:t>，确认本项目相关法律文书均通过提供的以上地址送达，相关文书只要发送至以上电子邮箱（地址）即视为送达，投标人愿意承担一切法律后果。</w:t>
      </w:r>
    </w:p>
    <w:p w14:paraId="02E68186">
      <w:pPr>
        <w:pStyle w:val="2"/>
        <w:spacing w:line="360" w:lineRule="auto"/>
        <w:rPr>
          <w:rFonts w:hint="eastAsia" w:ascii="宋体" w:hAnsi="宋体" w:eastAsia="宋体" w:cs="宋体"/>
          <w:color w:val="auto"/>
          <w:szCs w:val="21"/>
          <w:highlight w:val="none"/>
        </w:rPr>
      </w:pPr>
    </w:p>
    <w:p w14:paraId="52ECA389">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rPr>
      </w:pPr>
    </w:p>
    <w:p w14:paraId="45B1C6C3">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（签章） </w:t>
      </w:r>
    </w:p>
    <w:p w14:paraId="1F08F4FE">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签字或盖章</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 xml:space="preserve">         </w:t>
      </w:r>
    </w:p>
    <w:p w14:paraId="2267CA40">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04B0F2ED">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联系电话：</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rPr>
        <w:t xml:space="preserve">                </w:t>
      </w:r>
    </w:p>
    <w:p w14:paraId="23F4B22F">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65D13AF">
      <w:pPr>
        <w:spacing w:line="360" w:lineRule="auto"/>
        <w:jc w:val="center"/>
        <w:rPr>
          <w:rFonts w:hint="eastAsia" w:ascii="宋体" w:hAnsi="宋体" w:eastAsia="宋体" w:cs="宋体"/>
          <w:b/>
          <w:bCs/>
          <w:color w:val="auto"/>
          <w:kern w:val="0"/>
          <w:sz w:val="30"/>
          <w:szCs w:val="30"/>
          <w:highlight w:val="none"/>
        </w:rPr>
      </w:pPr>
      <w:r>
        <w:rPr>
          <w:rFonts w:hint="eastAsia" w:ascii="宋体" w:hAnsi="宋体" w:cs="宋体"/>
          <w:b/>
          <w:color w:val="auto"/>
          <w:sz w:val="28"/>
          <w:szCs w:val="28"/>
          <w:highlight w:val="none"/>
          <w:lang w:val="en-US" w:eastAsia="zh-CN"/>
        </w:rPr>
        <w:t>系统填报的投标费率与本投标函不一致时，以本投标函为准</w:t>
      </w:r>
    </w:p>
    <w:p w14:paraId="45CA7A92">
      <w:pPr>
        <w:pStyle w:val="5"/>
        <w:spacing w:before="0" w:after="0"/>
        <w:jc w:val="both"/>
        <w:rPr>
          <w:rFonts w:hint="eastAsia" w:ascii="宋体" w:hAnsi="宋体" w:eastAsia="宋体" w:cs="宋体"/>
          <w:color w:val="auto"/>
          <w:highlight w:val="none"/>
          <w:lang w:val="en-US" w:eastAsia="zh-CN"/>
        </w:rPr>
      </w:pPr>
      <w:bookmarkStart w:id="65" w:name="_Toc31498"/>
    </w:p>
    <w:p w14:paraId="3718D3FE">
      <w:pPr>
        <w:pStyle w:val="5"/>
        <w:spacing w:before="0" w:after="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第五章 招标单位、招标代理机构对本招标文件的确认</w:t>
      </w:r>
      <w:bookmarkEnd w:id="65"/>
    </w:p>
    <w:tbl>
      <w:tblPr>
        <w:tblStyle w:val="45"/>
        <w:tblW w:w="96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14:paraId="45B9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689" w:type="dxa"/>
          </w:tcPr>
          <w:p w14:paraId="326BAA51">
            <w:pPr>
              <w:spacing w:line="320" w:lineRule="atLeast"/>
              <w:ind w:firstLine="560" w:firstLineChars="200"/>
              <w:rPr>
                <w:rFonts w:hint="eastAsia" w:ascii="宋体" w:hAnsi="宋体" w:eastAsia="宋体" w:cs="宋体"/>
                <w:color w:val="auto"/>
                <w:sz w:val="28"/>
                <w:szCs w:val="28"/>
                <w:highlight w:val="none"/>
              </w:rPr>
            </w:pPr>
          </w:p>
          <w:p w14:paraId="388A6941">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明湖新区道路绿化项目跟踪审计项目</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的招标文件进行确认。</w:t>
            </w:r>
          </w:p>
          <w:p w14:paraId="70D47DF8">
            <w:pPr>
              <w:spacing w:line="320" w:lineRule="atLeast"/>
              <w:ind w:firstLine="560" w:firstLineChars="200"/>
              <w:rPr>
                <w:rFonts w:hint="eastAsia" w:ascii="宋体" w:hAnsi="宋体" w:eastAsia="宋体" w:cs="宋体"/>
                <w:color w:val="auto"/>
                <w:sz w:val="28"/>
                <w:szCs w:val="28"/>
                <w:highlight w:val="none"/>
              </w:rPr>
            </w:pPr>
          </w:p>
          <w:p w14:paraId="2A18F676">
            <w:pPr>
              <w:spacing w:line="320" w:lineRule="atLeast"/>
              <w:ind w:firstLine="560" w:firstLineChars="200"/>
              <w:rPr>
                <w:rFonts w:hint="eastAsia"/>
                <w:color w:val="auto"/>
                <w:sz w:val="24"/>
                <w:szCs w:val="18"/>
                <w:highlight w:val="none"/>
                <w:u w:val="single"/>
                <w:lang w:eastAsia="zh-CN"/>
              </w:rPr>
            </w:pPr>
            <w:r>
              <w:rPr>
                <w:rFonts w:hint="eastAsia" w:ascii="宋体" w:hAnsi="宋体" w:eastAsia="宋体" w:cs="宋体"/>
                <w:color w:val="auto"/>
                <w:sz w:val="28"/>
                <w:szCs w:val="28"/>
                <w:highlight w:val="none"/>
              </w:rPr>
              <w:t>招标</w:t>
            </w:r>
            <w:r>
              <w:rPr>
                <w:rFonts w:hint="eastAsia" w:ascii="宋体" w:hAnsi="宋体" w:eastAsia="宋体" w:cs="宋体"/>
                <w:color w:val="auto"/>
                <w:sz w:val="28"/>
                <w:szCs w:val="28"/>
                <w:highlight w:val="none"/>
                <w:lang w:val="en-US" w:eastAsia="zh-CN"/>
              </w:rPr>
              <w:t>人：</w:t>
            </w:r>
            <w:r>
              <w:rPr>
                <w:rFonts w:hint="eastAsia" w:ascii="宋体" w:hAnsi="宋体" w:cs="宋体"/>
                <w:color w:val="auto"/>
                <w:sz w:val="28"/>
                <w:szCs w:val="28"/>
                <w:highlight w:val="none"/>
                <w:lang w:val="en-US" w:eastAsia="zh-CN"/>
              </w:rPr>
              <w:t>滁州市明湖建设管理服务中心</w:t>
            </w:r>
          </w:p>
          <w:p w14:paraId="3463F686">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钟兰翔</w:t>
            </w:r>
          </w:p>
          <w:p w14:paraId="0C9165C7">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cs="宋体"/>
                <w:color w:val="auto"/>
                <w:sz w:val="28"/>
                <w:szCs w:val="28"/>
                <w:highlight w:val="none"/>
                <w:lang w:val="en-US" w:eastAsia="zh-CN"/>
              </w:rPr>
              <w:t>15155005346</w:t>
            </w:r>
          </w:p>
          <w:p w14:paraId="6E5C8EF3">
            <w:pPr>
              <w:spacing w:line="500" w:lineRule="exact"/>
              <w:ind w:firstLine="281" w:firstLineChars="100"/>
              <w:rPr>
                <w:rFonts w:hint="eastAsia" w:ascii="宋体" w:hAnsi="宋体" w:eastAsia="宋体" w:cs="宋体"/>
                <w:b/>
                <w:bCs/>
                <w:color w:val="auto"/>
                <w:sz w:val="28"/>
                <w:szCs w:val="28"/>
                <w:highlight w:val="none"/>
              </w:rPr>
            </w:pPr>
          </w:p>
          <w:p w14:paraId="1E3913DA">
            <w:pPr>
              <w:spacing w:line="50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（单位盖章）</w:t>
            </w:r>
          </w:p>
          <w:p w14:paraId="33C2043A">
            <w:pPr>
              <w:ind w:firstLine="5320" w:firstLineChars="19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2026年4月</w:t>
            </w:r>
          </w:p>
        </w:tc>
      </w:tr>
      <w:tr w14:paraId="60B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1" w:hRule="atLeast"/>
        </w:trPr>
        <w:tc>
          <w:tcPr>
            <w:tcW w:w="9689" w:type="dxa"/>
          </w:tcPr>
          <w:p w14:paraId="2D346054">
            <w:pPr>
              <w:spacing w:line="320" w:lineRule="atLeast"/>
              <w:ind w:firstLine="560" w:firstLineChars="200"/>
              <w:rPr>
                <w:rFonts w:hint="eastAsia" w:ascii="宋体" w:hAnsi="宋体" w:eastAsia="宋体" w:cs="宋体"/>
                <w:color w:val="auto"/>
                <w:sz w:val="28"/>
                <w:szCs w:val="28"/>
                <w:highlight w:val="none"/>
              </w:rPr>
            </w:pPr>
          </w:p>
          <w:p w14:paraId="429FA252">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396B5BE0">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周晓培</w:t>
            </w:r>
          </w:p>
          <w:p w14:paraId="3E3D785F">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r>
              <w:rPr>
                <w:rFonts w:hint="eastAsia" w:ascii="宋体" w:hAnsi="宋体" w:cs="宋体"/>
                <w:color w:val="auto"/>
                <w:sz w:val="28"/>
                <w:szCs w:val="28"/>
                <w:highlight w:val="none"/>
                <w:lang w:eastAsia="zh-CN"/>
              </w:rPr>
              <w:t>0550-3519512、</w:t>
            </w:r>
            <w:r>
              <w:rPr>
                <w:rFonts w:hint="eastAsia" w:ascii="宋体" w:hAnsi="宋体" w:cs="宋体"/>
                <w:color w:val="auto"/>
                <w:sz w:val="28"/>
                <w:szCs w:val="28"/>
                <w:highlight w:val="none"/>
                <w:lang w:val="en-US" w:eastAsia="zh-CN"/>
              </w:rPr>
              <w:t>18255055896</w:t>
            </w:r>
          </w:p>
          <w:p w14:paraId="497AA04E">
            <w:pPr>
              <w:rPr>
                <w:rFonts w:hint="eastAsia" w:ascii="宋体" w:hAnsi="宋体" w:eastAsia="宋体" w:cs="宋体"/>
                <w:color w:val="auto"/>
                <w:sz w:val="28"/>
                <w:szCs w:val="28"/>
                <w:highlight w:val="none"/>
              </w:rPr>
            </w:pPr>
          </w:p>
          <w:p w14:paraId="00473FA3">
            <w:pPr>
              <w:ind w:firstLine="5040" w:firstLineChars="18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0AF574C">
            <w:pPr>
              <w:ind w:firstLine="5320" w:firstLineChars="19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（单位盖章）</w:t>
            </w:r>
          </w:p>
          <w:p w14:paraId="5AE54977">
            <w:pPr>
              <w:ind w:firstLine="5180" w:firstLineChars="18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2026年4月</w:t>
            </w:r>
          </w:p>
        </w:tc>
      </w:tr>
    </w:tbl>
    <w:p w14:paraId="400D73C6">
      <w:pPr>
        <w:rPr>
          <w:rFonts w:hint="eastAsia" w:ascii="宋体" w:hAnsi="宋体" w:eastAsia="宋体" w:cs="宋体"/>
          <w:color w:val="auto"/>
          <w:kern w:val="0"/>
          <w:sz w:val="24"/>
          <w:szCs w:val="24"/>
          <w:highlight w:val="none"/>
        </w:rPr>
      </w:pPr>
    </w:p>
    <w:sectPr>
      <w:headerReference r:id="rId7" w:type="default"/>
      <w:footerReference r:id="rId8"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60405020304"/>
    <w:charset w:val="00"/>
    <w:family w:val="roman"/>
    <w:pitch w:val="default"/>
    <w:sig w:usb0="00000000" w:usb1="00000000" w:usb2="00000000" w:usb3="00000000" w:csb0="00000093"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E9D1">
    <w:pPr>
      <w:pStyle w:val="30"/>
      <w:rPr>
        <w:rStyle w:val="49"/>
      </w:rPr>
    </w:pPr>
  </w:p>
  <w:p w14:paraId="24D89652">
    <w:pPr>
      <w:pStyle w:val="30"/>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113FE5FF"/>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113FE5FF"/>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5F65">
    <w:pPr>
      <w:pStyle w:val="30"/>
      <w:tabs>
        <w:tab w:val="center" w:pos="7483"/>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2467DE">
                          <w:pPr>
                            <w:pStyle w:val="30"/>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612467DE">
                    <w:pPr>
                      <w:pStyle w:val="30"/>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2D085">
    <w:pPr>
      <w:pStyle w:val="30"/>
      <w:ind w:right="360" w:firstLine="360"/>
      <w:jc w:val="right"/>
      <w:rPr>
        <w:rFonts w:hint="default" w:eastAsia="Times New Roman"/>
        <w:sz w:val="18"/>
        <w:szCs w:val="24"/>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807A11">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807A11">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6950247D">
    <w:pPr>
      <w:pStyle w:val="30"/>
      <w:rPr>
        <w:rFonts w:hint="default" w:eastAsia="Times New Roman"/>
        <w:sz w:val="1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2396">
    <w:pPr>
      <w:pStyle w:val="30"/>
      <w:rPr>
        <w:rStyle w:val="49"/>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8A6BF">
                          <w:pPr>
                            <w:pStyle w:val="3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E58A6BF">
                    <w:pPr>
                      <w:pStyle w:val="30"/>
                    </w:pPr>
                    <w:r>
                      <w:fldChar w:fldCharType="begin"/>
                    </w:r>
                    <w:r>
                      <w:instrText xml:space="preserve"> PAGE  \* MERGEFORMAT </w:instrText>
                    </w:r>
                    <w:r>
                      <w:fldChar w:fldCharType="separate"/>
                    </w:r>
                    <w:r>
                      <w:t>25</w:t>
                    </w:r>
                    <w:r>
                      <w:fldChar w:fldCharType="end"/>
                    </w:r>
                  </w:p>
                </w:txbxContent>
              </v:textbox>
            </v:shape>
          </w:pict>
        </mc:Fallback>
      </mc:AlternateContent>
    </w:r>
  </w:p>
  <w:p w14:paraId="157870D5">
    <w:pPr>
      <w:pStyle w:val="30"/>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D5C9321"/>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4D5C9321"/>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2992">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D6091">
    <w:pPr>
      <w:pStyle w:val="3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C11CB"/>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16F283F"/>
    <w:rsid w:val="023C4E17"/>
    <w:rsid w:val="02860CE1"/>
    <w:rsid w:val="028D0613"/>
    <w:rsid w:val="02A06DF6"/>
    <w:rsid w:val="02AD40CA"/>
    <w:rsid w:val="03311B51"/>
    <w:rsid w:val="03451AAA"/>
    <w:rsid w:val="035607B0"/>
    <w:rsid w:val="035A0B08"/>
    <w:rsid w:val="037979A5"/>
    <w:rsid w:val="03BE185C"/>
    <w:rsid w:val="03DD3435"/>
    <w:rsid w:val="04880F3B"/>
    <w:rsid w:val="04BB1052"/>
    <w:rsid w:val="056B0ED7"/>
    <w:rsid w:val="058F191A"/>
    <w:rsid w:val="063D2F0C"/>
    <w:rsid w:val="064047AA"/>
    <w:rsid w:val="06C76C7A"/>
    <w:rsid w:val="07023E8A"/>
    <w:rsid w:val="073060B3"/>
    <w:rsid w:val="073F34F8"/>
    <w:rsid w:val="07855569"/>
    <w:rsid w:val="07AD522B"/>
    <w:rsid w:val="07DD03A2"/>
    <w:rsid w:val="082779D0"/>
    <w:rsid w:val="084A1910"/>
    <w:rsid w:val="08891FDF"/>
    <w:rsid w:val="08EE1782"/>
    <w:rsid w:val="090B57DF"/>
    <w:rsid w:val="094625ED"/>
    <w:rsid w:val="098B0432"/>
    <w:rsid w:val="098C0FAE"/>
    <w:rsid w:val="09E45717"/>
    <w:rsid w:val="0A1370D9"/>
    <w:rsid w:val="0A426CE3"/>
    <w:rsid w:val="0A783487"/>
    <w:rsid w:val="0A920A74"/>
    <w:rsid w:val="0AB85257"/>
    <w:rsid w:val="0B1A05CF"/>
    <w:rsid w:val="0B3B4932"/>
    <w:rsid w:val="0B644A83"/>
    <w:rsid w:val="0B732F2C"/>
    <w:rsid w:val="0B8A5AE2"/>
    <w:rsid w:val="0B9510F4"/>
    <w:rsid w:val="0BD96130"/>
    <w:rsid w:val="0C30371E"/>
    <w:rsid w:val="0C47209B"/>
    <w:rsid w:val="0CA2670C"/>
    <w:rsid w:val="0CDE4AF1"/>
    <w:rsid w:val="0CEC2F96"/>
    <w:rsid w:val="0D2F7233"/>
    <w:rsid w:val="0DA92181"/>
    <w:rsid w:val="0DB0649C"/>
    <w:rsid w:val="0E2234E7"/>
    <w:rsid w:val="0E832759"/>
    <w:rsid w:val="0ECF7747"/>
    <w:rsid w:val="0F985657"/>
    <w:rsid w:val="0F9D46EF"/>
    <w:rsid w:val="10525806"/>
    <w:rsid w:val="11D57582"/>
    <w:rsid w:val="124026B6"/>
    <w:rsid w:val="12C329EB"/>
    <w:rsid w:val="13114D0E"/>
    <w:rsid w:val="137A735A"/>
    <w:rsid w:val="13B24508"/>
    <w:rsid w:val="13E54BBD"/>
    <w:rsid w:val="145A112D"/>
    <w:rsid w:val="146A48E5"/>
    <w:rsid w:val="146D5339"/>
    <w:rsid w:val="151B60BE"/>
    <w:rsid w:val="152F63E2"/>
    <w:rsid w:val="156009C5"/>
    <w:rsid w:val="158272E5"/>
    <w:rsid w:val="15995C85"/>
    <w:rsid w:val="15D60886"/>
    <w:rsid w:val="168140E7"/>
    <w:rsid w:val="16A220B2"/>
    <w:rsid w:val="16AB249D"/>
    <w:rsid w:val="16E538DC"/>
    <w:rsid w:val="17153410"/>
    <w:rsid w:val="17873285"/>
    <w:rsid w:val="17A86B91"/>
    <w:rsid w:val="183A085F"/>
    <w:rsid w:val="188E75F7"/>
    <w:rsid w:val="19475149"/>
    <w:rsid w:val="1A1E40F3"/>
    <w:rsid w:val="1A475CB0"/>
    <w:rsid w:val="1AF847D0"/>
    <w:rsid w:val="1B4058F8"/>
    <w:rsid w:val="1C136BB6"/>
    <w:rsid w:val="1C4B5EA8"/>
    <w:rsid w:val="1C4B6410"/>
    <w:rsid w:val="1C6F14EE"/>
    <w:rsid w:val="1E1554ED"/>
    <w:rsid w:val="1E66223E"/>
    <w:rsid w:val="1FA4448B"/>
    <w:rsid w:val="2022793B"/>
    <w:rsid w:val="207B6E01"/>
    <w:rsid w:val="211B1C44"/>
    <w:rsid w:val="21777C96"/>
    <w:rsid w:val="21C4408A"/>
    <w:rsid w:val="21F200C1"/>
    <w:rsid w:val="224A075F"/>
    <w:rsid w:val="22E66E8E"/>
    <w:rsid w:val="23816BA4"/>
    <w:rsid w:val="23B802A0"/>
    <w:rsid w:val="24244ED1"/>
    <w:rsid w:val="24984D89"/>
    <w:rsid w:val="25184226"/>
    <w:rsid w:val="254E4396"/>
    <w:rsid w:val="25BC1C48"/>
    <w:rsid w:val="25E4098B"/>
    <w:rsid w:val="26252182"/>
    <w:rsid w:val="265122FF"/>
    <w:rsid w:val="265E174C"/>
    <w:rsid w:val="2686038F"/>
    <w:rsid w:val="26EF5515"/>
    <w:rsid w:val="274F505D"/>
    <w:rsid w:val="28277AED"/>
    <w:rsid w:val="28C72B2B"/>
    <w:rsid w:val="29B42C36"/>
    <w:rsid w:val="29CE5AA6"/>
    <w:rsid w:val="29E75E0C"/>
    <w:rsid w:val="29F23E8A"/>
    <w:rsid w:val="2A241E9E"/>
    <w:rsid w:val="2A566AD6"/>
    <w:rsid w:val="2AC67F2B"/>
    <w:rsid w:val="2B035C23"/>
    <w:rsid w:val="2B0B3469"/>
    <w:rsid w:val="2B367DA6"/>
    <w:rsid w:val="2B52413C"/>
    <w:rsid w:val="2C7D3C0D"/>
    <w:rsid w:val="2C874AAF"/>
    <w:rsid w:val="2C8E66A6"/>
    <w:rsid w:val="2CAF5168"/>
    <w:rsid w:val="2CBB47F9"/>
    <w:rsid w:val="2CFF7759"/>
    <w:rsid w:val="2D4A1910"/>
    <w:rsid w:val="2DFF7667"/>
    <w:rsid w:val="2E094915"/>
    <w:rsid w:val="2E267150"/>
    <w:rsid w:val="2EFD1D1D"/>
    <w:rsid w:val="2F0B779C"/>
    <w:rsid w:val="2F3A186E"/>
    <w:rsid w:val="2F9710EE"/>
    <w:rsid w:val="2FE563D7"/>
    <w:rsid w:val="30C65728"/>
    <w:rsid w:val="30D047F9"/>
    <w:rsid w:val="310B4442"/>
    <w:rsid w:val="312863E3"/>
    <w:rsid w:val="31FB42D0"/>
    <w:rsid w:val="32852601"/>
    <w:rsid w:val="32B47BD5"/>
    <w:rsid w:val="32D3700E"/>
    <w:rsid w:val="32F07192"/>
    <w:rsid w:val="332433C5"/>
    <w:rsid w:val="3376156C"/>
    <w:rsid w:val="33A93AA6"/>
    <w:rsid w:val="33DB598F"/>
    <w:rsid w:val="343A5EA5"/>
    <w:rsid w:val="348E387D"/>
    <w:rsid w:val="34D36666"/>
    <w:rsid w:val="35A46FAE"/>
    <w:rsid w:val="36A57F38"/>
    <w:rsid w:val="36B50719"/>
    <w:rsid w:val="36E40AF7"/>
    <w:rsid w:val="37026723"/>
    <w:rsid w:val="373904E1"/>
    <w:rsid w:val="37526B7E"/>
    <w:rsid w:val="385F78F9"/>
    <w:rsid w:val="388F6D48"/>
    <w:rsid w:val="398960D8"/>
    <w:rsid w:val="39E8421F"/>
    <w:rsid w:val="39EE5CF0"/>
    <w:rsid w:val="3A066436"/>
    <w:rsid w:val="3A1A1E46"/>
    <w:rsid w:val="3A2516BB"/>
    <w:rsid w:val="3B3C635C"/>
    <w:rsid w:val="3C333E8E"/>
    <w:rsid w:val="3C557FDA"/>
    <w:rsid w:val="3C8C1F1C"/>
    <w:rsid w:val="3C942B7F"/>
    <w:rsid w:val="3CCB04A6"/>
    <w:rsid w:val="3CD37326"/>
    <w:rsid w:val="3CDD6728"/>
    <w:rsid w:val="3DA16242"/>
    <w:rsid w:val="3DCB2BE5"/>
    <w:rsid w:val="3E7850FA"/>
    <w:rsid w:val="3ED90D1D"/>
    <w:rsid w:val="3EED354E"/>
    <w:rsid w:val="3F1410DB"/>
    <w:rsid w:val="3F173AB4"/>
    <w:rsid w:val="3F370F3A"/>
    <w:rsid w:val="3F3C12AC"/>
    <w:rsid w:val="3F7A539C"/>
    <w:rsid w:val="3F91051D"/>
    <w:rsid w:val="3FB5783A"/>
    <w:rsid w:val="408338D7"/>
    <w:rsid w:val="41510996"/>
    <w:rsid w:val="42147451"/>
    <w:rsid w:val="43486471"/>
    <w:rsid w:val="43727992"/>
    <w:rsid w:val="43881670"/>
    <w:rsid w:val="43E82525"/>
    <w:rsid w:val="44592EA6"/>
    <w:rsid w:val="44692B43"/>
    <w:rsid w:val="44A8055A"/>
    <w:rsid w:val="44F7334E"/>
    <w:rsid w:val="452C2E61"/>
    <w:rsid w:val="45AF30FD"/>
    <w:rsid w:val="45C1250B"/>
    <w:rsid w:val="46420BB9"/>
    <w:rsid w:val="465B3014"/>
    <w:rsid w:val="46C2653A"/>
    <w:rsid w:val="47121FD0"/>
    <w:rsid w:val="472F5293"/>
    <w:rsid w:val="473A07C7"/>
    <w:rsid w:val="47633879"/>
    <w:rsid w:val="47AE55ED"/>
    <w:rsid w:val="47CE2573"/>
    <w:rsid w:val="47DB0FE0"/>
    <w:rsid w:val="47DE55F6"/>
    <w:rsid w:val="47E837E0"/>
    <w:rsid w:val="47EB386F"/>
    <w:rsid w:val="485A4022"/>
    <w:rsid w:val="48986B3F"/>
    <w:rsid w:val="48B819A3"/>
    <w:rsid w:val="494476DB"/>
    <w:rsid w:val="49507E2D"/>
    <w:rsid w:val="49B66251"/>
    <w:rsid w:val="49F378CA"/>
    <w:rsid w:val="4A125037"/>
    <w:rsid w:val="4A49578E"/>
    <w:rsid w:val="4AB455FC"/>
    <w:rsid w:val="4AEE78FE"/>
    <w:rsid w:val="4B4439C2"/>
    <w:rsid w:val="4B4C6831"/>
    <w:rsid w:val="4B5A1437"/>
    <w:rsid w:val="4B78366B"/>
    <w:rsid w:val="4B9069D1"/>
    <w:rsid w:val="4BB93099"/>
    <w:rsid w:val="4CA21C4A"/>
    <w:rsid w:val="4DED476F"/>
    <w:rsid w:val="4E87606B"/>
    <w:rsid w:val="4EBD5F65"/>
    <w:rsid w:val="4ED1777D"/>
    <w:rsid w:val="4F281B57"/>
    <w:rsid w:val="4F443F90"/>
    <w:rsid w:val="4F627A2B"/>
    <w:rsid w:val="4F8A1859"/>
    <w:rsid w:val="4FCD4721"/>
    <w:rsid w:val="502D24E4"/>
    <w:rsid w:val="504773D5"/>
    <w:rsid w:val="50EC70D4"/>
    <w:rsid w:val="511E5BAD"/>
    <w:rsid w:val="51267930"/>
    <w:rsid w:val="512A365A"/>
    <w:rsid w:val="513100D0"/>
    <w:rsid w:val="513918A9"/>
    <w:rsid w:val="517F3DD4"/>
    <w:rsid w:val="51BC2AE8"/>
    <w:rsid w:val="52244348"/>
    <w:rsid w:val="52A82A88"/>
    <w:rsid w:val="52B72CCB"/>
    <w:rsid w:val="52CE5689"/>
    <w:rsid w:val="54094FB6"/>
    <w:rsid w:val="550A5C7C"/>
    <w:rsid w:val="55344AA7"/>
    <w:rsid w:val="555D7576"/>
    <w:rsid w:val="558A3D0F"/>
    <w:rsid w:val="559A68B9"/>
    <w:rsid w:val="55A75279"/>
    <w:rsid w:val="569E5C28"/>
    <w:rsid w:val="56A6782E"/>
    <w:rsid w:val="56B17EF3"/>
    <w:rsid w:val="56F21ED5"/>
    <w:rsid w:val="57313D11"/>
    <w:rsid w:val="578D69F6"/>
    <w:rsid w:val="58311B26"/>
    <w:rsid w:val="5903310E"/>
    <w:rsid w:val="59254E33"/>
    <w:rsid w:val="595079D6"/>
    <w:rsid w:val="5952374E"/>
    <w:rsid w:val="597E4543"/>
    <w:rsid w:val="599A4762"/>
    <w:rsid w:val="59B94A33"/>
    <w:rsid w:val="59C42C57"/>
    <w:rsid w:val="5A096502"/>
    <w:rsid w:val="5A9F0C15"/>
    <w:rsid w:val="5AFB2C32"/>
    <w:rsid w:val="5B2F036B"/>
    <w:rsid w:val="5B5877E2"/>
    <w:rsid w:val="5BA9771F"/>
    <w:rsid w:val="5BAC7A1D"/>
    <w:rsid w:val="5BAE0EF6"/>
    <w:rsid w:val="5BCF1086"/>
    <w:rsid w:val="5BE3458F"/>
    <w:rsid w:val="5DCA244C"/>
    <w:rsid w:val="5DD0286D"/>
    <w:rsid w:val="5DF748C4"/>
    <w:rsid w:val="5EEA0F2A"/>
    <w:rsid w:val="5EF33755"/>
    <w:rsid w:val="5F475C98"/>
    <w:rsid w:val="5F9D1CA2"/>
    <w:rsid w:val="5FB51E86"/>
    <w:rsid w:val="5FD300DB"/>
    <w:rsid w:val="5FE25B93"/>
    <w:rsid w:val="603460E3"/>
    <w:rsid w:val="603F3AE9"/>
    <w:rsid w:val="608C59E7"/>
    <w:rsid w:val="610067E0"/>
    <w:rsid w:val="61051B53"/>
    <w:rsid w:val="61095D5D"/>
    <w:rsid w:val="61284751"/>
    <w:rsid w:val="629F458E"/>
    <w:rsid w:val="62BE3C02"/>
    <w:rsid w:val="633D0FCB"/>
    <w:rsid w:val="63637DFA"/>
    <w:rsid w:val="63A72C64"/>
    <w:rsid w:val="63C40272"/>
    <w:rsid w:val="64F222D0"/>
    <w:rsid w:val="655541D3"/>
    <w:rsid w:val="65594766"/>
    <w:rsid w:val="65AE22F3"/>
    <w:rsid w:val="65C12033"/>
    <w:rsid w:val="66465782"/>
    <w:rsid w:val="66AF6E4C"/>
    <w:rsid w:val="670A4733"/>
    <w:rsid w:val="67915D89"/>
    <w:rsid w:val="67DE5EA5"/>
    <w:rsid w:val="68E615DD"/>
    <w:rsid w:val="6907286A"/>
    <w:rsid w:val="6908397B"/>
    <w:rsid w:val="6980658C"/>
    <w:rsid w:val="69F22205"/>
    <w:rsid w:val="6A16299D"/>
    <w:rsid w:val="6A8E035E"/>
    <w:rsid w:val="6B0E345E"/>
    <w:rsid w:val="6B354DBB"/>
    <w:rsid w:val="6CC00CAD"/>
    <w:rsid w:val="6D0B604A"/>
    <w:rsid w:val="6DAC05BE"/>
    <w:rsid w:val="6E2337BB"/>
    <w:rsid w:val="6E3336F6"/>
    <w:rsid w:val="6E802F39"/>
    <w:rsid w:val="6F5F3A74"/>
    <w:rsid w:val="6F8373FF"/>
    <w:rsid w:val="6FC06D93"/>
    <w:rsid w:val="6FDE7145"/>
    <w:rsid w:val="701268B7"/>
    <w:rsid w:val="7025059A"/>
    <w:rsid w:val="704E0CBB"/>
    <w:rsid w:val="70587444"/>
    <w:rsid w:val="708446DD"/>
    <w:rsid w:val="713E6246"/>
    <w:rsid w:val="725809D6"/>
    <w:rsid w:val="72BD7A32"/>
    <w:rsid w:val="72EE22E1"/>
    <w:rsid w:val="73840989"/>
    <w:rsid w:val="73875405"/>
    <w:rsid w:val="7399049F"/>
    <w:rsid w:val="73B74532"/>
    <w:rsid w:val="74425F26"/>
    <w:rsid w:val="7465021C"/>
    <w:rsid w:val="7487178B"/>
    <w:rsid w:val="74CC7CBB"/>
    <w:rsid w:val="75847F67"/>
    <w:rsid w:val="7682140E"/>
    <w:rsid w:val="76CC46E8"/>
    <w:rsid w:val="76D62696"/>
    <w:rsid w:val="77337D0A"/>
    <w:rsid w:val="774E2667"/>
    <w:rsid w:val="77910BE3"/>
    <w:rsid w:val="78270463"/>
    <w:rsid w:val="78EA3B59"/>
    <w:rsid w:val="7A045A8C"/>
    <w:rsid w:val="7A41719B"/>
    <w:rsid w:val="7AD53A89"/>
    <w:rsid w:val="7B2726C7"/>
    <w:rsid w:val="7B360113"/>
    <w:rsid w:val="7B863DF3"/>
    <w:rsid w:val="7B8657AD"/>
    <w:rsid w:val="7BC97448"/>
    <w:rsid w:val="7C016BE2"/>
    <w:rsid w:val="7C572CA5"/>
    <w:rsid w:val="7C7E10EA"/>
    <w:rsid w:val="7C8660BD"/>
    <w:rsid w:val="7C934347"/>
    <w:rsid w:val="7CA05978"/>
    <w:rsid w:val="7D1D43C4"/>
    <w:rsid w:val="7D225061"/>
    <w:rsid w:val="7D7B252F"/>
    <w:rsid w:val="7DB303AF"/>
    <w:rsid w:val="7E5A6E83"/>
    <w:rsid w:val="7EED169F"/>
    <w:rsid w:val="7F09259F"/>
    <w:rsid w:val="7F2050E8"/>
    <w:rsid w:val="7F6000C3"/>
    <w:rsid w:val="7F894C06"/>
    <w:rsid w:val="7FBC5227"/>
    <w:rsid w:val="7FEE047D"/>
    <w:rsid w:val="CF6781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64"/>
    <w:qFormat/>
    <w:uiPriority w:val="99"/>
    <w:pPr>
      <w:keepNext/>
      <w:keepLines/>
      <w:spacing w:before="340" w:after="330" w:line="360" w:lineRule="auto"/>
      <w:jc w:val="center"/>
      <w:outlineLvl w:val="0"/>
    </w:pPr>
    <w:rPr>
      <w:rFonts w:eastAsia="仿宋"/>
      <w:b/>
      <w:bCs/>
      <w:kern w:val="44"/>
      <w:sz w:val="30"/>
      <w:szCs w:val="44"/>
    </w:rPr>
  </w:style>
  <w:style w:type="paragraph" w:styleId="6">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7">
    <w:name w:val="heading 3"/>
    <w:basedOn w:val="1"/>
    <w:next w:val="1"/>
    <w:link w:val="66"/>
    <w:qFormat/>
    <w:uiPriority w:val="99"/>
    <w:pPr>
      <w:keepNext/>
      <w:keepLines/>
      <w:spacing w:before="260" w:after="260" w:line="416" w:lineRule="auto"/>
      <w:outlineLvl w:val="2"/>
    </w:pPr>
    <w:rPr>
      <w:b/>
      <w:bCs/>
      <w:sz w:val="32"/>
      <w:szCs w:val="32"/>
    </w:rPr>
  </w:style>
  <w:style w:type="paragraph" w:styleId="8">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9">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10">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11">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12">
    <w:name w:val="heading 8"/>
    <w:basedOn w:val="1"/>
    <w:next w:val="1"/>
    <w:link w:val="71"/>
    <w:qFormat/>
    <w:uiPriority w:val="99"/>
    <w:pPr>
      <w:keepNext/>
      <w:keepLines/>
      <w:spacing w:before="240" w:after="64" w:line="317" w:lineRule="auto"/>
      <w:outlineLvl w:val="7"/>
    </w:pPr>
    <w:rPr>
      <w:rFonts w:ascii="Cambria" w:hAnsi="Cambria" w:cs="Cambria"/>
      <w:sz w:val="24"/>
      <w:szCs w:val="24"/>
    </w:rPr>
  </w:style>
  <w:style w:type="paragraph" w:styleId="13">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semiHidden/>
    <w:qFormat/>
    <w:uiPriority w:val="99"/>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90"/>
    <w:qFormat/>
    <w:uiPriority w:val="99"/>
    <w:pPr>
      <w:ind w:firstLine="420" w:firstLineChars="200"/>
    </w:pPr>
  </w:style>
  <w:style w:type="paragraph" w:styleId="3">
    <w:name w:val="Body Text Indent"/>
    <w:basedOn w:val="1"/>
    <w:next w:val="4"/>
    <w:link w:val="77"/>
    <w:qFormat/>
    <w:uiPriority w:val="99"/>
    <w:pPr>
      <w:spacing w:line="500" w:lineRule="exact"/>
      <w:ind w:firstLine="538"/>
    </w:pPr>
    <w:rPr>
      <w:sz w:val="28"/>
      <w:szCs w:val="28"/>
    </w:rPr>
  </w:style>
  <w:style w:type="paragraph" w:styleId="4">
    <w:name w:val="envelope return"/>
    <w:basedOn w:val="1"/>
    <w:qFormat/>
    <w:uiPriority w:val="99"/>
    <w:pPr>
      <w:snapToGrid w:val="0"/>
    </w:pPr>
    <w:rPr>
      <w:rFonts w:ascii="Arial" w:hAnsi="Arial"/>
    </w:rPr>
  </w:style>
  <w:style w:type="paragraph" w:styleId="14">
    <w:name w:val="toc 7"/>
    <w:basedOn w:val="1"/>
    <w:next w:val="1"/>
    <w:semiHidden/>
    <w:qFormat/>
    <w:uiPriority w:val="99"/>
    <w:pPr>
      <w:ind w:left="2520" w:leftChars="1200"/>
    </w:pPr>
    <w:rPr>
      <w:rFonts w:ascii="Calibri" w:hAnsi="Calibri" w:cs="Calibri"/>
    </w:rPr>
  </w:style>
  <w:style w:type="paragraph" w:styleId="15">
    <w:name w:val="Normal Indent"/>
    <w:basedOn w:val="1"/>
    <w:qFormat/>
    <w:uiPriority w:val="99"/>
    <w:pPr>
      <w:adjustRightInd w:val="0"/>
      <w:spacing w:line="360" w:lineRule="atLeast"/>
      <w:ind w:firstLine="482"/>
      <w:textAlignment w:val="baseline"/>
    </w:pPr>
    <w:rPr>
      <w:kern w:val="0"/>
      <w:sz w:val="24"/>
      <w:szCs w:val="24"/>
    </w:rPr>
  </w:style>
  <w:style w:type="paragraph" w:styleId="16">
    <w:name w:val="caption"/>
    <w:basedOn w:val="1"/>
    <w:next w:val="1"/>
    <w:qFormat/>
    <w:uiPriority w:val="99"/>
    <w:rPr>
      <w:rFonts w:ascii="Cambria" w:hAnsi="Cambria" w:eastAsia="黑体" w:cs="Cambria"/>
      <w:sz w:val="20"/>
      <w:szCs w:val="20"/>
    </w:rPr>
  </w:style>
  <w:style w:type="paragraph" w:styleId="17">
    <w:name w:val="Document Map"/>
    <w:basedOn w:val="1"/>
    <w:link w:val="73"/>
    <w:semiHidden/>
    <w:qFormat/>
    <w:uiPriority w:val="99"/>
    <w:pPr>
      <w:shd w:val="clear" w:color="auto" w:fill="000080"/>
    </w:pPr>
    <w:rPr>
      <w:kern w:val="0"/>
      <w:sz w:val="20"/>
      <w:szCs w:val="20"/>
      <w:shd w:val="clear" w:color="auto" w:fill="000080"/>
    </w:rPr>
  </w:style>
  <w:style w:type="paragraph" w:styleId="18">
    <w:name w:val="annotation text"/>
    <w:basedOn w:val="1"/>
    <w:link w:val="74"/>
    <w:semiHidden/>
    <w:qFormat/>
    <w:uiPriority w:val="99"/>
    <w:pPr>
      <w:jc w:val="left"/>
    </w:pPr>
  </w:style>
  <w:style w:type="paragraph" w:styleId="19">
    <w:name w:val="Body Text 3"/>
    <w:basedOn w:val="1"/>
    <w:link w:val="75"/>
    <w:qFormat/>
    <w:uiPriority w:val="99"/>
    <w:rPr>
      <w:rFonts w:ascii="宋体" w:cs="宋体"/>
      <w:sz w:val="24"/>
      <w:szCs w:val="24"/>
    </w:rPr>
  </w:style>
  <w:style w:type="paragraph" w:styleId="20">
    <w:name w:val="Body Text"/>
    <w:basedOn w:val="1"/>
    <w:link w:val="76"/>
    <w:qFormat/>
    <w:uiPriority w:val="99"/>
    <w:pPr>
      <w:jc w:val="center"/>
    </w:pPr>
    <w:rPr>
      <w:b/>
      <w:bCs/>
      <w:sz w:val="44"/>
      <w:szCs w:val="44"/>
    </w:rPr>
  </w:style>
  <w:style w:type="paragraph" w:styleId="21">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2">
    <w:name w:val="index 4"/>
    <w:basedOn w:val="1"/>
    <w:next w:val="1"/>
    <w:semiHidden/>
    <w:qFormat/>
    <w:uiPriority w:val="99"/>
    <w:pPr>
      <w:ind w:left="600" w:leftChars="600"/>
    </w:pPr>
  </w:style>
  <w:style w:type="paragraph" w:styleId="23">
    <w:name w:val="toc 5"/>
    <w:basedOn w:val="1"/>
    <w:next w:val="1"/>
    <w:semiHidden/>
    <w:qFormat/>
    <w:uiPriority w:val="99"/>
    <w:pPr>
      <w:tabs>
        <w:tab w:val="right" w:leader="dot" w:pos="8296"/>
      </w:tabs>
      <w:ind w:left="1050" w:leftChars="500"/>
    </w:pPr>
    <w:rPr>
      <w:rFonts w:ascii="Calibri" w:hAnsi="Calibri" w:cs="Calibri"/>
    </w:rPr>
  </w:style>
  <w:style w:type="paragraph" w:styleId="24">
    <w:name w:val="toc 3"/>
    <w:basedOn w:val="1"/>
    <w:next w:val="1"/>
    <w:semiHidden/>
    <w:qFormat/>
    <w:uiPriority w:val="99"/>
    <w:pPr>
      <w:ind w:left="840" w:leftChars="400"/>
    </w:pPr>
    <w:rPr>
      <w:rFonts w:ascii="Calibri" w:hAnsi="Calibri" w:cs="Calibri"/>
    </w:rPr>
  </w:style>
  <w:style w:type="paragraph" w:styleId="25">
    <w:name w:val="Plain Text"/>
    <w:basedOn w:val="1"/>
    <w:next w:val="1"/>
    <w:link w:val="78"/>
    <w:qFormat/>
    <w:uiPriority w:val="99"/>
    <w:rPr>
      <w:rFonts w:ascii="宋体" w:hAnsi="Courier New" w:cs="宋体"/>
    </w:rPr>
  </w:style>
  <w:style w:type="paragraph" w:styleId="26">
    <w:name w:val="toc 8"/>
    <w:basedOn w:val="1"/>
    <w:next w:val="1"/>
    <w:semiHidden/>
    <w:qFormat/>
    <w:uiPriority w:val="99"/>
    <w:pPr>
      <w:ind w:left="2940" w:leftChars="1400"/>
    </w:pPr>
    <w:rPr>
      <w:rFonts w:ascii="Calibri" w:hAnsi="Calibri" w:cs="Calibri"/>
    </w:rPr>
  </w:style>
  <w:style w:type="paragraph" w:styleId="27">
    <w:name w:val="Date"/>
    <w:basedOn w:val="1"/>
    <w:next w:val="1"/>
    <w:link w:val="79"/>
    <w:qFormat/>
    <w:uiPriority w:val="99"/>
    <w:rPr>
      <w:rFonts w:ascii="仿宋_GB2312" w:eastAsia="仿宋_GB2312" w:cs="仿宋_GB2312"/>
      <w:sz w:val="30"/>
      <w:szCs w:val="30"/>
    </w:rPr>
  </w:style>
  <w:style w:type="paragraph" w:styleId="28">
    <w:name w:val="Body Text Indent 2"/>
    <w:basedOn w:val="1"/>
    <w:link w:val="80"/>
    <w:qFormat/>
    <w:uiPriority w:val="99"/>
    <w:pPr>
      <w:spacing w:line="360" w:lineRule="exact"/>
      <w:ind w:firstLine="600" w:firstLineChars="250"/>
      <w:jc w:val="left"/>
    </w:pPr>
    <w:rPr>
      <w:sz w:val="24"/>
      <w:szCs w:val="24"/>
    </w:rPr>
  </w:style>
  <w:style w:type="paragraph" w:styleId="29">
    <w:name w:val="Balloon Text"/>
    <w:basedOn w:val="1"/>
    <w:link w:val="81"/>
    <w:semiHidden/>
    <w:qFormat/>
    <w:uiPriority w:val="99"/>
    <w:rPr>
      <w:sz w:val="18"/>
      <w:szCs w:val="18"/>
    </w:rPr>
  </w:style>
  <w:style w:type="paragraph" w:styleId="30">
    <w:name w:val="footer"/>
    <w:basedOn w:val="1"/>
    <w:link w:val="82"/>
    <w:qFormat/>
    <w:uiPriority w:val="99"/>
    <w:pPr>
      <w:tabs>
        <w:tab w:val="center" w:pos="4153"/>
        <w:tab w:val="right" w:pos="8306"/>
      </w:tabs>
      <w:snapToGrid w:val="0"/>
      <w:jc w:val="left"/>
    </w:pPr>
    <w:rPr>
      <w:sz w:val="18"/>
      <w:szCs w:val="18"/>
    </w:rPr>
  </w:style>
  <w:style w:type="paragraph" w:styleId="31">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3">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4">
    <w:name w:val="Subtitle"/>
    <w:basedOn w:val="1"/>
    <w:next w:val="1"/>
    <w:link w:val="84"/>
    <w:qFormat/>
    <w:uiPriority w:val="99"/>
    <w:pPr>
      <w:spacing w:before="240" w:after="60" w:line="312" w:lineRule="auto"/>
      <w:jc w:val="center"/>
      <w:outlineLvl w:val="1"/>
    </w:pPr>
    <w:rPr>
      <w:rFonts w:ascii="Cambria" w:hAnsi="Cambria" w:cs="Cambria"/>
      <w:b/>
      <w:bCs/>
      <w:kern w:val="28"/>
      <w:sz w:val="32"/>
      <w:szCs w:val="32"/>
    </w:rPr>
  </w:style>
  <w:style w:type="paragraph" w:styleId="35">
    <w:name w:val="footnote text"/>
    <w:basedOn w:val="1"/>
    <w:link w:val="85"/>
    <w:semiHidden/>
    <w:qFormat/>
    <w:uiPriority w:val="99"/>
    <w:rPr>
      <w:sz w:val="20"/>
      <w:szCs w:val="20"/>
    </w:rPr>
  </w:style>
  <w:style w:type="paragraph" w:styleId="36">
    <w:name w:val="toc 6"/>
    <w:basedOn w:val="1"/>
    <w:next w:val="1"/>
    <w:semiHidden/>
    <w:qFormat/>
    <w:uiPriority w:val="99"/>
    <w:pPr>
      <w:ind w:left="2100" w:leftChars="1000"/>
    </w:pPr>
    <w:rPr>
      <w:rFonts w:ascii="Calibri" w:hAnsi="Calibri" w:cs="Calibri"/>
    </w:rPr>
  </w:style>
  <w:style w:type="paragraph" w:styleId="37">
    <w:name w:val="Body Text Indent 3"/>
    <w:basedOn w:val="1"/>
    <w:link w:val="86"/>
    <w:qFormat/>
    <w:uiPriority w:val="99"/>
    <w:pPr>
      <w:spacing w:after="120"/>
      <w:ind w:left="420" w:leftChars="200"/>
    </w:pPr>
    <w:rPr>
      <w:sz w:val="16"/>
      <w:szCs w:val="16"/>
    </w:rPr>
  </w:style>
  <w:style w:type="paragraph" w:styleId="38">
    <w:name w:val="table of figures"/>
    <w:basedOn w:val="1"/>
    <w:next w:val="1"/>
    <w:semiHidden/>
    <w:qFormat/>
    <w:uiPriority w:val="99"/>
    <w:pPr>
      <w:ind w:left="200" w:leftChars="200" w:hanging="200" w:hangingChars="200"/>
    </w:pPr>
  </w:style>
  <w:style w:type="paragraph" w:styleId="39">
    <w:name w:val="toc 2"/>
    <w:basedOn w:val="1"/>
    <w:next w:val="1"/>
    <w:semiHidden/>
    <w:qFormat/>
    <w:uiPriority w:val="99"/>
    <w:pPr>
      <w:ind w:left="420" w:leftChars="200"/>
    </w:pPr>
    <w:rPr>
      <w:rFonts w:ascii="宋体" w:cs="宋体"/>
      <w:b/>
      <w:bCs/>
      <w:sz w:val="28"/>
      <w:szCs w:val="28"/>
    </w:rPr>
  </w:style>
  <w:style w:type="paragraph" w:styleId="40">
    <w:name w:val="toc 9"/>
    <w:basedOn w:val="1"/>
    <w:next w:val="1"/>
    <w:semiHidden/>
    <w:qFormat/>
    <w:uiPriority w:val="99"/>
    <w:pPr>
      <w:ind w:left="3360" w:leftChars="1600"/>
    </w:pPr>
    <w:rPr>
      <w:rFonts w:ascii="Calibri" w:hAnsi="Calibri" w:cs="Calibri"/>
    </w:rPr>
  </w:style>
  <w:style w:type="paragraph" w:styleId="41">
    <w:name w:val="Body Text 2"/>
    <w:basedOn w:val="1"/>
    <w:link w:val="87"/>
    <w:qFormat/>
    <w:uiPriority w:val="99"/>
    <w:pPr>
      <w:spacing w:line="440" w:lineRule="exact"/>
    </w:pPr>
    <w:rPr>
      <w:sz w:val="28"/>
      <w:szCs w:val="28"/>
    </w:rPr>
  </w:style>
  <w:style w:type="paragraph" w:styleId="42">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3">
    <w:name w:val="Title"/>
    <w:basedOn w:val="1"/>
    <w:next w:val="1"/>
    <w:link w:val="88"/>
    <w:qFormat/>
    <w:uiPriority w:val="99"/>
    <w:pPr>
      <w:spacing w:before="240" w:after="60"/>
      <w:jc w:val="center"/>
      <w:outlineLvl w:val="0"/>
    </w:pPr>
    <w:rPr>
      <w:rFonts w:ascii="Cambria" w:hAnsi="Cambria" w:cs="Cambria"/>
      <w:b/>
      <w:bCs/>
      <w:sz w:val="32"/>
      <w:szCs w:val="32"/>
    </w:rPr>
  </w:style>
  <w:style w:type="paragraph" w:styleId="44">
    <w:name w:val="annotation subject"/>
    <w:basedOn w:val="18"/>
    <w:next w:val="18"/>
    <w:link w:val="89"/>
    <w:semiHidden/>
    <w:qFormat/>
    <w:uiPriority w:val="99"/>
    <w:rPr>
      <w:rFonts w:ascii="宋体" w:cs="宋体"/>
      <w:b/>
      <w:bCs/>
      <w:kern w:val="0"/>
      <w:sz w:val="28"/>
      <w:szCs w:val="28"/>
    </w:rPr>
  </w:style>
  <w:style w:type="table" w:styleId="46">
    <w:name w:val="Table Grid"/>
    <w:basedOn w:val="4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99"/>
    <w:rPr>
      <w:rFonts w:cs="Times New Roman"/>
      <w:b/>
      <w:bCs/>
    </w:rPr>
  </w:style>
  <w:style w:type="character" w:styleId="49">
    <w:name w:val="page number"/>
    <w:basedOn w:val="47"/>
    <w:qFormat/>
    <w:uiPriority w:val="99"/>
    <w:rPr>
      <w:rFonts w:cs="Times New Roman"/>
    </w:rPr>
  </w:style>
  <w:style w:type="character" w:styleId="50">
    <w:name w:val="FollowedHyperlink"/>
    <w:basedOn w:val="47"/>
    <w:qFormat/>
    <w:uiPriority w:val="99"/>
    <w:rPr>
      <w:rFonts w:cs="Times New Roman"/>
      <w:color w:val="333333"/>
      <w:u w:val="none"/>
    </w:rPr>
  </w:style>
  <w:style w:type="character" w:styleId="51">
    <w:name w:val="Emphasis"/>
    <w:basedOn w:val="47"/>
    <w:qFormat/>
    <w:uiPriority w:val="99"/>
    <w:rPr>
      <w:rFonts w:cs="Times New Roman"/>
      <w:color w:val="auto"/>
    </w:rPr>
  </w:style>
  <w:style w:type="character" w:styleId="52">
    <w:name w:val="HTML Definition"/>
    <w:basedOn w:val="47"/>
    <w:qFormat/>
    <w:uiPriority w:val="99"/>
    <w:rPr>
      <w:rFonts w:cs="Times New Roman"/>
    </w:rPr>
  </w:style>
  <w:style w:type="character" w:styleId="53">
    <w:name w:val="HTML Typewriter"/>
    <w:basedOn w:val="47"/>
    <w:qFormat/>
    <w:uiPriority w:val="99"/>
    <w:rPr>
      <w:rFonts w:ascii="monospace" w:hAnsi="monospace" w:cs="monospace"/>
      <w:sz w:val="20"/>
    </w:rPr>
  </w:style>
  <w:style w:type="character" w:styleId="54">
    <w:name w:val="HTML Acronym"/>
    <w:basedOn w:val="47"/>
    <w:qFormat/>
    <w:uiPriority w:val="99"/>
    <w:rPr>
      <w:rFonts w:cs="Times New Roman"/>
    </w:rPr>
  </w:style>
  <w:style w:type="character" w:styleId="55">
    <w:name w:val="HTML Variable"/>
    <w:basedOn w:val="47"/>
    <w:qFormat/>
    <w:uiPriority w:val="99"/>
    <w:rPr>
      <w:rFonts w:cs="Times New Roman"/>
    </w:rPr>
  </w:style>
  <w:style w:type="character" w:styleId="56">
    <w:name w:val="Hyperlink"/>
    <w:basedOn w:val="47"/>
    <w:qFormat/>
    <w:uiPriority w:val="99"/>
    <w:rPr>
      <w:rFonts w:cs="Times New Roman"/>
      <w:color w:val="333333"/>
      <w:u w:val="none"/>
    </w:rPr>
  </w:style>
  <w:style w:type="character" w:styleId="57">
    <w:name w:val="HTML Code"/>
    <w:basedOn w:val="47"/>
    <w:qFormat/>
    <w:uiPriority w:val="99"/>
    <w:rPr>
      <w:rFonts w:ascii="monospace" w:hAnsi="monospace" w:cs="monospace"/>
      <w:sz w:val="20"/>
    </w:rPr>
  </w:style>
  <w:style w:type="character" w:styleId="58">
    <w:name w:val="annotation reference"/>
    <w:basedOn w:val="47"/>
    <w:semiHidden/>
    <w:qFormat/>
    <w:uiPriority w:val="99"/>
    <w:rPr>
      <w:rFonts w:cs="Times New Roman"/>
      <w:sz w:val="21"/>
      <w:szCs w:val="21"/>
    </w:rPr>
  </w:style>
  <w:style w:type="character" w:styleId="59">
    <w:name w:val="HTML Cite"/>
    <w:basedOn w:val="47"/>
    <w:qFormat/>
    <w:uiPriority w:val="99"/>
    <w:rPr>
      <w:rFonts w:cs="Times New Roman"/>
    </w:rPr>
  </w:style>
  <w:style w:type="character" w:styleId="60">
    <w:name w:val="footnote reference"/>
    <w:basedOn w:val="47"/>
    <w:semiHidden/>
    <w:qFormat/>
    <w:uiPriority w:val="99"/>
    <w:rPr>
      <w:rFonts w:cs="Times New Roman"/>
      <w:vertAlign w:val="superscript"/>
    </w:rPr>
  </w:style>
  <w:style w:type="character" w:styleId="61">
    <w:name w:val="HTML Keyboard"/>
    <w:basedOn w:val="47"/>
    <w:qFormat/>
    <w:uiPriority w:val="99"/>
    <w:rPr>
      <w:rFonts w:ascii="monospace" w:hAnsi="monospace" w:cs="monospace"/>
      <w:sz w:val="20"/>
    </w:rPr>
  </w:style>
  <w:style w:type="character" w:styleId="62">
    <w:name w:val="HTML Sample"/>
    <w:basedOn w:val="47"/>
    <w:qFormat/>
    <w:uiPriority w:val="99"/>
    <w:rPr>
      <w:rFonts w:ascii="monospace" w:hAnsi="monospace" w:cs="monospace"/>
    </w:rPr>
  </w:style>
  <w:style w:type="paragraph" w:customStyle="1" w:styleId="6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4">
    <w:name w:val="Heading 1 Char"/>
    <w:basedOn w:val="47"/>
    <w:link w:val="5"/>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7"/>
    <w:link w:val="6"/>
    <w:qFormat/>
    <w:locked/>
    <w:uiPriority w:val="99"/>
    <w:rPr>
      <w:rFonts w:ascii="Arial" w:hAnsi="Arial" w:eastAsia="黑体" w:cs="Arial"/>
      <w:b/>
      <w:bCs/>
      <w:kern w:val="2"/>
      <w:sz w:val="32"/>
      <w:szCs w:val="32"/>
      <w:lang w:val="en-US" w:eastAsia="zh-CN"/>
    </w:rPr>
  </w:style>
  <w:style w:type="character" w:customStyle="1" w:styleId="66">
    <w:name w:val="Heading 3 Char"/>
    <w:basedOn w:val="47"/>
    <w:link w:val="7"/>
    <w:qFormat/>
    <w:locked/>
    <w:uiPriority w:val="99"/>
    <w:rPr>
      <w:rFonts w:eastAsia="宋体" w:cs="Times New Roman"/>
      <w:b/>
      <w:bCs/>
      <w:kern w:val="2"/>
      <w:sz w:val="32"/>
      <w:szCs w:val="32"/>
      <w:lang w:val="en-US" w:eastAsia="zh-CN"/>
    </w:rPr>
  </w:style>
  <w:style w:type="character" w:customStyle="1" w:styleId="67">
    <w:name w:val="Heading 4 Char"/>
    <w:basedOn w:val="47"/>
    <w:link w:val="8"/>
    <w:qFormat/>
    <w:locked/>
    <w:uiPriority w:val="99"/>
    <w:rPr>
      <w:rFonts w:ascii="Cambria" w:hAnsi="Cambria" w:eastAsia="宋体" w:cs="Cambria"/>
      <w:b/>
      <w:bCs/>
      <w:kern w:val="2"/>
      <w:sz w:val="28"/>
      <w:szCs w:val="28"/>
      <w:lang w:val="en-US" w:eastAsia="zh-CN"/>
    </w:rPr>
  </w:style>
  <w:style w:type="character" w:customStyle="1" w:styleId="68">
    <w:name w:val="Heading 5 Char"/>
    <w:basedOn w:val="47"/>
    <w:link w:val="9"/>
    <w:qFormat/>
    <w:locked/>
    <w:uiPriority w:val="99"/>
    <w:rPr>
      <w:rFonts w:ascii="Calibri" w:hAnsi="Calibri" w:eastAsia="宋体" w:cs="Calibri"/>
      <w:b/>
      <w:bCs/>
      <w:kern w:val="2"/>
      <w:sz w:val="28"/>
      <w:szCs w:val="28"/>
      <w:lang w:val="en-US" w:eastAsia="zh-CN"/>
    </w:rPr>
  </w:style>
  <w:style w:type="character" w:customStyle="1" w:styleId="69">
    <w:name w:val="Heading 6 Char"/>
    <w:basedOn w:val="47"/>
    <w:link w:val="10"/>
    <w:qFormat/>
    <w:locked/>
    <w:uiPriority w:val="99"/>
    <w:rPr>
      <w:rFonts w:ascii="Cambria" w:hAnsi="Cambria" w:eastAsia="宋体" w:cs="Cambria"/>
      <w:b/>
      <w:bCs/>
      <w:kern w:val="2"/>
      <w:sz w:val="24"/>
      <w:szCs w:val="24"/>
      <w:lang w:val="en-US" w:eastAsia="zh-CN"/>
    </w:rPr>
  </w:style>
  <w:style w:type="character" w:customStyle="1" w:styleId="70">
    <w:name w:val="Heading 7 Char"/>
    <w:basedOn w:val="47"/>
    <w:link w:val="11"/>
    <w:qFormat/>
    <w:locked/>
    <w:uiPriority w:val="99"/>
    <w:rPr>
      <w:rFonts w:ascii="Calibri" w:hAnsi="Calibri" w:eastAsia="宋体" w:cs="Calibri"/>
      <w:b/>
      <w:bCs/>
      <w:kern w:val="2"/>
      <w:sz w:val="24"/>
      <w:szCs w:val="24"/>
      <w:lang w:val="en-US" w:eastAsia="zh-CN"/>
    </w:rPr>
  </w:style>
  <w:style w:type="character" w:customStyle="1" w:styleId="71">
    <w:name w:val="Heading 8 Char"/>
    <w:basedOn w:val="47"/>
    <w:link w:val="12"/>
    <w:qFormat/>
    <w:locked/>
    <w:uiPriority w:val="99"/>
    <w:rPr>
      <w:rFonts w:ascii="Cambria" w:hAnsi="Cambria" w:eastAsia="宋体" w:cs="Cambria"/>
      <w:kern w:val="2"/>
      <w:sz w:val="24"/>
      <w:szCs w:val="24"/>
      <w:lang w:val="en-US" w:eastAsia="zh-CN"/>
    </w:rPr>
  </w:style>
  <w:style w:type="character" w:customStyle="1" w:styleId="72">
    <w:name w:val="Heading 9 Char"/>
    <w:basedOn w:val="47"/>
    <w:link w:val="13"/>
    <w:qFormat/>
    <w:locked/>
    <w:uiPriority w:val="99"/>
    <w:rPr>
      <w:rFonts w:ascii="Cambria" w:hAnsi="Cambria" w:eastAsia="宋体" w:cs="Cambria"/>
      <w:kern w:val="2"/>
      <w:sz w:val="21"/>
      <w:szCs w:val="21"/>
      <w:lang w:val="en-US" w:eastAsia="zh-CN"/>
    </w:rPr>
  </w:style>
  <w:style w:type="character" w:customStyle="1" w:styleId="73">
    <w:name w:val="Document Map Char"/>
    <w:basedOn w:val="47"/>
    <w:link w:val="17"/>
    <w:qFormat/>
    <w:locked/>
    <w:uiPriority w:val="99"/>
    <w:rPr>
      <w:rFonts w:cs="Times New Roman"/>
      <w:sz w:val="24"/>
      <w:szCs w:val="24"/>
      <w:shd w:val="clear" w:color="auto" w:fill="000080"/>
    </w:rPr>
  </w:style>
  <w:style w:type="character" w:customStyle="1" w:styleId="74">
    <w:name w:val="Comment Text Char"/>
    <w:basedOn w:val="47"/>
    <w:link w:val="18"/>
    <w:qFormat/>
    <w:locked/>
    <w:uiPriority w:val="99"/>
    <w:rPr>
      <w:rFonts w:cs="Times New Roman"/>
      <w:kern w:val="2"/>
      <w:sz w:val="22"/>
      <w:szCs w:val="22"/>
    </w:rPr>
  </w:style>
  <w:style w:type="character" w:customStyle="1" w:styleId="75">
    <w:name w:val="Body Text 3 Char"/>
    <w:basedOn w:val="47"/>
    <w:link w:val="19"/>
    <w:semiHidden/>
    <w:qFormat/>
    <w:locked/>
    <w:uiPriority w:val="99"/>
    <w:rPr>
      <w:rFonts w:cs="Times New Roman"/>
      <w:sz w:val="16"/>
      <w:szCs w:val="16"/>
    </w:rPr>
  </w:style>
  <w:style w:type="character" w:customStyle="1" w:styleId="76">
    <w:name w:val="Body Text Char"/>
    <w:basedOn w:val="47"/>
    <w:link w:val="20"/>
    <w:qFormat/>
    <w:locked/>
    <w:uiPriority w:val="99"/>
    <w:rPr>
      <w:rFonts w:eastAsia="宋体" w:cs="Times New Roman"/>
      <w:b/>
      <w:bCs/>
      <w:kern w:val="2"/>
      <w:sz w:val="44"/>
      <w:szCs w:val="44"/>
      <w:lang w:val="en-US" w:eastAsia="zh-CN"/>
    </w:rPr>
  </w:style>
  <w:style w:type="character" w:customStyle="1" w:styleId="77">
    <w:name w:val="Body Text Indent Char"/>
    <w:basedOn w:val="47"/>
    <w:link w:val="3"/>
    <w:semiHidden/>
    <w:qFormat/>
    <w:locked/>
    <w:uiPriority w:val="99"/>
    <w:rPr>
      <w:rFonts w:cs="Times New Roman"/>
      <w:sz w:val="21"/>
      <w:szCs w:val="21"/>
    </w:rPr>
  </w:style>
  <w:style w:type="character" w:customStyle="1" w:styleId="78">
    <w:name w:val="Plain Text Char"/>
    <w:basedOn w:val="47"/>
    <w:link w:val="25"/>
    <w:semiHidden/>
    <w:qFormat/>
    <w:locked/>
    <w:uiPriority w:val="99"/>
    <w:rPr>
      <w:rFonts w:ascii="宋体" w:hAnsi="Courier New" w:cs="Courier New"/>
      <w:sz w:val="21"/>
      <w:szCs w:val="21"/>
    </w:rPr>
  </w:style>
  <w:style w:type="character" w:customStyle="1" w:styleId="79">
    <w:name w:val="Date Char"/>
    <w:basedOn w:val="47"/>
    <w:link w:val="27"/>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7"/>
    <w:link w:val="28"/>
    <w:semiHidden/>
    <w:qFormat/>
    <w:locked/>
    <w:uiPriority w:val="99"/>
    <w:rPr>
      <w:rFonts w:cs="Times New Roman"/>
      <w:sz w:val="21"/>
      <w:szCs w:val="21"/>
    </w:rPr>
  </w:style>
  <w:style w:type="character" w:customStyle="1" w:styleId="81">
    <w:name w:val="Balloon Text Char"/>
    <w:basedOn w:val="47"/>
    <w:link w:val="29"/>
    <w:semiHidden/>
    <w:qFormat/>
    <w:locked/>
    <w:uiPriority w:val="99"/>
    <w:rPr>
      <w:rFonts w:cs="Times New Roman"/>
      <w:sz w:val="2"/>
    </w:rPr>
  </w:style>
  <w:style w:type="character" w:customStyle="1" w:styleId="82">
    <w:name w:val="Footer Char"/>
    <w:basedOn w:val="47"/>
    <w:link w:val="30"/>
    <w:qFormat/>
    <w:locked/>
    <w:uiPriority w:val="99"/>
    <w:rPr>
      <w:rFonts w:eastAsia="宋体" w:cs="Times New Roman"/>
      <w:kern w:val="2"/>
      <w:sz w:val="18"/>
      <w:szCs w:val="18"/>
      <w:lang w:val="en-US" w:eastAsia="zh-CN"/>
    </w:rPr>
  </w:style>
  <w:style w:type="character" w:customStyle="1" w:styleId="83">
    <w:name w:val="Header Char"/>
    <w:basedOn w:val="47"/>
    <w:link w:val="31"/>
    <w:qFormat/>
    <w:locked/>
    <w:uiPriority w:val="99"/>
    <w:rPr>
      <w:rFonts w:eastAsia="宋体" w:cs="Times New Roman"/>
      <w:kern w:val="2"/>
      <w:sz w:val="18"/>
      <w:szCs w:val="18"/>
      <w:lang w:val="en-US" w:eastAsia="zh-CN"/>
    </w:rPr>
  </w:style>
  <w:style w:type="character" w:customStyle="1" w:styleId="84">
    <w:name w:val="Subtitle Char"/>
    <w:basedOn w:val="47"/>
    <w:link w:val="34"/>
    <w:qFormat/>
    <w:locked/>
    <w:uiPriority w:val="99"/>
    <w:rPr>
      <w:rFonts w:ascii="Cambria" w:hAnsi="Cambria" w:cs="Cambria"/>
      <w:b/>
      <w:bCs/>
      <w:kern w:val="28"/>
      <w:sz w:val="32"/>
      <w:szCs w:val="32"/>
    </w:rPr>
  </w:style>
  <w:style w:type="character" w:customStyle="1" w:styleId="85">
    <w:name w:val="Footnote Text Char"/>
    <w:basedOn w:val="47"/>
    <w:link w:val="35"/>
    <w:semiHidden/>
    <w:qFormat/>
    <w:locked/>
    <w:uiPriority w:val="99"/>
    <w:rPr>
      <w:rFonts w:cs="Times New Roman"/>
      <w:sz w:val="18"/>
      <w:szCs w:val="18"/>
    </w:rPr>
  </w:style>
  <w:style w:type="character" w:customStyle="1" w:styleId="86">
    <w:name w:val="Body Text Indent 3 Char"/>
    <w:basedOn w:val="47"/>
    <w:link w:val="37"/>
    <w:semiHidden/>
    <w:qFormat/>
    <w:locked/>
    <w:uiPriority w:val="99"/>
    <w:rPr>
      <w:rFonts w:cs="Times New Roman"/>
      <w:sz w:val="16"/>
      <w:szCs w:val="16"/>
    </w:rPr>
  </w:style>
  <w:style w:type="character" w:customStyle="1" w:styleId="87">
    <w:name w:val="Body Text 2 Char"/>
    <w:basedOn w:val="47"/>
    <w:link w:val="41"/>
    <w:semiHidden/>
    <w:qFormat/>
    <w:locked/>
    <w:uiPriority w:val="99"/>
    <w:rPr>
      <w:rFonts w:cs="Times New Roman"/>
      <w:sz w:val="21"/>
      <w:szCs w:val="21"/>
    </w:rPr>
  </w:style>
  <w:style w:type="character" w:customStyle="1" w:styleId="88">
    <w:name w:val="Title Char"/>
    <w:basedOn w:val="47"/>
    <w:link w:val="43"/>
    <w:qFormat/>
    <w:locked/>
    <w:uiPriority w:val="99"/>
    <w:rPr>
      <w:rFonts w:ascii="Cambria" w:hAnsi="Cambria" w:cs="Cambria"/>
      <w:b/>
      <w:bCs/>
      <w:kern w:val="2"/>
      <w:sz w:val="32"/>
      <w:szCs w:val="32"/>
    </w:rPr>
  </w:style>
  <w:style w:type="character" w:customStyle="1" w:styleId="89">
    <w:name w:val="Comment Subject Char"/>
    <w:basedOn w:val="74"/>
    <w:link w:val="44"/>
    <w:qFormat/>
    <w:locked/>
    <w:uiPriority w:val="99"/>
    <w:rPr>
      <w:rFonts w:ascii="宋体" w:cs="宋体"/>
      <w:b/>
      <w:bCs/>
      <w:sz w:val="28"/>
      <w:szCs w:val="28"/>
    </w:rPr>
  </w:style>
  <w:style w:type="character" w:customStyle="1" w:styleId="90">
    <w:name w:val="Body Text First Indent 2 Char"/>
    <w:basedOn w:val="77"/>
    <w:link w:val="2"/>
    <w:semiHidden/>
    <w:qFormat/>
    <w:locked/>
    <w:uiPriority w:val="99"/>
  </w:style>
  <w:style w:type="character" w:customStyle="1" w:styleId="91">
    <w:name w:val="批注文字 Char Char"/>
    <w:qFormat/>
    <w:uiPriority w:val="99"/>
    <w:rPr>
      <w:rFonts w:ascii="宋体" w:hAnsi="Times New Roman" w:eastAsia="宋体"/>
      <w:sz w:val="20"/>
    </w:rPr>
  </w:style>
  <w:style w:type="character" w:customStyle="1" w:styleId="92">
    <w:name w:val="标题 1 Char Char"/>
    <w:qFormat/>
    <w:locked/>
    <w:uiPriority w:val="99"/>
    <w:rPr>
      <w:rFonts w:eastAsia="宋体"/>
      <w:b/>
      <w:kern w:val="44"/>
      <w:sz w:val="44"/>
      <w:lang w:val="en-US" w:eastAsia="zh-CN"/>
    </w:rPr>
  </w:style>
  <w:style w:type="character" w:customStyle="1" w:styleId="93">
    <w:name w:val="Char Char"/>
    <w:qFormat/>
    <w:uiPriority w:val="99"/>
    <w:rPr>
      <w:rFonts w:ascii="Arial" w:hAnsi="Arial" w:eastAsia="黑体"/>
      <w:b/>
      <w:kern w:val="2"/>
      <w:sz w:val="32"/>
      <w:lang w:val="en-US" w:eastAsia="zh-CN"/>
    </w:rPr>
  </w:style>
  <w:style w:type="character" w:customStyle="1" w:styleId="94">
    <w:name w:val="明显参考1"/>
    <w:qFormat/>
    <w:uiPriority w:val="99"/>
    <w:rPr>
      <w:b/>
      <w:smallCaps/>
      <w:color w:val="auto"/>
      <w:spacing w:val="5"/>
      <w:u w:val="single"/>
    </w:rPr>
  </w:style>
  <w:style w:type="character" w:customStyle="1" w:styleId="95">
    <w:name w:val="明显强调1"/>
    <w:qFormat/>
    <w:uiPriority w:val="99"/>
    <w:rPr>
      <w:b/>
      <w:i/>
      <w:color w:val="4F81BD"/>
    </w:rPr>
  </w:style>
  <w:style w:type="character" w:customStyle="1" w:styleId="96">
    <w:name w:val="文档结构图 Char1"/>
    <w:qFormat/>
    <w:uiPriority w:val="99"/>
    <w:rPr>
      <w:rFonts w:ascii="宋体"/>
      <w:kern w:val="2"/>
      <w:sz w:val="18"/>
    </w:rPr>
  </w:style>
  <w:style w:type="character" w:customStyle="1" w:styleId="97">
    <w:name w:val="日期 Char"/>
    <w:qFormat/>
    <w:uiPriority w:val="99"/>
    <w:rPr>
      <w:rFonts w:ascii="仿宋_GB2312" w:eastAsia="仿宋_GB2312"/>
      <w:kern w:val="2"/>
      <w:sz w:val="30"/>
      <w:lang w:val="en-US" w:eastAsia="zh-CN"/>
    </w:rPr>
  </w:style>
  <w:style w:type="character" w:customStyle="1" w:styleId="98">
    <w:name w:val="textcontents"/>
    <w:qFormat/>
    <w:uiPriority w:val="99"/>
  </w:style>
  <w:style w:type="character" w:customStyle="1" w:styleId="99">
    <w:name w:val="引用 Char"/>
    <w:link w:val="100"/>
    <w:qFormat/>
    <w:locked/>
    <w:uiPriority w:val="99"/>
    <w:rPr>
      <w:i/>
      <w:color w:val="000000"/>
      <w:kern w:val="2"/>
      <w:sz w:val="22"/>
    </w:rPr>
  </w:style>
  <w:style w:type="paragraph" w:customStyle="1" w:styleId="100">
    <w:name w:val="引用1"/>
    <w:basedOn w:val="1"/>
    <w:next w:val="1"/>
    <w:link w:val="99"/>
    <w:qFormat/>
    <w:uiPriority w:val="99"/>
    <w:rPr>
      <w:i/>
      <w:color w:val="000000"/>
      <w:sz w:val="22"/>
      <w:szCs w:val="20"/>
    </w:rPr>
  </w:style>
  <w:style w:type="character" w:customStyle="1" w:styleId="101">
    <w:name w:val="日期 Char1"/>
    <w:qFormat/>
    <w:uiPriority w:val="99"/>
    <w:rPr>
      <w:kern w:val="2"/>
      <w:sz w:val="22"/>
    </w:rPr>
  </w:style>
  <w:style w:type="character" w:customStyle="1" w:styleId="102">
    <w:name w:val="不明显参考1"/>
    <w:qFormat/>
    <w:uiPriority w:val="99"/>
    <w:rPr>
      <w:smallCaps/>
      <w:color w:val="auto"/>
      <w:u w:val="single"/>
    </w:rPr>
  </w:style>
  <w:style w:type="character" w:customStyle="1" w:styleId="103">
    <w:name w:val="批注框文本 Char1"/>
    <w:qFormat/>
    <w:uiPriority w:val="99"/>
    <w:rPr>
      <w:kern w:val="2"/>
      <w:sz w:val="18"/>
    </w:rPr>
  </w:style>
  <w:style w:type="character" w:customStyle="1" w:styleId="104">
    <w:name w:val="不明显强调1"/>
    <w:qFormat/>
    <w:uiPriority w:val="99"/>
    <w:rPr>
      <w:i/>
      <w:color w:val="808080"/>
    </w:rPr>
  </w:style>
  <w:style w:type="character" w:customStyle="1" w:styleId="105">
    <w:name w:val="标题4 Char Char"/>
    <w:link w:val="106"/>
    <w:qFormat/>
    <w:locked/>
    <w:uiPriority w:val="99"/>
    <w:rPr>
      <w:rFonts w:ascii="Arial" w:hAnsi="Arial"/>
      <w:b/>
      <w:sz w:val="32"/>
    </w:rPr>
  </w:style>
  <w:style w:type="paragraph" w:customStyle="1" w:styleId="106">
    <w:name w:val="标题4"/>
    <w:basedOn w:val="6"/>
    <w:next w:val="22"/>
    <w:link w:val="105"/>
    <w:qFormat/>
    <w:uiPriority w:val="99"/>
    <w:pPr>
      <w:spacing w:line="413" w:lineRule="auto"/>
    </w:pPr>
    <w:rPr>
      <w:rFonts w:eastAsia="宋体" w:cs="Times New Roman"/>
      <w:bCs w:val="0"/>
      <w:kern w:val="0"/>
      <w:szCs w:val="20"/>
    </w:rPr>
  </w:style>
  <w:style w:type="character" w:customStyle="1" w:styleId="107">
    <w:name w:val="书籍标题1"/>
    <w:qFormat/>
    <w:uiPriority w:val="99"/>
    <w:rPr>
      <w:b/>
      <w:smallCaps/>
      <w:spacing w:val="5"/>
    </w:rPr>
  </w:style>
  <w:style w:type="character" w:customStyle="1" w:styleId="108">
    <w:name w:val="bigfont"/>
    <w:basedOn w:val="47"/>
    <w:qFormat/>
    <w:uiPriority w:val="99"/>
    <w:rPr>
      <w:rFonts w:cs="Times New Roman"/>
    </w:rPr>
  </w:style>
  <w:style w:type="character" w:customStyle="1" w:styleId="109">
    <w:name w:val="news_title1"/>
    <w:qFormat/>
    <w:uiPriority w:val="99"/>
    <w:rPr>
      <w:rFonts w:ascii="宋体" w:hAnsi="宋体" w:eastAsia="宋体"/>
      <w:b/>
      <w:color w:val="000000"/>
      <w:sz w:val="36"/>
      <w:u w:val="none"/>
    </w:rPr>
  </w:style>
  <w:style w:type="character" w:customStyle="1" w:styleId="110">
    <w:name w:val="标题5 Char Char"/>
    <w:link w:val="111"/>
    <w:qFormat/>
    <w:locked/>
    <w:uiPriority w:val="99"/>
    <w:rPr>
      <w:rFonts w:ascii="Arial" w:hAnsi="Arial"/>
      <w:b/>
      <w:sz w:val="32"/>
    </w:rPr>
  </w:style>
  <w:style w:type="paragraph" w:customStyle="1" w:styleId="111">
    <w:name w:val="标题5"/>
    <w:basedOn w:val="7"/>
    <w:link w:val="110"/>
    <w:qFormat/>
    <w:uiPriority w:val="99"/>
    <w:pPr>
      <w:spacing w:line="413" w:lineRule="auto"/>
    </w:pPr>
    <w:rPr>
      <w:rFonts w:ascii="Arial" w:hAnsi="Arial"/>
      <w:bCs w:val="0"/>
      <w:kern w:val="0"/>
      <w:szCs w:val="20"/>
    </w:rPr>
  </w:style>
  <w:style w:type="character" w:customStyle="1" w:styleId="112">
    <w:name w:val="font161"/>
    <w:qFormat/>
    <w:uiPriority w:val="99"/>
    <w:rPr>
      <w:b/>
      <w:sz w:val="32"/>
    </w:rPr>
  </w:style>
  <w:style w:type="character" w:customStyle="1" w:styleId="113">
    <w:name w:val="标题 2 Char Char"/>
    <w:qFormat/>
    <w:locked/>
    <w:uiPriority w:val="99"/>
    <w:rPr>
      <w:rFonts w:ascii="Arial" w:hAnsi="Arial" w:eastAsia="黑体"/>
      <w:b/>
      <w:kern w:val="2"/>
      <w:sz w:val="32"/>
      <w:lang w:val="en-US" w:eastAsia="zh-CN"/>
    </w:rPr>
  </w:style>
  <w:style w:type="character" w:customStyle="1" w:styleId="114">
    <w:name w:val="Char Char1"/>
    <w:qFormat/>
    <w:uiPriority w:val="99"/>
    <w:rPr>
      <w:rFonts w:ascii="宋体" w:hAnsi="Times New Roman"/>
      <w:sz w:val="28"/>
    </w:rPr>
  </w:style>
  <w:style w:type="character" w:customStyle="1" w:styleId="115">
    <w:name w:val="明显引用 Char"/>
    <w:link w:val="116"/>
    <w:qFormat/>
    <w:locked/>
    <w:uiPriority w:val="99"/>
    <w:rPr>
      <w:b/>
      <w:i/>
      <w:color w:val="4F81BD"/>
      <w:kern w:val="2"/>
      <w:sz w:val="22"/>
    </w:rPr>
  </w:style>
  <w:style w:type="paragraph" w:customStyle="1" w:styleId="116">
    <w:name w:val="明显引用1"/>
    <w:basedOn w:val="1"/>
    <w:next w:val="1"/>
    <w:link w:val="115"/>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qFormat/>
    <w:uiPriority w:val="99"/>
    <w:rPr>
      <w:b/>
      <w:kern w:val="2"/>
      <w:sz w:val="22"/>
    </w:rPr>
  </w:style>
  <w:style w:type="character" w:customStyle="1" w:styleId="118">
    <w:name w:val="正文文本 Char1"/>
    <w:qFormat/>
    <w:uiPriority w:val="99"/>
    <w:rPr>
      <w:kern w:val="2"/>
      <w:sz w:val="22"/>
    </w:rPr>
  </w:style>
  <w:style w:type="paragraph" w:customStyle="1" w:styleId="119">
    <w:name w:val="默认段落字体 Para Char Char Char Char"/>
    <w:basedOn w:val="1"/>
    <w:qFormat/>
    <w:uiPriority w:val="99"/>
  </w:style>
  <w:style w:type="paragraph" w:customStyle="1" w:styleId="120">
    <w:name w:val="Char Char Char Char Char Char Char Char Char Char Char Char Char"/>
    <w:basedOn w:val="1"/>
    <w:qFormat/>
    <w:uiPriority w:val="99"/>
  </w:style>
  <w:style w:type="paragraph" w:customStyle="1" w:styleId="121">
    <w:name w:val="样式 标题 3 + (中文) 黑体 小四 非加粗 段前: 7.8 磅 段后: 0 磅 行距: 固定值 20 磅"/>
    <w:basedOn w:val="7"/>
    <w:qFormat/>
    <w:uiPriority w:val="99"/>
    <w:pPr>
      <w:spacing w:before="0" w:after="0" w:line="400" w:lineRule="exact"/>
    </w:pPr>
    <w:rPr>
      <w:rFonts w:eastAsia="黑体"/>
      <w:b w:val="0"/>
      <w:bCs w:val="0"/>
      <w:sz w:val="24"/>
      <w:szCs w:val="24"/>
    </w:rPr>
  </w:style>
  <w:style w:type="paragraph" w:customStyle="1" w:styleId="122">
    <w:name w:val="表格文字"/>
    <w:basedOn w:val="1"/>
    <w:qFormat/>
    <w:uiPriority w:val="99"/>
    <w:pPr>
      <w:adjustRightInd w:val="0"/>
      <w:spacing w:line="420" w:lineRule="atLeast"/>
      <w:jc w:val="left"/>
      <w:textAlignment w:val="baseline"/>
    </w:pPr>
    <w:rPr>
      <w:kern w:val="0"/>
    </w:rPr>
  </w:style>
  <w:style w:type="paragraph" w:customStyle="1" w:styleId="123">
    <w:name w:val="修订1"/>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qFormat/>
    <w:uiPriority w:val="99"/>
    <w:pPr>
      <w:widowControl/>
      <w:spacing w:line="360" w:lineRule="auto"/>
      <w:jc w:val="left"/>
    </w:pPr>
    <w:rPr>
      <w:kern w:val="0"/>
      <w:lang w:eastAsia="en-US"/>
    </w:rPr>
  </w:style>
  <w:style w:type="paragraph" w:customStyle="1" w:styleId="125">
    <w:name w:val="样式2"/>
    <w:basedOn w:val="7"/>
    <w:qFormat/>
    <w:uiPriority w:val="99"/>
    <w:pPr>
      <w:spacing w:line="413" w:lineRule="auto"/>
    </w:pPr>
  </w:style>
  <w:style w:type="paragraph" w:customStyle="1" w:styleId="126">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qFormat/>
    <w:uiPriority w:val="99"/>
  </w:style>
  <w:style w:type="paragraph" w:customStyle="1" w:styleId="130">
    <w:name w:val="样式1"/>
    <w:basedOn w:val="7"/>
    <w:qFormat/>
    <w:uiPriority w:val="99"/>
    <w:pPr>
      <w:spacing w:line="413" w:lineRule="auto"/>
    </w:pPr>
  </w:style>
  <w:style w:type="paragraph" w:customStyle="1" w:styleId="13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7"/>
    <w:qFormat/>
    <w:uiPriority w:val="99"/>
    <w:pPr>
      <w:spacing w:line="413" w:lineRule="auto"/>
    </w:pPr>
  </w:style>
  <w:style w:type="paragraph" w:customStyle="1" w:styleId="134">
    <w:name w:val="TOC 标题1"/>
    <w:basedOn w:val="5"/>
    <w:next w:val="1"/>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5"/>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6"/>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7"/>
    <w:qFormat/>
    <w:uiPriority w:val="99"/>
    <w:rPr>
      <w:rFonts w:ascii="Tahoma" w:hAnsi="Tahoma" w:cs="Tahoma"/>
      <w:sz w:val="24"/>
      <w:szCs w:val="24"/>
      <w:shd w:val="clear" w:color="auto" w:fill="auto"/>
    </w:rPr>
  </w:style>
  <w:style w:type="paragraph" w:customStyle="1" w:styleId="138">
    <w:name w:val="列出段落1"/>
    <w:basedOn w:val="1"/>
    <w:qFormat/>
    <w:uiPriority w:val="99"/>
    <w:pPr>
      <w:ind w:firstLine="420" w:firstLineChars="200"/>
    </w:pPr>
    <w:rPr>
      <w:rFonts w:ascii="Calibri" w:hAnsi="Calibri" w:cs="Calibri"/>
    </w:rPr>
  </w:style>
  <w:style w:type="paragraph" w:customStyle="1" w:styleId="139">
    <w:name w:val="Char1"/>
    <w:basedOn w:val="1"/>
    <w:qFormat/>
    <w:uiPriority w:val="99"/>
    <w:rPr>
      <w:rFonts w:ascii="Tahoma" w:hAnsi="Tahoma" w:cs="Tahoma"/>
      <w:sz w:val="24"/>
      <w:szCs w:val="24"/>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7"/>
    <w:qFormat/>
    <w:uiPriority w:val="99"/>
    <w:pPr>
      <w:spacing w:line="413" w:lineRule="auto"/>
    </w:p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qFormat/>
    <w:uiPriority w:val="99"/>
    <w:pPr>
      <w:ind w:firstLine="200" w:firstLineChars="200"/>
    </w:pPr>
  </w:style>
  <w:style w:type="paragraph" w:customStyle="1" w:styleId="144">
    <w:name w:val="p0"/>
    <w:basedOn w:val="1"/>
    <w:qFormat/>
    <w:uiPriority w:val="99"/>
    <w:pPr>
      <w:widowControl/>
    </w:pPr>
    <w:rPr>
      <w:kern w:val="0"/>
    </w:rPr>
  </w:style>
  <w:style w:type="paragraph" w:customStyle="1" w:styleId="145">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49">
    <w:name w:val="font12"/>
    <w:basedOn w:val="47"/>
    <w:qFormat/>
    <w:uiPriority w:val="0"/>
    <w:rPr>
      <w:rFonts w:hint="eastAsia" w:ascii="仿宋" w:hAnsi="仿宋" w:eastAsia="仿宋" w:cs="仿宋"/>
      <w:b/>
      <w:color w:val="000000"/>
      <w:sz w:val="32"/>
      <w:szCs w:val="32"/>
      <w:u w:val="none"/>
    </w:rPr>
  </w:style>
  <w:style w:type="paragraph" w:customStyle="1" w:styleId="150">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151">
    <w:name w:val="font101"/>
    <w:basedOn w:val="47"/>
    <w:qFormat/>
    <w:uiPriority w:val="0"/>
    <w:rPr>
      <w:rFonts w:hint="default" w:ascii="Times New Roman" w:hAnsi="Times New Roman" w:cs="Times New Roman"/>
      <w:color w:val="000000"/>
      <w:sz w:val="24"/>
      <w:szCs w:val="24"/>
      <w:u w:val="none"/>
    </w:rPr>
  </w:style>
  <w:style w:type="character" w:customStyle="1" w:styleId="152">
    <w:name w:val="font111"/>
    <w:basedOn w:val="47"/>
    <w:qFormat/>
    <w:uiPriority w:val="0"/>
    <w:rPr>
      <w:rFonts w:ascii="仿宋_GB2312" w:eastAsia="仿宋_GB2312" w:cs="仿宋_GB2312"/>
      <w:color w:val="000000"/>
      <w:sz w:val="24"/>
      <w:szCs w:val="24"/>
      <w:u w:val="none"/>
    </w:rPr>
  </w:style>
  <w:style w:type="character" w:customStyle="1" w:styleId="153">
    <w:name w:val="font91"/>
    <w:basedOn w:val="47"/>
    <w:qFormat/>
    <w:uiPriority w:val="0"/>
    <w:rPr>
      <w:rFonts w:hint="eastAsia" w:ascii="仿宋" w:hAnsi="仿宋" w:eastAsia="仿宋" w:cs="仿宋"/>
      <w:color w:val="000000"/>
      <w:sz w:val="24"/>
      <w:szCs w:val="24"/>
      <w:u w:val="single"/>
    </w:rPr>
  </w:style>
  <w:style w:type="character" w:customStyle="1" w:styleId="154">
    <w:name w:val="font81"/>
    <w:basedOn w:val="47"/>
    <w:qFormat/>
    <w:uiPriority w:val="0"/>
    <w:rPr>
      <w:rFonts w:hint="eastAsia" w:ascii="仿宋" w:hAnsi="仿宋" w:eastAsia="仿宋" w:cs="仿宋"/>
      <w:color w:val="000000"/>
      <w:sz w:val="24"/>
      <w:szCs w:val="24"/>
      <w:u w:val="none"/>
    </w:rPr>
  </w:style>
  <w:style w:type="character" w:customStyle="1" w:styleId="155">
    <w:name w:val="font61"/>
    <w:basedOn w:val="47"/>
    <w:qFormat/>
    <w:uiPriority w:val="0"/>
    <w:rPr>
      <w:rFonts w:hint="eastAsia" w:ascii="仿宋" w:hAnsi="仿宋" w:eastAsia="仿宋" w:cs="仿宋"/>
      <w:b/>
      <w:color w:val="000000"/>
      <w:sz w:val="32"/>
      <w:szCs w:val="32"/>
      <w:u w:val="none"/>
    </w:rPr>
  </w:style>
  <w:style w:type="character" w:customStyle="1" w:styleId="156">
    <w:name w:val="font21"/>
    <w:basedOn w:val="47"/>
    <w:qFormat/>
    <w:uiPriority w:val="0"/>
    <w:rPr>
      <w:rFonts w:hint="eastAsia" w:ascii="仿宋" w:hAnsi="仿宋" w:eastAsia="仿宋" w:cs="仿宋"/>
      <w:color w:val="000000"/>
      <w:sz w:val="24"/>
      <w:szCs w:val="24"/>
      <w:u w:val="none"/>
    </w:rPr>
  </w:style>
  <w:style w:type="paragraph" w:customStyle="1" w:styleId="157">
    <w:name w:val="纯文本1"/>
    <w:basedOn w:val="1"/>
    <w:qFormat/>
    <w:uiPriority w:val="0"/>
    <w:rPr>
      <w:rFonts w:ascii="宋体"/>
      <w:color w:val="000000"/>
    </w:rPr>
  </w:style>
  <w:style w:type="character" w:customStyle="1" w:styleId="158">
    <w:name w:val="status"/>
    <w:basedOn w:val="47"/>
    <w:qFormat/>
    <w:uiPriority w:val="0"/>
    <w:rPr>
      <w:color w:val="0776DD"/>
    </w:rPr>
  </w:style>
  <w:style w:type="character" w:customStyle="1" w:styleId="159">
    <w:name w:val="time"/>
    <w:basedOn w:val="4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36</Pages>
  <Words>11003</Words>
  <Characters>12270</Characters>
  <Lines>0</Lines>
  <Paragraphs>0</Paragraphs>
  <TotalTime>3</TotalTime>
  <ScaleCrop>false</ScaleCrop>
  <LinksUpToDate>false</LinksUpToDate>
  <CharactersWithSpaces>12426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2017-05-18T16:09:00Z</dcterms:created>
  <dc:creator>微软用户</dc:creator>
  <cp:lastModifiedBy>NTKO</cp:lastModifiedBy>
  <cp:lastPrinted>2025-06-09T05:49:00Z</cp:lastPrinted>
  <dcterms:modified xsi:type="dcterms:W3CDTF">2026-04-20T10:28:45Z</dcterms:modified>
  <dc:title>创业园小区9#楼工程施工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9CFEE953F2184222AB867545202810F6_13</vt:lpwstr>
  </property>
  <property fmtid="{D5CDD505-2E9C-101B-9397-08002B2CF9AE}" pid="4" name="KSOTemplateDocerSaveRecord">
    <vt:lpwstr>eyJoZGlkIjoiMDk2MmQyNTdjMmYyM2I4Njk3YjVkOTliYjhhNDZiYTEiLCJ1c2VySWQiOiI0MDkyMjI1MTkifQ==</vt:lpwstr>
  </property>
</Properties>
</file>