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50212">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8E00E0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61C8137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3B0F178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25B6F6C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3447C9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9C6C06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A2842C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949A852">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D23912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E1CB61C">
      <w:pPr>
        <w:tabs>
          <w:tab w:val="left" w:pos="2410"/>
        </w:tabs>
        <w:autoSpaceDE w:val="0"/>
        <w:autoSpaceDN w:val="0"/>
        <w:adjustRightInd w:val="0"/>
        <w:snapToGrid w:val="0"/>
        <w:spacing w:line="360" w:lineRule="auto"/>
        <w:ind w:left="2244" w:leftChars="304" w:hanging="1606" w:hangingChars="500"/>
        <w:rPr>
          <w:rFonts w:hint="default" w:ascii="宋体" w:hAnsi="宋体" w:eastAsia="宋体"/>
          <w:b/>
          <w:color w:val="auto"/>
          <w:spacing w:val="0"/>
          <w:kern w:val="0"/>
          <w:sz w:val="32"/>
          <w:szCs w:val="32"/>
          <w:highlight w:val="none"/>
          <w:lang w:val="en-US" w:eastAsia="zh-CN"/>
        </w:rPr>
      </w:pPr>
      <w:r>
        <w:rPr>
          <w:rFonts w:hint="eastAsia" w:ascii="宋体" w:hAnsi="宋体" w:eastAsia="宋体"/>
          <w:b/>
          <w:color w:val="auto"/>
          <w:spacing w:val="0"/>
          <w:kern w:val="0"/>
          <w:sz w:val="32"/>
          <w:szCs w:val="32"/>
          <w:highlight w:val="none"/>
        </w:rPr>
        <w:t>项目名称：</w:t>
      </w:r>
      <w:r>
        <w:rPr>
          <w:rFonts w:hint="eastAsia" w:ascii="宋体" w:hAnsi="宋体" w:eastAsia="宋体"/>
          <w:b/>
          <w:color w:val="auto"/>
          <w:spacing w:val="0"/>
          <w:kern w:val="0"/>
          <w:sz w:val="32"/>
          <w:szCs w:val="32"/>
          <w:highlight w:val="none"/>
          <w:u w:val="single"/>
          <w:lang w:val="en-US" w:eastAsia="zh-CN"/>
        </w:rPr>
        <w:t>滁州市“十五五”综合交通运输体系发展规划编制项目</w:t>
      </w:r>
    </w:p>
    <w:p w14:paraId="17647C77">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项目编号：</w:t>
      </w:r>
      <w:r>
        <w:rPr>
          <w:rFonts w:hint="eastAsia" w:ascii="宋体" w:hAnsi="宋体" w:eastAsia="宋体"/>
          <w:b/>
          <w:color w:val="auto"/>
          <w:spacing w:val="0"/>
          <w:kern w:val="0"/>
          <w:sz w:val="32"/>
          <w:szCs w:val="32"/>
          <w:highlight w:val="none"/>
          <w:u w:val="single"/>
          <w:lang w:val="en-US" w:eastAsia="zh-CN"/>
        </w:rPr>
        <w:t>czsjcg202507-056</w:t>
      </w:r>
    </w:p>
    <w:p w14:paraId="57035CC3">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采 购 人：</w:t>
      </w:r>
      <w:r>
        <w:rPr>
          <w:rFonts w:hint="eastAsia" w:ascii="宋体" w:hAnsi="宋体" w:eastAsia="宋体"/>
          <w:b/>
          <w:color w:val="auto"/>
          <w:spacing w:val="0"/>
          <w:kern w:val="0"/>
          <w:sz w:val="32"/>
          <w:szCs w:val="32"/>
          <w:highlight w:val="none"/>
          <w:u w:val="single"/>
          <w:lang w:val="en-US" w:eastAsia="zh-CN"/>
        </w:rPr>
        <w:t>滁州市交通运输局</w:t>
      </w:r>
    </w:p>
    <w:p w14:paraId="19DDDF93">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采购代理机构：</w:t>
      </w:r>
      <w:r>
        <w:rPr>
          <w:rFonts w:hint="eastAsia" w:ascii="宋体" w:hAnsi="宋体" w:eastAsia="宋体"/>
          <w:b/>
          <w:color w:val="auto"/>
          <w:spacing w:val="0"/>
          <w:kern w:val="0"/>
          <w:sz w:val="32"/>
          <w:szCs w:val="32"/>
          <w:highlight w:val="none"/>
          <w:u w:val="single"/>
          <w:lang w:val="en-US" w:eastAsia="zh-CN"/>
        </w:rPr>
        <w:t>滁州市城投工程咨询管理有限公司</w:t>
      </w:r>
    </w:p>
    <w:p w14:paraId="58168AA2">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0"/>
          <w:kern w:val="0"/>
          <w:sz w:val="32"/>
          <w:szCs w:val="32"/>
          <w:highlight w:val="none"/>
        </w:rPr>
      </w:pPr>
    </w:p>
    <w:p w14:paraId="4078CA0D">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7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431E6D62">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355E4167">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_Toc32331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9A6E05">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_Toc8888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D4CDF5">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 xml:space="preserve">第三章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F2131FC">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评标方法和标准（综合评分法）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_Toc30824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87706">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_Toc20405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_Toc20405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61EEE5">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_Toc13555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85096F">
      <w:pPr>
        <w:pStyle w:val="16"/>
        <w:tabs>
          <w:tab w:val="right" w:leader="dot"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w:t>
      </w:r>
      <w:r>
        <w:rPr>
          <w:rFonts w:hint="eastAsia" w:ascii="宋体" w:hAnsi="宋体" w:eastAsia="宋体" w:cs="宋体"/>
          <w:bCs/>
          <w:color w:val="auto"/>
          <w:sz w:val="24"/>
          <w:szCs w:val="24"/>
          <w:highlight w:val="none"/>
        </w:rPr>
        <w:t xml:space="preserve">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579F40">
      <w:pPr>
        <w:spacing w:line="360" w:lineRule="auto"/>
        <w:rPr>
          <w:rFonts w:ascii="宋体" w:hAnsi="宋体" w:eastAsia="宋体"/>
          <w:b/>
          <w:color w:val="auto"/>
          <w:sz w:val="32"/>
          <w:highlight w:val="none"/>
        </w:rPr>
      </w:pPr>
      <w:r>
        <w:rPr>
          <w:rFonts w:hint="eastAsia" w:ascii="宋体" w:hAnsi="宋体" w:eastAsia="宋体" w:cs="宋体"/>
          <w:color w:val="auto"/>
          <w:sz w:val="24"/>
          <w:szCs w:val="24"/>
          <w:highlight w:val="none"/>
        </w:rPr>
        <w:fldChar w:fldCharType="end"/>
      </w:r>
    </w:p>
    <w:p w14:paraId="04159A95">
      <w:pPr>
        <w:spacing w:line="360" w:lineRule="auto"/>
        <w:rPr>
          <w:rFonts w:ascii="宋体" w:hAnsi="宋体" w:eastAsia="宋体"/>
          <w:b/>
          <w:color w:val="auto"/>
          <w:sz w:val="32"/>
          <w:highlight w:val="none"/>
        </w:rPr>
      </w:pPr>
    </w:p>
    <w:p w14:paraId="1A14AF5D">
      <w:pPr>
        <w:spacing w:line="360" w:lineRule="auto"/>
        <w:jc w:val="center"/>
        <w:outlineLvl w:val="1"/>
        <w:rPr>
          <w:rFonts w:ascii="宋体" w:hAnsi="宋体" w:eastAsia="宋体"/>
          <w:b/>
          <w:color w:val="auto"/>
          <w:sz w:val="2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B5DAD72">
      <w:pPr>
        <w:spacing w:line="360" w:lineRule="auto"/>
        <w:jc w:val="center"/>
        <w:outlineLvl w:val="0"/>
        <w:rPr>
          <w:rFonts w:ascii="宋体" w:hAnsi="宋体" w:eastAsia="宋体"/>
          <w:b/>
          <w:color w:val="auto"/>
          <w:sz w:val="28"/>
          <w:highlight w:val="none"/>
        </w:rPr>
      </w:pPr>
      <w:bookmarkStart w:id="1" w:name="_Toc32331"/>
      <w:r>
        <w:rPr>
          <w:rFonts w:hint="eastAsia" w:ascii="宋体" w:hAnsi="宋体" w:eastAsia="宋体"/>
          <w:b/>
          <w:color w:val="auto"/>
          <w:sz w:val="28"/>
          <w:highlight w:val="none"/>
        </w:rPr>
        <w:t xml:space="preserve">第一章 </w:t>
      </w:r>
      <w:r>
        <w:rPr>
          <w:rFonts w:ascii="宋体" w:hAnsi="宋体" w:eastAsia="宋体"/>
          <w:b/>
          <w:color w:val="auto"/>
          <w:sz w:val="28"/>
          <w:highlight w:val="none"/>
        </w:rPr>
        <w:t xml:space="preserve"> 投标邀请</w:t>
      </w:r>
      <w:bookmarkEnd w:id="1"/>
    </w:p>
    <w:p w14:paraId="5924C87E">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bookmarkStart w:id="2" w:name="_Toc1215"/>
      <w:r>
        <w:rPr>
          <w:rFonts w:hint="eastAsia" w:ascii="宋体" w:hAnsi="宋体" w:eastAsia="宋体"/>
          <w:color w:val="auto"/>
          <w:sz w:val="24"/>
          <w:szCs w:val="18"/>
          <w:highlight w:val="none"/>
          <w:lang w:val="en-US" w:eastAsia="zh-CN"/>
        </w:rPr>
        <w:t>项目概况</w:t>
      </w:r>
    </w:p>
    <w:p w14:paraId="3A708DCD">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u w:val="single"/>
          <w:lang w:val="en-US" w:eastAsia="zh-CN"/>
        </w:rPr>
        <w:t>滁州市“十五五”综合交通运输体系发展规划编制项目</w:t>
      </w:r>
      <w:r>
        <w:rPr>
          <w:rFonts w:hint="eastAsia" w:ascii="宋体" w:hAnsi="宋体" w:eastAsia="宋体"/>
          <w:color w:val="auto"/>
          <w:sz w:val="24"/>
          <w:szCs w:val="18"/>
          <w:highlight w:val="none"/>
          <w:lang w:val="en-US" w:eastAsia="zh-CN"/>
        </w:rPr>
        <w:t>的潜在投标人应在</w:t>
      </w:r>
      <w:r>
        <w:rPr>
          <w:rFonts w:hint="eastAsia" w:ascii="宋体" w:hAnsi="宋体" w:eastAsia="宋体"/>
          <w:color w:val="auto"/>
          <w:sz w:val="24"/>
          <w:szCs w:val="18"/>
          <w:highlight w:val="none"/>
          <w:u w:val="single"/>
          <w:lang w:val="en-US" w:eastAsia="zh-CN"/>
        </w:rPr>
        <w:t>滁州市公共资源交易中心网（http：//ggzy.chuzhou.gov.cn/）</w:t>
      </w:r>
      <w:r>
        <w:rPr>
          <w:rFonts w:hint="eastAsia" w:ascii="宋体" w:hAnsi="宋体" w:eastAsia="宋体"/>
          <w:color w:val="auto"/>
          <w:sz w:val="24"/>
          <w:szCs w:val="18"/>
          <w:highlight w:val="none"/>
          <w:lang w:val="en-US" w:eastAsia="zh-CN"/>
        </w:rPr>
        <w:t>获取招标文件，并于</w:t>
      </w:r>
      <w:r>
        <w:rPr>
          <w:rFonts w:hint="eastAsia" w:ascii="宋体" w:hAnsi="宋体" w:eastAsia="宋体"/>
          <w:color w:val="auto"/>
          <w:sz w:val="24"/>
          <w:szCs w:val="18"/>
          <w:highlight w:val="none"/>
          <w:u w:val="single"/>
          <w:lang w:val="en-US" w:eastAsia="zh-CN"/>
        </w:rPr>
        <w:t>2025年8月11日8点00分</w:t>
      </w:r>
      <w:r>
        <w:rPr>
          <w:rFonts w:hint="eastAsia" w:ascii="宋体" w:hAnsi="宋体" w:eastAsia="宋体"/>
          <w:color w:val="auto"/>
          <w:sz w:val="24"/>
          <w:szCs w:val="18"/>
          <w:highlight w:val="none"/>
          <w:lang w:val="en-US" w:eastAsia="zh-CN"/>
        </w:rPr>
        <w:t>（北京时间）前递交投标文件。</w:t>
      </w:r>
    </w:p>
    <w:p w14:paraId="62E331D2">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一、项目基本情况</w:t>
      </w:r>
    </w:p>
    <w:p w14:paraId="3FE66B20">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项目编号：czsjcg202507-056</w:t>
      </w:r>
    </w:p>
    <w:p w14:paraId="65255405">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项目名称：滁州市“十五五”综合交通运输体系发展规划编制项目</w:t>
      </w:r>
    </w:p>
    <w:p w14:paraId="5698A3C9">
      <w:pPr>
        <w:widowControl w:val="0"/>
        <w:wordWrap w:val="0"/>
        <w:adjustRightInd/>
        <w:snapToGrid/>
        <w:spacing w:line="360" w:lineRule="auto"/>
        <w:ind w:firstLine="480" w:firstLineChars="200"/>
        <w:textAlignment w:val="auto"/>
        <w:outlineLvl w:val="2"/>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预算金额：1800000元</w:t>
      </w:r>
    </w:p>
    <w:p w14:paraId="541A6E5B">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最高限价：1800000元，投标人投标报价不得高于最高限价，否则，其投标文件按无效投标处理</w:t>
      </w:r>
    </w:p>
    <w:p w14:paraId="4FC09727">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采购需求：滁州市“十五五”综合交通运输体系发展规划编制服务采购</w:t>
      </w:r>
    </w:p>
    <w:p w14:paraId="7ECE5BE3">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合同履行期限：自合同签订之日起至2028年规划中期评估工作完成之日止</w:t>
      </w:r>
    </w:p>
    <w:p w14:paraId="49228C57">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本项目不接受联合体投标。</w:t>
      </w:r>
    </w:p>
    <w:p w14:paraId="4664772C">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二、申请人的资格要求</w:t>
      </w:r>
    </w:p>
    <w:p w14:paraId="739E0203">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1.满足《中华人民共和国政府采购法》第二十二条规定；</w:t>
      </w:r>
    </w:p>
    <w:p w14:paraId="14DCFBA6">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2.落实政府采购政策需满足的资格要求：</w:t>
      </w:r>
      <w:r>
        <w:rPr>
          <w:rFonts w:hint="eastAsia" w:ascii="宋体" w:hAnsi="宋体" w:eastAsia="宋体"/>
          <w:color w:val="auto"/>
          <w:sz w:val="24"/>
          <w:szCs w:val="18"/>
          <w:highlight w:val="none"/>
          <w:u w:val="single"/>
          <w:lang w:val="en-US" w:eastAsia="zh-CN"/>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3AA5EDCD">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3.本项目的特定资格要求：/。</w:t>
      </w:r>
    </w:p>
    <w:p w14:paraId="7BAA4C02">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4.信誉要求：投标人不得存在以下情形：</w:t>
      </w:r>
    </w:p>
    <w:p w14:paraId="725ED602">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①被列入“信用中国”网站“失信被执行人”的；</w:t>
      </w:r>
    </w:p>
    <w:p w14:paraId="20151A69">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②被列入“信用中国”网站“重大税收违法失信主体”的；</w:t>
      </w:r>
    </w:p>
    <w:p w14:paraId="57727799">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③被列入“信用中国”网站 “严重失信主体名单”的；</w:t>
      </w:r>
    </w:p>
    <w:p w14:paraId="5FE0A3BC">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④在“信用中国”网站上披露的仍在公示期的严重失信行为(具体行为类别及判定依据见“信用中国”查询的严重失信行为类别及判定依据)的。</w:t>
      </w:r>
    </w:p>
    <w:p w14:paraId="4B1F6738">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⑤被列入国家企业信用信息公示系统网站“经营异常名录”或者“严重违法失信名单”的。</w:t>
      </w:r>
    </w:p>
    <w:p w14:paraId="30849BC6">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⑥被列入中国政府采购网站“政府采购严重违法失信行为信息记录”的。</w:t>
      </w:r>
    </w:p>
    <w:p w14:paraId="464234C1">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⑦前三年有行贿犯罪行为的单位和个人。</w:t>
      </w:r>
    </w:p>
    <w:p w14:paraId="5E990D45">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5.投标人所属分公司、办事处等分支机构存在第4款信誉要求①-⑦项情形之一的，接受投标人参加本项目。</w:t>
      </w:r>
    </w:p>
    <w:p w14:paraId="1A97B574">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备注：第4、5条按照“关于联合惩戒失信行为加强信用查询管理的通知”查询或承诺。</w:t>
      </w:r>
    </w:p>
    <w:p w14:paraId="41907FE7">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三、获取招标文件</w:t>
      </w:r>
    </w:p>
    <w:p w14:paraId="03618797">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时间：</w:t>
      </w:r>
      <w:r>
        <w:rPr>
          <w:rFonts w:hint="eastAsia" w:ascii="宋体" w:hAnsi="宋体" w:eastAsia="宋体"/>
          <w:color w:val="auto"/>
          <w:sz w:val="24"/>
          <w:szCs w:val="18"/>
          <w:highlight w:val="none"/>
          <w:u w:val="single"/>
          <w:lang w:val="en-US" w:eastAsia="zh-CN"/>
        </w:rPr>
        <w:t>2025年7月21日</w:t>
      </w:r>
      <w:r>
        <w:rPr>
          <w:rFonts w:hint="eastAsia" w:ascii="宋体" w:hAnsi="宋体" w:eastAsia="宋体"/>
          <w:color w:val="auto"/>
          <w:sz w:val="24"/>
          <w:szCs w:val="18"/>
          <w:highlight w:val="none"/>
          <w:lang w:val="en-US" w:eastAsia="zh-CN"/>
        </w:rPr>
        <w:t>至</w:t>
      </w:r>
      <w:r>
        <w:rPr>
          <w:rFonts w:hint="eastAsia" w:ascii="宋体" w:hAnsi="宋体" w:eastAsia="宋体"/>
          <w:color w:val="auto"/>
          <w:sz w:val="24"/>
          <w:szCs w:val="18"/>
          <w:highlight w:val="none"/>
          <w:u w:val="single"/>
          <w:lang w:val="en-US" w:eastAsia="zh-CN"/>
        </w:rPr>
        <w:t>2025年8月11日</w:t>
      </w:r>
    </w:p>
    <w:p w14:paraId="4483B882">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地点：滁州市公共资源交易中心网</w:t>
      </w:r>
    </w:p>
    <w:p w14:paraId="46EFA771">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方式：网上下载</w:t>
      </w:r>
    </w:p>
    <w:p w14:paraId="197CEF98">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售价：0元</w:t>
      </w:r>
    </w:p>
    <w:p w14:paraId="3A7FC0E8">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四、提交投标文件截止时间、开标时间和地点</w:t>
      </w:r>
    </w:p>
    <w:p w14:paraId="5B570706">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u w:val="single"/>
          <w:lang w:val="en-US" w:eastAsia="zh-CN"/>
        </w:rPr>
        <w:t>2025年8月11日8点00分</w:t>
      </w:r>
      <w:r>
        <w:rPr>
          <w:rFonts w:hint="eastAsia" w:ascii="宋体" w:hAnsi="宋体" w:eastAsia="宋体"/>
          <w:color w:val="auto"/>
          <w:sz w:val="24"/>
          <w:szCs w:val="18"/>
          <w:highlight w:val="none"/>
          <w:lang w:val="en-US" w:eastAsia="zh-CN"/>
        </w:rPr>
        <w:t>（北京时间）</w:t>
      </w:r>
    </w:p>
    <w:p w14:paraId="1F492F0B">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地点：滁州市公共资源交易平台电子交易系统</w:t>
      </w:r>
    </w:p>
    <w:p w14:paraId="06B9677D">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五、公告期限</w:t>
      </w:r>
    </w:p>
    <w:p w14:paraId="591EC2E6">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自本公告发布之日起5个工作日。</w:t>
      </w:r>
    </w:p>
    <w:p w14:paraId="02EEE12F">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六、其他补充事宜</w:t>
      </w:r>
    </w:p>
    <w:p w14:paraId="00BF5AE1">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5B50BEF">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2.请投标人登录滁州市公共资源交易中心网站查看参加本项目的程序。（具体操作步骤和程序请参见服务指南&gt;交易须知&gt;投标人填写投标信息、下载文件及网上提问操作手册）。</w:t>
      </w:r>
    </w:p>
    <w:p w14:paraId="56AA0D6F">
      <w:pPr>
        <w:widowControl w:val="0"/>
        <w:wordWrap w:val="0"/>
        <w:adjustRightInd/>
        <w:snapToGrid/>
        <w:spacing w:line="360" w:lineRule="auto"/>
        <w:ind w:firstLine="480" w:firstLineChars="200"/>
        <w:textAlignment w:val="auto"/>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066F55C6">
      <w:pPr>
        <w:widowControl w:val="0"/>
        <w:wordWrap w:val="0"/>
        <w:adjustRightInd/>
        <w:snapToGrid/>
        <w:spacing w:line="360" w:lineRule="auto"/>
        <w:ind w:firstLine="480" w:firstLineChars="200"/>
        <w:textAlignment w:val="auto"/>
        <w:outlineLvl w:val="2"/>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2"/>
    <w:p w14:paraId="71CA59A5">
      <w:pPr>
        <w:widowControl w:val="0"/>
        <w:wordWrap/>
        <w:adjustRightInd/>
        <w:snapToGrid/>
        <w:spacing w:line="360" w:lineRule="auto"/>
        <w:ind w:firstLine="482" w:firstLineChars="200"/>
        <w:textAlignment w:val="auto"/>
        <w:outlineLvl w:val="1"/>
        <w:rPr>
          <w:rFonts w:hint="eastAsia" w:ascii="宋体" w:hAnsi="宋体" w:eastAsia="宋体"/>
          <w:b/>
          <w:bCs/>
          <w:color w:val="auto"/>
          <w:sz w:val="24"/>
          <w:szCs w:val="18"/>
          <w:highlight w:val="none"/>
        </w:rPr>
      </w:pPr>
      <w:bookmarkStart w:id="3" w:name="_Toc7265"/>
      <w:bookmarkStart w:id="4" w:name="_Toc13296"/>
      <w:r>
        <w:rPr>
          <w:rFonts w:hint="eastAsia" w:ascii="宋体" w:hAnsi="宋体" w:eastAsia="宋体"/>
          <w:b/>
          <w:bCs/>
          <w:color w:val="auto"/>
          <w:sz w:val="24"/>
          <w:szCs w:val="18"/>
          <w:highlight w:val="none"/>
        </w:rPr>
        <w:t>七、</w:t>
      </w:r>
      <w:bookmarkEnd w:id="3"/>
      <w:r>
        <w:rPr>
          <w:rFonts w:hint="eastAsia" w:ascii="宋体" w:hAnsi="宋体" w:eastAsia="宋体"/>
          <w:b/>
          <w:bCs/>
          <w:color w:val="auto"/>
          <w:sz w:val="24"/>
          <w:szCs w:val="18"/>
          <w:highlight w:val="none"/>
        </w:rPr>
        <w:t>对本次招标提出询问，请按以下方式联系</w:t>
      </w:r>
      <w:bookmarkEnd w:id="4"/>
    </w:p>
    <w:p w14:paraId="622CBF99">
      <w:pPr>
        <w:widowControl w:val="0"/>
        <w:wordWrap/>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0DADFDAD">
      <w:pPr>
        <w:widowControl w:val="0"/>
        <w:wordWrap/>
        <w:adjustRightInd/>
        <w:snapToGrid/>
        <w:spacing w:line="360" w:lineRule="auto"/>
        <w:ind w:firstLine="480" w:firstLineChars="200"/>
        <w:textAlignment w:val="auto"/>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eastAsia="zh-CN"/>
        </w:rPr>
        <w:t>滁州市交通运输局</w:t>
      </w:r>
    </w:p>
    <w:p w14:paraId="4854A53B">
      <w:pPr>
        <w:widowControl w:val="0"/>
        <w:wordWrap/>
        <w:adjustRightInd/>
        <w:snapToGrid/>
        <w:spacing w:line="360" w:lineRule="auto"/>
        <w:ind w:firstLine="480" w:firstLineChars="200"/>
        <w:textAlignment w:val="auto"/>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lang w:eastAsia="zh-CN"/>
        </w:rPr>
        <w:t>滁州市龙蟠大道200号</w:t>
      </w:r>
    </w:p>
    <w:p w14:paraId="443140DC">
      <w:pPr>
        <w:widowControl w:val="0"/>
        <w:wordWrap/>
        <w:adjustRightInd/>
        <w:snapToGrid/>
        <w:spacing w:line="360" w:lineRule="auto"/>
        <w:ind w:firstLine="480" w:firstLineChars="200"/>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lang w:val="en-US" w:eastAsia="zh-CN"/>
        </w:rPr>
        <w:t>周学峰</w:t>
      </w:r>
    </w:p>
    <w:p w14:paraId="2AB4F66E">
      <w:pPr>
        <w:widowControl w:val="0"/>
        <w:wordWrap/>
        <w:adjustRightInd/>
        <w:snapToGrid/>
        <w:spacing w:line="360" w:lineRule="auto"/>
        <w:ind w:firstLine="480" w:firstLineChars="200"/>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en-US" w:eastAsia="zh-CN"/>
        </w:rPr>
        <w:t>0550-3218692</w:t>
      </w:r>
    </w:p>
    <w:p w14:paraId="40ED609E">
      <w:pPr>
        <w:widowControl w:val="0"/>
        <w:wordWrap/>
        <w:adjustRightInd/>
        <w:snapToGrid/>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A0299A7">
      <w:pPr>
        <w:widowControl w:val="0"/>
        <w:wordWrap/>
        <w:adjustRightInd/>
        <w:snapToGrid/>
        <w:spacing w:line="360" w:lineRule="auto"/>
        <w:ind w:firstLine="480" w:firstLineChars="200"/>
        <w:textAlignment w:val="auto"/>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eastAsia="zh-CN"/>
        </w:rPr>
        <w:t>滁州市城投工程咨询管理有限公司</w:t>
      </w:r>
    </w:p>
    <w:p w14:paraId="16933877">
      <w:pPr>
        <w:widowControl w:val="0"/>
        <w:wordWrap/>
        <w:adjustRightInd/>
        <w:snapToGrid/>
        <w:spacing w:line="360" w:lineRule="auto"/>
        <w:ind w:firstLine="480" w:firstLineChars="200"/>
        <w:textAlignment w:val="auto"/>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lang w:eastAsia="zh-CN"/>
        </w:rPr>
        <w:t>滁州市龙蟠大道109号房产商务大厦6楼</w:t>
      </w:r>
    </w:p>
    <w:p w14:paraId="57693F2F">
      <w:pPr>
        <w:widowControl w:val="0"/>
        <w:wordWrap/>
        <w:adjustRightInd/>
        <w:snapToGrid/>
        <w:spacing w:line="360" w:lineRule="auto"/>
        <w:ind w:firstLine="480" w:firstLineChars="200"/>
        <w:textAlignment w:val="auto"/>
        <w:rPr>
          <w:color w:val="auto"/>
          <w:highlight w:val="none"/>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rPr>
        <w:t>胡国庆</w:t>
      </w:r>
    </w:p>
    <w:p w14:paraId="22687965">
      <w:pPr>
        <w:widowControl w:val="0"/>
        <w:wordWrap/>
        <w:adjustRightInd/>
        <w:snapToGrid/>
        <w:spacing w:line="360" w:lineRule="auto"/>
        <w:ind w:firstLine="480" w:firstLineChars="200"/>
        <w:textAlignment w:val="auto"/>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0550-3519517、18005500950</w:t>
      </w:r>
    </w:p>
    <w:p w14:paraId="477AE488">
      <w:pPr>
        <w:widowControl w:val="0"/>
        <w:wordWrap/>
        <w:adjustRightInd/>
        <w:snapToGrid/>
        <w:spacing w:line="360" w:lineRule="auto"/>
        <w:ind w:firstLine="480" w:firstLineChars="200"/>
        <w:textAlignment w:val="auto"/>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59D40417">
      <w:pPr>
        <w:widowControl w:val="0"/>
        <w:wordWrap/>
        <w:adjustRightInd/>
        <w:snapToGrid/>
        <w:spacing w:line="360" w:lineRule="auto"/>
        <w:ind w:firstLine="480" w:firstLineChars="200"/>
        <w:textAlignment w:val="auto"/>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滁州市公共资源交易监督管理局</w:t>
      </w:r>
    </w:p>
    <w:p w14:paraId="43214520">
      <w:pPr>
        <w:widowControl w:val="0"/>
        <w:wordWrap/>
        <w:adjustRightInd/>
        <w:snapToGrid/>
        <w:spacing w:line="360" w:lineRule="auto"/>
        <w:ind w:firstLine="480" w:firstLineChars="200"/>
        <w:textAlignment w:val="auto"/>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滁州市龙蟠大道109号房产大厦三楼</w:t>
      </w:r>
    </w:p>
    <w:p w14:paraId="1BBDF1A6">
      <w:pPr>
        <w:widowControl w:val="0"/>
        <w:wordWrap/>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0550-38016</w:t>
      </w:r>
      <w:r>
        <w:rPr>
          <w:rFonts w:hint="eastAsia" w:ascii="宋体" w:hAnsi="宋体" w:eastAsia="宋体"/>
          <w:color w:val="auto"/>
          <w:sz w:val="24"/>
          <w:szCs w:val="18"/>
          <w:highlight w:val="none"/>
          <w:u w:val="single"/>
          <w:lang w:val="en-US" w:eastAsia="zh-CN"/>
        </w:rPr>
        <w:t>0</w:t>
      </w:r>
      <w:r>
        <w:rPr>
          <w:rFonts w:hint="eastAsia" w:ascii="宋体" w:hAnsi="宋体" w:eastAsia="宋体"/>
          <w:color w:val="auto"/>
          <w:sz w:val="24"/>
          <w:szCs w:val="18"/>
          <w:highlight w:val="none"/>
          <w:u w:val="single"/>
        </w:rPr>
        <w:t>1</w:t>
      </w:r>
    </w:p>
    <w:p w14:paraId="5CC6AB8A">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65297375">
      <w:pPr>
        <w:spacing w:line="360" w:lineRule="auto"/>
        <w:jc w:val="center"/>
        <w:outlineLvl w:val="0"/>
        <w:rPr>
          <w:rFonts w:ascii="宋体" w:hAnsi="宋体" w:eastAsia="宋体"/>
          <w:b/>
          <w:color w:val="auto"/>
          <w:sz w:val="28"/>
          <w:highlight w:val="none"/>
        </w:rPr>
      </w:pPr>
      <w:bookmarkStart w:id="5" w:name="_Toc8888"/>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5"/>
    </w:p>
    <w:p w14:paraId="42B25501">
      <w:pPr>
        <w:spacing w:line="360" w:lineRule="auto"/>
        <w:jc w:val="center"/>
        <w:outlineLvl w:val="1"/>
        <w:rPr>
          <w:rFonts w:ascii="宋体" w:hAnsi="宋体" w:eastAsia="宋体"/>
          <w:b/>
          <w:color w:val="auto"/>
          <w:sz w:val="24"/>
          <w:highlight w:val="none"/>
        </w:rPr>
      </w:pPr>
      <w:bookmarkStart w:id="6" w:name="_Toc13589"/>
      <w:bookmarkStart w:id="7"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6"/>
      <w:bookmarkEnd w:id="7"/>
    </w:p>
    <w:p w14:paraId="65C24F08">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3"/>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3"/>
        <w:gridCol w:w="5618"/>
      </w:tblGrid>
      <w:tr w14:paraId="1E3A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7ACD68">
            <w:pPr>
              <w:pStyle w:val="43"/>
              <w:widowControl w:val="0"/>
              <w:spacing w:before="0" w:beforeAutospacing="0" w:after="0" w:afterAutospacing="0"/>
              <w:ind w:left="0" w:right="0"/>
              <w:rPr>
                <w:rFonts w:hint="default" w:ascii="宋体" w:hAnsi="宋体" w:eastAsia="宋体" w:cs="Times New Roman"/>
                <w:bCs w:val="0"/>
                <w:color w:val="auto"/>
                <w:kern w:val="2"/>
                <w:sz w:val="24"/>
                <w:szCs w:val="20"/>
                <w:highlight w:val="none"/>
              </w:rPr>
            </w:pPr>
            <w:r>
              <w:rPr>
                <w:rFonts w:hint="eastAsia" w:ascii="宋体" w:hAnsi="宋体" w:eastAsia="宋体" w:cs="Times New Roman"/>
                <w:bCs w:val="0"/>
                <w:color w:val="auto"/>
                <w:kern w:val="2"/>
                <w:sz w:val="24"/>
                <w:szCs w:val="20"/>
                <w:highlight w:val="none"/>
              </w:rPr>
              <w:t>条款号</w:t>
            </w:r>
          </w:p>
        </w:tc>
        <w:tc>
          <w:tcPr>
            <w:tcW w:w="2033" w:type="dxa"/>
            <w:vAlign w:val="center"/>
          </w:tcPr>
          <w:p w14:paraId="4CAFD51C">
            <w:pPr>
              <w:pStyle w:val="43"/>
              <w:widowControl w:val="0"/>
              <w:spacing w:before="0" w:beforeAutospacing="0" w:after="0" w:afterAutospacing="0"/>
              <w:ind w:left="0" w:right="0"/>
              <w:rPr>
                <w:rFonts w:hint="default" w:ascii="宋体" w:hAnsi="宋体" w:eastAsia="宋体" w:cs="Times New Roman"/>
                <w:bCs w:val="0"/>
                <w:color w:val="auto"/>
                <w:kern w:val="2"/>
                <w:sz w:val="24"/>
                <w:szCs w:val="20"/>
                <w:highlight w:val="none"/>
              </w:rPr>
            </w:pPr>
            <w:r>
              <w:rPr>
                <w:rFonts w:hint="eastAsia" w:ascii="宋体" w:hAnsi="宋体" w:eastAsia="宋体" w:cs="Times New Roman"/>
                <w:bCs w:val="0"/>
                <w:color w:val="auto"/>
                <w:kern w:val="2"/>
                <w:sz w:val="24"/>
                <w:szCs w:val="20"/>
                <w:highlight w:val="none"/>
              </w:rPr>
              <w:t>条款名称</w:t>
            </w:r>
          </w:p>
        </w:tc>
        <w:tc>
          <w:tcPr>
            <w:tcW w:w="5618" w:type="dxa"/>
            <w:vAlign w:val="center"/>
          </w:tcPr>
          <w:p w14:paraId="48F86705">
            <w:pPr>
              <w:pStyle w:val="43"/>
              <w:widowControl w:val="0"/>
              <w:spacing w:before="0" w:beforeAutospacing="0" w:after="0" w:afterAutospacing="0"/>
              <w:ind w:left="0" w:right="0"/>
              <w:rPr>
                <w:rFonts w:hint="default" w:ascii="宋体" w:hAnsi="宋体" w:eastAsia="宋体" w:cs="Times New Roman"/>
                <w:bCs w:val="0"/>
                <w:color w:val="auto"/>
                <w:kern w:val="2"/>
                <w:sz w:val="24"/>
                <w:szCs w:val="20"/>
                <w:highlight w:val="none"/>
              </w:rPr>
            </w:pPr>
            <w:r>
              <w:rPr>
                <w:rFonts w:hint="eastAsia" w:ascii="宋体" w:hAnsi="宋体" w:eastAsia="宋体" w:cs="Times New Roman"/>
                <w:bCs w:val="0"/>
                <w:color w:val="auto"/>
                <w:kern w:val="2"/>
                <w:sz w:val="24"/>
                <w:szCs w:val="20"/>
                <w:highlight w:val="none"/>
              </w:rPr>
              <w:t>内容、说明与要求</w:t>
            </w:r>
          </w:p>
        </w:tc>
      </w:tr>
      <w:tr w14:paraId="7763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0937E1E">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Times New Roman"/>
                <w:bCs/>
                <w:color w:val="auto"/>
                <w:kern w:val="2"/>
                <w:sz w:val="20"/>
                <w:szCs w:val="20"/>
                <w:highlight w:val="none"/>
                <w:lang w:eastAsia="zh-CN"/>
              </w:rPr>
            </w:pPr>
            <w:r>
              <w:rPr>
                <w:rFonts w:hint="eastAsia" w:ascii="宋体" w:hAnsi="宋体" w:eastAsia="宋体" w:cs="Times New Roman"/>
                <w:bCs/>
                <w:color w:val="auto"/>
                <w:kern w:val="2"/>
                <w:sz w:val="20"/>
                <w:szCs w:val="20"/>
                <w:highlight w:val="none"/>
                <w:lang w:val="en-US" w:eastAsia="zh-CN"/>
              </w:rPr>
              <w:t>5</w:t>
            </w:r>
            <w:r>
              <w:rPr>
                <w:rFonts w:hint="default" w:ascii="宋体" w:hAnsi="宋体" w:eastAsia="宋体" w:cs="Times New Roman"/>
                <w:bCs/>
                <w:color w:val="auto"/>
                <w:kern w:val="2"/>
                <w:sz w:val="20"/>
                <w:szCs w:val="20"/>
                <w:highlight w:val="none"/>
              </w:rPr>
              <w:t>.</w:t>
            </w:r>
            <w:r>
              <w:rPr>
                <w:rFonts w:hint="eastAsia" w:ascii="宋体" w:hAnsi="宋体" w:eastAsia="宋体" w:cs="Times New Roman"/>
                <w:bCs/>
                <w:color w:val="auto"/>
                <w:kern w:val="2"/>
                <w:sz w:val="20"/>
                <w:szCs w:val="20"/>
                <w:highlight w:val="none"/>
                <w:lang w:val="en-US" w:eastAsia="zh-CN"/>
              </w:rPr>
              <w:t>2</w:t>
            </w:r>
          </w:p>
        </w:tc>
        <w:tc>
          <w:tcPr>
            <w:tcW w:w="2033" w:type="dxa"/>
            <w:vAlign w:val="center"/>
          </w:tcPr>
          <w:p w14:paraId="69C7BEDC">
            <w:pPr>
              <w:pStyle w:val="43"/>
              <w:widowControl w:val="0"/>
              <w:wordWrap/>
              <w:adjustRightInd/>
              <w:snapToGrid/>
              <w:spacing w:before="0" w:beforeAutospacing="0" w:after="0" w:afterAutospacing="0" w:line="360" w:lineRule="auto"/>
              <w:ind w:left="0" w:right="0"/>
              <w:jc w:val="left"/>
              <w:textAlignment w:val="auto"/>
              <w:rPr>
                <w:rFonts w:hint="eastAsia" w:ascii="宋体" w:hAnsi="宋体" w:eastAsia="宋体" w:cs="Times New Roman"/>
                <w:b w:val="0"/>
                <w:color w:val="auto"/>
                <w:sz w:val="24"/>
                <w:szCs w:val="20"/>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5618" w:type="dxa"/>
            <w:vAlign w:val="center"/>
          </w:tcPr>
          <w:p w14:paraId="14CF5DBB">
            <w:pPr>
              <w:widowControl w:val="0"/>
              <w:wordWrap/>
              <w:adjustRightInd/>
              <w:snapToGrid/>
              <w:spacing w:before="0" w:beforeAutospacing="0" w:after="0" w:afterAutospacing="0" w:line="360" w:lineRule="auto"/>
              <w:ind w:left="0" w:right="0"/>
              <w:textAlignment w:val="auto"/>
              <w:rPr>
                <w:rFonts w:hint="default" w:ascii="宋体" w:hAnsi="宋体" w:eastAsia="宋体" w:cs="Times New Roman"/>
                <w:bCs/>
                <w:color w:val="auto"/>
                <w:sz w:val="24"/>
                <w:szCs w:val="20"/>
                <w:highlight w:val="none"/>
                <w:lang w:val="en-US" w:eastAsia="zh-CN"/>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color w:val="auto"/>
                <w:sz w:val="24"/>
                <w:szCs w:val="20"/>
                <w:highlight w:val="none"/>
              </w:rPr>
              <w:t>不组织</w:t>
            </w:r>
            <w:r>
              <w:rPr>
                <w:rFonts w:hint="eastAsia" w:ascii="宋体" w:hAnsi="宋体" w:eastAsia="宋体" w:cs="Times New Roman"/>
                <w:color w:val="auto"/>
                <w:sz w:val="24"/>
                <w:szCs w:val="20"/>
                <w:highlight w:val="none"/>
                <w:lang w:val="en-US" w:eastAsia="zh-CN"/>
              </w:rPr>
              <w:t>或不召开</w:t>
            </w:r>
          </w:p>
          <w:p w14:paraId="6EA07661">
            <w:pPr>
              <w:widowControl w:val="0"/>
              <w:wordWrap/>
              <w:adjustRightInd/>
              <w:snapToGrid/>
              <w:spacing w:before="0" w:beforeAutospacing="0" w:after="0" w:afterAutospacing="0" w:line="360" w:lineRule="auto"/>
              <w:ind w:left="0" w:right="0"/>
              <w:textAlignment w:val="auto"/>
              <w:rPr>
                <w:rFonts w:hint="default" w:ascii="宋体" w:hAnsi="宋体" w:eastAsia="宋体" w:cs="Times New Roman"/>
                <w:bCs/>
                <w:color w:val="auto"/>
                <w:sz w:val="24"/>
                <w:szCs w:val="20"/>
                <w:highlight w:val="none"/>
                <w:lang w:val="en-US" w:eastAsia="zh-CN"/>
              </w:rPr>
            </w:pPr>
            <w:r>
              <w:rPr>
                <w:rFonts w:hint="eastAsia" w:ascii="宋体" w:hAnsi="宋体" w:eastAsia="宋体" w:cs="Times New Roman"/>
                <w:color w:val="auto"/>
                <w:sz w:val="24"/>
                <w:szCs w:val="20"/>
                <w:highlight w:val="none"/>
              </w:rPr>
              <w:t>□</w:t>
            </w:r>
            <w:r>
              <w:rPr>
                <w:rFonts w:hint="eastAsia" w:ascii="宋体" w:hAnsi="宋体" w:eastAsia="宋体" w:cs="Times New Roman"/>
                <w:bCs/>
                <w:color w:val="auto"/>
                <w:sz w:val="24"/>
                <w:szCs w:val="20"/>
                <w:highlight w:val="none"/>
              </w:rPr>
              <w:t>统一组织</w:t>
            </w:r>
            <w:r>
              <w:rPr>
                <w:rFonts w:hint="eastAsia" w:ascii="宋体" w:hAnsi="宋体" w:eastAsia="宋体" w:cs="Times New Roman"/>
                <w:bCs/>
                <w:color w:val="auto"/>
                <w:sz w:val="24"/>
                <w:szCs w:val="20"/>
                <w:highlight w:val="none"/>
                <w:lang w:val="en-US" w:eastAsia="zh-CN"/>
              </w:rPr>
              <w:t>或统一召开</w:t>
            </w:r>
          </w:p>
          <w:p w14:paraId="428A31B4">
            <w:pPr>
              <w:widowControl w:val="0"/>
              <w:wordWrap/>
              <w:adjustRightInd/>
              <w:snapToGrid/>
              <w:spacing w:before="0" w:beforeAutospacing="0" w:after="0" w:afterAutospacing="0" w:line="360" w:lineRule="auto"/>
              <w:ind w:left="0" w:right="0"/>
              <w:textAlignment w:val="auto"/>
              <w:rPr>
                <w:rFonts w:hint="default" w:ascii="宋体" w:hAnsi="宋体" w:eastAsia="宋体" w:cs="Times New Roman"/>
                <w:bCs/>
                <w:color w:val="auto"/>
                <w:sz w:val="24"/>
                <w:szCs w:val="20"/>
                <w:highlight w:val="none"/>
                <w:u w:val="single"/>
              </w:rPr>
            </w:pPr>
            <w:r>
              <w:rPr>
                <w:rFonts w:hint="eastAsia" w:ascii="宋体" w:hAnsi="宋体" w:eastAsia="宋体" w:cs="Times New Roman"/>
                <w:bCs/>
                <w:color w:val="auto"/>
                <w:sz w:val="24"/>
                <w:szCs w:val="20"/>
                <w:highlight w:val="none"/>
              </w:rPr>
              <w:t>时间：</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rPr>
              <w:t>年</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rPr>
              <w:t>月</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rPr>
              <w:t>日</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rPr>
              <w:t>时</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rPr>
              <w:t>分</w:t>
            </w:r>
          </w:p>
          <w:p w14:paraId="71C4D56B">
            <w:pPr>
              <w:widowControl w:val="0"/>
              <w:wordWrap/>
              <w:adjustRightInd/>
              <w:snapToGrid/>
              <w:spacing w:before="0" w:beforeAutospacing="0" w:after="0" w:afterAutospacing="0" w:line="360" w:lineRule="auto"/>
              <w:ind w:left="0" w:right="0"/>
              <w:textAlignment w:val="auto"/>
              <w:rPr>
                <w:rFonts w:hint="default" w:ascii="宋体" w:hAnsi="宋体" w:eastAsia="宋体" w:cs="Times New Roman"/>
                <w:bCs/>
                <w:color w:val="auto"/>
                <w:sz w:val="24"/>
                <w:szCs w:val="20"/>
                <w:highlight w:val="none"/>
                <w:u w:val="single"/>
              </w:rPr>
            </w:pPr>
            <w:r>
              <w:rPr>
                <w:rFonts w:hint="eastAsia" w:ascii="宋体" w:hAnsi="宋体" w:eastAsia="宋体" w:cs="Times New Roman"/>
                <w:bCs/>
                <w:color w:val="auto"/>
                <w:sz w:val="24"/>
                <w:szCs w:val="20"/>
                <w:highlight w:val="none"/>
              </w:rPr>
              <w:t>地点：</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u w:val="single"/>
              </w:rPr>
              <w:t>/</w:t>
            </w:r>
            <w:r>
              <w:rPr>
                <w:rFonts w:hint="default" w:ascii="宋体" w:hAnsi="宋体" w:eastAsia="宋体" w:cs="Times New Roman"/>
                <w:bCs/>
                <w:color w:val="auto"/>
                <w:sz w:val="24"/>
                <w:szCs w:val="20"/>
                <w:highlight w:val="none"/>
                <w:u w:val="single"/>
              </w:rPr>
              <w:t xml:space="preserve">                  </w:t>
            </w:r>
          </w:p>
          <w:p w14:paraId="061A8746">
            <w:pPr>
              <w:widowControl w:val="0"/>
              <w:wordWrap/>
              <w:adjustRightInd/>
              <w:snapToGrid/>
              <w:spacing w:before="0" w:beforeAutospacing="0" w:after="0" w:afterAutospacing="0" w:line="360" w:lineRule="auto"/>
              <w:ind w:left="0" w:right="0"/>
              <w:textAlignment w:val="auto"/>
              <w:rPr>
                <w:rFonts w:hint="default" w:ascii="宋体" w:hAnsi="宋体" w:eastAsia="宋体" w:cs="Times New Roman"/>
                <w:bCs/>
                <w:color w:val="auto"/>
                <w:sz w:val="24"/>
                <w:szCs w:val="20"/>
                <w:highlight w:val="none"/>
                <w:u w:val="single"/>
              </w:rPr>
            </w:pPr>
            <w:r>
              <w:rPr>
                <w:rFonts w:hint="eastAsia" w:ascii="宋体" w:hAnsi="宋体" w:eastAsia="宋体" w:cs="Times New Roman"/>
                <w:bCs/>
                <w:color w:val="auto"/>
                <w:sz w:val="24"/>
                <w:szCs w:val="20"/>
                <w:highlight w:val="none"/>
              </w:rPr>
              <w:t>联系人及联系电话：</w:t>
            </w:r>
            <w:r>
              <w:rPr>
                <w:rFonts w:hint="eastAsia" w:ascii="宋体" w:hAnsi="宋体" w:eastAsia="宋体" w:cs="Times New Roman"/>
                <w:bCs/>
                <w:color w:val="auto"/>
                <w:sz w:val="24"/>
                <w:szCs w:val="20"/>
                <w:highlight w:val="none"/>
                <w:u w:val="single"/>
              </w:rPr>
              <w:t xml:space="preserve"> </w:t>
            </w:r>
            <w:r>
              <w:rPr>
                <w:rFonts w:hint="default" w:ascii="宋体" w:hAnsi="宋体" w:eastAsia="宋体" w:cs="Times New Roman"/>
                <w:bCs/>
                <w:color w:val="auto"/>
                <w:sz w:val="24"/>
                <w:szCs w:val="20"/>
                <w:highlight w:val="none"/>
                <w:u w:val="single"/>
              </w:rPr>
              <w:t xml:space="preserve"> </w:t>
            </w:r>
            <w:r>
              <w:rPr>
                <w:rFonts w:hint="eastAsia" w:ascii="宋体" w:hAnsi="宋体" w:eastAsia="宋体" w:cs="Times New Roman"/>
                <w:bCs/>
                <w:color w:val="auto"/>
                <w:sz w:val="24"/>
                <w:szCs w:val="20"/>
                <w:highlight w:val="none"/>
                <w:u w:val="single"/>
              </w:rPr>
              <w:t>/</w:t>
            </w:r>
            <w:r>
              <w:rPr>
                <w:rFonts w:hint="default" w:ascii="宋体" w:hAnsi="宋体" w:eastAsia="宋体" w:cs="Times New Roman"/>
                <w:bCs/>
                <w:color w:val="auto"/>
                <w:sz w:val="24"/>
                <w:szCs w:val="20"/>
                <w:highlight w:val="none"/>
                <w:u w:val="single"/>
              </w:rPr>
              <w:t xml:space="preserve">      </w:t>
            </w:r>
          </w:p>
          <w:p w14:paraId="61AA2B31">
            <w:pPr>
              <w:pStyle w:val="43"/>
              <w:widowControl w:val="0"/>
              <w:wordWrap/>
              <w:adjustRightInd/>
              <w:snapToGrid/>
              <w:spacing w:before="0" w:beforeAutospacing="0" w:after="0" w:afterAutospacing="0" w:line="360" w:lineRule="auto"/>
              <w:ind w:left="0" w:right="0"/>
              <w:jc w:val="both"/>
              <w:textAlignment w:val="auto"/>
              <w:rPr>
                <w:rFonts w:hint="default" w:ascii="宋体" w:hAnsi="宋体" w:eastAsia="宋体" w:cs="Times New Roman"/>
                <w:b w:val="0"/>
                <w:color w:val="auto"/>
                <w:sz w:val="24"/>
                <w:szCs w:val="20"/>
                <w:highlight w:val="none"/>
              </w:rPr>
            </w:pPr>
            <w:r>
              <w:rPr>
                <w:rFonts w:hint="eastAsia" w:ascii="宋体" w:hAnsi="宋体" w:eastAsia="宋体" w:cs="Times New Roman"/>
                <w:bCs w:val="0"/>
                <w:color w:val="auto"/>
                <w:sz w:val="24"/>
                <w:szCs w:val="20"/>
                <w:highlight w:val="none"/>
                <w:lang w:eastAsia="zh-CN"/>
              </w:rPr>
              <w:t>注：</w:t>
            </w:r>
            <w:r>
              <w:rPr>
                <w:rFonts w:hint="eastAsia" w:ascii="宋体" w:hAnsi="宋体" w:eastAsia="宋体" w:cs="Times New Roman"/>
                <w:bCs w:val="0"/>
                <w:color w:val="auto"/>
                <w:sz w:val="24"/>
                <w:szCs w:val="20"/>
                <w:highlight w:val="none"/>
              </w:rPr>
              <w:t>如投标人未参加采购人统一组织的现场考察</w:t>
            </w:r>
            <w:r>
              <w:rPr>
                <w:rFonts w:hint="eastAsia" w:ascii="宋体" w:hAnsi="宋体" w:eastAsia="宋体" w:cs="Times New Roman"/>
                <w:bCs w:val="0"/>
                <w:color w:val="auto"/>
                <w:sz w:val="24"/>
                <w:szCs w:val="20"/>
                <w:highlight w:val="none"/>
                <w:lang w:val="en-US" w:eastAsia="zh-CN"/>
              </w:rPr>
              <w:t>或采购人统一召开的标前答疑会</w:t>
            </w:r>
            <w:r>
              <w:rPr>
                <w:rFonts w:hint="eastAsia" w:ascii="宋体" w:hAnsi="宋体" w:eastAsia="宋体" w:cs="Times New Roman"/>
                <w:bCs w:val="0"/>
                <w:color w:val="auto"/>
                <w:sz w:val="24"/>
                <w:szCs w:val="20"/>
                <w:highlight w:val="none"/>
              </w:rPr>
              <w:t>，视同放弃现场考察</w:t>
            </w:r>
            <w:r>
              <w:rPr>
                <w:rFonts w:hint="eastAsia" w:ascii="宋体" w:hAnsi="宋体" w:eastAsia="宋体" w:cs="Times New Roman"/>
                <w:bCs w:val="0"/>
                <w:color w:val="auto"/>
                <w:sz w:val="24"/>
                <w:szCs w:val="20"/>
                <w:highlight w:val="none"/>
                <w:lang w:val="en-US" w:eastAsia="zh-CN"/>
              </w:rPr>
              <w:t>或标前答疑会</w:t>
            </w:r>
            <w:r>
              <w:rPr>
                <w:rFonts w:hint="eastAsia" w:ascii="宋体" w:hAnsi="宋体" w:eastAsia="宋体" w:cs="Times New Roman"/>
                <w:bCs w:val="0"/>
                <w:color w:val="auto"/>
                <w:sz w:val="24"/>
                <w:szCs w:val="20"/>
                <w:highlight w:val="none"/>
              </w:rPr>
              <w:t>，由此引起的一切责任由投标人自行承担。</w:t>
            </w:r>
          </w:p>
        </w:tc>
      </w:tr>
      <w:tr w14:paraId="2676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E1CC0B">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6</w:t>
            </w:r>
            <w:r>
              <w:rPr>
                <w:rFonts w:hint="default" w:ascii="宋体" w:hAnsi="宋体" w:eastAsia="宋体" w:cs="Times New Roman"/>
                <w:bCs/>
                <w:color w:val="auto"/>
                <w:kern w:val="2"/>
                <w:sz w:val="20"/>
                <w:szCs w:val="20"/>
                <w:highlight w:val="none"/>
              </w:rPr>
              <w:t>.1</w:t>
            </w:r>
          </w:p>
        </w:tc>
        <w:tc>
          <w:tcPr>
            <w:tcW w:w="2033" w:type="dxa"/>
            <w:vAlign w:val="center"/>
          </w:tcPr>
          <w:p w14:paraId="7F8DB0AC">
            <w:pPr>
              <w:pStyle w:val="43"/>
              <w:widowControl w:val="0"/>
              <w:spacing w:before="0" w:beforeAutospacing="0" w:after="0" w:afterAutospacing="0"/>
              <w:ind w:left="0" w:right="0"/>
              <w:jc w:val="left"/>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网上询问截止时间</w:t>
            </w:r>
          </w:p>
        </w:tc>
        <w:tc>
          <w:tcPr>
            <w:tcW w:w="5618" w:type="dxa"/>
            <w:vAlign w:val="center"/>
          </w:tcPr>
          <w:p w14:paraId="6E530521">
            <w:pPr>
              <w:pStyle w:val="43"/>
              <w:widowControl w:val="0"/>
              <w:spacing w:before="0" w:beforeAutospacing="0" w:after="0" w:afterAutospacing="0"/>
              <w:ind w:left="0" w:right="0"/>
              <w:jc w:val="both"/>
              <w:rPr>
                <w:rFonts w:hint="default" w:ascii="宋体" w:hAnsi="宋体" w:eastAsia="宋体" w:cs="Times New Roman"/>
                <w:b w:val="0"/>
                <w:color w:val="auto"/>
                <w:sz w:val="24"/>
                <w:szCs w:val="20"/>
                <w:highlight w:val="none"/>
              </w:rPr>
            </w:pP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2025</w:t>
            </w:r>
            <w:r>
              <w:rPr>
                <w:rFonts w:hint="default" w:ascii="宋体" w:hAnsi="宋体" w:eastAsia="宋体" w:cs="Times New Roman"/>
                <w:b w:val="0"/>
                <w:color w:val="auto"/>
                <w:sz w:val="24"/>
                <w:szCs w:val="20"/>
                <w:highlight w:val="none"/>
                <w:u w:val="single"/>
              </w:rPr>
              <w:t xml:space="preserve"> </w:t>
            </w:r>
            <w:r>
              <w:rPr>
                <w:rFonts w:hint="default" w:ascii="宋体" w:hAnsi="宋体" w:eastAsia="宋体" w:cs="Times New Roman"/>
                <w:b w:val="0"/>
                <w:color w:val="auto"/>
                <w:sz w:val="24"/>
                <w:szCs w:val="20"/>
                <w:highlight w:val="none"/>
              </w:rPr>
              <w:t>年</w:t>
            </w: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7</w:t>
            </w:r>
            <w:r>
              <w:rPr>
                <w:rFonts w:hint="default" w:ascii="宋体" w:hAnsi="宋体" w:eastAsia="宋体" w:cs="Times New Roman"/>
                <w:b w:val="0"/>
                <w:color w:val="auto"/>
                <w:sz w:val="24"/>
                <w:szCs w:val="20"/>
                <w:highlight w:val="none"/>
                <w:u w:val="single"/>
              </w:rPr>
              <w:t xml:space="preserve"> </w:t>
            </w:r>
            <w:r>
              <w:rPr>
                <w:rFonts w:hint="default" w:ascii="宋体" w:hAnsi="宋体" w:eastAsia="宋体" w:cs="Times New Roman"/>
                <w:b w:val="0"/>
                <w:color w:val="auto"/>
                <w:sz w:val="24"/>
                <w:szCs w:val="20"/>
                <w:highlight w:val="none"/>
              </w:rPr>
              <w:t>月</w:t>
            </w: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28</w:t>
            </w:r>
            <w:r>
              <w:rPr>
                <w:rFonts w:hint="default" w:ascii="宋体" w:hAnsi="宋体" w:eastAsia="宋体" w:cs="Times New Roman"/>
                <w:b w:val="0"/>
                <w:color w:val="auto"/>
                <w:sz w:val="24"/>
                <w:szCs w:val="20"/>
                <w:highlight w:val="none"/>
                <w:u w:val="single"/>
              </w:rPr>
              <w:t xml:space="preserve"> </w:t>
            </w:r>
            <w:r>
              <w:rPr>
                <w:rFonts w:hint="default" w:ascii="宋体" w:hAnsi="宋体" w:eastAsia="宋体" w:cs="Times New Roman"/>
                <w:b w:val="0"/>
                <w:color w:val="auto"/>
                <w:sz w:val="24"/>
                <w:szCs w:val="20"/>
                <w:highlight w:val="none"/>
              </w:rPr>
              <w:t>日</w:t>
            </w: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17</w:t>
            </w:r>
            <w:r>
              <w:rPr>
                <w:rFonts w:hint="default" w:ascii="宋体" w:hAnsi="宋体" w:eastAsia="宋体" w:cs="Times New Roman"/>
                <w:b w:val="0"/>
                <w:color w:val="auto"/>
                <w:sz w:val="24"/>
                <w:szCs w:val="20"/>
                <w:highlight w:val="none"/>
                <w:u w:val="single"/>
              </w:rPr>
              <w:t xml:space="preserve"> </w:t>
            </w:r>
            <w:r>
              <w:rPr>
                <w:rFonts w:hint="default" w:ascii="宋体" w:hAnsi="宋体" w:eastAsia="宋体" w:cs="Times New Roman"/>
                <w:b w:val="0"/>
                <w:color w:val="auto"/>
                <w:sz w:val="24"/>
                <w:szCs w:val="20"/>
                <w:highlight w:val="none"/>
              </w:rPr>
              <w:t>时</w:t>
            </w: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30</w:t>
            </w: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rPr>
              <w:t>分</w:t>
            </w:r>
          </w:p>
        </w:tc>
      </w:tr>
      <w:tr w14:paraId="24FD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27A36B8">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7</w:t>
            </w:r>
            <w:r>
              <w:rPr>
                <w:rFonts w:hint="default" w:ascii="宋体" w:hAnsi="宋体" w:eastAsia="宋体" w:cs="Times New Roman"/>
                <w:bCs/>
                <w:color w:val="auto"/>
                <w:kern w:val="2"/>
                <w:sz w:val="20"/>
                <w:szCs w:val="20"/>
                <w:highlight w:val="none"/>
              </w:rPr>
              <w:t>.1</w:t>
            </w:r>
          </w:p>
        </w:tc>
        <w:tc>
          <w:tcPr>
            <w:tcW w:w="2033" w:type="dxa"/>
            <w:vAlign w:val="center"/>
          </w:tcPr>
          <w:p w14:paraId="170DA744">
            <w:pPr>
              <w:pStyle w:val="43"/>
              <w:widowControl w:val="0"/>
              <w:spacing w:before="0" w:beforeAutospacing="0" w:after="0" w:afterAutospacing="0"/>
              <w:ind w:left="0" w:right="0"/>
              <w:jc w:val="left"/>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包别划分</w:t>
            </w:r>
          </w:p>
        </w:tc>
        <w:tc>
          <w:tcPr>
            <w:tcW w:w="5618" w:type="dxa"/>
            <w:vAlign w:val="center"/>
          </w:tcPr>
          <w:p w14:paraId="5D55ECA1">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bCs w:val="0"/>
                <w:color w:val="auto"/>
                <w:sz w:val="24"/>
                <w:szCs w:val="24"/>
                <w:highlight w:val="none"/>
                <w:lang w:eastAsia="zh-CN"/>
              </w:rPr>
              <w:t>☑</w:t>
            </w:r>
            <w:r>
              <w:rPr>
                <w:rFonts w:hint="default" w:ascii="宋体" w:hAnsi="宋体" w:eastAsia="宋体" w:cs="Times New Roman"/>
                <w:b w:val="0"/>
                <w:color w:val="auto"/>
                <w:sz w:val="24"/>
                <w:szCs w:val="20"/>
                <w:highlight w:val="none"/>
              </w:rPr>
              <w:t>不分包     □分为</w:t>
            </w:r>
            <w:r>
              <w:rPr>
                <w:rFonts w:hint="default"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w:t>
            </w:r>
            <w:r>
              <w:rPr>
                <w:rFonts w:hint="default" w:ascii="宋体" w:hAnsi="宋体" w:eastAsia="宋体" w:cs="Times New Roman"/>
                <w:b w:val="0"/>
                <w:color w:val="auto"/>
                <w:sz w:val="24"/>
                <w:szCs w:val="20"/>
                <w:highlight w:val="none"/>
                <w:u w:val="single"/>
              </w:rPr>
              <w:t xml:space="preserve"> </w:t>
            </w:r>
            <w:r>
              <w:rPr>
                <w:rFonts w:hint="default" w:ascii="宋体" w:hAnsi="宋体" w:eastAsia="宋体" w:cs="Times New Roman"/>
                <w:b w:val="0"/>
                <w:color w:val="auto"/>
                <w:sz w:val="24"/>
                <w:szCs w:val="20"/>
                <w:highlight w:val="none"/>
              </w:rPr>
              <w:t>个包</w:t>
            </w:r>
          </w:p>
          <w:p w14:paraId="165EF5C7">
            <w:pPr>
              <w:pStyle w:val="43"/>
              <w:widowControl w:val="0"/>
              <w:spacing w:before="0" w:beforeAutospacing="0" w:after="0" w:afterAutospacing="0"/>
              <w:ind w:left="0" w:right="0"/>
              <w:jc w:val="both"/>
              <w:rPr>
                <w:rFonts w:hint="default" w:ascii="宋体" w:hAnsi="宋体" w:eastAsia="宋体" w:cs="Times New Roman"/>
                <w:b w:val="0"/>
                <w:color w:val="auto"/>
                <w:sz w:val="24"/>
                <w:szCs w:val="20"/>
                <w:highlight w:val="none"/>
                <w:u w:val="single"/>
              </w:rPr>
            </w:pPr>
            <w:r>
              <w:rPr>
                <w:rFonts w:hint="eastAsia" w:ascii="宋体" w:hAnsi="宋体" w:eastAsia="宋体" w:cs="Times New Roman"/>
                <w:b w:val="0"/>
                <w:color w:val="auto"/>
                <w:sz w:val="24"/>
                <w:szCs w:val="20"/>
                <w:highlight w:val="none"/>
              </w:rPr>
              <w:t>投标人对多个包进行投标的中标</w:t>
            </w:r>
            <w:r>
              <w:rPr>
                <w:rFonts w:hint="default" w:ascii="宋体" w:hAnsi="宋体" w:eastAsia="宋体" w:cs="Times New Roman"/>
                <w:b w:val="0"/>
                <w:color w:val="auto"/>
                <w:sz w:val="24"/>
                <w:szCs w:val="20"/>
                <w:highlight w:val="none"/>
              </w:rPr>
              <w:t>包</w:t>
            </w:r>
            <w:r>
              <w:rPr>
                <w:rFonts w:hint="eastAsia" w:ascii="宋体" w:hAnsi="宋体" w:eastAsia="宋体" w:cs="Times New Roman"/>
                <w:b w:val="0"/>
                <w:color w:val="auto"/>
                <w:sz w:val="24"/>
                <w:szCs w:val="20"/>
                <w:highlight w:val="none"/>
              </w:rPr>
              <w:t>数规定：</w:t>
            </w:r>
            <w:r>
              <w:rPr>
                <w:rFonts w:hint="eastAsia" w:ascii="宋体" w:hAnsi="宋体" w:eastAsia="宋体" w:cs="Times New Roman"/>
                <w:b w:val="0"/>
                <w:bCs w:val="0"/>
                <w:color w:val="auto"/>
                <w:sz w:val="24"/>
                <w:szCs w:val="18"/>
                <w:highlight w:val="none"/>
                <w:u w:val="single"/>
              </w:rPr>
              <w:t xml:space="preserve"> </w:t>
            </w:r>
            <w:r>
              <w:rPr>
                <w:rFonts w:hint="default" w:ascii="宋体" w:hAnsi="宋体" w:eastAsia="宋体" w:cs="Times New Roman"/>
                <w:b w:val="0"/>
                <w:bCs w:val="0"/>
                <w:color w:val="auto"/>
                <w:sz w:val="24"/>
                <w:szCs w:val="18"/>
                <w:highlight w:val="none"/>
                <w:u w:val="single"/>
              </w:rPr>
              <w:t xml:space="preserve"> </w:t>
            </w:r>
            <w:r>
              <w:rPr>
                <w:rFonts w:hint="eastAsia" w:ascii="宋体" w:hAnsi="宋体" w:eastAsia="宋体" w:cs="Times New Roman"/>
                <w:b w:val="0"/>
                <w:bCs w:val="0"/>
                <w:color w:val="auto"/>
                <w:sz w:val="24"/>
                <w:szCs w:val="18"/>
                <w:highlight w:val="none"/>
                <w:u w:val="single"/>
              </w:rPr>
              <w:t>/</w:t>
            </w:r>
            <w:r>
              <w:rPr>
                <w:rFonts w:hint="default" w:ascii="宋体" w:hAnsi="宋体" w:eastAsia="宋体" w:cs="Times New Roman"/>
                <w:b w:val="0"/>
                <w:bCs w:val="0"/>
                <w:color w:val="auto"/>
                <w:sz w:val="24"/>
                <w:szCs w:val="18"/>
                <w:highlight w:val="none"/>
                <w:u w:val="single"/>
              </w:rPr>
              <w:t xml:space="preserve">    </w:t>
            </w:r>
          </w:p>
        </w:tc>
      </w:tr>
      <w:tr w14:paraId="0011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06" w:type="dxa"/>
            <w:vAlign w:val="center"/>
          </w:tcPr>
          <w:p w14:paraId="4D5E978E">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1</w:t>
            </w:r>
            <w:r>
              <w:rPr>
                <w:rFonts w:hint="eastAsia" w:ascii="宋体" w:hAnsi="宋体" w:eastAsia="宋体" w:cs="Times New Roman"/>
                <w:bCs/>
                <w:color w:val="auto"/>
                <w:kern w:val="2"/>
                <w:sz w:val="20"/>
                <w:szCs w:val="20"/>
                <w:highlight w:val="none"/>
                <w:lang w:val="en-US" w:eastAsia="zh-CN"/>
              </w:rPr>
              <w:t>0</w:t>
            </w:r>
            <w:r>
              <w:rPr>
                <w:rFonts w:hint="default" w:ascii="宋体" w:hAnsi="宋体" w:eastAsia="宋体" w:cs="Times New Roman"/>
                <w:bCs/>
                <w:color w:val="auto"/>
                <w:kern w:val="2"/>
                <w:sz w:val="20"/>
                <w:szCs w:val="20"/>
                <w:highlight w:val="none"/>
              </w:rPr>
              <w:t>.1</w:t>
            </w:r>
          </w:p>
        </w:tc>
        <w:tc>
          <w:tcPr>
            <w:tcW w:w="2033" w:type="dxa"/>
            <w:vAlign w:val="center"/>
          </w:tcPr>
          <w:p w14:paraId="51B9AD48">
            <w:pPr>
              <w:pStyle w:val="43"/>
              <w:widowControl w:val="0"/>
              <w:spacing w:before="0" w:beforeAutospacing="0" w:after="0" w:afterAutospacing="0" w:line="360" w:lineRule="auto"/>
              <w:ind w:left="0" w:right="0"/>
              <w:jc w:val="left"/>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投标保证金</w:t>
            </w:r>
          </w:p>
        </w:tc>
        <w:tc>
          <w:tcPr>
            <w:tcW w:w="5618" w:type="dxa"/>
            <w:vAlign w:val="center"/>
          </w:tcPr>
          <w:p w14:paraId="2DF72DF4">
            <w:pPr>
              <w:spacing w:before="0" w:beforeAutospacing="0" w:after="0" w:afterAutospacing="0" w:line="360" w:lineRule="auto"/>
              <w:ind w:left="0" w:right="0"/>
              <w:rPr>
                <w:rFonts w:hint="default" w:ascii="Times New Roman" w:hAnsi="Times New Roman" w:cs="Times New Roman"/>
                <w:color w:val="auto"/>
                <w:sz w:val="20"/>
                <w:szCs w:val="20"/>
                <w:highlight w:val="none"/>
              </w:rPr>
            </w:pPr>
            <w:r>
              <w:rPr>
                <w:rFonts w:hint="eastAsia" w:ascii="宋体" w:hAnsi="宋体" w:eastAsia="宋体" w:cs="Times New Roman"/>
                <w:bCs/>
                <w:color w:val="auto"/>
                <w:kern w:val="0"/>
                <w:sz w:val="24"/>
                <w:szCs w:val="28"/>
                <w:highlight w:val="none"/>
              </w:rPr>
              <w:t>不收取</w:t>
            </w:r>
          </w:p>
        </w:tc>
      </w:tr>
      <w:tr w14:paraId="0A36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6DEB604">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1</w:t>
            </w:r>
            <w:r>
              <w:rPr>
                <w:rFonts w:hint="eastAsia" w:ascii="宋体" w:hAnsi="宋体" w:eastAsia="宋体" w:cs="Times New Roman"/>
                <w:bCs/>
                <w:color w:val="auto"/>
                <w:kern w:val="2"/>
                <w:sz w:val="20"/>
                <w:szCs w:val="20"/>
                <w:highlight w:val="none"/>
                <w:lang w:val="en-US" w:eastAsia="zh-CN"/>
              </w:rPr>
              <w:t>1</w:t>
            </w:r>
            <w:r>
              <w:rPr>
                <w:rFonts w:hint="default" w:ascii="宋体" w:hAnsi="宋体" w:eastAsia="宋体" w:cs="Times New Roman"/>
                <w:bCs/>
                <w:color w:val="auto"/>
                <w:kern w:val="2"/>
                <w:sz w:val="20"/>
                <w:szCs w:val="20"/>
                <w:highlight w:val="none"/>
              </w:rPr>
              <w:t>.1</w:t>
            </w:r>
          </w:p>
        </w:tc>
        <w:tc>
          <w:tcPr>
            <w:tcW w:w="2033" w:type="dxa"/>
            <w:vAlign w:val="center"/>
          </w:tcPr>
          <w:p w14:paraId="1CFEA54C">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投标有效期</w:t>
            </w:r>
          </w:p>
        </w:tc>
        <w:tc>
          <w:tcPr>
            <w:tcW w:w="5618" w:type="dxa"/>
            <w:vAlign w:val="center"/>
          </w:tcPr>
          <w:p w14:paraId="40ECE28E">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u w:val="single"/>
              </w:rPr>
              <w:t xml:space="preserve"> </w:t>
            </w:r>
            <w:r>
              <w:rPr>
                <w:rFonts w:hint="eastAsia" w:ascii="宋体" w:hAnsi="宋体" w:eastAsia="宋体" w:cs="Times New Roman"/>
                <w:b w:val="0"/>
                <w:color w:val="auto"/>
                <w:sz w:val="24"/>
                <w:szCs w:val="20"/>
                <w:highlight w:val="none"/>
                <w:u w:val="single"/>
                <w:lang w:val="en-US" w:eastAsia="zh-CN"/>
              </w:rPr>
              <w:t xml:space="preserve">90 </w:t>
            </w:r>
            <w:r>
              <w:rPr>
                <w:rFonts w:hint="eastAsia" w:ascii="宋体" w:hAnsi="宋体" w:eastAsia="宋体" w:cs="Times New Roman"/>
                <w:b w:val="0"/>
                <w:color w:val="auto"/>
                <w:sz w:val="24"/>
                <w:szCs w:val="20"/>
                <w:highlight w:val="none"/>
              </w:rPr>
              <w:t>日历日</w:t>
            </w:r>
          </w:p>
        </w:tc>
      </w:tr>
      <w:tr w14:paraId="743C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706849B">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Times New Roman"/>
                <w:bCs/>
                <w:color w:val="auto"/>
                <w:kern w:val="2"/>
                <w:sz w:val="20"/>
                <w:szCs w:val="20"/>
                <w:highlight w:val="none"/>
                <w:lang w:eastAsia="zh-CN"/>
              </w:rPr>
            </w:pPr>
            <w:r>
              <w:rPr>
                <w:rFonts w:hint="eastAsia" w:ascii="宋体" w:hAnsi="宋体" w:eastAsia="宋体" w:cs="Times New Roman"/>
                <w:bCs/>
                <w:color w:val="auto"/>
                <w:kern w:val="2"/>
                <w:sz w:val="20"/>
                <w:szCs w:val="20"/>
                <w:highlight w:val="none"/>
              </w:rPr>
              <w:t>1</w:t>
            </w:r>
            <w:r>
              <w:rPr>
                <w:rFonts w:hint="eastAsia" w:ascii="宋体" w:hAnsi="宋体" w:eastAsia="宋体" w:cs="Times New Roman"/>
                <w:bCs/>
                <w:color w:val="auto"/>
                <w:kern w:val="2"/>
                <w:sz w:val="20"/>
                <w:szCs w:val="20"/>
                <w:highlight w:val="none"/>
                <w:lang w:val="en-US" w:eastAsia="zh-CN"/>
              </w:rPr>
              <w:t>3</w:t>
            </w:r>
            <w:r>
              <w:rPr>
                <w:rFonts w:hint="default" w:ascii="宋体" w:hAnsi="宋体" w:eastAsia="宋体" w:cs="Times New Roman"/>
                <w:bCs/>
                <w:color w:val="auto"/>
                <w:kern w:val="2"/>
                <w:sz w:val="20"/>
                <w:szCs w:val="20"/>
                <w:highlight w:val="none"/>
              </w:rPr>
              <w:t>.</w:t>
            </w:r>
            <w:r>
              <w:rPr>
                <w:rFonts w:hint="eastAsia" w:ascii="宋体" w:hAnsi="宋体" w:eastAsia="宋体" w:cs="Times New Roman"/>
                <w:bCs/>
                <w:color w:val="auto"/>
                <w:kern w:val="2"/>
                <w:sz w:val="20"/>
                <w:szCs w:val="20"/>
                <w:highlight w:val="none"/>
                <w:lang w:val="en-US" w:eastAsia="zh-CN"/>
              </w:rPr>
              <w:t>1</w:t>
            </w:r>
          </w:p>
        </w:tc>
        <w:tc>
          <w:tcPr>
            <w:tcW w:w="2033" w:type="dxa"/>
            <w:vAlign w:val="center"/>
          </w:tcPr>
          <w:p w14:paraId="024122EA">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投标文件解密时间</w:t>
            </w:r>
          </w:p>
        </w:tc>
        <w:tc>
          <w:tcPr>
            <w:tcW w:w="5618" w:type="dxa"/>
            <w:vAlign w:val="center"/>
          </w:tcPr>
          <w:p w14:paraId="1D1C8BD0">
            <w:pPr>
              <w:pStyle w:val="43"/>
              <w:widowControl w:val="0"/>
              <w:spacing w:before="0" w:beforeAutospacing="0" w:after="0" w:afterAutospacing="0" w:line="360" w:lineRule="auto"/>
              <w:ind w:left="0" w:right="0"/>
              <w:jc w:val="both"/>
              <w:rPr>
                <w:rFonts w:hint="eastAsia" w:ascii="宋体" w:hAnsi="宋体" w:eastAsia="宋体" w:cs="Times New Roman"/>
                <w:b w:val="0"/>
                <w:color w:val="auto"/>
                <w:sz w:val="24"/>
                <w:szCs w:val="20"/>
                <w:highlight w:val="none"/>
                <w:u w:val="single"/>
                <w:lang w:val="en-US" w:eastAsia="zh-CN"/>
              </w:rPr>
            </w:pPr>
            <w:r>
              <w:rPr>
                <w:rFonts w:hint="eastAsia" w:ascii="宋体" w:hAnsi="宋体" w:eastAsia="宋体" w:cs="Times New Roman"/>
                <w:b w:val="0"/>
                <w:color w:val="auto"/>
                <w:sz w:val="24"/>
                <w:szCs w:val="20"/>
                <w:highlight w:val="none"/>
                <w:u w:val="none"/>
              </w:rPr>
              <w:t>投标截止时间后</w:t>
            </w:r>
            <w:r>
              <w:rPr>
                <w:rFonts w:hint="eastAsia" w:ascii="宋体" w:hAnsi="宋体" w:eastAsia="宋体" w:cs="Times New Roman"/>
                <w:b w:val="0"/>
                <w:color w:val="auto"/>
                <w:sz w:val="24"/>
                <w:szCs w:val="20"/>
                <w:highlight w:val="none"/>
                <w:u w:val="single"/>
                <w:lang w:val="en-US" w:eastAsia="zh-CN"/>
              </w:rPr>
              <w:t xml:space="preserve"> 60 </w:t>
            </w:r>
            <w:r>
              <w:rPr>
                <w:rFonts w:hint="eastAsia" w:ascii="宋体" w:hAnsi="宋体" w:eastAsia="宋体" w:cs="Times New Roman"/>
                <w:b w:val="0"/>
                <w:color w:val="auto"/>
                <w:sz w:val="24"/>
                <w:szCs w:val="20"/>
                <w:highlight w:val="none"/>
                <w:u w:val="none"/>
              </w:rPr>
              <w:t>分钟内</w:t>
            </w:r>
          </w:p>
        </w:tc>
      </w:tr>
      <w:tr w14:paraId="5F2E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F77FAFB">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1</w:t>
            </w:r>
            <w:r>
              <w:rPr>
                <w:rFonts w:hint="eastAsia" w:ascii="宋体" w:hAnsi="宋体" w:eastAsia="宋体" w:cs="Times New Roman"/>
                <w:bCs/>
                <w:color w:val="auto"/>
                <w:kern w:val="2"/>
                <w:sz w:val="20"/>
                <w:szCs w:val="20"/>
                <w:highlight w:val="none"/>
                <w:lang w:val="en-US" w:eastAsia="zh-CN"/>
              </w:rPr>
              <w:t>4</w:t>
            </w:r>
            <w:r>
              <w:rPr>
                <w:rFonts w:hint="eastAsia" w:ascii="宋体" w:hAnsi="宋体" w:eastAsia="宋体" w:cs="Times New Roman"/>
                <w:bCs/>
                <w:color w:val="auto"/>
                <w:kern w:val="2"/>
                <w:sz w:val="20"/>
                <w:szCs w:val="20"/>
                <w:highlight w:val="none"/>
              </w:rPr>
              <w:t>.1</w:t>
            </w:r>
          </w:p>
        </w:tc>
        <w:tc>
          <w:tcPr>
            <w:tcW w:w="2033" w:type="dxa"/>
            <w:vAlign w:val="center"/>
          </w:tcPr>
          <w:p w14:paraId="7E9D7607">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资格审查</w:t>
            </w:r>
          </w:p>
        </w:tc>
        <w:tc>
          <w:tcPr>
            <w:tcW w:w="5618" w:type="dxa"/>
            <w:vAlign w:val="center"/>
          </w:tcPr>
          <w:p w14:paraId="755409E8">
            <w:pPr>
              <w:pStyle w:val="43"/>
              <w:widowControl w:val="0"/>
              <w:spacing w:before="0" w:beforeAutospacing="0" w:after="0" w:afterAutospacing="0" w:line="360" w:lineRule="auto"/>
              <w:ind w:left="0" w:right="0"/>
              <w:jc w:val="both"/>
              <w:rPr>
                <w:rFonts w:hint="eastAsia" w:ascii="宋体" w:hAnsi="宋体" w:eastAsia="宋体" w:cs="Times New Roman"/>
                <w:b w:val="0"/>
                <w:bCs w:val="0"/>
                <w:color w:val="auto"/>
                <w:sz w:val="24"/>
                <w:szCs w:val="20"/>
                <w:highlight w:val="none"/>
              </w:rPr>
            </w:pP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bCs w:val="0"/>
                <w:color w:val="auto"/>
                <w:sz w:val="24"/>
                <w:szCs w:val="20"/>
                <w:highlight w:val="none"/>
              </w:rPr>
              <w:t>采购人审查</w:t>
            </w:r>
          </w:p>
          <w:p w14:paraId="40502AB3">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u w:val="single"/>
              </w:rPr>
            </w:pPr>
            <w:r>
              <w:rPr>
                <w:rFonts w:hint="default" w:ascii="宋体" w:hAnsi="宋体" w:eastAsia="宋体" w:cs="Times New Roman"/>
                <w:b w:val="0"/>
                <w:bCs w:val="0"/>
                <w:color w:val="auto"/>
                <w:sz w:val="24"/>
                <w:szCs w:val="24"/>
                <w:highlight w:val="none"/>
              </w:rPr>
              <w:t>□</w:t>
            </w:r>
            <w:r>
              <w:rPr>
                <w:rFonts w:hint="eastAsia" w:ascii="宋体" w:hAnsi="宋体" w:eastAsia="宋体" w:cs="Times New Roman"/>
                <w:b w:val="0"/>
                <w:bCs w:val="0"/>
                <w:color w:val="auto"/>
                <w:sz w:val="24"/>
                <w:szCs w:val="20"/>
                <w:highlight w:val="none"/>
              </w:rPr>
              <w:t>采购人出具委托函委托采购代理机构进行审查</w:t>
            </w:r>
          </w:p>
        </w:tc>
      </w:tr>
      <w:tr w14:paraId="07D6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997A017">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17</w:t>
            </w:r>
            <w:r>
              <w:rPr>
                <w:rFonts w:hint="default" w:ascii="宋体" w:hAnsi="宋体" w:eastAsia="宋体" w:cs="Times New Roman"/>
                <w:bCs/>
                <w:color w:val="auto"/>
                <w:kern w:val="2"/>
                <w:sz w:val="20"/>
                <w:szCs w:val="20"/>
                <w:highlight w:val="none"/>
              </w:rPr>
              <w:t>.2</w:t>
            </w:r>
          </w:p>
        </w:tc>
        <w:tc>
          <w:tcPr>
            <w:tcW w:w="2033" w:type="dxa"/>
            <w:vAlign w:val="center"/>
          </w:tcPr>
          <w:p w14:paraId="584031D3">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评标方法</w:t>
            </w:r>
          </w:p>
        </w:tc>
        <w:tc>
          <w:tcPr>
            <w:tcW w:w="5618" w:type="dxa"/>
            <w:vAlign w:val="center"/>
          </w:tcPr>
          <w:p w14:paraId="78F36967">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u w:val="single"/>
              </w:rPr>
            </w:pPr>
            <w:r>
              <w:rPr>
                <w:rFonts w:hint="default" w:ascii="宋体" w:hAnsi="宋体" w:eastAsia="宋体" w:cs="Times New Roman"/>
                <w:b w:val="0"/>
                <w:bCs w:val="0"/>
                <w:color w:val="auto"/>
                <w:sz w:val="24"/>
                <w:szCs w:val="24"/>
                <w:highlight w:val="none"/>
              </w:rPr>
              <w:t>□</w:t>
            </w:r>
            <w:r>
              <w:rPr>
                <w:rFonts w:hint="eastAsia" w:ascii="宋体" w:hAnsi="宋体" w:eastAsia="宋体" w:cs="Times New Roman"/>
                <w:b w:val="0"/>
                <w:color w:val="auto"/>
                <w:sz w:val="24"/>
                <w:szCs w:val="20"/>
                <w:highlight w:val="none"/>
                <w:u w:val="none"/>
              </w:rPr>
              <w:t>最低评标价法</w:t>
            </w:r>
          </w:p>
          <w:p w14:paraId="21D4DFA8">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color w:val="auto"/>
                <w:sz w:val="24"/>
                <w:szCs w:val="20"/>
                <w:highlight w:val="none"/>
                <w:u w:val="none"/>
              </w:rPr>
              <w:t>综合评分法</w:t>
            </w:r>
          </w:p>
        </w:tc>
      </w:tr>
      <w:tr w14:paraId="5713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5605FAE">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17</w:t>
            </w:r>
            <w:r>
              <w:rPr>
                <w:rFonts w:hint="default" w:ascii="宋体" w:hAnsi="宋体" w:eastAsia="宋体" w:cs="Times New Roman"/>
                <w:bCs/>
                <w:color w:val="auto"/>
                <w:kern w:val="2"/>
                <w:sz w:val="20"/>
                <w:szCs w:val="20"/>
                <w:highlight w:val="none"/>
              </w:rPr>
              <w:t>.3</w:t>
            </w:r>
          </w:p>
        </w:tc>
        <w:tc>
          <w:tcPr>
            <w:tcW w:w="2033" w:type="dxa"/>
            <w:vAlign w:val="center"/>
          </w:tcPr>
          <w:p w14:paraId="211E5832">
            <w:pPr>
              <w:pStyle w:val="43"/>
              <w:widowControl w:val="0"/>
              <w:spacing w:before="0" w:beforeAutospacing="0" w:after="0" w:afterAutospacing="0" w:line="360" w:lineRule="auto"/>
              <w:ind w:left="0" w:right="0"/>
              <w:jc w:val="both"/>
              <w:rPr>
                <w:rFonts w:hint="default" w:ascii="宋体" w:hAnsi="宋体" w:eastAsia="宋体" w:cs="Times New Roman"/>
                <w:b w:val="0"/>
                <w:i/>
                <w:color w:val="auto"/>
                <w:sz w:val="24"/>
                <w:szCs w:val="20"/>
                <w:highlight w:val="none"/>
                <w:lang w:val="en-US" w:eastAsia="zh-CN"/>
              </w:rPr>
            </w:pPr>
            <w:r>
              <w:rPr>
                <w:rFonts w:hint="eastAsia" w:ascii="宋体" w:hAnsi="宋体" w:eastAsia="宋体" w:cs="Times New Roman"/>
                <w:b w:val="0"/>
                <w:color w:val="auto"/>
                <w:sz w:val="24"/>
                <w:szCs w:val="20"/>
                <w:highlight w:val="none"/>
              </w:rPr>
              <w:t>报价扣除</w:t>
            </w:r>
          </w:p>
        </w:tc>
        <w:tc>
          <w:tcPr>
            <w:tcW w:w="5618" w:type="dxa"/>
            <w:vAlign w:val="center"/>
          </w:tcPr>
          <w:p w14:paraId="2585A5F9">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（1）</w:t>
            </w:r>
            <w:r>
              <w:rPr>
                <w:rFonts w:hint="default" w:ascii="宋体" w:hAnsi="宋体" w:eastAsia="宋体" w:cs="Times New Roman"/>
                <w:b w:val="0"/>
                <w:color w:val="auto"/>
                <w:sz w:val="24"/>
                <w:szCs w:val="20"/>
                <w:highlight w:val="none"/>
              </w:rPr>
              <w:t>小型和微型</w:t>
            </w:r>
            <w:r>
              <w:rPr>
                <w:rFonts w:hint="eastAsia" w:ascii="宋体" w:hAnsi="宋体" w:eastAsia="宋体" w:cs="Times New Roman"/>
                <w:b w:val="0"/>
                <w:color w:val="auto"/>
                <w:sz w:val="24"/>
                <w:szCs w:val="20"/>
                <w:highlight w:val="none"/>
              </w:rPr>
              <w:t>企业价格扣除：</w:t>
            </w:r>
            <w:r>
              <w:rPr>
                <w:rFonts w:hint="eastAsia" w:ascii="宋体" w:hAnsi="宋体" w:eastAsia="宋体" w:cs="Times New Roman"/>
                <w:b w:val="0"/>
                <w:color w:val="auto"/>
                <w:sz w:val="24"/>
                <w:szCs w:val="20"/>
                <w:highlight w:val="none"/>
                <w:u w:val="single"/>
                <w:lang w:val="en-US" w:eastAsia="zh-CN"/>
              </w:rPr>
              <w:t>对小型和微型企业产品的价格给予10%的扣除后参与评审；其评审价=投标报价*90%</w:t>
            </w:r>
            <w:r>
              <w:rPr>
                <w:rFonts w:hint="eastAsia" w:ascii="宋体" w:hAnsi="宋体" w:eastAsia="宋体" w:cs="Times New Roman"/>
                <w:b w:val="0"/>
                <w:color w:val="auto"/>
                <w:sz w:val="24"/>
                <w:szCs w:val="20"/>
                <w:highlight w:val="none"/>
              </w:rPr>
              <w:t>。</w:t>
            </w:r>
          </w:p>
          <w:p w14:paraId="324BC0C6">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（2）监狱企业价格扣除：</w:t>
            </w:r>
            <w:r>
              <w:rPr>
                <w:rFonts w:hint="eastAsia" w:ascii="宋体" w:hAnsi="宋体" w:eastAsia="宋体" w:cs="Times New Roman"/>
                <w:b w:val="0"/>
                <w:color w:val="auto"/>
                <w:sz w:val="24"/>
                <w:szCs w:val="20"/>
                <w:highlight w:val="none"/>
                <w:u w:val="none"/>
              </w:rPr>
              <w:t>同</w:t>
            </w:r>
            <w:r>
              <w:rPr>
                <w:rFonts w:hint="default" w:ascii="宋体" w:hAnsi="宋体" w:eastAsia="宋体" w:cs="Times New Roman"/>
                <w:b w:val="0"/>
                <w:color w:val="auto"/>
                <w:sz w:val="24"/>
                <w:szCs w:val="20"/>
                <w:highlight w:val="none"/>
                <w:u w:val="none"/>
              </w:rPr>
              <w:t>小型和微型企业</w:t>
            </w:r>
            <w:r>
              <w:rPr>
                <w:rFonts w:hint="eastAsia" w:ascii="宋体" w:hAnsi="宋体" w:eastAsia="宋体" w:cs="Times New Roman"/>
                <w:b w:val="0"/>
                <w:color w:val="auto"/>
                <w:sz w:val="24"/>
                <w:szCs w:val="20"/>
                <w:highlight w:val="none"/>
              </w:rPr>
              <w:t>。</w:t>
            </w:r>
          </w:p>
          <w:p w14:paraId="48EA8E3E">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（3）残疾人福利性单位价格扣除：</w:t>
            </w:r>
            <w:r>
              <w:rPr>
                <w:rFonts w:hint="eastAsia" w:ascii="宋体" w:hAnsi="宋体" w:eastAsia="宋体" w:cs="Times New Roman"/>
                <w:b w:val="0"/>
                <w:color w:val="auto"/>
                <w:sz w:val="24"/>
                <w:szCs w:val="20"/>
                <w:highlight w:val="none"/>
                <w:u w:val="none"/>
              </w:rPr>
              <w:t>同</w:t>
            </w:r>
            <w:r>
              <w:rPr>
                <w:rFonts w:hint="default" w:ascii="宋体" w:hAnsi="宋体" w:eastAsia="宋体" w:cs="Times New Roman"/>
                <w:b w:val="0"/>
                <w:color w:val="auto"/>
                <w:sz w:val="24"/>
                <w:szCs w:val="20"/>
                <w:highlight w:val="none"/>
                <w:u w:val="none"/>
              </w:rPr>
              <w:t>小型和微型企业</w:t>
            </w:r>
            <w:r>
              <w:rPr>
                <w:rFonts w:hint="eastAsia" w:ascii="宋体" w:hAnsi="宋体" w:eastAsia="宋体" w:cs="Times New Roman"/>
                <w:b w:val="0"/>
                <w:color w:val="auto"/>
                <w:sz w:val="24"/>
                <w:szCs w:val="20"/>
                <w:highlight w:val="none"/>
              </w:rPr>
              <w:t>。</w:t>
            </w:r>
          </w:p>
          <w:p w14:paraId="72CD6916">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（4）符合条件的联合体价格扣除：</w:t>
            </w:r>
            <w:r>
              <w:rPr>
                <w:rFonts w:hint="eastAsia" w:ascii="宋体" w:hAnsi="宋体" w:eastAsia="宋体" w:cs="Times New Roman"/>
                <w:b w:val="0"/>
                <w:color w:val="auto"/>
                <w:sz w:val="24"/>
                <w:szCs w:val="20"/>
                <w:highlight w:val="none"/>
                <w:u w:val="single"/>
                <w:lang w:val="en-US" w:eastAsia="zh-CN"/>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cs="Times New Roman"/>
                <w:b w:val="0"/>
                <w:color w:val="auto"/>
                <w:sz w:val="24"/>
                <w:szCs w:val="20"/>
                <w:highlight w:val="none"/>
              </w:rPr>
              <w:t>。</w:t>
            </w:r>
          </w:p>
          <w:p w14:paraId="55EB49E2">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（5）符合条件的向小微企业分包的大中型企业价格扣除：</w:t>
            </w:r>
            <w:r>
              <w:rPr>
                <w:rFonts w:hint="eastAsia" w:ascii="宋体" w:hAnsi="宋体" w:eastAsia="宋体" w:cs="Times New Roman"/>
                <w:b w:val="0"/>
                <w:color w:val="auto"/>
                <w:sz w:val="24"/>
                <w:szCs w:val="20"/>
                <w:highlight w:val="none"/>
                <w:u w:val="single"/>
                <w:lang w:val="en-US" w:eastAsia="zh-CN"/>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cs="Times New Roman"/>
                <w:b w:val="0"/>
                <w:color w:val="auto"/>
                <w:sz w:val="24"/>
                <w:szCs w:val="20"/>
                <w:highlight w:val="none"/>
              </w:rPr>
              <w:t>。</w:t>
            </w:r>
            <w:r>
              <w:rPr>
                <w:rFonts w:hint="eastAsia" w:ascii="宋体" w:hAnsi="宋体" w:eastAsia="宋体" w:cs="Times New Roman"/>
                <w:b w:val="0"/>
                <w:i/>
                <w:color w:val="auto"/>
                <w:sz w:val="24"/>
                <w:szCs w:val="20"/>
                <w:highlight w:val="none"/>
              </w:rPr>
              <w:t>（允许大中型企业向小微企业分包的项目适用）</w:t>
            </w:r>
          </w:p>
        </w:tc>
      </w:tr>
      <w:tr w14:paraId="76F6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377878A">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2</w:t>
            </w:r>
            <w:r>
              <w:rPr>
                <w:rFonts w:hint="eastAsia" w:ascii="宋体" w:hAnsi="宋体" w:eastAsia="宋体" w:cs="Times New Roman"/>
                <w:bCs/>
                <w:color w:val="auto"/>
                <w:kern w:val="2"/>
                <w:sz w:val="20"/>
                <w:szCs w:val="20"/>
                <w:highlight w:val="none"/>
                <w:lang w:val="en-US" w:eastAsia="zh-CN"/>
              </w:rPr>
              <w:t>1</w:t>
            </w:r>
            <w:r>
              <w:rPr>
                <w:rFonts w:hint="default" w:ascii="宋体" w:hAnsi="宋体" w:eastAsia="宋体" w:cs="Times New Roman"/>
                <w:bCs/>
                <w:color w:val="auto"/>
                <w:kern w:val="2"/>
                <w:sz w:val="20"/>
                <w:szCs w:val="20"/>
                <w:highlight w:val="none"/>
              </w:rPr>
              <w:t>.</w:t>
            </w:r>
            <w:r>
              <w:rPr>
                <w:rFonts w:hint="eastAsia" w:ascii="宋体" w:hAnsi="宋体" w:eastAsia="宋体" w:cs="Times New Roman"/>
                <w:bCs/>
                <w:color w:val="auto"/>
                <w:kern w:val="2"/>
                <w:sz w:val="20"/>
                <w:szCs w:val="20"/>
                <w:highlight w:val="none"/>
              </w:rPr>
              <w:t>1</w:t>
            </w:r>
          </w:p>
        </w:tc>
        <w:tc>
          <w:tcPr>
            <w:tcW w:w="2033" w:type="dxa"/>
            <w:vAlign w:val="center"/>
          </w:tcPr>
          <w:p w14:paraId="2F12B268">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评标委员会推荐</w:t>
            </w:r>
            <w:r>
              <w:rPr>
                <w:rFonts w:hint="default" w:ascii="宋体" w:hAnsi="宋体" w:eastAsia="宋体" w:cs="Times New Roman"/>
                <w:b w:val="0"/>
                <w:color w:val="auto"/>
                <w:sz w:val="24"/>
                <w:szCs w:val="20"/>
                <w:highlight w:val="none"/>
              </w:rPr>
              <w:t>中标候选</w:t>
            </w:r>
            <w:r>
              <w:rPr>
                <w:rFonts w:hint="eastAsia" w:ascii="宋体" w:hAnsi="宋体" w:eastAsia="宋体" w:cs="Times New Roman"/>
                <w:b w:val="0"/>
                <w:color w:val="auto"/>
                <w:sz w:val="24"/>
                <w:szCs w:val="20"/>
                <w:highlight w:val="none"/>
              </w:rPr>
              <w:t>人的</w:t>
            </w:r>
            <w:r>
              <w:rPr>
                <w:rFonts w:hint="default" w:ascii="宋体" w:hAnsi="宋体" w:eastAsia="宋体" w:cs="Times New Roman"/>
                <w:b w:val="0"/>
                <w:color w:val="auto"/>
                <w:sz w:val="24"/>
                <w:szCs w:val="20"/>
                <w:highlight w:val="none"/>
              </w:rPr>
              <w:t>数量</w:t>
            </w:r>
          </w:p>
        </w:tc>
        <w:tc>
          <w:tcPr>
            <w:tcW w:w="5618" w:type="dxa"/>
            <w:vAlign w:val="center"/>
          </w:tcPr>
          <w:p w14:paraId="2A073E58">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u w:val="single"/>
              </w:rPr>
            </w:pPr>
            <w:r>
              <w:rPr>
                <w:rFonts w:hint="eastAsia" w:ascii="宋体" w:hAnsi="宋体" w:eastAsia="宋体" w:cs="Times New Roman"/>
                <w:b w:val="0"/>
                <w:color w:val="auto"/>
                <w:sz w:val="24"/>
                <w:szCs w:val="20"/>
                <w:highlight w:val="none"/>
                <w:u w:val="single"/>
                <w:lang w:val="en-US" w:eastAsia="zh-CN"/>
              </w:rPr>
              <w:t>推荐3名中标候选人</w:t>
            </w:r>
          </w:p>
        </w:tc>
      </w:tr>
      <w:tr w14:paraId="065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04E32F7">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2</w:t>
            </w:r>
            <w:r>
              <w:rPr>
                <w:rFonts w:hint="eastAsia" w:ascii="宋体" w:hAnsi="宋体" w:eastAsia="宋体" w:cs="Times New Roman"/>
                <w:bCs/>
                <w:color w:val="auto"/>
                <w:kern w:val="2"/>
                <w:sz w:val="20"/>
                <w:szCs w:val="20"/>
                <w:highlight w:val="none"/>
                <w:lang w:val="en-US" w:eastAsia="zh-CN"/>
              </w:rPr>
              <w:t>1</w:t>
            </w:r>
            <w:r>
              <w:rPr>
                <w:rFonts w:hint="default" w:ascii="宋体" w:hAnsi="宋体" w:eastAsia="宋体" w:cs="Times New Roman"/>
                <w:bCs/>
                <w:color w:val="auto"/>
                <w:kern w:val="2"/>
                <w:sz w:val="20"/>
                <w:szCs w:val="20"/>
                <w:highlight w:val="none"/>
              </w:rPr>
              <w:t>.</w:t>
            </w:r>
            <w:r>
              <w:rPr>
                <w:rFonts w:hint="eastAsia" w:ascii="宋体" w:hAnsi="宋体" w:eastAsia="宋体" w:cs="Times New Roman"/>
                <w:bCs/>
                <w:color w:val="auto"/>
                <w:kern w:val="2"/>
                <w:sz w:val="20"/>
                <w:szCs w:val="20"/>
                <w:highlight w:val="none"/>
              </w:rPr>
              <w:t>2</w:t>
            </w:r>
          </w:p>
        </w:tc>
        <w:tc>
          <w:tcPr>
            <w:tcW w:w="2033" w:type="dxa"/>
            <w:vAlign w:val="center"/>
          </w:tcPr>
          <w:p w14:paraId="5777334F">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确定中标人</w:t>
            </w:r>
          </w:p>
        </w:tc>
        <w:tc>
          <w:tcPr>
            <w:tcW w:w="5618" w:type="dxa"/>
            <w:vAlign w:val="center"/>
          </w:tcPr>
          <w:p w14:paraId="7A5713F2">
            <w:pPr>
              <w:spacing w:before="0" w:beforeAutospacing="0" w:after="0" w:afterAutospacing="0" w:line="360" w:lineRule="auto"/>
              <w:ind w:left="0" w:right="0"/>
              <w:rPr>
                <w:rFonts w:hint="default" w:ascii="宋体" w:hAnsi="宋体" w:eastAsia="宋体" w:cs="Times New Roman"/>
                <w:color w:val="auto"/>
                <w:kern w:val="0"/>
                <w:sz w:val="24"/>
                <w:szCs w:val="24"/>
                <w:highlight w:val="none"/>
              </w:rPr>
            </w:pPr>
            <w:r>
              <w:rPr>
                <w:rFonts w:hint="eastAsia" w:ascii="宋体" w:hAnsi="宋体" w:eastAsia="宋体" w:cs="Times New Roman"/>
                <w:b w:val="0"/>
                <w:bCs w:val="0"/>
                <w:color w:val="auto"/>
                <w:kern w:val="2"/>
                <w:sz w:val="24"/>
                <w:szCs w:val="24"/>
                <w:highlight w:val="none"/>
              </w:rPr>
              <w:t>□采购</w:t>
            </w:r>
            <w:r>
              <w:rPr>
                <w:rFonts w:hint="eastAsia" w:ascii="宋体" w:hAnsi="宋体" w:eastAsia="宋体" w:cs="Times New Roman"/>
                <w:color w:val="auto"/>
                <w:kern w:val="0"/>
                <w:sz w:val="24"/>
                <w:szCs w:val="24"/>
                <w:highlight w:val="none"/>
              </w:rPr>
              <w:t>人委托评标委员会确定</w:t>
            </w:r>
          </w:p>
          <w:p w14:paraId="1D3EB53E">
            <w:pPr>
              <w:spacing w:before="0" w:beforeAutospacing="0" w:after="0" w:afterAutospacing="0" w:line="360" w:lineRule="auto"/>
              <w:ind w:left="0" w:right="0"/>
              <w:rPr>
                <w:rFonts w:hint="default" w:ascii="宋体" w:hAnsi="宋体" w:eastAsia="宋体" w:cs="Times New Roman"/>
                <w:b w:val="0"/>
                <w:color w:val="auto"/>
                <w:sz w:val="24"/>
                <w:szCs w:val="20"/>
                <w:highlight w:val="none"/>
              </w:rPr>
            </w:pPr>
            <w:r>
              <w:rPr>
                <w:rFonts w:hint="eastAsia" w:ascii="宋体" w:hAnsi="宋体" w:eastAsia="宋体" w:cs="Times New Roman"/>
                <w:color w:val="auto"/>
                <w:kern w:val="0"/>
                <w:sz w:val="24"/>
                <w:szCs w:val="24"/>
                <w:highlight w:val="none"/>
              </w:rPr>
              <w:sym w:font="Wingdings" w:char="00FE"/>
            </w:r>
            <w:r>
              <w:rPr>
                <w:rFonts w:hint="eastAsia" w:ascii="宋体" w:hAnsi="宋体" w:eastAsia="宋体" w:cs="Times New Roman"/>
                <w:color w:val="auto"/>
                <w:kern w:val="0"/>
                <w:sz w:val="24"/>
                <w:szCs w:val="24"/>
                <w:highlight w:val="none"/>
              </w:rPr>
              <w:t>采购人确定</w:t>
            </w:r>
          </w:p>
        </w:tc>
      </w:tr>
      <w:tr w14:paraId="0107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7D28B5A">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default" w:ascii="宋体" w:hAnsi="宋体" w:eastAsia="宋体" w:cs="Times New Roman"/>
                <w:bCs/>
                <w:color w:val="auto"/>
                <w:kern w:val="2"/>
                <w:sz w:val="20"/>
                <w:szCs w:val="20"/>
                <w:highlight w:val="none"/>
              </w:rPr>
              <w:t>2</w:t>
            </w:r>
            <w:r>
              <w:rPr>
                <w:rFonts w:hint="eastAsia" w:ascii="宋体" w:hAnsi="宋体" w:eastAsia="宋体" w:cs="Times New Roman"/>
                <w:bCs/>
                <w:color w:val="auto"/>
                <w:kern w:val="2"/>
                <w:sz w:val="20"/>
                <w:szCs w:val="20"/>
                <w:highlight w:val="none"/>
                <w:lang w:val="en-US" w:eastAsia="zh-CN"/>
              </w:rPr>
              <w:t>3</w:t>
            </w:r>
            <w:r>
              <w:rPr>
                <w:rFonts w:hint="default" w:ascii="宋体" w:hAnsi="宋体" w:eastAsia="宋体" w:cs="Times New Roman"/>
                <w:bCs/>
                <w:color w:val="auto"/>
                <w:kern w:val="2"/>
                <w:sz w:val="20"/>
                <w:szCs w:val="20"/>
                <w:highlight w:val="none"/>
              </w:rPr>
              <w:t>.3</w:t>
            </w:r>
          </w:p>
        </w:tc>
        <w:tc>
          <w:tcPr>
            <w:tcW w:w="2033" w:type="dxa"/>
            <w:vAlign w:val="center"/>
          </w:tcPr>
          <w:p w14:paraId="5A6D47FE">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随中标结果公告同时</w:t>
            </w:r>
            <w:r>
              <w:rPr>
                <w:rFonts w:hint="eastAsia" w:ascii="宋体" w:hAnsi="宋体" w:eastAsia="宋体" w:cs="Times New Roman"/>
                <w:b w:val="0"/>
                <w:color w:val="auto"/>
                <w:sz w:val="24"/>
                <w:szCs w:val="20"/>
                <w:highlight w:val="none"/>
                <w:lang w:val="en-US" w:eastAsia="zh-CN"/>
              </w:rPr>
              <w:t>公告</w:t>
            </w:r>
            <w:r>
              <w:rPr>
                <w:rFonts w:hint="eastAsia" w:ascii="宋体" w:hAnsi="宋体" w:eastAsia="宋体" w:cs="Times New Roman"/>
                <w:b w:val="0"/>
                <w:color w:val="auto"/>
                <w:sz w:val="24"/>
                <w:szCs w:val="20"/>
                <w:highlight w:val="none"/>
              </w:rPr>
              <w:t>的内容</w:t>
            </w:r>
          </w:p>
        </w:tc>
        <w:tc>
          <w:tcPr>
            <w:tcW w:w="5618" w:type="dxa"/>
            <w:vAlign w:val="center"/>
          </w:tcPr>
          <w:p w14:paraId="501ECACF">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u w:val="none"/>
              </w:rPr>
            </w:pPr>
            <w:r>
              <w:rPr>
                <w:rFonts w:hint="eastAsia" w:ascii="宋体" w:hAnsi="宋体" w:eastAsia="宋体" w:cs="Times New Roman"/>
                <w:b w:val="0"/>
                <w:color w:val="auto"/>
                <w:sz w:val="24"/>
                <w:szCs w:val="20"/>
                <w:highlight w:val="none"/>
                <w:u w:val="none"/>
              </w:rPr>
              <w:t>（</w:t>
            </w:r>
            <w:r>
              <w:rPr>
                <w:rFonts w:hint="eastAsia" w:ascii="宋体" w:hAnsi="宋体" w:eastAsia="宋体" w:cs="Times New Roman"/>
                <w:b w:val="0"/>
                <w:color w:val="auto"/>
                <w:sz w:val="24"/>
                <w:szCs w:val="20"/>
                <w:highlight w:val="none"/>
                <w:u w:val="none"/>
                <w:lang w:val="en-US" w:eastAsia="zh-CN"/>
              </w:rPr>
              <w:t>1</w:t>
            </w:r>
            <w:r>
              <w:rPr>
                <w:rFonts w:hint="eastAsia" w:ascii="宋体" w:hAnsi="宋体" w:eastAsia="宋体" w:cs="Times New Roman"/>
                <w:b w:val="0"/>
                <w:color w:val="auto"/>
                <w:sz w:val="24"/>
                <w:szCs w:val="20"/>
                <w:highlight w:val="none"/>
                <w:u w:val="none"/>
              </w:rPr>
              <w:t>）中小企业声明函；</w:t>
            </w:r>
            <w:r>
              <w:rPr>
                <w:rFonts w:hint="eastAsia" w:ascii="宋体" w:hAnsi="宋体" w:eastAsia="宋体" w:cs="Times New Roman"/>
                <w:b w:val="0"/>
                <w:i/>
                <w:iCs/>
                <w:color w:val="auto"/>
                <w:sz w:val="24"/>
                <w:szCs w:val="20"/>
                <w:highlight w:val="none"/>
                <w:u w:val="none"/>
              </w:rPr>
              <w:t>（如有）</w:t>
            </w:r>
          </w:p>
          <w:p w14:paraId="672E2116">
            <w:pPr>
              <w:pStyle w:val="43"/>
              <w:widowControl w:val="0"/>
              <w:spacing w:before="0" w:beforeAutospacing="0" w:after="0" w:afterAutospacing="0" w:line="360" w:lineRule="auto"/>
              <w:ind w:left="0" w:right="0"/>
              <w:jc w:val="both"/>
              <w:rPr>
                <w:rFonts w:hint="default" w:ascii="宋体" w:hAnsi="宋体" w:eastAsia="宋体" w:cs="Times New Roman"/>
                <w:b w:val="0"/>
                <w:i/>
                <w:color w:val="auto"/>
                <w:sz w:val="24"/>
                <w:szCs w:val="20"/>
                <w:highlight w:val="none"/>
                <w:u w:val="none"/>
              </w:rPr>
            </w:pPr>
            <w:r>
              <w:rPr>
                <w:rFonts w:hint="eastAsia" w:ascii="宋体" w:hAnsi="宋体" w:eastAsia="宋体" w:cs="Times New Roman"/>
                <w:b w:val="0"/>
                <w:color w:val="auto"/>
                <w:sz w:val="24"/>
                <w:szCs w:val="20"/>
                <w:highlight w:val="none"/>
                <w:u w:val="none"/>
              </w:rPr>
              <w:t>（</w:t>
            </w:r>
            <w:r>
              <w:rPr>
                <w:rFonts w:hint="eastAsia" w:ascii="宋体" w:hAnsi="宋体" w:eastAsia="宋体" w:cs="Times New Roman"/>
                <w:b w:val="0"/>
                <w:color w:val="auto"/>
                <w:sz w:val="24"/>
                <w:szCs w:val="20"/>
                <w:highlight w:val="none"/>
                <w:u w:val="none"/>
                <w:lang w:val="en-US" w:eastAsia="zh-CN"/>
              </w:rPr>
              <w:t>2</w:t>
            </w:r>
            <w:r>
              <w:rPr>
                <w:rFonts w:hint="eastAsia" w:ascii="宋体" w:hAnsi="宋体" w:eastAsia="宋体" w:cs="Times New Roman"/>
                <w:b w:val="0"/>
                <w:color w:val="auto"/>
                <w:sz w:val="24"/>
                <w:szCs w:val="20"/>
                <w:highlight w:val="none"/>
                <w:u w:val="none"/>
              </w:rPr>
              <w:t>）残疾人福利性单位声明函；</w:t>
            </w:r>
            <w:r>
              <w:rPr>
                <w:rFonts w:hint="eastAsia" w:ascii="宋体" w:hAnsi="宋体" w:eastAsia="宋体" w:cs="Times New Roman"/>
                <w:b w:val="0"/>
                <w:i/>
                <w:iCs/>
                <w:color w:val="auto"/>
                <w:sz w:val="24"/>
                <w:szCs w:val="20"/>
                <w:highlight w:val="none"/>
                <w:u w:val="none"/>
              </w:rPr>
              <w:t>（如有）</w:t>
            </w:r>
          </w:p>
          <w:p w14:paraId="36286FD4">
            <w:pPr>
              <w:pStyle w:val="43"/>
              <w:widowControl w:val="0"/>
              <w:spacing w:before="0" w:beforeAutospacing="0" w:after="0" w:afterAutospacing="0" w:line="360" w:lineRule="auto"/>
              <w:ind w:left="0" w:right="0"/>
              <w:jc w:val="both"/>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color w:val="auto"/>
                <w:sz w:val="24"/>
                <w:szCs w:val="20"/>
                <w:highlight w:val="none"/>
                <w:u w:val="none"/>
              </w:rPr>
              <w:t>（</w:t>
            </w:r>
            <w:r>
              <w:rPr>
                <w:rFonts w:hint="eastAsia" w:ascii="宋体" w:hAnsi="宋体" w:eastAsia="宋体" w:cs="Times New Roman"/>
                <w:b w:val="0"/>
                <w:color w:val="auto"/>
                <w:sz w:val="24"/>
                <w:szCs w:val="20"/>
                <w:highlight w:val="none"/>
                <w:u w:val="none"/>
                <w:lang w:val="en-US" w:eastAsia="zh-CN"/>
              </w:rPr>
              <w:t>3</w:t>
            </w:r>
            <w:r>
              <w:rPr>
                <w:rFonts w:hint="eastAsia" w:ascii="宋体" w:hAnsi="宋体" w:eastAsia="宋体" w:cs="Times New Roman"/>
                <w:b w:val="0"/>
                <w:color w:val="auto"/>
                <w:sz w:val="24"/>
                <w:szCs w:val="20"/>
                <w:highlight w:val="none"/>
                <w:u w:val="none"/>
              </w:rPr>
              <w:t>）中标</w:t>
            </w:r>
            <w:r>
              <w:rPr>
                <w:rFonts w:hint="eastAsia" w:ascii="宋体" w:hAnsi="宋体" w:eastAsia="宋体" w:cs="Times New Roman"/>
                <w:b w:val="0"/>
                <w:color w:val="auto"/>
                <w:sz w:val="24"/>
                <w:szCs w:val="20"/>
                <w:highlight w:val="none"/>
                <w:u w:val="none"/>
                <w:lang w:eastAsia="zh-CN"/>
              </w:rPr>
              <w:t>（</w:t>
            </w:r>
            <w:r>
              <w:rPr>
                <w:rFonts w:hint="eastAsia" w:ascii="宋体" w:hAnsi="宋体" w:eastAsia="宋体" w:cs="Times New Roman"/>
                <w:b w:val="0"/>
                <w:color w:val="auto"/>
                <w:sz w:val="24"/>
                <w:szCs w:val="20"/>
                <w:highlight w:val="none"/>
                <w:u w:val="none"/>
              </w:rPr>
              <w:t>成交</w:t>
            </w:r>
            <w:r>
              <w:rPr>
                <w:rFonts w:hint="eastAsia" w:ascii="宋体" w:hAnsi="宋体" w:eastAsia="宋体" w:cs="Times New Roman"/>
                <w:b w:val="0"/>
                <w:color w:val="auto"/>
                <w:sz w:val="24"/>
                <w:szCs w:val="20"/>
                <w:highlight w:val="none"/>
                <w:u w:val="none"/>
                <w:lang w:eastAsia="zh-CN"/>
              </w:rPr>
              <w:t>）</w:t>
            </w:r>
            <w:r>
              <w:rPr>
                <w:rFonts w:hint="eastAsia" w:ascii="宋体" w:hAnsi="宋体" w:eastAsia="宋体" w:cs="Times New Roman"/>
                <w:b w:val="0"/>
                <w:color w:val="auto"/>
                <w:sz w:val="24"/>
                <w:szCs w:val="20"/>
                <w:highlight w:val="none"/>
                <w:u w:val="none"/>
              </w:rPr>
              <w:t>供应商的评审总得分</w:t>
            </w:r>
            <w:r>
              <w:rPr>
                <w:rFonts w:hint="eastAsia" w:ascii="宋体" w:hAnsi="宋体" w:eastAsia="宋体" w:cs="Times New Roman"/>
                <w:b w:val="0"/>
                <w:color w:val="auto"/>
                <w:sz w:val="24"/>
                <w:szCs w:val="20"/>
                <w:highlight w:val="none"/>
                <w:u w:val="none"/>
                <w:lang w:eastAsia="zh-CN"/>
              </w:rPr>
              <w:t>。</w:t>
            </w:r>
          </w:p>
        </w:tc>
      </w:tr>
      <w:tr w14:paraId="4DC6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F203A01">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2</w:t>
            </w:r>
            <w:r>
              <w:rPr>
                <w:rFonts w:hint="eastAsia" w:ascii="宋体" w:hAnsi="宋体" w:eastAsia="宋体" w:cs="Times New Roman"/>
                <w:bCs/>
                <w:color w:val="auto"/>
                <w:kern w:val="2"/>
                <w:sz w:val="20"/>
                <w:szCs w:val="20"/>
                <w:highlight w:val="none"/>
                <w:lang w:val="en-US" w:eastAsia="zh-CN"/>
              </w:rPr>
              <w:t>4</w:t>
            </w:r>
            <w:r>
              <w:rPr>
                <w:rFonts w:hint="default" w:ascii="宋体" w:hAnsi="宋体" w:eastAsia="宋体" w:cs="Times New Roman"/>
                <w:bCs/>
                <w:color w:val="auto"/>
                <w:kern w:val="2"/>
                <w:sz w:val="20"/>
                <w:szCs w:val="20"/>
                <w:highlight w:val="none"/>
              </w:rPr>
              <w:t>.1</w:t>
            </w:r>
          </w:p>
        </w:tc>
        <w:tc>
          <w:tcPr>
            <w:tcW w:w="2033" w:type="dxa"/>
            <w:vAlign w:val="center"/>
          </w:tcPr>
          <w:p w14:paraId="410B2EB4">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中标通知书发出的形式</w:t>
            </w:r>
          </w:p>
        </w:tc>
        <w:tc>
          <w:tcPr>
            <w:tcW w:w="5618" w:type="dxa"/>
            <w:vAlign w:val="center"/>
          </w:tcPr>
          <w:p w14:paraId="530D8D73">
            <w:pPr>
              <w:pStyle w:val="43"/>
              <w:widowControl w:val="0"/>
              <w:spacing w:before="0" w:beforeAutospacing="0" w:after="0" w:afterAutospacing="0" w:line="360" w:lineRule="auto"/>
              <w:ind w:left="0" w:right="0"/>
              <w:jc w:val="both"/>
              <w:rPr>
                <w:rFonts w:hint="default"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 xml:space="preserve">□书面 </w:t>
            </w:r>
            <w:r>
              <w:rPr>
                <w:rFonts w:hint="default" w:ascii="宋体" w:hAnsi="宋体" w:eastAsia="宋体" w:cs="Times New Roman"/>
                <w:b w:val="0"/>
                <w:bCs w:val="0"/>
                <w:color w:val="auto"/>
                <w:sz w:val="24"/>
                <w:szCs w:val="24"/>
                <w:highlight w:val="none"/>
              </w:rPr>
              <w:t xml:space="preserve">    </w:t>
            </w:r>
            <w:r>
              <w:rPr>
                <w:rFonts w:hint="eastAsia" w:ascii="宋体" w:hAnsi="宋体" w:eastAsia="宋体" w:cs="Times New Roman"/>
                <w:b w:val="0"/>
                <w:bCs w:val="0"/>
                <w:color w:val="auto"/>
                <w:sz w:val="24"/>
                <w:szCs w:val="24"/>
                <w:highlight w:val="none"/>
              </w:rPr>
              <w:sym w:font="Wingdings" w:char="00FE"/>
            </w:r>
            <w:r>
              <w:rPr>
                <w:rFonts w:hint="eastAsia" w:ascii="宋体" w:hAnsi="宋体" w:eastAsia="宋体" w:cs="Times New Roman"/>
                <w:b w:val="0"/>
                <w:bCs w:val="0"/>
                <w:color w:val="auto"/>
                <w:sz w:val="24"/>
                <w:szCs w:val="24"/>
                <w:highlight w:val="none"/>
              </w:rPr>
              <w:t>数据电文</w:t>
            </w:r>
          </w:p>
        </w:tc>
      </w:tr>
      <w:tr w14:paraId="61C2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C4B1906">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25</w:t>
            </w:r>
            <w:r>
              <w:rPr>
                <w:rFonts w:hint="default" w:ascii="宋体" w:hAnsi="宋体" w:eastAsia="宋体" w:cs="Times New Roman"/>
                <w:bCs/>
                <w:color w:val="auto"/>
                <w:kern w:val="2"/>
                <w:sz w:val="20"/>
                <w:szCs w:val="20"/>
                <w:highlight w:val="none"/>
              </w:rPr>
              <w:t>.1</w:t>
            </w:r>
          </w:p>
        </w:tc>
        <w:tc>
          <w:tcPr>
            <w:tcW w:w="2033" w:type="dxa"/>
            <w:vAlign w:val="center"/>
          </w:tcPr>
          <w:p w14:paraId="208EA8A1">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告知招标结果的形式</w:t>
            </w:r>
          </w:p>
        </w:tc>
        <w:tc>
          <w:tcPr>
            <w:tcW w:w="5618" w:type="dxa"/>
            <w:vAlign w:val="center"/>
          </w:tcPr>
          <w:p w14:paraId="37719654">
            <w:pPr>
              <w:spacing w:before="0" w:beforeAutospacing="0" w:after="0" w:afterAutospacing="0" w:line="360" w:lineRule="auto"/>
              <w:ind w:left="0" w:right="0"/>
              <w:rPr>
                <w:rFonts w:hint="default" w:ascii="宋体" w:hAnsi="宋体" w:eastAsia="宋体" w:cs="Times New Roman"/>
                <w:color w:val="auto"/>
                <w:kern w:val="0"/>
                <w:sz w:val="24"/>
                <w:szCs w:val="24"/>
                <w:highlight w:val="none"/>
              </w:rPr>
            </w:pPr>
            <w:r>
              <w:rPr>
                <w:rFonts w:hint="eastAsia" w:ascii="宋体" w:hAnsi="宋体" w:eastAsia="宋体" w:cs="Times New Roman"/>
                <w:b w:val="0"/>
                <w:bCs w:val="0"/>
                <w:color w:val="auto"/>
                <w:kern w:val="0"/>
                <w:sz w:val="24"/>
                <w:szCs w:val="24"/>
                <w:highlight w:val="none"/>
              </w:rPr>
              <w:sym w:font="Wingdings" w:char="00FE"/>
            </w:r>
            <w:r>
              <w:rPr>
                <w:rFonts w:hint="eastAsia" w:ascii="宋体" w:hAnsi="宋体" w:eastAsia="宋体" w:cs="Times New Roman"/>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Times New Roman"/>
                <w:color w:val="auto"/>
                <w:kern w:val="0"/>
                <w:sz w:val="24"/>
                <w:szCs w:val="24"/>
                <w:highlight w:val="none"/>
              </w:rPr>
              <w:t>系统查看</w:t>
            </w:r>
          </w:p>
          <w:p w14:paraId="539F3D8D">
            <w:pPr>
              <w:pStyle w:val="43"/>
              <w:widowControl w:val="0"/>
              <w:spacing w:before="0" w:beforeAutospacing="0" w:after="0" w:afterAutospacing="0" w:line="360" w:lineRule="auto"/>
              <w:ind w:left="0" w:right="0"/>
              <w:jc w:val="both"/>
              <w:rPr>
                <w:rFonts w:hint="default" w:ascii="宋体" w:hAnsi="宋体" w:eastAsia="宋体" w:cs="Times New Roman"/>
                <w:b w:val="0"/>
                <w:bCs w:val="0"/>
                <w:color w:val="auto"/>
                <w:kern w:val="2"/>
                <w:sz w:val="24"/>
                <w:szCs w:val="24"/>
                <w:highlight w:val="none"/>
                <w:lang w:val="en-US" w:eastAsia="zh-CN"/>
              </w:rPr>
            </w:pPr>
            <w:r>
              <w:rPr>
                <w:rFonts w:hint="eastAsia" w:ascii="宋体" w:hAnsi="宋体" w:eastAsia="宋体" w:cs="Times New Roman"/>
                <w:b w:val="0"/>
                <w:bCs w:val="0"/>
                <w:color w:val="auto"/>
                <w:kern w:val="2"/>
                <w:sz w:val="24"/>
                <w:szCs w:val="24"/>
                <w:highlight w:val="none"/>
              </w:rPr>
              <w:t>□评标现场告知</w:t>
            </w:r>
          </w:p>
        </w:tc>
      </w:tr>
      <w:tr w14:paraId="588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1006" w:type="dxa"/>
            <w:vAlign w:val="center"/>
          </w:tcPr>
          <w:p w14:paraId="4ADDDE64">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26</w:t>
            </w:r>
            <w:r>
              <w:rPr>
                <w:rFonts w:hint="default" w:ascii="宋体" w:hAnsi="宋体" w:eastAsia="宋体" w:cs="Times New Roman"/>
                <w:bCs/>
                <w:color w:val="auto"/>
                <w:kern w:val="2"/>
                <w:sz w:val="20"/>
                <w:szCs w:val="20"/>
                <w:highlight w:val="none"/>
              </w:rPr>
              <w:t>.1</w:t>
            </w:r>
          </w:p>
        </w:tc>
        <w:tc>
          <w:tcPr>
            <w:tcW w:w="2033" w:type="dxa"/>
            <w:vAlign w:val="center"/>
          </w:tcPr>
          <w:p w14:paraId="701745C7">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履约保证金</w:t>
            </w:r>
          </w:p>
        </w:tc>
        <w:tc>
          <w:tcPr>
            <w:tcW w:w="5618" w:type="dxa"/>
            <w:vAlign w:val="top"/>
          </w:tcPr>
          <w:p w14:paraId="07B9ABF3">
            <w:pPr>
              <w:spacing w:before="0" w:beforeAutospacing="0" w:after="0" w:afterAutospacing="0" w:line="360" w:lineRule="auto"/>
              <w:ind w:left="0" w:right="0"/>
              <w:rPr>
                <w:rFonts w:hint="default"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rPr>
              <w:t>（1）金额：</w:t>
            </w:r>
          </w:p>
          <w:p w14:paraId="0F5764B0">
            <w:pPr>
              <w:spacing w:before="0" w:beforeAutospacing="0" w:after="0" w:afterAutospacing="0" w:line="360" w:lineRule="auto"/>
              <w:ind w:left="0" w:right="0"/>
              <w:rPr>
                <w:rFonts w:hint="default"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eastAsia="zh-CN"/>
              </w:rPr>
              <w:t>☑</w:t>
            </w:r>
            <w:r>
              <w:rPr>
                <w:rFonts w:hint="eastAsia" w:ascii="宋体" w:hAnsi="宋体" w:eastAsia="宋体" w:cs="Times New Roman"/>
                <w:bCs/>
                <w:color w:val="auto"/>
                <w:kern w:val="0"/>
                <w:sz w:val="24"/>
                <w:szCs w:val="28"/>
                <w:highlight w:val="none"/>
              </w:rPr>
              <w:t>免收</w:t>
            </w:r>
          </w:p>
          <w:p w14:paraId="7F52D27F">
            <w:pPr>
              <w:spacing w:before="0" w:beforeAutospacing="0" w:after="0" w:afterAutospacing="0" w:line="360" w:lineRule="auto"/>
              <w:ind w:left="0" w:right="0"/>
              <w:rPr>
                <w:rFonts w:hint="default" w:ascii="宋体" w:hAnsi="宋体" w:eastAsia="宋体" w:cs="Times New Roman"/>
                <w:bCs/>
                <w:color w:val="auto"/>
                <w:kern w:val="0"/>
                <w:sz w:val="24"/>
                <w:szCs w:val="28"/>
                <w:highlight w:val="none"/>
              </w:rPr>
            </w:pPr>
            <w:r>
              <w:rPr>
                <w:rFonts w:hint="default" w:ascii="宋体" w:hAnsi="宋体" w:eastAsia="宋体" w:cs="Times New Roman"/>
                <w:bCs/>
                <w:color w:val="auto"/>
                <w:kern w:val="0"/>
                <w:sz w:val="24"/>
                <w:szCs w:val="28"/>
                <w:highlight w:val="none"/>
              </w:rPr>
              <w:t>□</w:t>
            </w:r>
            <w:r>
              <w:rPr>
                <w:rFonts w:hint="eastAsia" w:ascii="宋体" w:hAnsi="宋体" w:eastAsia="宋体" w:cs="Times New Roman"/>
                <w:bCs/>
                <w:color w:val="auto"/>
                <w:kern w:val="0"/>
                <w:sz w:val="24"/>
                <w:szCs w:val="28"/>
                <w:highlight w:val="none"/>
              </w:rPr>
              <w:t>合同价的</w:t>
            </w:r>
            <w:r>
              <w:rPr>
                <w:rFonts w:hint="default" w:ascii="宋体" w:hAnsi="宋体" w:eastAsia="宋体" w:cs="Times New Roman"/>
                <w:bCs/>
                <w:color w:val="auto"/>
                <w:kern w:val="0"/>
                <w:sz w:val="24"/>
                <w:szCs w:val="28"/>
                <w:highlight w:val="none"/>
                <w:u w:val="single"/>
              </w:rPr>
              <w:t xml:space="preserve">  </w:t>
            </w:r>
            <w:r>
              <w:rPr>
                <w:rFonts w:hint="eastAsia" w:ascii="宋体" w:hAnsi="宋体" w:eastAsia="宋体" w:cs="Times New Roman"/>
                <w:bCs/>
                <w:color w:val="auto"/>
                <w:kern w:val="0"/>
                <w:sz w:val="24"/>
                <w:szCs w:val="28"/>
                <w:highlight w:val="none"/>
                <w:u w:val="single"/>
                <w:lang w:val="en-US" w:eastAsia="zh-CN"/>
              </w:rPr>
              <w:t>/</w:t>
            </w:r>
            <w:r>
              <w:rPr>
                <w:rFonts w:hint="default" w:ascii="宋体" w:hAnsi="宋体" w:eastAsia="宋体" w:cs="Times New Roman"/>
                <w:bCs/>
                <w:color w:val="auto"/>
                <w:kern w:val="0"/>
                <w:sz w:val="24"/>
                <w:szCs w:val="28"/>
                <w:highlight w:val="none"/>
                <w:u w:val="single"/>
              </w:rPr>
              <w:t xml:space="preserve"> </w:t>
            </w:r>
            <w:r>
              <w:rPr>
                <w:rFonts w:hint="default" w:ascii="宋体" w:hAnsi="宋体" w:eastAsia="宋体" w:cs="Times New Roman"/>
                <w:bCs/>
                <w:color w:val="auto"/>
                <w:kern w:val="0"/>
                <w:sz w:val="24"/>
                <w:szCs w:val="28"/>
                <w:highlight w:val="none"/>
              </w:rPr>
              <w:t>%</w:t>
            </w:r>
          </w:p>
          <w:p w14:paraId="06F358E0">
            <w:pPr>
              <w:spacing w:before="0" w:beforeAutospacing="0" w:after="0" w:afterAutospacing="0" w:line="360" w:lineRule="auto"/>
              <w:ind w:left="0" w:right="0"/>
              <w:rPr>
                <w:rFonts w:hint="default" w:ascii="宋体" w:hAnsi="宋体" w:eastAsia="宋体" w:cs="Times New Roman"/>
                <w:bCs/>
                <w:color w:val="auto"/>
                <w:kern w:val="0"/>
                <w:sz w:val="24"/>
                <w:szCs w:val="28"/>
                <w:highlight w:val="none"/>
              </w:rPr>
            </w:pPr>
            <w:r>
              <w:rPr>
                <w:rFonts w:hint="default" w:ascii="宋体" w:hAnsi="宋体" w:eastAsia="宋体" w:cs="Times New Roman"/>
                <w:bCs/>
                <w:color w:val="auto"/>
                <w:kern w:val="0"/>
                <w:sz w:val="24"/>
                <w:szCs w:val="28"/>
                <w:highlight w:val="none"/>
              </w:rPr>
              <w:t>□</w:t>
            </w:r>
            <w:r>
              <w:rPr>
                <w:rFonts w:hint="eastAsia" w:ascii="宋体" w:hAnsi="宋体" w:eastAsia="宋体" w:cs="Times New Roman"/>
                <w:bCs/>
                <w:color w:val="auto"/>
                <w:kern w:val="0"/>
                <w:sz w:val="24"/>
                <w:szCs w:val="28"/>
                <w:highlight w:val="none"/>
              </w:rPr>
              <w:t>定额收取：人民币</w:t>
            </w:r>
            <w:r>
              <w:rPr>
                <w:rFonts w:hint="eastAsia" w:ascii="宋体" w:hAnsi="宋体" w:eastAsia="宋体" w:cs="Times New Roman"/>
                <w:bCs/>
                <w:color w:val="auto"/>
                <w:kern w:val="0"/>
                <w:sz w:val="24"/>
                <w:szCs w:val="28"/>
                <w:highlight w:val="none"/>
                <w:u w:val="single"/>
              </w:rPr>
              <w:t xml:space="preserve">   /     </w:t>
            </w:r>
            <w:r>
              <w:rPr>
                <w:rFonts w:hint="eastAsia" w:ascii="宋体" w:hAnsi="宋体" w:eastAsia="宋体" w:cs="Times New Roman"/>
                <w:bCs/>
                <w:color w:val="auto"/>
                <w:kern w:val="0"/>
                <w:sz w:val="24"/>
                <w:szCs w:val="28"/>
                <w:highlight w:val="none"/>
              </w:rPr>
              <w:t>元</w:t>
            </w:r>
          </w:p>
          <w:p w14:paraId="75549702">
            <w:pPr>
              <w:spacing w:before="0" w:beforeAutospacing="0" w:after="0" w:afterAutospacing="0" w:line="360" w:lineRule="auto"/>
              <w:ind w:left="0" w:right="0"/>
              <w:rPr>
                <w:rFonts w:hint="default"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rPr>
              <w:t>（2）支付方式：</w:t>
            </w:r>
          </w:p>
          <w:p w14:paraId="38DB4245">
            <w:pPr>
              <w:spacing w:before="0" w:beforeAutospacing="0" w:after="0" w:afterAutospacing="0" w:line="360" w:lineRule="auto"/>
              <w:ind w:left="0" w:right="0"/>
              <w:rPr>
                <w:rFonts w:hint="default"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rPr>
              <w:sym w:font="Wingdings" w:char="00A8"/>
            </w:r>
            <w:r>
              <w:rPr>
                <w:rFonts w:hint="default" w:ascii="宋体" w:hAnsi="宋体" w:eastAsia="宋体" w:cs="Times New Roman"/>
                <w:bCs/>
                <w:color w:val="auto"/>
                <w:kern w:val="0"/>
                <w:sz w:val="24"/>
                <w:szCs w:val="28"/>
                <w:highlight w:val="none"/>
              </w:rPr>
              <w:t>转账/电汇</w:t>
            </w:r>
            <w:r>
              <w:rPr>
                <w:rFonts w:hint="eastAsia" w:ascii="宋体" w:hAnsi="宋体" w:eastAsia="宋体" w:cs="Times New Roman"/>
                <w:bCs/>
                <w:color w:val="auto"/>
                <w:kern w:val="0"/>
                <w:sz w:val="24"/>
                <w:szCs w:val="28"/>
                <w:highlight w:val="none"/>
              </w:rPr>
              <w:t xml:space="preserve"> </w:t>
            </w:r>
            <w:r>
              <w:rPr>
                <w:rFonts w:hint="eastAsia" w:ascii="宋体" w:hAnsi="宋体" w:eastAsia="宋体" w:cs="Times New Roman"/>
                <w:bCs/>
                <w:color w:val="auto"/>
                <w:kern w:val="0"/>
                <w:sz w:val="24"/>
                <w:szCs w:val="28"/>
                <w:highlight w:val="none"/>
              </w:rPr>
              <w:sym w:font="Wingdings" w:char="00A8"/>
            </w:r>
            <w:r>
              <w:rPr>
                <w:rFonts w:hint="default" w:ascii="宋体" w:hAnsi="宋体" w:eastAsia="宋体" w:cs="Times New Roman"/>
                <w:bCs/>
                <w:color w:val="auto"/>
                <w:kern w:val="0"/>
                <w:sz w:val="24"/>
                <w:szCs w:val="28"/>
                <w:highlight w:val="none"/>
              </w:rPr>
              <w:t xml:space="preserve">支票 </w:t>
            </w:r>
            <w:r>
              <w:rPr>
                <w:rFonts w:hint="eastAsia" w:ascii="宋体" w:hAnsi="宋体" w:eastAsia="宋体" w:cs="Times New Roman"/>
                <w:bCs/>
                <w:color w:val="auto"/>
                <w:kern w:val="0"/>
                <w:sz w:val="24"/>
                <w:szCs w:val="28"/>
                <w:highlight w:val="none"/>
              </w:rPr>
              <w:sym w:font="Wingdings" w:char="00A8"/>
            </w:r>
            <w:r>
              <w:rPr>
                <w:rFonts w:hint="default" w:ascii="宋体" w:hAnsi="宋体" w:eastAsia="宋体" w:cs="Times New Roman"/>
                <w:bCs/>
                <w:color w:val="auto"/>
                <w:kern w:val="0"/>
                <w:sz w:val="24"/>
                <w:szCs w:val="28"/>
                <w:highlight w:val="none"/>
              </w:rPr>
              <w:t>汇票</w:t>
            </w:r>
            <w:r>
              <w:rPr>
                <w:rFonts w:hint="eastAsia" w:ascii="宋体" w:hAnsi="宋体" w:eastAsia="宋体" w:cs="Times New Roman"/>
                <w:bCs/>
                <w:color w:val="auto"/>
                <w:kern w:val="0"/>
                <w:sz w:val="24"/>
                <w:szCs w:val="28"/>
                <w:highlight w:val="none"/>
              </w:rPr>
              <w:t xml:space="preserve"> </w:t>
            </w:r>
            <w:r>
              <w:rPr>
                <w:rFonts w:hint="eastAsia" w:ascii="宋体" w:hAnsi="宋体" w:eastAsia="宋体" w:cs="Times New Roman"/>
                <w:bCs/>
                <w:color w:val="auto"/>
                <w:kern w:val="0"/>
                <w:sz w:val="24"/>
                <w:szCs w:val="28"/>
                <w:highlight w:val="none"/>
              </w:rPr>
              <w:sym w:font="Wingdings" w:char="00A8"/>
            </w:r>
            <w:r>
              <w:rPr>
                <w:rFonts w:hint="eastAsia" w:ascii="宋体" w:hAnsi="宋体" w:eastAsia="宋体" w:cs="Times New Roman"/>
                <w:bCs/>
                <w:color w:val="auto"/>
                <w:kern w:val="0"/>
                <w:sz w:val="24"/>
                <w:szCs w:val="28"/>
                <w:highlight w:val="none"/>
              </w:rPr>
              <w:t xml:space="preserve">本票 </w:t>
            </w:r>
            <w:r>
              <w:rPr>
                <w:rFonts w:hint="eastAsia" w:ascii="宋体" w:hAnsi="宋体" w:eastAsia="宋体" w:cs="Times New Roman"/>
                <w:bCs/>
                <w:color w:val="auto"/>
                <w:kern w:val="0"/>
                <w:sz w:val="24"/>
                <w:szCs w:val="28"/>
                <w:highlight w:val="none"/>
              </w:rPr>
              <w:sym w:font="Wingdings" w:char="00A8"/>
            </w:r>
            <w:r>
              <w:rPr>
                <w:rFonts w:hint="default" w:ascii="宋体" w:hAnsi="宋体" w:eastAsia="宋体" w:cs="Times New Roman"/>
                <w:bCs/>
                <w:color w:val="auto"/>
                <w:kern w:val="0"/>
                <w:sz w:val="24"/>
                <w:szCs w:val="28"/>
                <w:highlight w:val="none"/>
              </w:rPr>
              <w:t>保</w:t>
            </w:r>
            <w:r>
              <w:rPr>
                <w:rFonts w:hint="eastAsia" w:ascii="宋体" w:hAnsi="宋体" w:eastAsia="宋体" w:cs="Times New Roman"/>
                <w:bCs/>
                <w:color w:val="auto"/>
                <w:kern w:val="0"/>
                <w:sz w:val="24"/>
                <w:szCs w:val="28"/>
                <w:highlight w:val="none"/>
              </w:rPr>
              <w:t xml:space="preserve">险 </w:t>
            </w:r>
            <w:r>
              <w:rPr>
                <w:rFonts w:hint="eastAsia" w:ascii="宋体" w:hAnsi="宋体" w:eastAsia="宋体" w:cs="Times New Roman"/>
                <w:bCs/>
                <w:color w:val="auto"/>
                <w:kern w:val="0"/>
                <w:sz w:val="24"/>
                <w:szCs w:val="28"/>
                <w:highlight w:val="none"/>
              </w:rPr>
              <w:sym w:font="Wingdings" w:char="00A8"/>
            </w:r>
            <w:r>
              <w:rPr>
                <w:rFonts w:hint="eastAsia" w:ascii="宋体" w:hAnsi="宋体" w:eastAsia="宋体" w:cs="Times New Roman"/>
                <w:bCs/>
                <w:color w:val="auto"/>
                <w:kern w:val="0"/>
                <w:sz w:val="24"/>
                <w:szCs w:val="28"/>
                <w:highlight w:val="none"/>
              </w:rPr>
              <w:t>保</w:t>
            </w:r>
            <w:r>
              <w:rPr>
                <w:rFonts w:hint="default" w:ascii="宋体" w:hAnsi="宋体" w:eastAsia="宋体" w:cs="Times New Roman"/>
                <w:bCs/>
                <w:color w:val="auto"/>
                <w:kern w:val="0"/>
                <w:sz w:val="24"/>
                <w:szCs w:val="28"/>
                <w:highlight w:val="none"/>
              </w:rPr>
              <w:t>函</w:t>
            </w:r>
          </w:p>
          <w:p w14:paraId="45E80BE2">
            <w:pPr>
              <w:numPr>
                <w:ilvl w:val="0"/>
                <w:numId w:val="0"/>
              </w:numPr>
              <w:spacing w:before="0" w:beforeAutospacing="0" w:after="0" w:afterAutospacing="0" w:line="360" w:lineRule="auto"/>
              <w:ind w:left="0" w:right="0"/>
              <w:rPr>
                <w:rFonts w:hint="eastAsia"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eastAsia="zh-CN"/>
              </w:rPr>
              <w:t>（</w:t>
            </w:r>
            <w:r>
              <w:rPr>
                <w:rFonts w:hint="eastAsia" w:ascii="宋体" w:hAnsi="宋体" w:eastAsia="宋体" w:cs="Times New Roman"/>
                <w:bCs/>
                <w:color w:val="auto"/>
                <w:kern w:val="0"/>
                <w:sz w:val="24"/>
                <w:szCs w:val="28"/>
                <w:highlight w:val="none"/>
                <w:lang w:val="en-US" w:eastAsia="zh-CN"/>
              </w:rPr>
              <w:t>3</w:t>
            </w:r>
            <w:r>
              <w:rPr>
                <w:rFonts w:hint="eastAsia" w:ascii="宋体" w:hAnsi="宋体" w:eastAsia="宋体" w:cs="Times New Roman"/>
                <w:bCs/>
                <w:color w:val="auto"/>
                <w:kern w:val="0"/>
                <w:sz w:val="24"/>
                <w:szCs w:val="28"/>
                <w:highlight w:val="none"/>
                <w:lang w:eastAsia="zh-CN"/>
              </w:rPr>
              <w:t>）</w:t>
            </w:r>
            <w:r>
              <w:rPr>
                <w:rFonts w:hint="eastAsia" w:ascii="宋体" w:hAnsi="宋体" w:eastAsia="宋体" w:cs="Times New Roman"/>
                <w:bCs/>
                <w:color w:val="auto"/>
                <w:kern w:val="0"/>
                <w:sz w:val="24"/>
                <w:szCs w:val="28"/>
                <w:highlight w:val="none"/>
              </w:rPr>
              <w:t>收取单位：</w:t>
            </w:r>
            <w:r>
              <w:rPr>
                <w:rFonts w:hint="eastAsia" w:ascii="宋体" w:hAnsi="宋体" w:eastAsia="宋体" w:cs="Times New Roman"/>
                <w:bCs/>
                <w:color w:val="auto"/>
                <w:kern w:val="0"/>
                <w:sz w:val="24"/>
                <w:szCs w:val="28"/>
                <w:highlight w:val="none"/>
                <w:u w:val="single"/>
              </w:rPr>
              <w:t xml:space="preserve">   /          </w:t>
            </w:r>
            <w:r>
              <w:rPr>
                <w:rFonts w:hint="eastAsia" w:ascii="宋体" w:hAnsi="宋体" w:eastAsia="宋体" w:cs="Times New Roman"/>
                <w:bCs/>
                <w:color w:val="auto"/>
                <w:kern w:val="0"/>
                <w:sz w:val="24"/>
                <w:szCs w:val="28"/>
                <w:highlight w:val="none"/>
              </w:rPr>
              <w:t xml:space="preserve">              </w:t>
            </w:r>
          </w:p>
          <w:p w14:paraId="1BF1BEDE">
            <w:pPr>
              <w:spacing w:before="0" w:beforeAutospacing="0" w:after="0" w:afterAutospacing="0" w:line="360" w:lineRule="auto"/>
              <w:ind w:left="0" w:right="0"/>
              <w:rPr>
                <w:rFonts w:hint="eastAsia"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val="en-US" w:eastAsia="zh-CN"/>
              </w:rPr>
              <w:t>（4）收取账号：</w:t>
            </w:r>
            <w:r>
              <w:rPr>
                <w:rFonts w:hint="eastAsia" w:ascii="宋体" w:hAnsi="宋体" w:eastAsia="宋体" w:cs="Times New Roman"/>
                <w:bCs/>
                <w:color w:val="auto"/>
                <w:kern w:val="0"/>
                <w:sz w:val="24"/>
                <w:szCs w:val="28"/>
                <w:highlight w:val="none"/>
                <w:u w:val="single"/>
              </w:rPr>
              <w:t xml:space="preserve">   /          </w:t>
            </w:r>
          </w:p>
          <w:p w14:paraId="4538484F">
            <w:pPr>
              <w:spacing w:before="0" w:beforeAutospacing="0" w:after="0" w:afterAutospacing="0" w:line="360" w:lineRule="auto"/>
              <w:ind w:left="0" w:right="0"/>
              <w:rPr>
                <w:rFonts w:hint="default" w:ascii="宋体" w:hAnsi="宋体" w:eastAsia="宋体" w:cs="Times New Roman"/>
                <w:color w:val="auto"/>
                <w:sz w:val="24"/>
                <w:szCs w:val="20"/>
                <w:highlight w:val="none"/>
              </w:rPr>
            </w:pPr>
            <w:r>
              <w:rPr>
                <w:rFonts w:hint="eastAsia" w:ascii="宋体" w:hAnsi="宋体" w:eastAsia="宋体" w:cs="Times New Roman"/>
                <w:bCs/>
                <w:color w:val="auto"/>
                <w:kern w:val="0"/>
                <w:sz w:val="24"/>
                <w:szCs w:val="28"/>
                <w:highlight w:val="none"/>
              </w:rPr>
              <w:t>（</w:t>
            </w:r>
            <w:r>
              <w:rPr>
                <w:rFonts w:hint="eastAsia" w:ascii="宋体" w:hAnsi="宋体" w:eastAsia="宋体" w:cs="Times New Roman"/>
                <w:bCs/>
                <w:color w:val="auto"/>
                <w:kern w:val="0"/>
                <w:sz w:val="24"/>
                <w:szCs w:val="28"/>
                <w:highlight w:val="none"/>
                <w:lang w:val="en-US" w:eastAsia="zh-CN"/>
              </w:rPr>
              <w:t>5</w:t>
            </w:r>
            <w:r>
              <w:rPr>
                <w:rFonts w:hint="eastAsia" w:ascii="宋体" w:hAnsi="宋体" w:eastAsia="宋体" w:cs="Times New Roman"/>
                <w:bCs/>
                <w:color w:val="auto"/>
                <w:kern w:val="0"/>
                <w:sz w:val="24"/>
                <w:szCs w:val="28"/>
                <w:highlight w:val="none"/>
              </w:rPr>
              <w:t>）</w:t>
            </w:r>
            <w:r>
              <w:rPr>
                <w:rFonts w:hint="eastAsia" w:ascii="宋体" w:hAnsi="宋体" w:eastAsia="宋体" w:cs="Times New Roman"/>
                <w:color w:val="auto"/>
                <w:sz w:val="24"/>
                <w:szCs w:val="20"/>
                <w:highlight w:val="none"/>
              </w:rPr>
              <w:t>退还时间：</w:t>
            </w:r>
            <w:r>
              <w:rPr>
                <w:rFonts w:hint="eastAsia" w:ascii="宋体" w:hAnsi="宋体" w:eastAsia="宋体" w:cs="Times New Roman"/>
                <w:bCs/>
                <w:color w:val="auto"/>
                <w:kern w:val="0"/>
                <w:sz w:val="24"/>
                <w:szCs w:val="28"/>
                <w:highlight w:val="none"/>
                <w:u w:val="single"/>
              </w:rPr>
              <w:t xml:space="preserve">   /          </w:t>
            </w:r>
          </w:p>
          <w:p w14:paraId="25C36DE0">
            <w:pPr>
              <w:spacing w:before="0" w:beforeAutospacing="0" w:after="0" w:afterAutospacing="0" w:line="360" w:lineRule="auto"/>
              <w:ind w:left="0" w:right="0"/>
              <w:rPr>
                <w:rFonts w:hint="default"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注意事项：</w:t>
            </w:r>
          </w:p>
          <w:p w14:paraId="089D5212">
            <w:pPr>
              <w:spacing w:before="0" w:beforeAutospacing="0" w:after="0" w:afterAutospacing="0" w:line="360" w:lineRule="auto"/>
              <w:ind w:left="0" w:right="0"/>
              <w:rPr>
                <w:rFonts w:hint="default"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（1）以上各类机构出具的以担保函、保证保险承担责任的方式均须满足无条件见索即付条件。</w:t>
            </w:r>
          </w:p>
          <w:p w14:paraId="3D021E1C">
            <w:pPr>
              <w:spacing w:before="0" w:beforeAutospacing="0" w:after="0" w:afterAutospacing="0" w:line="360" w:lineRule="auto"/>
              <w:ind w:left="0" w:right="0"/>
              <w:rPr>
                <w:rFonts w:hint="default"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（2）以担保函、保证保险形式缴纳履约保证金的，受益人和收取单位须为采购人。</w:t>
            </w:r>
          </w:p>
        </w:tc>
      </w:tr>
      <w:tr w14:paraId="6B1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6" w:type="dxa"/>
            <w:vAlign w:val="center"/>
          </w:tcPr>
          <w:p w14:paraId="4A353E82">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27</w:t>
            </w:r>
            <w:r>
              <w:rPr>
                <w:rFonts w:hint="default" w:ascii="宋体" w:hAnsi="宋体" w:eastAsia="宋体" w:cs="Times New Roman"/>
                <w:bCs/>
                <w:color w:val="auto"/>
                <w:kern w:val="2"/>
                <w:sz w:val="20"/>
                <w:szCs w:val="20"/>
                <w:highlight w:val="none"/>
              </w:rPr>
              <w:t>.1</w:t>
            </w:r>
          </w:p>
        </w:tc>
        <w:tc>
          <w:tcPr>
            <w:tcW w:w="2033" w:type="dxa"/>
            <w:vAlign w:val="center"/>
          </w:tcPr>
          <w:p w14:paraId="1165426F">
            <w:pPr>
              <w:pStyle w:val="43"/>
              <w:widowControl w:val="0"/>
              <w:spacing w:before="0" w:beforeAutospacing="0" w:after="0" w:afterAutospacing="0" w:line="360" w:lineRule="auto"/>
              <w:ind w:left="0" w:right="0"/>
              <w:jc w:val="both"/>
              <w:rPr>
                <w:rFonts w:hint="eastAsia"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lang w:val="en-US" w:eastAsia="zh-CN"/>
              </w:rPr>
              <w:t>签订合同和合同公告时间</w:t>
            </w:r>
          </w:p>
        </w:tc>
        <w:tc>
          <w:tcPr>
            <w:tcW w:w="5618" w:type="dxa"/>
            <w:vAlign w:val="top"/>
          </w:tcPr>
          <w:p w14:paraId="56268E5D">
            <w:pPr>
              <w:widowControl w:val="0"/>
              <w:wordWrap/>
              <w:adjustRightInd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3FF138D8">
            <w:pPr>
              <w:widowControl w:val="0"/>
              <w:wordWrap/>
              <w:adjustRightInd w:val="0"/>
              <w:snapToGrid w:val="0"/>
              <w:spacing w:before="0" w:beforeAutospacing="0" w:after="0" w:afterAutospacing="0" w:line="360" w:lineRule="auto"/>
              <w:ind w:left="0" w:right="0"/>
              <w:jc w:val="both"/>
              <w:textAlignment w:val="auto"/>
              <w:rPr>
                <w:rFonts w:hint="default" w:ascii="宋体" w:hAnsi="宋体" w:eastAsia="宋体" w:cs="Times New Roman"/>
                <w:b/>
                <w:bCs/>
                <w:color w:val="auto"/>
                <w:kern w:val="0"/>
                <w:sz w:val="24"/>
                <w:szCs w:val="24"/>
                <w:highlight w:val="none"/>
                <w:lang w:val="en-US"/>
              </w:rPr>
            </w:pPr>
            <w:r>
              <w:rPr>
                <w:rFonts w:hint="default"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w:t>
            </w:r>
            <w:r>
              <w:rPr>
                <w:rFonts w:hint="eastAsia" w:ascii="宋体" w:hAnsi="宋体" w:eastAsia="宋体" w:cs="宋体"/>
                <w:color w:val="auto"/>
                <w:sz w:val="24"/>
                <w:szCs w:val="24"/>
                <w:highlight w:val="none"/>
                <w:lang w:val="en-US" w:eastAsia="zh-CN"/>
              </w:rPr>
              <w:t>和滁州市公共资源交易中心网</w:t>
            </w:r>
            <w:r>
              <w:rPr>
                <w:rFonts w:hint="default" w:ascii="宋体" w:hAnsi="宋体" w:eastAsia="宋体" w:cs="宋体"/>
                <w:color w:val="auto"/>
                <w:sz w:val="24"/>
                <w:szCs w:val="24"/>
                <w:highlight w:val="none"/>
              </w:rPr>
              <w:t>发布政府采购合同变更公告，但涉及国家秘密、商业秘密的信息和其他依法不得公开的信息除外。</w:t>
            </w:r>
          </w:p>
        </w:tc>
      </w:tr>
      <w:tr w14:paraId="25C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6278B57">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lang w:val="en-US" w:eastAsia="zh-CN"/>
              </w:rPr>
              <w:t>28</w:t>
            </w:r>
            <w:r>
              <w:rPr>
                <w:rFonts w:hint="default" w:ascii="宋体" w:hAnsi="宋体" w:eastAsia="宋体" w:cs="Times New Roman"/>
                <w:bCs/>
                <w:color w:val="auto"/>
                <w:kern w:val="2"/>
                <w:sz w:val="20"/>
                <w:szCs w:val="20"/>
                <w:highlight w:val="none"/>
              </w:rPr>
              <w:t>.1</w:t>
            </w:r>
          </w:p>
        </w:tc>
        <w:tc>
          <w:tcPr>
            <w:tcW w:w="2033" w:type="dxa"/>
            <w:vAlign w:val="center"/>
          </w:tcPr>
          <w:p w14:paraId="2BFC2801">
            <w:pPr>
              <w:pStyle w:val="43"/>
              <w:widowControl w:val="0"/>
              <w:spacing w:before="0" w:beforeAutospacing="0" w:after="0" w:afterAutospacing="0" w:line="360" w:lineRule="auto"/>
              <w:ind w:left="0" w:right="0"/>
              <w:jc w:val="both"/>
              <w:rPr>
                <w:rFonts w:hint="eastAsia" w:ascii="宋体" w:hAnsi="宋体" w:eastAsia="宋体" w:cs="Times New Roman"/>
                <w:b w:val="0"/>
                <w:color w:val="auto"/>
                <w:sz w:val="24"/>
                <w:szCs w:val="20"/>
                <w:highlight w:val="none"/>
                <w:lang w:eastAsia="zh-CN"/>
              </w:rPr>
            </w:pPr>
            <w:r>
              <w:rPr>
                <w:rFonts w:hint="eastAsia" w:ascii="宋体" w:hAnsi="宋体" w:eastAsia="宋体" w:cs="Times New Roman"/>
                <w:b w:val="0"/>
                <w:color w:val="auto"/>
                <w:sz w:val="24"/>
                <w:szCs w:val="20"/>
                <w:highlight w:val="none"/>
                <w:lang w:val="en-US" w:eastAsia="zh-CN"/>
              </w:rPr>
              <w:t>代理费用</w:t>
            </w:r>
          </w:p>
        </w:tc>
        <w:tc>
          <w:tcPr>
            <w:tcW w:w="5618" w:type="dxa"/>
            <w:vAlign w:val="center"/>
          </w:tcPr>
          <w:p w14:paraId="3DF967BD">
            <w:pPr>
              <w:widowControl w:val="0"/>
              <w:wordWrap/>
              <w:adjustRightInd/>
              <w:snapToGrid/>
              <w:spacing w:before="24" w:beforeAutospacing="0" w:after="0" w:afterAutospacing="0" w:line="360" w:lineRule="auto"/>
              <w:ind w:left="0" w:right="0"/>
              <w:textAlignment w:val="auto"/>
              <w:rPr>
                <w:rFonts w:hint="default" w:ascii="宋体" w:hAnsi="宋体" w:eastAsia="宋体" w:cs="宋体"/>
                <w:color w:val="auto"/>
                <w:sz w:val="24"/>
                <w:szCs w:val="24"/>
                <w:highlight w:val="none"/>
              </w:rPr>
            </w:pPr>
            <w:r>
              <w:rPr>
                <w:rFonts w:hint="eastAsia" w:ascii="宋体" w:hAnsi="宋体" w:eastAsia="宋体" w:cs="Times New Roman"/>
                <w:bCs/>
                <w:color w:val="auto"/>
                <w:kern w:val="0"/>
                <w:sz w:val="24"/>
                <w:szCs w:val="28"/>
                <w:highlight w:val="none"/>
                <w:lang w:eastAsia="zh-CN"/>
              </w:rPr>
              <w:t>（</w:t>
            </w:r>
            <w:r>
              <w:rPr>
                <w:rFonts w:hint="eastAsia" w:ascii="宋体" w:hAnsi="宋体" w:eastAsia="宋体" w:cs="Times New Roman"/>
                <w:bCs/>
                <w:color w:val="auto"/>
                <w:kern w:val="0"/>
                <w:sz w:val="24"/>
                <w:szCs w:val="28"/>
                <w:highlight w:val="none"/>
                <w:lang w:val="en-US" w:eastAsia="zh-CN"/>
              </w:rPr>
              <w:t>1</w:t>
            </w:r>
            <w:r>
              <w:rPr>
                <w:rFonts w:hint="eastAsia" w:ascii="宋体" w:hAnsi="宋体" w:eastAsia="宋体" w:cs="Times New Roman"/>
                <w:bCs/>
                <w:color w:val="auto"/>
                <w:kern w:val="0"/>
                <w:sz w:val="24"/>
                <w:szCs w:val="28"/>
                <w:highlight w:val="none"/>
                <w:lang w:eastAsia="zh-CN"/>
              </w:rPr>
              <w:t>）</w:t>
            </w:r>
            <w:r>
              <w:rPr>
                <w:rFonts w:hint="default" w:ascii="宋体" w:hAnsi="宋体" w:eastAsia="宋体" w:cs="Times New Roman"/>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cs="宋体"/>
                <w:b w:val="0"/>
                <w:bCs w:val="0"/>
                <w:kern w:val="2"/>
                <w:sz w:val="24"/>
                <w:szCs w:val="24"/>
                <w:highlight w:val="none"/>
                <w:lang w:val="en-US" w:eastAsia="zh-CN"/>
              </w:rPr>
              <w:t>□</w:t>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Times New Roman"/>
                <w:bCs/>
                <w:color w:val="auto"/>
                <w:kern w:val="0"/>
                <w:sz w:val="24"/>
                <w:szCs w:val="28"/>
                <w:highlight w:val="none"/>
                <w:lang w:eastAsia="zh-CN"/>
              </w:rPr>
              <w:t>☑</w:t>
            </w:r>
            <w:r>
              <w:rPr>
                <w:rFonts w:hint="default" w:ascii="宋体" w:hAnsi="宋体" w:eastAsia="宋体" w:cs="宋体"/>
                <w:color w:val="auto"/>
                <w:spacing w:val="14"/>
                <w:sz w:val="24"/>
                <w:szCs w:val="24"/>
                <w:highlight w:val="none"/>
              </w:rPr>
              <w:t>中标人</w:t>
            </w:r>
          </w:p>
          <w:p w14:paraId="5B750B25">
            <w:pPr>
              <w:widowControl w:val="0"/>
              <w:wordWrap/>
              <w:adjustRightInd/>
              <w:snapToGrid/>
              <w:spacing w:before="24" w:beforeAutospacing="0" w:after="0" w:afterAutospacing="0" w:line="360" w:lineRule="auto"/>
              <w:ind w:left="0" w:right="0"/>
              <w:textAlignment w:val="auto"/>
              <w:rPr>
                <w:rFonts w:hint="eastAsia"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rPr>
              <w:t>（2）</w:t>
            </w:r>
            <w:r>
              <w:rPr>
                <w:rFonts w:hint="default" w:ascii="宋体" w:hAnsi="宋体" w:eastAsia="宋体" w:cs="Times New Roman"/>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lang w:val="en-US" w:eastAsia="zh-CN"/>
              </w:rPr>
              <w:t xml:space="preserve"> 领取中标通知书时一次性支付给代理机构</w:t>
            </w:r>
            <w:r>
              <w:rPr>
                <w:rFonts w:hint="eastAsia" w:ascii="宋体" w:hAnsi="宋体" w:eastAsia="宋体" w:cs="宋体"/>
                <w:color w:val="auto"/>
                <w:sz w:val="24"/>
                <w:szCs w:val="24"/>
                <w:highlight w:val="none"/>
                <w:u w:val="single" w:color="auto"/>
              </w:rPr>
              <w:t>。</w:t>
            </w:r>
          </w:p>
          <w:p w14:paraId="48E62E26">
            <w:pPr>
              <w:pStyle w:val="43"/>
              <w:widowControl w:val="0"/>
              <w:wordWrap/>
              <w:adjustRightInd/>
              <w:snapToGrid/>
              <w:spacing w:before="0" w:beforeAutospacing="0" w:after="0" w:afterAutospacing="0" w:line="360" w:lineRule="auto"/>
              <w:ind w:left="0" w:right="0"/>
              <w:jc w:val="both"/>
              <w:textAlignment w:val="auto"/>
              <w:rPr>
                <w:rFonts w:hint="default" w:ascii="宋体" w:hAnsi="宋体" w:eastAsia="宋体" w:cs="Times New Roman"/>
                <w:b w:val="0"/>
                <w:color w:val="auto"/>
                <w:sz w:val="24"/>
                <w:szCs w:val="20"/>
                <w:highlight w:val="none"/>
              </w:rPr>
            </w:pPr>
            <w:r>
              <w:rPr>
                <w:rFonts w:hint="eastAsia" w:ascii="宋体" w:hAnsi="宋体" w:eastAsia="宋体" w:cs="Times New Roman"/>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color="auto"/>
                <w:lang w:val="en-US" w:eastAsia="zh-CN" w:bidi="ar-SA"/>
              </w:rPr>
              <w:t xml:space="preserve"> 10700元，参考《滁州市公共资源交易代理机构及从业人员管理办法》(滁公管〔2025〕1 号)以及《关于进一步明确代理费计取标准的通知》（滁公管综〔2023〕19号）文件，以最高限价（控制价）计算。</w:t>
            </w:r>
          </w:p>
        </w:tc>
      </w:tr>
      <w:tr w14:paraId="3314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4265460">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Times New Roman"/>
                <w:bCs/>
                <w:color w:val="auto"/>
                <w:kern w:val="2"/>
                <w:sz w:val="20"/>
                <w:szCs w:val="20"/>
                <w:highlight w:val="none"/>
                <w:lang w:eastAsia="zh-CN"/>
              </w:rPr>
            </w:pPr>
            <w:r>
              <w:rPr>
                <w:rFonts w:hint="eastAsia" w:ascii="宋体" w:hAnsi="宋体" w:eastAsia="宋体" w:cs="Times New Roman"/>
                <w:bCs/>
                <w:color w:val="auto"/>
                <w:kern w:val="2"/>
                <w:sz w:val="20"/>
                <w:szCs w:val="20"/>
                <w:highlight w:val="none"/>
              </w:rPr>
              <w:t>3</w:t>
            </w:r>
            <w:r>
              <w:rPr>
                <w:rFonts w:hint="eastAsia" w:ascii="宋体" w:hAnsi="宋体" w:eastAsia="宋体" w:cs="Times New Roman"/>
                <w:bCs/>
                <w:color w:val="auto"/>
                <w:kern w:val="2"/>
                <w:sz w:val="20"/>
                <w:szCs w:val="20"/>
                <w:highlight w:val="none"/>
                <w:lang w:val="en-US" w:eastAsia="zh-CN"/>
              </w:rPr>
              <w:t>1</w:t>
            </w:r>
            <w:r>
              <w:rPr>
                <w:rFonts w:hint="default" w:ascii="宋体" w:hAnsi="宋体" w:eastAsia="宋体" w:cs="Times New Roman"/>
                <w:bCs/>
                <w:color w:val="auto"/>
                <w:kern w:val="2"/>
                <w:sz w:val="20"/>
                <w:szCs w:val="20"/>
                <w:highlight w:val="none"/>
              </w:rPr>
              <w:t>.</w:t>
            </w:r>
            <w:r>
              <w:rPr>
                <w:rFonts w:hint="eastAsia" w:ascii="宋体" w:hAnsi="宋体" w:eastAsia="宋体" w:cs="Times New Roman"/>
                <w:bCs/>
                <w:color w:val="auto"/>
                <w:kern w:val="2"/>
                <w:sz w:val="20"/>
                <w:szCs w:val="20"/>
                <w:highlight w:val="none"/>
                <w:lang w:val="en-US" w:eastAsia="zh-CN"/>
              </w:rPr>
              <w:t>3</w:t>
            </w:r>
          </w:p>
        </w:tc>
        <w:tc>
          <w:tcPr>
            <w:tcW w:w="2033" w:type="dxa"/>
            <w:vAlign w:val="center"/>
          </w:tcPr>
          <w:p w14:paraId="71356D3A">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质疑函递交方式、接收部门、联系电话和通讯地址</w:t>
            </w:r>
          </w:p>
        </w:tc>
        <w:tc>
          <w:tcPr>
            <w:tcW w:w="5618" w:type="dxa"/>
            <w:vAlign w:val="center"/>
          </w:tcPr>
          <w:p w14:paraId="4C0F8BBB">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递交方式：</w:t>
            </w:r>
            <w:r>
              <w:rPr>
                <w:rFonts w:hint="eastAsia" w:ascii="宋体" w:hAnsi="宋体" w:eastAsia="宋体" w:cs="Times New Roman"/>
                <w:bCs/>
                <w:color w:val="auto"/>
                <w:kern w:val="0"/>
                <w:sz w:val="24"/>
                <w:szCs w:val="28"/>
                <w:highlight w:val="none"/>
                <w:u w:val="single"/>
              </w:rPr>
              <w:t xml:space="preserve"> 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16EE4952">
            <w:pPr>
              <w:pStyle w:val="43"/>
              <w:widowControl w:val="0"/>
              <w:spacing w:before="0" w:beforeAutospacing="0" w:after="0" w:afterAutospacing="0" w:line="360" w:lineRule="auto"/>
              <w:ind w:left="0" w:right="0"/>
              <w:jc w:val="both"/>
              <w:rPr>
                <w:rFonts w:hint="default" w:ascii="宋体" w:hAnsi="宋体" w:eastAsia="宋体" w:cs="Times New Roman"/>
                <w:b w:val="0"/>
                <w:bCs w:val="0"/>
                <w:color w:val="auto"/>
                <w:sz w:val="24"/>
                <w:szCs w:val="18"/>
                <w:highlight w:val="none"/>
              </w:rPr>
            </w:pPr>
            <w:r>
              <w:rPr>
                <w:rFonts w:hint="eastAsia" w:ascii="宋体" w:hAnsi="宋体" w:eastAsia="宋体" w:cs="Times New Roman"/>
                <w:b w:val="0"/>
                <w:color w:val="auto"/>
                <w:sz w:val="24"/>
                <w:szCs w:val="20"/>
                <w:highlight w:val="none"/>
              </w:rPr>
              <w:t>接收部门：</w:t>
            </w:r>
            <w:r>
              <w:rPr>
                <w:rFonts w:hint="eastAsia" w:ascii="宋体" w:hAnsi="宋体" w:eastAsia="宋体" w:cs="Times New Roman"/>
                <w:bCs/>
                <w:color w:val="auto"/>
                <w:kern w:val="0"/>
                <w:sz w:val="24"/>
                <w:szCs w:val="28"/>
                <w:highlight w:val="none"/>
                <w:u w:val="single"/>
                <w:lang w:eastAsia="zh-CN"/>
              </w:rPr>
              <w:t>滁州市交通运输局</w:t>
            </w:r>
            <w:r>
              <w:rPr>
                <w:rFonts w:hint="eastAsia" w:ascii="宋体" w:hAnsi="宋体" w:eastAsia="宋体" w:cs="Times New Roman"/>
                <w:bCs/>
                <w:color w:val="auto"/>
                <w:kern w:val="0"/>
                <w:sz w:val="24"/>
                <w:szCs w:val="28"/>
                <w:highlight w:val="none"/>
                <w:u w:val="single"/>
              </w:rPr>
              <w:t>、</w:t>
            </w:r>
            <w:r>
              <w:rPr>
                <w:rFonts w:hint="eastAsia" w:ascii="宋体" w:hAnsi="宋体" w:eastAsia="宋体" w:cs="Times New Roman"/>
                <w:bCs/>
                <w:color w:val="auto"/>
                <w:kern w:val="0"/>
                <w:sz w:val="24"/>
                <w:szCs w:val="28"/>
                <w:highlight w:val="none"/>
                <w:u w:val="single"/>
                <w:lang w:eastAsia="zh-CN"/>
              </w:rPr>
              <w:t>滁州市城投工程咨询管理有限公司</w:t>
            </w:r>
            <w:r>
              <w:rPr>
                <w:rFonts w:hint="eastAsia" w:ascii="宋体" w:hAnsi="宋体" w:eastAsia="宋体" w:cs="Times New Roman"/>
                <w:bCs/>
                <w:color w:val="auto"/>
                <w:kern w:val="0"/>
                <w:sz w:val="24"/>
                <w:szCs w:val="28"/>
                <w:highlight w:val="none"/>
                <w:u w:val="single"/>
              </w:rPr>
              <w:t>；</w:t>
            </w:r>
          </w:p>
          <w:p w14:paraId="5819D4AC">
            <w:pPr>
              <w:pStyle w:val="43"/>
              <w:widowControl w:val="0"/>
              <w:spacing w:before="0" w:beforeAutospacing="0" w:after="0" w:afterAutospacing="0" w:line="360" w:lineRule="auto"/>
              <w:ind w:left="0" w:right="0"/>
              <w:jc w:val="both"/>
              <w:rPr>
                <w:rFonts w:hint="default" w:ascii="宋体" w:hAnsi="宋体" w:eastAsia="宋体" w:cs="Times New Roman"/>
                <w:b w:val="0"/>
                <w:bCs w:val="0"/>
                <w:color w:val="auto"/>
                <w:sz w:val="24"/>
                <w:szCs w:val="18"/>
                <w:highlight w:val="none"/>
              </w:rPr>
            </w:pPr>
            <w:r>
              <w:rPr>
                <w:rFonts w:hint="default" w:ascii="宋体" w:hAnsi="宋体" w:eastAsia="宋体" w:cs="Times New Roman"/>
                <w:b w:val="0"/>
                <w:color w:val="auto"/>
                <w:sz w:val="24"/>
                <w:szCs w:val="20"/>
                <w:highlight w:val="none"/>
              </w:rPr>
              <w:t>联系电话：</w:t>
            </w:r>
            <w:r>
              <w:rPr>
                <w:rFonts w:hint="eastAsia" w:ascii="宋体" w:hAnsi="宋体" w:eastAsia="宋体" w:cs="Times New Roman"/>
                <w:bCs/>
                <w:color w:val="auto"/>
                <w:kern w:val="0"/>
                <w:sz w:val="24"/>
                <w:szCs w:val="28"/>
                <w:highlight w:val="none"/>
                <w:u w:val="single"/>
                <w:lang w:val="en-US" w:eastAsia="zh-CN"/>
              </w:rPr>
              <w:t>0550-3218692</w:t>
            </w:r>
            <w:r>
              <w:rPr>
                <w:rFonts w:hint="eastAsia" w:ascii="宋体" w:hAnsi="宋体" w:eastAsia="宋体" w:cs="Times New Roman"/>
                <w:bCs/>
                <w:color w:val="auto"/>
                <w:kern w:val="0"/>
                <w:sz w:val="24"/>
                <w:szCs w:val="28"/>
                <w:highlight w:val="none"/>
                <w:u w:val="single"/>
              </w:rPr>
              <w:t>、0550-3519517；</w:t>
            </w:r>
          </w:p>
          <w:p w14:paraId="4AE101F7">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通讯地址：</w:t>
            </w:r>
            <w:r>
              <w:rPr>
                <w:rFonts w:hint="eastAsia" w:ascii="宋体" w:hAnsi="宋体" w:eastAsia="宋体" w:cs="Times New Roman"/>
                <w:bCs/>
                <w:color w:val="auto"/>
                <w:kern w:val="0"/>
                <w:sz w:val="24"/>
                <w:szCs w:val="28"/>
                <w:highlight w:val="none"/>
                <w:u w:val="single"/>
                <w:lang w:eastAsia="zh-CN"/>
              </w:rPr>
              <w:t>滁州市龙蟠大道200号</w:t>
            </w:r>
            <w:r>
              <w:rPr>
                <w:rFonts w:hint="eastAsia" w:ascii="宋体" w:hAnsi="宋体" w:eastAsia="宋体" w:cs="Times New Roman"/>
                <w:bCs/>
                <w:color w:val="auto"/>
                <w:kern w:val="0"/>
                <w:sz w:val="24"/>
                <w:szCs w:val="28"/>
                <w:highlight w:val="none"/>
                <w:u w:val="single"/>
              </w:rPr>
              <w:t>、</w:t>
            </w:r>
            <w:r>
              <w:rPr>
                <w:rFonts w:hint="eastAsia" w:ascii="宋体" w:hAnsi="宋体" w:eastAsia="宋体" w:cs="Times New Roman"/>
                <w:bCs/>
                <w:color w:val="auto"/>
                <w:kern w:val="0"/>
                <w:sz w:val="24"/>
                <w:szCs w:val="28"/>
                <w:highlight w:val="none"/>
                <w:u w:val="single"/>
                <w:lang w:eastAsia="zh-CN"/>
              </w:rPr>
              <w:t>滁州市龙蟠大道109号房产商务大厦6楼</w:t>
            </w:r>
            <w:r>
              <w:rPr>
                <w:rFonts w:hint="eastAsia" w:ascii="宋体" w:hAnsi="宋体" w:eastAsia="宋体" w:cs="Times New Roman"/>
                <w:bCs/>
                <w:color w:val="auto"/>
                <w:kern w:val="0"/>
                <w:sz w:val="24"/>
                <w:szCs w:val="28"/>
                <w:highlight w:val="none"/>
                <w:u w:val="single"/>
              </w:rPr>
              <w:t>。</w:t>
            </w:r>
          </w:p>
        </w:tc>
      </w:tr>
      <w:tr w14:paraId="5306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vAlign w:val="center"/>
          </w:tcPr>
          <w:p w14:paraId="64B7A6C9">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lang w:val="en-US" w:eastAsia="zh-CN"/>
              </w:rPr>
            </w:pPr>
            <w:r>
              <w:rPr>
                <w:rFonts w:hint="eastAsia" w:ascii="宋体" w:hAnsi="宋体" w:eastAsia="宋体" w:cs="Times New Roman"/>
                <w:bCs/>
                <w:color w:val="auto"/>
                <w:kern w:val="2"/>
                <w:sz w:val="20"/>
                <w:szCs w:val="20"/>
                <w:highlight w:val="none"/>
                <w:lang w:val="en-US" w:eastAsia="zh-CN"/>
              </w:rPr>
              <w:t>32</w:t>
            </w:r>
          </w:p>
        </w:tc>
        <w:tc>
          <w:tcPr>
            <w:tcW w:w="2033" w:type="dxa"/>
            <w:vAlign w:val="center"/>
          </w:tcPr>
          <w:p w14:paraId="40076D0C">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lang w:val="en-US" w:eastAsia="zh-CN"/>
              </w:rPr>
            </w:pPr>
            <w:r>
              <w:rPr>
                <w:rFonts w:hint="eastAsia" w:ascii="宋体" w:hAnsi="宋体" w:eastAsia="宋体" w:cs="Times New Roman"/>
                <w:b w:val="0"/>
                <w:color w:val="auto"/>
                <w:sz w:val="24"/>
                <w:szCs w:val="20"/>
                <w:highlight w:val="none"/>
                <w:lang w:val="en-US" w:eastAsia="zh-CN"/>
              </w:rPr>
              <w:t>其他内容</w:t>
            </w:r>
          </w:p>
        </w:tc>
        <w:tc>
          <w:tcPr>
            <w:tcW w:w="5618" w:type="dxa"/>
            <w:vAlign w:val="center"/>
          </w:tcPr>
          <w:p w14:paraId="4244E3F0">
            <w:pPr>
              <w:pStyle w:val="43"/>
              <w:widowControl w:val="0"/>
              <w:numPr>
                <w:ilvl w:val="0"/>
                <w:numId w:val="0"/>
              </w:numPr>
              <w:spacing w:before="0" w:beforeAutospacing="0" w:after="0" w:afterAutospacing="0" w:line="360" w:lineRule="auto"/>
              <w:ind w:left="0" w:right="0"/>
              <w:jc w:val="both"/>
              <w:rPr>
                <w:rFonts w:hint="eastAsia" w:ascii="宋体" w:hAnsi="宋体" w:eastAsia="宋体" w:cs="Times New Roman"/>
                <w:b w:val="0"/>
                <w:color w:val="auto"/>
                <w:sz w:val="24"/>
                <w:szCs w:val="20"/>
                <w:highlight w:val="none"/>
                <w:lang w:val="en-US" w:eastAsia="zh-CN"/>
              </w:rPr>
            </w:pPr>
            <w:r>
              <w:rPr>
                <w:rFonts w:hint="eastAsia" w:ascii="宋体" w:hAnsi="宋体" w:eastAsia="宋体" w:cs="Times New Roman"/>
                <w:b w:val="0"/>
                <w:color w:val="auto"/>
                <w:sz w:val="24"/>
                <w:szCs w:val="20"/>
                <w:highlight w:val="none"/>
                <w:lang w:val="en-US" w:eastAsia="zh-CN"/>
              </w:rPr>
              <w:t>1.解释权：</w:t>
            </w:r>
          </w:p>
          <w:p w14:paraId="418E5A44">
            <w:pPr>
              <w:spacing w:before="0" w:beforeAutospacing="0" w:after="0" w:afterAutospacing="0" w:line="360" w:lineRule="auto"/>
              <w:ind w:left="0" w:right="0"/>
              <w:rPr>
                <w:rFonts w:hint="default"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default" w:ascii="宋体" w:hAnsi="宋体" w:eastAsia="宋体" w:cs="Times New Roman"/>
                <w:bCs/>
                <w:color w:val="auto"/>
                <w:sz w:val="24"/>
                <w:szCs w:val="24"/>
                <w:highlight w:val="none"/>
              </w:rPr>
              <w:t>构成本招标文件的各个组成文件应互为解释，互为说明；</w:t>
            </w:r>
          </w:p>
          <w:p w14:paraId="1D931DD9">
            <w:pPr>
              <w:spacing w:before="0" w:beforeAutospacing="0" w:after="0" w:afterAutospacing="0" w:line="360" w:lineRule="auto"/>
              <w:ind w:left="0" w:right="0"/>
              <w:rPr>
                <w:rFonts w:hint="default"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hint="default" w:ascii="宋体" w:hAnsi="宋体" w:eastAsia="宋体" w:cs="Times New Roman"/>
                <w:bCs/>
                <w:color w:val="auto"/>
                <w:sz w:val="24"/>
                <w:szCs w:val="24"/>
                <w:highlight w:val="none"/>
              </w:rPr>
              <w:t>同一组成文件中就同一事项的规定或约定不一致的，以编排顺序在后者为准；</w:t>
            </w:r>
          </w:p>
          <w:p w14:paraId="4121165C">
            <w:pPr>
              <w:spacing w:before="0" w:beforeAutospacing="0" w:after="0" w:afterAutospacing="0" w:line="360" w:lineRule="auto"/>
              <w:ind w:left="0" w:right="0"/>
              <w:rPr>
                <w:rFonts w:hint="default"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hint="default" w:ascii="宋体" w:hAnsi="宋体" w:eastAsia="宋体" w:cs="Times New Roman"/>
                <w:bCs/>
                <w:color w:val="auto"/>
                <w:sz w:val="24"/>
                <w:szCs w:val="24"/>
                <w:highlight w:val="none"/>
              </w:rPr>
              <w:t>如有不明确或不一致，构成合同文件组成内容的，以合同文件约定内容为准，且以专用合同条款约定的合同文件优先顺序解释；</w:t>
            </w:r>
          </w:p>
          <w:p w14:paraId="12C4800B">
            <w:pPr>
              <w:spacing w:before="0" w:beforeAutospacing="0" w:after="0" w:afterAutospacing="0" w:line="360" w:lineRule="auto"/>
              <w:ind w:left="0" w:right="0"/>
              <w:rPr>
                <w:rFonts w:hint="default"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w:t>
            </w:r>
            <w:r>
              <w:rPr>
                <w:rFonts w:hint="default" w:ascii="宋体" w:hAnsi="宋体" w:eastAsia="宋体" w:cs="Times New Roman"/>
                <w:bCs/>
                <w:color w:val="auto"/>
                <w:sz w:val="24"/>
                <w:szCs w:val="24"/>
                <w:highlight w:val="none"/>
              </w:rPr>
              <w:t>除招标文件中有特别规定外，仅适用于招标投标阶段的规定，按招标公告、</w:t>
            </w:r>
            <w:r>
              <w:rPr>
                <w:rFonts w:hint="eastAsia" w:ascii="宋体" w:hAnsi="宋体" w:eastAsia="宋体" w:cs="Times New Roman"/>
                <w:bCs/>
                <w:color w:val="auto"/>
                <w:sz w:val="24"/>
                <w:szCs w:val="24"/>
                <w:highlight w:val="none"/>
              </w:rPr>
              <w:t>投标邀请、</w:t>
            </w:r>
            <w:r>
              <w:rPr>
                <w:rFonts w:hint="default" w:ascii="宋体" w:hAnsi="宋体" w:eastAsia="宋体" w:cs="Times New Roman"/>
                <w:bCs/>
                <w:color w:val="auto"/>
                <w:sz w:val="24"/>
                <w:szCs w:val="24"/>
                <w:highlight w:val="none"/>
              </w:rPr>
              <w:t>投标人须知、评标</w:t>
            </w:r>
            <w:r>
              <w:rPr>
                <w:rFonts w:hint="eastAsia" w:ascii="宋体" w:hAnsi="宋体" w:eastAsia="宋体" w:cs="Times New Roman"/>
                <w:bCs/>
                <w:color w:val="auto"/>
                <w:sz w:val="24"/>
                <w:szCs w:val="24"/>
                <w:highlight w:val="none"/>
              </w:rPr>
              <w:t>方</w:t>
            </w:r>
            <w:r>
              <w:rPr>
                <w:rFonts w:hint="default" w:ascii="宋体" w:hAnsi="宋体" w:eastAsia="宋体" w:cs="Times New Roman"/>
                <w:bCs/>
                <w:color w:val="auto"/>
                <w:sz w:val="24"/>
                <w:szCs w:val="24"/>
                <w:highlight w:val="none"/>
              </w:rPr>
              <w:t>法</w:t>
            </w:r>
            <w:r>
              <w:rPr>
                <w:rFonts w:hint="eastAsia" w:ascii="宋体" w:hAnsi="宋体" w:eastAsia="宋体" w:cs="Times New Roman"/>
                <w:bCs/>
                <w:color w:val="auto"/>
                <w:sz w:val="24"/>
                <w:szCs w:val="24"/>
                <w:highlight w:val="none"/>
              </w:rPr>
              <w:t>和标准</w:t>
            </w:r>
            <w:r>
              <w:rPr>
                <w:rFonts w:hint="default" w:ascii="宋体" w:hAnsi="宋体" w:eastAsia="宋体" w:cs="Times New Roman"/>
                <w:bCs/>
                <w:color w:val="auto"/>
                <w:sz w:val="24"/>
                <w:szCs w:val="24"/>
                <w:highlight w:val="none"/>
              </w:rPr>
              <w:t>、投标文件格式的先后顺序解释；</w:t>
            </w:r>
          </w:p>
          <w:p w14:paraId="274050FC">
            <w:pPr>
              <w:pStyle w:val="43"/>
              <w:widowControl w:val="0"/>
              <w:numPr>
                <w:ilvl w:val="0"/>
                <w:numId w:val="0"/>
              </w:numPr>
              <w:spacing w:before="0" w:beforeAutospacing="0" w:after="0" w:afterAutospacing="0" w:line="360" w:lineRule="auto"/>
              <w:ind w:left="0" w:right="0"/>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hint="default"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hint="default" w:ascii="宋体" w:hAnsi="宋体" w:eastAsia="宋体" w:cs="@仿宋_GB2312"/>
                <w:b w:val="0"/>
                <w:bCs/>
                <w:color w:val="auto"/>
                <w:kern w:val="2"/>
                <w:sz w:val="24"/>
                <w:szCs w:val="24"/>
                <w:highlight w:val="none"/>
                <w:lang w:val="en-US" w:eastAsia="zh-CN" w:bidi="ar-SA"/>
              </w:rPr>
              <w:t>人负责解释。</w:t>
            </w:r>
          </w:p>
          <w:p w14:paraId="1386CF81">
            <w:pPr>
              <w:spacing w:before="0" w:beforeAutospacing="0" w:after="0" w:afterAutospacing="0" w:line="360" w:lineRule="auto"/>
              <w:ind w:left="0" w:right="0"/>
              <w:rPr>
                <w:rFonts w:hint="default"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cs="Times New Roman"/>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cs="Times New Roman"/>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cs="Times New Roman"/>
                <w:bCs/>
                <w:color w:val="auto"/>
                <w:sz w:val="24"/>
                <w:szCs w:val="24"/>
                <w:highlight w:val="none"/>
              </w:rPr>
              <w:t>融资申请信息推送第三方平台、意向金融机构。</w:t>
            </w:r>
          </w:p>
          <w:p w14:paraId="6B53F80F">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5B2B0F39">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4.部分可提供线下政采贷的金融机构：</w:t>
            </w:r>
          </w:p>
          <w:p w14:paraId="10DC30B7">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市本级</w:t>
            </w:r>
          </w:p>
          <w:p w14:paraId="561A6167">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金融机构名称：兴业银行滁州分行</w:t>
            </w:r>
          </w:p>
          <w:p w14:paraId="21BADB22">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安徽省滁州市琅琊区丰乐大道1090号</w:t>
            </w:r>
          </w:p>
          <w:p w14:paraId="7DE5B0F5">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伏庚：17755080811。</w:t>
            </w:r>
          </w:p>
          <w:p w14:paraId="50D0D7EC">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5.特别提示：</w:t>
            </w:r>
          </w:p>
          <w:p w14:paraId="5F6BF346">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（1）投标人应填写投标信息并下载招标文件，否则无法上传投标文件。</w:t>
            </w:r>
          </w:p>
          <w:p w14:paraId="6B0ED244">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注：投标人如为联合体的，牵头人必须完善投标人信息，并在上传投标文件环节添加联合体投标信息。</w:t>
            </w:r>
          </w:p>
          <w:p w14:paraId="52D66B78">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5BADD15">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（3）如果过程中出现招标文件更改，应以最后发布的招标答疑澄清文件中的模板制作本项目最新投标文件。</w:t>
            </w:r>
          </w:p>
          <w:p w14:paraId="48B3E76B">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（4）投标人应当用本单位CA数字证书制作投标文件，制作成功后进行投标文件上传。 </w:t>
            </w:r>
          </w:p>
          <w:p w14:paraId="3ADD83AA">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328E3A20">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（6）请投标人注意加密投标文件CA数字证书的有效期，不在有效期的CA数字证书无法解密投标文件。</w:t>
            </w:r>
          </w:p>
          <w:p w14:paraId="7084933D">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（7）投标人投标MAC地址或投标人联系人或联系电话相同的，由评标委员会否决其投标，并报告监管部门作不良行为处理和进一步调查。</w:t>
            </w:r>
          </w:p>
          <w:p w14:paraId="74CAB20A">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（8）投标人单方面出现其他投标人材料的，由评标委员会否决其投标。</w:t>
            </w:r>
          </w:p>
          <w:p w14:paraId="721BC663">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C39B1C9">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30C59F1F">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6.评标过程中的澄清、说明或补正：</w:t>
            </w:r>
          </w:p>
          <w:p w14:paraId="463992F3">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20CFFF82">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837164E">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7.同义词语：</w:t>
            </w:r>
          </w:p>
          <w:p w14:paraId="7571CDBF">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招标文件第六章  投标文件格式、附件1“关于联合惩戒失信行为 加强信用查询管理的通知”等章节中 “招标人”、“供应商”，等同于“采购人”、“投标人”。</w:t>
            </w:r>
          </w:p>
          <w:p w14:paraId="3A77BF27">
            <w:pPr>
              <w:pStyle w:val="43"/>
              <w:widowControl w:val="0"/>
              <w:numPr>
                <w:ilvl w:val="0"/>
                <w:numId w:val="0"/>
              </w:numPr>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8.落实政府采购支持节能产品、环境标志产品政策。</w:t>
            </w:r>
          </w:p>
          <w:p w14:paraId="7F87D86E">
            <w:pPr>
              <w:pStyle w:val="43"/>
              <w:widowControl w:val="0"/>
              <w:numPr>
                <w:ilvl w:val="0"/>
                <w:numId w:val="0"/>
              </w:numPr>
              <w:spacing w:before="0" w:beforeAutospacing="0" w:after="0" w:afterAutospacing="0" w:line="360" w:lineRule="auto"/>
              <w:ind w:left="0" w:right="0"/>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9.系统中提供的表格与采购文件中不一致时，以采购文件中提供的表格格式为准。</w:t>
            </w:r>
          </w:p>
        </w:tc>
      </w:tr>
    </w:tbl>
    <w:p w14:paraId="1DAEDBA7">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8" w:name="_Toc24882"/>
      <w:bookmarkStart w:id="9" w:name="_Toc9427"/>
      <w:r>
        <w:rPr>
          <w:rFonts w:hint="eastAsia" w:ascii="宋体" w:hAnsi="宋体" w:eastAsia="宋体"/>
          <w:b/>
          <w:color w:val="auto"/>
          <w:sz w:val="24"/>
          <w:highlight w:val="none"/>
        </w:rPr>
        <w:t>二、</w:t>
      </w:r>
      <w:r>
        <w:rPr>
          <w:rFonts w:ascii="宋体" w:hAnsi="宋体" w:eastAsia="宋体"/>
          <w:b/>
          <w:color w:val="auto"/>
          <w:sz w:val="24"/>
          <w:highlight w:val="none"/>
        </w:rPr>
        <w:t>投标人须知</w:t>
      </w:r>
      <w:r>
        <w:rPr>
          <w:rFonts w:hint="eastAsia" w:ascii="宋体" w:hAnsi="宋体" w:eastAsia="宋体"/>
          <w:b/>
          <w:color w:val="auto"/>
          <w:sz w:val="24"/>
          <w:highlight w:val="none"/>
        </w:rPr>
        <w:t>正文</w:t>
      </w:r>
      <w:bookmarkEnd w:id="8"/>
      <w:bookmarkEnd w:id="9"/>
    </w:p>
    <w:p w14:paraId="6C84EBD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14D0F64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27019E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7360AD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4C8652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4C5C941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0F1097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337169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364953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297CAD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6ABB6F2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00626AA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1E83C01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1472F3A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422040A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0C963F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9F8CA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3E004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757F836E">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438BF1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48B82117">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1D4CE8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CB2D777">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5668BB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41A38829">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lang w:val="en-US" w:eastAsia="zh-CN"/>
        </w:rPr>
        <w:t>5</w:t>
      </w:r>
      <w:r>
        <w:rPr>
          <w:rFonts w:hint="eastAsia" w:ascii="宋体" w:hAnsi="宋体" w:eastAsia="宋体"/>
          <w:b/>
          <w:color w:val="auto"/>
          <w:sz w:val="24"/>
          <w:highlight w:val="none"/>
        </w:rPr>
        <w:t>.招标文件构成</w:t>
      </w:r>
    </w:p>
    <w:p w14:paraId="12C0C0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0C83AF30">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6BBB7276">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023BC37D">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345CAB2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3753393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022F84E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285578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w:t>
      </w:r>
      <w:r>
        <w:rPr>
          <w:rFonts w:hint="eastAsia" w:ascii="宋体" w:hAnsi="宋体" w:eastAsia="宋体"/>
          <w:color w:val="auto"/>
          <w:sz w:val="24"/>
          <w:highlight w:val="none"/>
          <w:lang w:val="en-US" w:eastAsia="zh-CN"/>
        </w:rPr>
        <w:t>七</w:t>
      </w:r>
      <w:r>
        <w:rPr>
          <w:rFonts w:hint="eastAsia" w:ascii="宋体" w:hAnsi="宋体" w:eastAsia="宋体"/>
          <w:color w:val="auto"/>
          <w:sz w:val="24"/>
          <w:highlight w:val="none"/>
        </w:rPr>
        <w:t>章</w:t>
      </w:r>
      <w:r>
        <w:rPr>
          <w:rFonts w:ascii="宋体" w:hAnsi="宋体" w:eastAsia="宋体"/>
          <w:color w:val="auto"/>
          <w:sz w:val="24"/>
          <w:highlight w:val="none"/>
        </w:rPr>
        <w:t xml:space="preserve">  政府采购</w:t>
      </w:r>
      <w:r>
        <w:rPr>
          <w:rFonts w:hint="eastAsia" w:ascii="宋体" w:hAnsi="宋体" w:eastAsia="宋体"/>
          <w:color w:val="auto"/>
          <w:sz w:val="24"/>
          <w:highlight w:val="none"/>
        </w:rPr>
        <w:t>询问函和</w:t>
      </w:r>
      <w:r>
        <w:rPr>
          <w:rFonts w:ascii="宋体" w:hAnsi="宋体" w:eastAsia="宋体"/>
          <w:color w:val="auto"/>
          <w:sz w:val="24"/>
          <w:highlight w:val="none"/>
        </w:rPr>
        <w:t>质疑函范本</w:t>
      </w:r>
    </w:p>
    <w:p w14:paraId="1E30232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16621F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581B5F7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6</w:t>
      </w:r>
      <w:r>
        <w:rPr>
          <w:rFonts w:ascii="宋体" w:hAnsi="宋体" w:eastAsia="宋体"/>
          <w:b/>
          <w:color w:val="auto"/>
          <w:sz w:val="24"/>
          <w:highlight w:val="none"/>
        </w:rPr>
        <w:t>.</w:t>
      </w:r>
      <w:r>
        <w:rPr>
          <w:rFonts w:hint="eastAsia" w:ascii="宋体" w:hAnsi="宋体" w:eastAsia="宋体"/>
          <w:b/>
          <w:color w:val="auto"/>
          <w:sz w:val="24"/>
          <w:highlight w:val="none"/>
        </w:rPr>
        <w:t>招标文件的澄清与修改</w:t>
      </w:r>
    </w:p>
    <w:p w14:paraId="7CCAAE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w:t>
      </w:r>
      <w:r>
        <w:rPr>
          <w:rFonts w:hint="eastAsia" w:ascii="宋体" w:hAnsi="宋体" w:eastAsia="宋体"/>
          <w:color w:val="auto"/>
          <w:sz w:val="24"/>
          <w:highlight w:val="none"/>
          <w:lang w:val="en-US" w:eastAsia="zh-CN"/>
        </w:rPr>
        <w:t>可</w:t>
      </w:r>
      <w:r>
        <w:rPr>
          <w:rFonts w:ascii="宋体" w:hAnsi="宋体" w:eastAsia="宋体"/>
          <w:color w:val="auto"/>
          <w:sz w:val="24"/>
          <w:highlight w:val="none"/>
        </w:rPr>
        <w:t>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截止时间前提交给采购代理机构。</w:t>
      </w:r>
    </w:p>
    <w:p w14:paraId="235814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在安徽省政府采购网和滁州市公共资源交易中心网以发布更正公告的方式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。投标人应主动上网查询。采购代理机构不承担投标人未及时关注相关信息引发的相关责任。</w:t>
      </w:r>
    </w:p>
    <w:p w14:paraId="02AF0B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F94DB9">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125656F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7</w:t>
      </w:r>
      <w:r>
        <w:rPr>
          <w:rFonts w:ascii="宋体" w:hAnsi="宋体" w:eastAsia="宋体"/>
          <w:b/>
          <w:color w:val="auto"/>
          <w:sz w:val="24"/>
          <w:highlight w:val="none"/>
        </w:rPr>
        <w:t>.</w:t>
      </w:r>
      <w:r>
        <w:rPr>
          <w:rFonts w:hint="eastAsia" w:ascii="宋体" w:hAnsi="宋体" w:eastAsia="宋体"/>
          <w:b/>
          <w:color w:val="auto"/>
          <w:sz w:val="24"/>
          <w:highlight w:val="none"/>
        </w:rPr>
        <w:t>投标范围及投标文件中标准和计量单位的使用</w:t>
      </w:r>
    </w:p>
    <w:p w14:paraId="5726C74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8E8636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3E20AC5">
      <w:pPr>
        <w:spacing w:line="360" w:lineRule="auto"/>
        <w:ind w:firstLine="435"/>
        <w:rPr>
          <w:rFonts w:ascii="宋体" w:hAnsi="宋体" w:eastAsia="宋体"/>
          <w:color w:val="auto"/>
          <w:sz w:val="24"/>
          <w:highlight w:val="none"/>
        </w:rPr>
      </w:pPr>
      <w:bookmarkStart w:id="10"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服务</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工程</w:t>
      </w:r>
      <w:r>
        <w:rPr>
          <w:rFonts w:hint="eastAsia" w:ascii="宋体" w:hAnsi="宋体" w:eastAsia="宋体"/>
          <w:color w:val="auto"/>
          <w:sz w:val="24"/>
          <w:highlight w:val="none"/>
          <w:lang w:eastAsia="zh-CN"/>
        </w:rPr>
        <w:t>（</w:t>
      </w:r>
      <w:r>
        <w:rPr>
          <w:rFonts w:hint="eastAsia" w:ascii="宋体" w:hAnsi="宋体" w:eastAsia="宋体"/>
          <w:i w:val="0"/>
          <w:iCs w:val="0"/>
          <w:color w:val="auto"/>
          <w:sz w:val="24"/>
          <w:highlight w:val="none"/>
          <w:u w:val="none"/>
          <w:lang w:val="en-US" w:eastAsia="zh-CN"/>
        </w:rPr>
        <w:t>如有</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均应符合国家强制性标准。</w:t>
      </w:r>
    </w:p>
    <w:bookmarkEnd w:id="10"/>
    <w:p w14:paraId="352FBC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B70F7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19FBF5A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12CA475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3D4A8A6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11" w:name="_Hlk11703583"/>
      <w:r>
        <w:rPr>
          <w:rFonts w:hint="eastAsia" w:ascii="宋体" w:hAnsi="宋体" w:eastAsia="宋体"/>
          <w:color w:val="auto"/>
          <w:sz w:val="24"/>
          <w:highlight w:val="none"/>
          <w:lang w:val="en-US" w:eastAsia="zh-CN"/>
        </w:rPr>
        <w:t>等。</w:t>
      </w:r>
    </w:p>
    <w:bookmarkEnd w:id="11"/>
    <w:p w14:paraId="697F40D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109F572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464CC68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13ADCEF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514AF6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99129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0D9E114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96C073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186B1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77C7E5A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0E66C4F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69EBF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24C74DA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0A1A1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59448D3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ascii="宋体" w:hAnsi="宋体" w:eastAsia="宋体"/>
          <w:color w:val="auto"/>
          <w:sz w:val="24"/>
          <w:highlight w:val="none"/>
        </w:rPr>
        <w:t>，将加密的投标文件</w:t>
      </w:r>
      <w:r>
        <w:rPr>
          <w:rFonts w:hint="eastAsia" w:ascii="宋体" w:hAnsi="宋体" w:eastAsia="宋体"/>
          <w:color w:val="auto"/>
          <w:sz w:val="24"/>
          <w:highlight w:val="none"/>
        </w:rPr>
        <w:t>在电子交易系统</w:t>
      </w:r>
      <w:r>
        <w:rPr>
          <w:rFonts w:ascii="宋体" w:hAnsi="宋体" w:eastAsia="宋体"/>
          <w:color w:val="auto"/>
          <w:sz w:val="24"/>
          <w:highlight w:val="none"/>
        </w:rPr>
        <w:t>上传。</w:t>
      </w:r>
    </w:p>
    <w:p w14:paraId="01CA702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21BE7F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018C1DA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宋体" w:hAnsi="宋体" w:eastAsia="宋体"/>
          <w:color w:val="auto"/>
          <w:sz w:val="24"/>
          <w:highlight w:val="none"/>
        </w:rPr>
        <w:t>对</w:t>
      </w:r>
      <w:r>
        <w:rPr>
          <w:rFonts w:hint="eastAsia" w:ascii="宋体" w:hAnsi="宋体" w:eastAsia="宋体" w:cs="宋体"/>
          <w:color w:val="auto"/>
          <w:sz w:val="24"/>
          <w:szCs w:val="24"/>
          <w:highlight w:val="none"/>
          <w:lang w:val="en-US" w:eastAsia="zh-CN"/>
        </w:rPr>
        <w:t>其</w:t>
      </w:r>
      <w:r>
        <w:rPr>
          <w:rFonts w:ascii="宋体" w:hAnsi="宋体" w:eastAsia="宋体"/>
          <w:color w:val="auto"/>
          <w:sz w:val="24"/>
          <w:highlight w:val="none"/>
        </w:rPr>
        <w:t>投标文件</w:t>
      </w:r>
      <w:r>
        <w:rPr>
          <w:rFonts w:hint="eastAsia" w:ascii="宋体" w:hAnsi="宋体" w:eastAsia="宋体"/>
          <w:color w:val="auto"/>
          <w:sz w:val="24"/>
          <w:highlight w:val="none"/>
        </w:rPr>
        <w:t>进行</w:t>
      </w:r>
      <w:r>
        <w:rPr>
          <w:rFonts w:ascii="宋体" w:hAnsi="宋体" w:eastAsia="宋体"/>
          <w:color w:val="auto"/>
          <w:sz w:val="24"/>
          <w:highlight w:val="none"/>
        </w:rPr>
        <w:t>解密。</w:t>
      </w:r>
    </w:p>
    <w:p w14:paraId="19D674B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开标时，采购代理机构将通过网上开标系统公布</w:t>
      </w:r>
      <w:r>
        <w:rPr>
          <w:rFonts w:hint="eastAsia" w:ascii="宋体" w:hAnsi="宋体" w:eastAsia="宋体"/>
          <w:color w:val="auto"/>
          <w:sz w:val="24"/>
          <w:highlight w:val="none"/>
        </w:rPr>
        <w:t>开标结果，公布内容包括投标人名称、投标价格及招标文件规定的内容。</w:t>
      </w:r>
    </w:p>
    <w:p w14:paraId="5147E91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采购人或采购代理机构将对开标过程进行记录，并存档备查。</w:t>
      </w:r>
    </w:p>
    <w:p w14:paraId="5A874D59">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1998B6C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资格审查及组建评标委员会</w:t>
      </w:r>
    </w:p>
    <w:p w14:paraId="66F305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4934CC57">
      <w:pPr>
        <w:spacing w:line="360" w:lineRule="auto"/>
        <w:ind w:firstLine="435"/>
        <w:rPr>
          <w:rFonts w:hint="eastAsia" w:ascii="宋体" w:hAnsi="宋体" w:eastAsia="宋体" w:cs="宋体"/>
          <w:color w:val="auto"/>
          <w:sz w:val="24"/>
          <w:szCs w:val="24"/>
          <w:highlight w:val="none"/>
        </w:rPr>
      </w:pPr>
      <w:bookmarkStart w:id="12"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0624D9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0A1183D">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2"/>
    <w:p w14:paraId="13A97ADB">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.3按照《</w:t>
      </w:r>
      <w:r>
        <w:rPr>
          <w:rFonts w:ascii="宋体" w:hAnsi="宋体" w:eastAsia="宋体"/>
          <w:color w:val="auto"/>
          <w:sz w:val="24"/>
          <w:highlight w:val="none"/>
        </w:rPr>
        <w:t>中华人民共和国政府采购法》</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w:t>
      </w:r>
      <w:r>
        <w:rPr>
          <w:rFonts w:hint="eastAsia" w:ascii="宋体" w:hAnsi="宋体" w:eastAsia="宋体"/>
          <w:color w:val="auto"/>
          <w:sz w:val="24"/>
          <w:highlight w:val="none"/>
        </w:rPr>
        <w:t>法</w:t>
      </w:r>
      <w:r>
        <w:rPr>
          <w:rFonts w:ascii="宋体" w:hAnsi="宋体" w:eastAsia="宋体"/>
          <w:color w:val="auto"/>
          <w:sz w:val="24"/>
          <w:highlight w:val="none"/>
        </w:rPr>
        <w:t>实施条例》</w:t>
      </w:r>
      <w:r>
        <w:rPr>
          <w:rFonts w:hint="eastAsia" w:ascii="宋体" w:hAnsi="宋体" w:eastAsia="宋体"/>
          <w:color w:val="auto"/>
          <w:sz w:val="24"/>
          <w:highlight w:val="none"/>
        </w:rPr>
        <w:t>及本项目本级</w:t>
      </w:r>
      <w:r>
        <w:rPr>
          <w:rFonts w:ascii="宋体" w:hAnsi="宋体" w:eastAsia="宋体"/>
          <w:color w:val="auto"/>
          <w:sz w:val="24"/>
          <w:highlight w:val="none"/>
        </w:rPr>
        <w:t>和上级财政部门</w:t>
      </w:r>
      <w:r>
        <w:rPr>
          <w:rFonts w:hint="eastAsia" w:ascii="宋体" w:hAnsi="宋体" w:eastAsia="宋体"/>
          <w:color w:val="auto"/>
          <w:sz w:val="24"/>
          <w:highlight w:val="none"/>
        </w:rPr>
        <w:t>、政府采购监督管理部门的有关规定依法组建的</w:t>
      </w:r>
      <w:r>
        <w:rPr>
          <w:rFonts w:ascii="宋体" w:hAnsi="宋体" w:eastAsia="宋体"/>
          <w:color w:val="auto"/>
          <w:sz w:val="24"/>
          <w:highlight w:val="none"/>
        </w:rPr>
        <w:t>评标委员会</w:t>
      </w:r>
      <w:r>
        <w:rPr>
          <w:rFonts w:hint="eastAsia" w:ascii="宋体" w:hAnsi="宋体" w:eastAsia="宋体"/>
          <w:color w:val="auto"/>
          <w:sz w:val="24"/>
          <w:highlight w:val="none"/>
        </w:rPr>
        <w:t>，负责本项目评标工作。</w:t>
      </w:r>
    </w:p>
    <w:p w14:paraId="452EAAA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1F17DA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3E9F73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3E454A8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0FC57CF2">
      <w:pPr>
        <w:spacing w:line="360" w:lineRule="auto"/>
        <w:ind w:firstLine="435"/>
        <w:rPr>
          <w:rFonts w:ascii="宋体" w:hAnsi="宋体" w:eastAsia="宋体"/>
          <w:b/>
          <w:bCs/>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4AE4446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.2</w:t>
      </w:r>
      <w:r>
        <w:rPr>
          <w:rFonts w:hint="eastAsia" w:ascii="宋体" w:hAnsi="宋体" w:eastAsia="宋体"/>
          <w:color w:val="auto"/>
          <w:sz w:val="24"/>
          <w:highlight w:val="none"/>
        </w:rPr>
        <w:t>投标人的澄清、说明或补正将作为投标文件的一部分。</w:t>
      </w:r>
    </w:p>
    <w:p w14:paraId="2B3E34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3E11DE8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0A00B1E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F15887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627C48C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6D4A00C">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630235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ACA7802">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1FCF912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59E285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4677F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4FFFBB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3DDEC6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9B9BE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412C37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090678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706441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16D27B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4184EE1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0EE9337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hint="eastAsia" w:ascii="宋体" w:hAnsi="宋体" w:eastAsia="宋体"/>
          <w:color w:val="auto"/>
          <w:sz w:val="24"/>
          <w:highlight w:val="none"/>
        </w:rPr>
        <w:t>1经符合性审查合格的投标文件，评标委员会将根据招标文件确定的评标方法和标准，对其投标文件作进一步的比较与评价。</w:t>
      </w:r>
    </w:p>
    <w:p w14:paraId="2BF8878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hint="eastAsia" w:ascii="宋体" w:hAnsi="宋体" w:eastAsia="宋体"/>
          <w:color w:val="auto"/>
          <w:sz w:val="24"/>
          <w:highlight w:val="none"/>
        </w:rPr>
        <w:t>2评标严格按照招标文件的要求和条件进行。根据实际情况，在</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中规定采用下列一种评标方法，详细评标方法和标准见招标文件第四章：</w:t>
      </w:r>
    </w:p>
    <w:p w14:paraId="67EF8E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CE821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696246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olor w:val="auto"/>
          <w:sz w:val="24"/>
          <w:highlight w:val="none"/>
          <w:lang w:val="en-US" w:eastAsia="zh-CN"/>
        </w:rPr>
        <w:t>和</w:t>
      </w:r>
      <w:r>
        <w:rPr>
          <w:rFonts w:ascii="宋体" w:hAnsi="宋体" w:eastAsia="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617429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E738C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7C9488F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6AE9838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3A0FD4E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2F31CB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9E8C0E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646AAA2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40269C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4756EC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1094115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36C390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472F25E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337333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FF75AA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15F0D7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20.1</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25A251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color w:val="auto"/>
          <w:sz w:val="24"/>
          <w:highlight w:val="none"/>
        </w:rPr>
        <w:t>出现两家或两家以上相同者，采取评标委员会随机抽取的方式确定中标候选顺序。</w:t>
      </w:r>
    </w:p>
    <w:p w14:paraId="73FF8D0D">
      <w:pPr>
        <w:spacing w:line="360" w:lineRule="auto"/>
        <w:ind w:firstLine="435"/>
        <w:rPr>
          <w:rFonts w:hint="default" w:eastAsia="宋体"/>
          <w:color w:val="auto"/>
          <w:highlight w:val="none"/>
          <w:lang w:val="en-US" w:eastAsia="zh-CN"/>
        </w:rPr>
      </w:pPr>
      <w:r>
        <w:rPr>
          <w:rFonts w:hint="eastAsia" w:ascii="宋体" w:hAnsi="宋体" w:eastAsia="宋体"/>
          <w:color w:val="auto"/>
          <w:sz w:val="24"/>
          <w:highlight w:val="none"/>
        </w:rPr>
        <w:t>（</w:t>
      </w:r>
      <w:r>
        <w:rPr>
          <w:rFonts w:ascii="宋体" w:hAnsi="宋体" w:eastAsia="宋体"/>
          <w:color w:val="auto"/>
          <w:sz w:val="24"/>
          <w:highlight w:val="none"/>
        </w:rPr>
        <w:t>2）采用综合评分法的，评标结果按评审后得分由高到低顺序排列。得分相同的，</w:t>
      </w:r>
      <w:r>
        <w:rPr>
          <w:rFonts w:hint="eastAsia" w:ascii="宋体" w:hAnsi="宋体" w:eastAsia="宋体"/>
          <w:color w:val="auto"/>
          <w:sz w:val="24"/>
          <w:highlight w:val="none"/>
        </w:rPr>
        <w:t>按投标报价由低到高顺序排列。</w:t>
      </w:r>
      <w:r>
        <w:rPr>
          <w:rFonts w:ascii="宋体" w:hAnsi="宋体" w:eastAsia="宋体"/>
          <w:color w:val="auto"/>
          <w:sz w:val="24"/>
          <w:highlight w:val="none"/>
        </w:rPr>
        <w:t>得分与投标报价均相同的</w:t>
      </w:r>
      <w:r>
        <w:rPr>
          <w:rFonts w:hint="eastAsia" w:ascii="宋体" w:hAnsi="宋体" w:eastAsia="宋体"/>
          <w:color w:val="auto"/>
          <w:sz w:val="24"/>
          <w:highlight w:val="none"/>
        </w:rPr>
        <w:t>，则采取评标委员会随机抽取的方式确定中标候选顺序。</w:t>
      </w:r>
    </w:p>
    <w:p w14:paraId="0D77654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77076A4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14CCE41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3E4B99F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4C664C5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70CE51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F412B8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1277CB4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1CCC918">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2D3098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宋体" w:hAnsi="宋体" w:eastAsia="宋体"/>
          <w:color w:val="auto"/>
          <w:sz w:val="24"/>
          <w:highlight w:val="none"/>
          <w:lang w:val="en-US" w:eastAsia="zh-CN"/>
        </w:rPr>
        <w:t>服务范围</w:t>
      </w:r>
      <w:r>
        <w:rPr>
          <w:rFonts w:ascii="宋体" w:hAnsi="宋体" w:eastAsia="宋体"/>
          <w:color w:val="auto"/>
          <w:sz w:val="24"/>
          <w:highlight w:val="none"/>
        </w:rPr>
        <w:t>、</w:t>
      </w:r>
      <w:r>
        <w:rPr>
          <w:rFonts w:hint="eastAsia" w:ascii="宋体" w:hAnsi="宋体" w:eastAsia="宋体"/>
          <w:color w:val="auto"/>
          <w:sz w:val="24"/>
          <w:highlight w:val="none"/>
          <w:lang w:val="en-US" w:eastAsia="zh-CN"/>
        </w:rPr>
        <w:t>服务要求</w:t>
      </w:r>
      <w:r>
        <w:rPr>
          <w:rFonts w:ascii="宋体" w:hAnsi="宋体" w:eastAsia="宋体"/>
          <w:color w:val="auto"/>
          <w:sz w:val="24"/>
          <w:highlight w:val="none"/>
        </w:rPr>
        <w:t>、</w:t>
      </w:r>
      <w:r>
        <w:rPr>
          <w:rFonts w:hint="eastAsia" w:ascii="宋体" w:hAnsi="宋体" w:eastAsia="宋体"/>
          <w:color w:val="auto"/>
          <w:sz w:val="24"/>
          <w:highlight w:val="none"/>
          <w:lang w:val="en-US" w:eastAsia="zh-CN"/>
        </w:rPr>
        <w:t>服务时间</w:t>
      </w:r>
      <w:r>
        <w:rPr>
          <w:rFonts w:ascii="宋体" w:hAnsi="宋体" w:eastAsia="宋体"/>
          <w:color w:val="auto"/>
          <w:sz w:val="24"/>
          <w:highlight w:val="none"/>
        </w:rPr>
        <w:t>、服务</w:t>
      </w:r>
      <w:r>
        <w:rPr>
          <w:rFonts w:hint="eastAsia" w:ascii="宋体" w:hAnsi="宋体" w:eastAsia="宋体"/>
          <w:color w:val="auto"/>
          <w:sz w:val="24"/>
          <w:highlight w:val="none"/>
          <w:lang w:val="en-US" w:eastAsia="zh-CN"/>
        </w:rPr>
        <w:t>标准</w:t>
      </w:r>
      <w:r>
        <w:rPr>
          <w:rFonts w:ascii="宋体" w:hAnsi="宋体" w:eastAsia="宋体"/>
          <w:color w:val="auto"/>
          <w:sz w:val="24"/>
          <w:highlight w:val="none"/>
        </w:rPr>
        <w:t>，中标公告期限、评审专家名单以及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3B9D9F2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0557F62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7153A30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2E5B63D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12A9926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2D137E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EA4CC9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p>
    <w:p w14:paraId="47662FA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548E0205">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14A359D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78F5FB0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3AF3A4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1172E70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7F9EE5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18F8A73E">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57033A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32B8912B">
      <w:pPr>
        <w:spacing w:line="360" w:lineRule="auto"/>
        <w:ind w:firstLine="437"/>
        <w:outlineLvl w:val="2"/>
        <w:rPr>
          <w:rFonts w:ascii="宋体" w:hAnsi="宋体" w:eastAsia="宋体"/>
          <w:b/>
          <w:color w:val="auto"/>
          <w:sz w:val="24"/>
          <w:highlight w:val="none"/>
        </w:rPr>
      </w:pPr>
      <w:bookmarkStart w:id="13" w:name="_Toc2583661"/>
      <w:bookmarkStart w:id="14" w:name="_Toc518923100"/>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13"/>
      <w:bookmarkEnd w:id="14"/>
    </w:p>
    <w:p w14:paraId="1AFBCF0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13F72F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203DBC20">
      <w:pPr>
        <w:spacing w:line="360" w:lineRule="auto"/>
        <w:ind w:firstLine="437"/>
        <w:outlineLvl w:val="2"/>
        <w:rPr>
          <w:rFonts w:ascii="宋体" w:hAnsi="宋体" w:eastAsia="宋体"/>
          <w:b/>
          <w:color w:val="auto"/>
          <w:sz w:val="24"/>
          <w:highlight w:val="none"/>
        </w:rPr>
      </w:pPr>
      <w:bookmarkStart w:id="15" w:name="_Toc518923101"/>
      <w:bookmarkStart w:id="16"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15"/>
      <w:bookmarkEnd w:id="16"/>
    </w:p>
    <w:p w14:paraId="4DFABD68">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0FFA57E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39D61A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28F5E9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0CBDE4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E6F57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61782C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07B337CE">
      <w:pPr>
        <w:widowControl w:val="0"/>
        <w:wordWrap w:val="0"/>
        <w:adjustRightInd/>
        <w:snapToGrid/>
        <w:spacing w:line="360" w:lineRule="auto"/>
        <w:ind w:firstLine="437"/>
        <w:textAlignment w:val="auto"/>
        <w:rPr>
          <w:rFonts w:hint="eastAsia" w:ascii="宋体" w:hAnsi="宋体" w:eastAsia="宋体"/>
          <w:color w:val="auto"/>
          <w:sz w:val="24"/>
          <w:highlight w:val="none"/>
        </w:rPr>
      </w:pPr>
      <w:r>
        <w:rPr>
          <w:rFonts w:hint="eastAsia" w:ascii="宋体" w:hAnsi="宋体" w:eastAsia="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48EE1BD1">
      <w:pPr>
        <w:widowControl w:val="0"/>
        <w:wordWrap w:val="0"/>
        <w:adjustRightInd/>
        <w:snapToGrid/>
        <w:spacing w:line="360" w:lineRule="auto"/>
        <w:ind w:firstLine="437"/>
        <w:textAlignment w:val="auto"/>
        <w:rPr>
          <w:rFonts w:hint="eastAsia" w:ascii="宋体" w:hAnsi="宋体" w:eastAsia="宋体"/>
          <w:color w:val="auto"/>
          <w:sz w:val="24"/>
          <w:highlight w:val="none"/>
        </w:rPr>
      </w:pPr>
      <w:r>
        <w:rPr>
          <w:rFonts w:hint="eastAsia" w:ascii="宋体" w:hAnsi="宋体" w:eastAsia="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650E61DB">
      <w:pPr>
        <w:widowControl w:val="0"/>
        <w:wordWrap w:val="0"/>
        <w:adjustRightInd/>
        <w:snapToGrid/>
        <w:spacing w:line="360" w:lineRule="auto"/>
        <w:ind w:firstLine="437"/>
        <w:textAlignment w:val="auto"/>
        <w:rPr>
          <w:rFonts w:hint="eastAsia" w:ascii="宋体" w:hAnsi="宋体" w:eastAsia="宋体"/>
          <w:color w:val="auto"/>
          <w:sz w:val="24"/>
          <w:highlight w:val="none"/>
        </w:rPr>
      </w:pPr>
      <w:r>
        <w:rPr>
          <w:rFonts w:hint="eastAsia" w:ascii="宋体" w:hAnsi="宋体" w:eastAsia="宋体"/>
          <w:color w:val="auto"/>
          <w:sz w:val="24"/>
          <w:highlight w:val="none"/>
        </w:rPr>
        <w:t>32.3政府采购监督管理部门在处理投诉事项期间，可以视具体情况书面通知采购人暂停采购活动，但暂停时间最长不得超过30日。</w:t>
      </w:r>
    </w:p>
    <w:p w14:paraId="433A330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33.需要补充的其他内容</w:t>
      </w:r>
    </w:p>
    <w:p w14:paraId="78920FE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7FBFC01">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19F270DB">
      <w:pPr>
        <w:numPr>
          <w:ilvl w:val="0"/>
          <w:numId w:val="0"/>
        </w:numPr>
        <w:spacing w:line="360" w:lineRule="auto"/>
        <w:jc w:val="center"/>
        <w:outlineLvl w:val="0"/>
        <w:rPr>
          <w:rFonts w:hint="eastAsia" w:ascii="宋体" w:hAnsi="宋体" w:eastAsia="宋体" w:cs="@仿宋_GB2312"/>
          <w:b/>
          <w:color w:val="auto"/>
          <w:kern w:val="2"/>
          <w:sz w:val="28"/>
          <w:highlight w:val="none"/>
          <w:lang w:val="en-US" w:eastAsia="zh-CN" w:bidi="ar-SA"/>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6849E2A8">
      <w:pPr>
        <w:numPr>
          <w:ilvl w:val="0"/>
          <w:numId w:val="0"/>
        </w:num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cs="@仿宋_GB2312"/>
          <w:b/>
          <w:color w:val="auto"/>
          <w:kern w:val="2"/>
          <w:sz w:val="28"/>
          <w:highlight w:val="none"/>
          <w:lang w:val="en-US" w:eastAsia="zh-CN" w:bidi="ar-SA"/>
        </w:rPr>
        <w:t>第三章</w:t>
      </w:r>
      <w:r>
        <w:rPr>
          <w:rFonts w:hint="eastAsia" w:ascii="宋体" w:hAnsi="宋体" w:eastAsia="宋体"/>
          <w:b/>
          <w:color w:val="auto"/>
          <w:sz w:val="28"/>
          <w:highlight w:val="none"/>
        </w:rPr>
        <w:t xml:space="preserve"> </w:t>
      </w:r>
      <w:bookmarkStart w:id="17" w:name="_Toc22605"/>
      <w:r>
        <w:rPr>
          <w:rFonts w:hint="eastAsia" w:ascii="宋体" w:hAnsi="宋体" w:eastAsia="宋体"/>
          <w:b/>
          <w:color w:val="auto"/>
          <w:sz w:val="28"/>
          <w:highlight w:val="none"/>
          <w:lang w:val="en-US" w:eastAsia="zh-CN"/>
        </w:rPr>
        <w:t xml:space="preserve"> </w:t>
      </w:r>
      <w:r>
        <w:rPr>
          <w:rFonts w:hint="eastAsia" w:ascii="宋体" w:hAnsi="宋体" w:eastAsia="宋体"/>
          <w:b/>
          <w:color w:val="auto"/>
          <w:sz w:val="28"/>
          <w:highlight w:val="none"/>
        </w:rPr>
        <w:t>采购需求</w:t>
      </w:r>
      <w:bookmarkEnd w:id="17"/>
    </w:p>
    <w:p w14:paraId="2F9092BA">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556E16D9">
      <w:pPr>
        <w:widowControl w:val="0"/>
        <w:wordWrap/>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08E75E66">
      <w:pPr>
        <w:widowControl w:val="0"/>
        <w:wordWrap/>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473634D">
      <w:pPr>
        <w:widowControl w:val="0"/>
        <w:wordWrap/>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031BB42A">
      <w:pPr>
        <w:widowControl w:val="0"/>
        <w:wordWrap/>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4B8754">
      <w:pPr>
        <w:widowControl w:val="0"/>
        <w:wordWrap/>
        <w:adjustRightInd/>
        <w:snapToGrid/>
        <w:spacing w:line="480" w:lineRule="exact"/>
        <w:ind w:firstLine="480" w:firstLineChars="200"/>
        <w:textAlignment w:val="auto"/>
        <w:rPr>
          <w:rFonts w:hint="eastAsia" w:ascii="宋体" w:hAnsi="宋体" w:eastAsia="宋体"/>
          <w:bCs/>
          <w:color w:val="auto"/>
          <w:sz w:val="24"/>
          <w:szCs w:val="18"/>
          <w:highlight w:val="none"/>
          <w:lang w:eastAsia="zh-CN"/>
        </w:rPr>
      </w:pPr>
      <w:r>
        <w:rPr>
          <w:rFonts w:hint="eastAsia" w:ascii="宋体" w:hAnsi="宋体" w:eastAsia="宋体" w:cs="宋体"/>
          <w:color w:val="auto"/>
          <w:sz w:val="24"/>
          <w:szCs w:val="24"/>
          <w:highlight w:val="none"/>
        </w:rPr>
        <w:t>3.如采购人允许采用分包方式履行合同的，应当明确可以分包履行的相关内容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以合同约定为准</w:t>
      </w:r>
      <w:r>
        <w:rPr>
          <w:rFonts w:hint="eastAsia" w:ascii="宋体" w:hAnsi="宋体" w:eastAsia="宋体" w:cs="宋体"/>
          <w:color w:val="auto"/>
          <w:sz w:val="24"/>
          <w:szCs w:val="24"/>
          <w:highlight w:val="none"/>
        </w:rPr>
        <w:t>。</w:t>
      </w:r>
    </w:p>
    <w:p w14:paraId="55C69543">
      <w:pPr>
        <w:spacing w:line="360" w:lineRule="auto"/>
        <w:ind w:firstLine="437"/>
        <w:outlineLvl w:val="1"/>
        <w:rPr>
          <w:rFonts w:ascii="宋体" w:hAnsi="宋体" w:eastAsia="宋体"/>
          <w:b/>
          <w:color w:val="auto"/>
          <w:sz w:val="24"/>
          <w:szCs w:val="18"/>
          <w:highlight w:val="none"/>
        </w:rPr>
      </w:pPr>
      <w:bookmarkStart w:id="18" w:name="_Toc21798"/>
      <w:bookmarkStart w:id="19" w:name="_Toc4148"/>
      <w:bookmarkStart w:id="20" w:name="_Hlk23621890"/>
      <w:r>
        <w:rPr>
          <w:rFonts w:hint="eastAsia" w:ascii="宋体" w:hAnsi="宋体" w:eastAsia="宋体"/>
          <w:b/>
          <w:color w:val="auto"/>
          <w:sz w:val="24"/>
          <w:szCs w:val="18"/>
          <w:highlight w:val="none"/>
        </w:rPr>
        <w:t>一、采购需求前附表</w:t>
      </w:r>
      <w:bookmarkEnd w:id="18"/>
      <w:bookmarkEnd w:id="19"/>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245"/>
        <w:gridCol w:w="5515"/>
      </w:tblGrid>
      <w:tr w14:paraId="5FDB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6" w:type="dxa"/>
            <w:vAlign w:val="center"/>
          </w:tcPr>
          <w:p w14:paraId="6DC47F09">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
                <w:color w:val="auto"/>
                <w:kern w:val="2"/>
                <w:sz w:val="20"/>
                <w:szCs w:val="20"/>
                <w:highlight w:val="none"/>
              </w:rPr>
            </w:pPr>
            <w:r>
              <w:rPr>
                <w:rFonts w:hint="eastAsia" w:ascii="宋体" w:hAnsi="宋体" w:eastAsia="宋体" w:cs="Times New Roman"/>
                <w:b/>
                <w:color w:val="auto"/>
                <w:kern w:val="2"/>
                <w:sz w:val="20"/>
                <w:szCs w:val="20"/>
                <w:highlight w:val="none"/>
              </w:rPr>
              <w:t>序号</w:t>
            </w:r>
          </w:p>
        </w:tc>
        <w:tc>
          <w:tcPr>
            <w:tcW w:w="2245" w:type="dxa"/>
            <w:vAlign w:val="center"/>
          </w:tcPr>
          <w:p w14:paraId="4173B158">
            <w:pPr>
              <w:pStyle w:val="43"/>
              <w:widowControl w:val="0"/>
              <w:spacing w:before="0" w:beforeAutospacing="0" w:after="0" w:afterAutospacing="0" w:line="360" w:lineRule="auto"/>
              <w:ind w:left="0" w:right="0"/>
              <w:rPr>
                <w:rFonts w:hint="default" w:ascii="宋体" w:hAnsi="宋体" w:eastAsia="宋体" w:cs="Times New Roman"/>
                <w:bCs w:val="0"/>
                <w:color w:val="auto"/>
                <w:sz w:val="24"/>
                <w:szCs w:val="20"/>
                <w:highlight w:val="none"/>
              </w:rPr>
            </w:pPr>
            <w:r>
              <w:rPr>
                <w:rFonts w:hint="eastAsia" w:ascii="宋体" w:hAnsi="宋体" w:eastAsia="宋体" w:cs="Times New Roman"/>
                <w:bCs w:val="0"/>
                <w:color w:val="auto"/>
                <w:sz w:val="24"/>
                <w:szCs w:val="20"/>
                <w:highlight w:val="none"/>
              </w:rPr>
              <w:t>条款名称</w:t>
            </w:r>
          </w:p>
        </w:tc>
        <w:tc>
          <w:tcPr>
            <w:tcW w:w="5515" w:type="dxa"/>
            <w:vAlign w:val="center"/>
          </w:tcPr>
          <w:p w14:paraId="35B9BC32">
            <w:pPr>
              <w:pStyle w:val="43"/>
              <w:widowControl w:val="0"/>
              <w:spacing w:before="0" w:beforeAutospacing="0" w:after="0" w:afterAutospacing="0" w:line="360" w:lineRule="auto"/>
              <w:ind w:left="0" w:right="0"/>
              <w:rPr>
                <w:rFonts w:hint="default" w:ascii="宋体" w:hAnsi="宋体" w:eastAsia="宋体" w:cs="Times New Roman"/>
                <w:bCs w:val="0"/>
                <w:color w:val="auto"/>
                <w:sz w:val="24"/>
                <w:szCs w:val="20"/>
                <w:highlight w:val="none"/>
              </w:rPr>
            </w:pPr>
            <w:r>
              <w:rPr>
                <w:rFonts w:hint="eastAsia" w:ascii="宋体" w:hAnsi="宋体" w:eastAsia="宋体" w:cs="Times New Roman"/>
                <w:bCs w:val="0"/>
                <w:color w:val="auto"/>
                <w:sz w:val="24"/>
                <w:szCs w:val="20"/>
                <w:highlight w:val="none"/>
              </w:rPr>
              <w:t>内容、说明与要求</w:t>
            </w:r>
          </w:p>
        </w:tc>
      </w:tr>
      <w:tr w14:paraId="742B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6" w:type="dxa"/>
            <w:vAlign w:val="center"/>
          </w:tcPr>
          <w:p w14:paraId="6B0196B2">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1</w:t>
            </w:r>
          </w:p>
        </w:tc>
        <w:tc>
          <w:tcPr>
            <w:tcW w:w="2245" w:type="dxa"/>
            <w:vAlign w:val="center"/>
          </w:tcPr>
          <w:p w14:paraId="175A345D">
            <w:pPr>
              <w:pStyle w:val="43"/>
              <w:widowControl w:val="0"/>
              <w:spacing w:before="0" w:beforeAutospacing="0" w:after="0" w:afterAutospacing="0" w:line="360" w:lineRule="auto"/>
              <w:ind w:left="0" w:right="0"/>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付款方式</w:t>
            </w:r>
          </w:p>
        </w:tc>
        <w:tc>
          <w:tcPr>
            <w:tcW w:w="5515" w:type="dxa"/>
            <w:vAlign w:val="center"/>
          </w:tcPr>
          <w:p w14:paraId="6E90637B">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u w:val="single"/>
              </w:rPr>
            </w:pPr>
            <w:r>
              <w:rPr>
                <w:rFonts w:hint="eastAsia" w:ascii="宋体" w:hAnsi="宋体" w:eastAsia="宋体" w:cs="Times New Roman"/>
                <w:b w:val="0"/>
                <w:color w:val="auto"/>
                <w:sz w:val="24"/>
                <w:szCs w:val="20"/>
                <w:highlight w:val="none"/>
                <w:u w:val="single"/>
                <w:lang w:val="en-US" w:eastAsia="zh-CN"/>
              </w:rPr>
              <w:t>合同签订且具备实施条件后，支付合同价的40%预付款（预付款支付前，中标人须提供同等金额的见索即付保函），规划通过评审并印发后支付至合同价款的90%，提交滁州市“十五五”中期评估报告后一次性付清余款，每次付款时均需提供等额发票</w:t>
            </w:r>
            <w:r>
              <w:rPr>
                <w:rFonts w:hint="eastAsia" w:ascii="宋体" w:hAnsi="宋体" w:eastAsia="宋体" w:cs="Times New Roman"/>
                <w:b w:val="0"/>
                <w:color w:val="auto"/>
                <w:sz w:val="24"/>
                <w:szCs w:val="20"/>
                <w:highlight w:val="none"/>
                <w:u w:val="single"/>
              </w:rPr>
              <w:t>。</w:t>
            </w:r>
          </w:p>
        </w:tc>
      </w:tr>
      <w:tr w14:paraId="1326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6" w:type="dxa"/>
            <w:vAlign w:val="center"/>
          </w:tcPr>
          <w:p w14:paraId="7D1D7719">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2</w:t>
            </w:r>
          </w:p>
        </w:tc>
        <w:tc>
          <w:tcPr>
            <w:tcW w:w="2245" w:type="dxa"/>
            <w:vAlign w:val="center"/>
          </w:tcPr>
          <w:p w14:paraId="2A628483">
            <w:pPr>
              <w:pStyle w:val="43"/>
              <w:widowControl w:val="0"/>
              <w:spacing w:before="0" w:beforeAutospacing="0" w:after="0" w:afterAutospacing="0" w:line="360" w:lineRule="auto"/>
              <w:ind w:left="0" w:right="0"/>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服务地点</w:t>
            </w:r>
          </w:p>
        </w:tc>
        <w:tc>
          <w:tcPr>
            <w:tcW w:w="5515" w:type="dxa"/>
            <w:vAlign w:val="center"/>
          </w:tcPr>
          <w:p w14:paraId="741A2239">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lang w:val="en-US" w:eastAsia="zh-CN"/>
              </w:rPr>
            </w:pPr>
            <w:r>
              <w:rPr>
                <w:rFonts w:hint="eastAsia" w:ascii="宋体" w:hAnsi="宋体" w:eastAsia="宋体" w:cs="Times New Roman"/>
                <w:b w:val="0"/>
                <w:color w:val="auto"/>
                <w:sz w:val="24"/>
                <w:szCs w:val="20"/>
                <w:highlight w:val="none"/>
                <w:u w:val="single"/>
                <w:lang w:val="en-US" w:eastAsia="zh-CN"/>
              </w:rPr>
              <w:t>滁州市内，采购人指定地点</w:t>
            </w:r>
          </w:p>
        </w:tc>
      </w:tr>
      <w:tr w14:paraId="7C95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6" w:type="dxa"/>
            <w:vAlign w:val="center"/>
          </w:tcPr>
          <w:p w14:paraId="3C045101">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cs="Times New Roman"/>
                <w:bCs/>
                <w:color w:val="auto"/>
                <w:kern w:val="2"/>
                <w:sz w:val="20"/>
                <w:szCs w:val="20"/>
                <w:highlight w:val="none"/>
              </w:rPr>
            </w:pPr>
            <w:r>
              <w:rPr>
                <w:rFonts w:hint="eastAsia" w:ascii="宋体" w:hAnsi="宋体" w:eastAsia="宋体" w:cs="Times New Roman"/>
                <w:bCs/>
                <w:color w:val="auto"/>
                <w:kern w:val="2"/>
                <w:sz w:val="20"/>
                <w:szCs w:val="20"/>
                <w:highlight w:val="none"/>
              </w:rPr>
              <w:t>3</w:t>
            </w:r>
          </w:p>
        </w:tc>
        <w:tc>
          <w:tcPr>
            <w:tcW w:w="2245" w:type="dxa"/>
            <w:vAlign w:val="center"/>
          </w:tcPr>
          <w:p w14:paraId="50524847">
            <w:pPr>
              <w:pStyle w:val="43"/>
              <w:widowControl w:val="0"/>
              <w:spacing w:before="0" w:beforeAutospacing="0" w:after="0" w:afterAutospacing="0" w:line="360" w:lineRule="auto"/>
              <w:ind w:left="0" w:right="0"/>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服务期限</w:t>
            </w:r>
          </w:p>
        </w:tc>
        <w:tc>
          <w:tcPr>
            <w:tcW w:w="5515" w:type="dxa"/>
            <w:vAlign w:val="center"/>
          </w:tcPr>
          <w:p w14:paraId="3FB3AE7C">
            <w:pPr>
              <w:pStyle w:val="43"/>
              <w:widowControl w:val="0"/>
              <w:spacing w:before="0" w:beforeAutospacing="0" w:after="0" w:afterAutospacing="0" w:line="360" w:lineRule="auto"/>
              <w:ind w:left="0" w:right="0"/>
              <w:jc w:val="both"/>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u w:val="single"/>
                <w:lang w:val="en-US" w:eastAsia="zh-CN"/>
              </w:rPr>
              <w:t>自合同签订之日起至 2028 年规划中期评估工作完成之日止</w:t>
            </w:r>
            <w:r>
              <w:rPr>
                <w:rFonts w:hint="eastAsia" w:ascii="宋体" w:hAnsi="宋体" w:eastAsia="宋体" w:cs="Times New Roman"/>
                <w:b w:val="0"/>
                <w:color w:val="auto"/>
                <w:sz w:val="24"/>
                <w:szCs w:val="20"/>
                <w:highlight w:val="none"/>
                <w:u w:val="single"/>
              </w:rPr>
              <w:t>。</w:t>
            </w:r>
          </w:p>
        </w:tc>
      </w:tr>
      <w:tr w14:paraId="25EC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6" w:type="dxa"/>
            <w:vAlign w:val="center"/>
          </w:tcPr>
          <w:p w14:paraId="5D9FD3E7">
            <w:pPr>
              <w:pStyle w:val="44"/>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Times New Roman"/>
                <w:bCs/>
                <w:color w:val="auto"/>
                <w:kern w:val="2"/>
                <w:sz w:val="20"/>
                <w:szCs w:val="20"/>
                <w:highlight w:val="none"/>
                <w:lang w:val="en-US" w:eastAsia="zh-CN"/>
              </w:rPr>
            </w:pPr>
            <w:r>
              <w:rPr>
                <w:rFonts w:hint="eastAsia" w:ascii="宋体" w:hAnsi="宋体" w:eastAsia="宋体" w:cs="Times New Roman"/>
                <w:bCs/>
                <w:color w:val="auto"/>
                <w:kern w:val="2"/>
                <w:sz w:val="20"/>
                <w:szCs w:val="20"/>
                <w:highlight w:val="none"/>
                <w:lang w:val="en-US" w:eastAsia="zh-CN"/>
              </w:rPr>
              <w:t>4</w:t>
            </w:r>
          </w:p>
        </w:tc>
        <w:tc>
          <w:tcPr>
            <w:tcW w:w="2245" w:type="dxa"/>
            <w:vAlign w:val="center"/>
          </w:tcPr>
          <w:p w14:paraId="7BB790FD">
            <w:pPr>
              <w:pStyle w:val="43"/>
              <w:widowControl w:val="0"/>
              <w:spacing w:before="0" w:beforeAutospacing="0" w:after="0" w:afterAutospacing="0" w:line="360" w:lineRule="auto"/>
              <w:ind w:left="0" w:right="0"/>
              <w:rPr>
                <w:rFonts w:hint="default" w:ascii="宋体" w:hAnsi="宋体" w:eastAsia="宋体" w:cs="Times New Roman"/>
                <w:b w:val="0"/>
                <w:color w:val="auto"/>
                <w:sz w:val="24"/>
                <w:szCs w:val="20"/>
                <w:highlight w:val="none"/>
              </w:rPr>
            </w:pPr>
            <w:r>
              <w:rPr>
                <w:rFonts w:hint="eastAsia" w:ascii="宋体" w:hAnsi="宋体" w:eastAsia="宋体" w:cs="Times New Roman"/>
                <w:b w:val="0"/>
                <w:color w:val="auto"/>
                <w:sz w:val="24"/>
                <w:szCs w:val="20"/>
                <w:highlight w:val="none"/>
              </w:rPr>
              <w:t>本项目采购标的名称及所属行业</w:t>
            </w:r>
          </w:p>
        </w:tc>
        <w:tc>
          <w:tcPr>
            <w:tcW w:w="5515" w:type="dxa"/>
            <w:vAlign w:val="center"/>
          </w:tcPr>
          <w:p w14:paraId="67BE3C00">
            <w:pPr>
              <w:spacing w:before="0" w:beforeAutospacing="0" w:after="0" w:afterAutospacing="0" w:line="360" w:lineRule="auto"/>
              <w:ind w:left="0" w:right="0"/>
              <w:jc w:val="left"/>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rPr>
              <w:t>标的名称：</w:t>
            </w:r>
            <w:r>
              <w:rPr>
                <w:rFonts w:hint="eastAsia" w:ascii="宋体" w:hAnsi="宋体" w:eastAsia="宋体" w:cs="Times New Roman"/>
                <w:color w:val="auto"/>
                <w:sz w:val="24"/>
                <w:szCs w:val="20"/>
                <w:highlight w:val="none"/>
                <w:lang w:eastAsia="zh-CN"/>
              </w:rPr>
              <w:t>滁州市“十五五”综合交通运输体系发展规划编制项目</w:t>
            </w:r>
          </w:p>
          <w:p w14:paraId="024259E4">
            <w:pPr>
              <w:spacing w:before="0" w:beforeAutospacing="0" w:after="0" w:afterAutospacing="0" w:line="360" w:lineRule="auto"/>
              <w:ind w:left="0" w:right="0"/>
              <w:jc w:val="left"/>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rPr>
              <w:t>所属行业：其他未列明行业</w:t>
            </w:r>
          </w:p>
        </w:tc>
      </w:tr>
    </w:tbl>
    <w:p w14:paraId="19294E1A">
      <w:pPr>
        <w:numPr>
          <w:ilvl w:val="0"/>
          <w:numId w:val="0"/>
        </w:numPr>
        <w:spacing w:line="360" w:lineRule="auto"/>
        <w:outlineLvl w:val="9"/>
        <w:rPr>
          <w:rFonts w:hint="eastAsia" w:ascii="宋体" w:hAnsi="宋体" w:eastAsia="宋体"/>
          <w:b/>
          <w:color w:val="auto"/>
          <w:sz w:val="24"/>
          <w:szCs w:val="18"/>
          <w:highlight w:val="none"/>
          <w:lang w:val="en-US" w:eastAsia="zh-CN"/>
        </w:rPr>
      </w:pPr>
      <w:bookmarkStart w:id="21" w:name="_Toc16543"/>
      <w:bookmarkStart w:id="22" w:name="_Hlk16461016"/>
    </w:p>
    <w:p w14:paraId="4DBC492E">
      <w:pPr>
        <w:numPr>
          <w:ilvl w:val="0"/>
          <w:numId w:val="0"/>
        </w:numPr>
        <w:spacing w:line="360" w:lineRule="auto"/>
        <w:ind w:firstLine="482" w:firstLineChars="200"/>
        <w:outlineLvl w:val="1"/>
        <w:rPr>
          <w:rFonts w:hint="eastAsia" w:ascii="宋体" w:hAnsi="宋体" w:eastAsia="宋体"/>
          <w:b/>
          <w:color w:val="auto"/>
          <w:sz w:val="24"/>
          <w:szCs w:val="18"/>
          <w:highlight w:val="none"/>
        </w:rPr>
      </w:pPr>
      <w:bookmarkStart w:id="23" w:name="_Toc8753"/>
      <w:r>
        <w:rPr>
          <w:rFonts w:hint="eastAsia" w:ascii="宋体" w:hAnsi="宋体" w:eastAsia="宋体"/>
          <w:b/>
          <w:color w:val="auto"/>
          <w:sz w:val="24"/>
          <w:szCs w:val="18"/>
          <w:highlight w:val="none"/>
          <w:lang w:val="en-US" w:eastAsia="zh-CN"/>
        </w:rPr>
        <w:t>二、</w:t>
      </w:r>
      <w:bookmarkEnd w:id="21"/>
      <w:bookmarkEnd w:id="23"/>
      <w:r>
        <w:rPr>
          <w:rFonts w:hint="eastAsia" w:ascii="宋体" w:hAnsi="宋体" w:eastAsia="宋体"/>
          <w:b/>
          <w:color w:val="auto"/>
          <w:sz w:val="24"/>
          <w:szCs w:val="18"/>
          <w:highlight w:val="none"/>
        </w:rPr>
        <w:t>项目概况</w:t>
      </w:r>
    </w:p>
    <w:p w14:paraId="154AD5EB">
      <w:pPr>
        <w:widowControl w:val="0"/>
        <w:wordWrap/>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贯彻落实省、市“十五五”规划有关工作部署，科学系统谋划全市综合交通运输体系“十五五”发展规划，按照“1+6+1”模式形成滁州市“十五五”综合交通运输体系发展规划体系。即1个总规（含6个专项篇章），1个专项规划。即《滁州市“十五五”综合交通运输体系发展规划》(暂定名)（含《滁州市“十五五”公路发展专篇》《滁州市“十五五”水运发展专篇》《滁州市“十五五”铁路发展专篇》《滁州市“十五五”航空发展专篇》《滁州市“十五五”综合运输服务发展专篇》《滁州市“十五五”现代化行业治理发展专篇》）和《滁州市“十五五”水运港口专项规划》（暂定名）。</w:t>
      </w:r>
    </w:p>
    <w:p w14:paraId="20CD0A55">
      <w:pPr>
        <w:numPr>
          <w:ilvl w:val="0"/>
          <w:numId w:val="0"/>
        </w:numPr>
        <w:spacing w:line="360" w:lineRule="auto"/>
        <w:ind w:left="437" w:leftChars="0"/>
        <w:outlineLvl w:val="1"/>
        <w:rPr>
          <w:rFonts w:hint="eastAsia" w:ascii="宋体" w:hAnsi="宋体" w:eastAsia="宋体"/>
          <w:b/>
          <w:color w:val="auto"/>
          <w:sz w:val="24"/>
          <w:szCs w:val="18"/>
          <w:highlight w:val="none"/>
        </w:rPr>
      </w:pPr>
      <w:bookmarkStart w:id="24" w:name="_Toc13016"/>
      <w:bookmarkStart w:id="25" w:name="_Toc27920"/>
      <w:r>
        <w:rPr>
          <w:rFonts w:hint="eastAsia" w:ascii="宋体" w:hAnsi="宋体" w:eastAsia="宋体"/>
          <w:b/>
          <w:color w:val="auto"/>
          <w:sz w:val="24"/>
          <w:szCs w:val="18"/>
          <w:highlight w:val="none"/>
          <w:lang w:val="en-US" w:eastAsia="zh-CN"/>
        </w:rPr>
        <w:t>三、</w:t>
      </w:r>
      <w:bookmarkEnd w:id="24"/>
      <w:bookmarkEnd w:id="25"/>
      <w:r>
        <w:rPr>
          <w:rFonts w:hint="eastAsia" w:ascii="宋体" w:hAnsi="宋体" w:eastAsia="宋体"/>
          <w:b/>
          <w:color w:val="auto"/>
          <w:sz w:val="24"/>
          <w:szCs w:val="18"/>
          <w:highlight w:val="none"/>
        </w:rPr>
        <w:t>服务内容</w:t>
      </w:r>
    </w:p>
    <w:p w14:paraId="61CCDA43">
      <w:pPr>
        <w:widowControl w:val="0"/>
        <w:wordWrap/>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编制《滁州市“十五五”综合交通运输体系发展规划》(暂定名)和《滁州市“十五五”水运港口专项规划》（暂定名），6个专篇研究。包括编制过程中调查研究（出省考察不少于2次）、文本编制、衔接平衡、技术论证、意见征求、专家咨询、成果审查、验收报批、中期评估等工作内容，按时提交相应专题成果，并配合做好国家、省、市级相关规划的编制支撑与衔接工作。</w:t>
      </w:r>
    </w:p>
    <w:p w14:paraId="766BA95F">
      <w:pPr>
        <w:spacing w:line="360" w:lineRule="auto"/>
        <w:ind w:firstLine="43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四、服务要求</w:t>
      </w:r>
    </w:p>
    <w:bookmarkEnd w:id="20"/>
    <w:bookmarkEnd w:id="22"/>
    <w:p w14:paraId="1F9742C4">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（一）《滁州市“十五五”综合交通运输体系发展规划》（暂定名）</w:t>
      </w:r>
    </w:p>
    <w:p w14:paraId="28154934">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总体要求：全面评估“十四五”期间滁州市综合交通运输体系发展规划实施情况；总结经验，认真梳理亮点和问题，围绕国家、省和市委、市政府确定的各项战略部署和具体要求，深入分析“十五五”时期经济社会发展新需求和人民美好生活新需要，准确把握“十五五”综合交通运输体系发展面临的新形势、新要求、新特征，加强交通运输领域重大战略任务、重大改革举措、重大工程项目谋划，科学制定“十五五”时期滁州市综合交通运输体系发展的指导思想、基本原则、目标指标、重点任务和保障措施，指导滁州交通运输全面高质量发展。</w:t>
      </w:r>
    </w:p>
    <w:p w14:paraId="7C1FAC20">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研究内容：</w:t>
      </w:r>
    </w:p>
    <w:p w14:paraId="48CFA3FB">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分析滁州市“十四五”综合交通运输体系发展规划的执行情况，总结“十四五”期滁州市综合交通运输体系发展经验，分析发展中存在的主要问题和薄弱环节；分析滁州市综合交通运输体系发展面临的形势和要求；研究提出“十五五”期间滁州市综合交通运输体系发展的指导思想、基本原则及发展目标；</w:t>
      </w:r>
    </w:p>
    <w:p w14:paraId="07E41FCA">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研究确定“十五五”期间滁州市综合交通运输体系发展的重大战略任务、重大改革举措和重大工程项目，并根据重点任务中明确的建设项目测算建设资金需求。</w:t>
      </w:r>
    </w:p>
    <w:p w14:paraId="1AFB2396">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提交滁州市“十五五”综合交通运输体系发展需求预测及目标指标体系研究；“十五五”期滁州综合交通运输体系重大战略任务、重大改革举措及重大工程项目布局研究；滁州市综合交通运输体系支撑长三角、南京都市圈、合肥都市圈区域协调发展研究；滁州市“十五五”综合交通运输体系发展规划政策保障措施研究等成果。</w:t>
      </w:r>
    </w:p>
    <w:p w14:paraId="72216601">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（3）在规划编制过程中，采购人可根据实际需要，少量增加专题研究，相关费用包含在规划中标价格内。</w:t>
      </w:r>
    </w:p>
    <w:p w14:paraId="764BA53E">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提出保障规划顺利实施的政策措施；对滁州市综合交通运输体系“十五五”后一定时期内的发展方向和发展目标进行展望；规划编制要与国家“十五五”综合交通运输体系发展规划、安徽省综合交通运输体系发展规划、周边区域规划以及安徽省和滁州市国民经济“十五五”规划、安徽省和滁州市国土空间规划等有效衔接，并满足有关需要；</w:t>
      </w:r>
    </w:p>
    <w:p w14:paraId="4A223336">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（5）做好相关后续服务。</w:t>
      </w:r>
    </w:p>
    <w:p w14:paraId="0E6A3F48">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（二）《滁州市“十五五”水运港口专项规划》（暂定名）</w:t>
      </w:r>
    </w:p>
    <w:p w14:paraId="44172000">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总体要求：全面评估“十四五”期间滁州市水运港口发展规划实施情况；总结经验，认真梳理亮点和问题，围绕国家、省和市委、市政府确定的各项战略部署和具体要求，深入分析“十五五”时期经济社会发展新需求和人民美好生活新需要，准确把握“十五五”水运港口发展面临的新形势、新要求、新特征，加强重大工程项目谋划，科学制定“十五五”时期滁州市港口水运发展的指导思想、基本原则、目标指标、重点任务和保障措施，指导滁州港口水运全面高质量发展。</w:t>
      </w:r>
    </w:p>
    <w:p w14:paraId="0777C2AD">
      <w:pPr>
        <w:spacing w:line="360" w:lineRule="auto"/>
        <w:ind w:firstLine="435"/>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研究内容：提交滁州市港口水运“十五五”规划发展指标研究，滁州市“十五五”绿色智慧航道、航道养护、港口、港产城一体化等发展研究，滁州市“十五五”航道公共服务水平提升研究成果</w:t>
      </w:r>
      <w:r>
        <w:rPr>
          <w:rFonts w:hint="eastAsia" w:ascii="宋体" w:hAnsi="宋体" w:eastAsia="宋体" w:cs="宋体"/>
          <w:color w:val="auto"/>
          <w:sz w:val="24"/>
          <w:szCs w:val="24"/>
          <w:highlight w:val="none"/>
          <w:lang w:val="en-US" w:eastAsia="zh-CN"/>
        </w:rPr>
        <w:t>。</w:t>
      </w:r>
    </w:p>
    <w:p w14:paraId="76AD1A39">
      <w:pPr>
        <w:spacing w:line="360" w:lineRule="auto"/>
        <w:ind w:firstLine="43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五、过程管理</w:t>
      </w:r>
    </w:p>
    <w:p w14:paraId="18C1A429">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交投标人应按响应文件中承诺的人员投入工作，在研究过程中应保持人员的相对稳定，确需调整应报经采购人批准。如果成交投标人的人员渎职或不能胜任工作或从事其他违法活动，采购人有权书面要求更换，成交投标人应立即派出具有同等或以上资历的人员替换。若非因上述原因，成交投标人有权拒绝。</w:t>
      </w:r>
    </w:p>
    <w:p w14:paraId="3209C2EB">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投标人实施本项目服务过程中，采购人将对服务全过程进行有效地监督，成交投标人应无条件予以配合。当采购人认为需调用成交投标人的阶段性服务成果和资料时，成交投标人必须及时提供。采购人对成交投标人成果和资料的审查并不免除成交投标人的责任。</w:t>
      </w:r>
    </w:p>
    <w:p w14:paraId="78B0D766">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（3）成交投标人负责定期（不少于每个月1次）向采购人报告工作进展情况。</w:t>
      </w:r>
    </w:p>
    <w:p w14:paraId="77467AE3">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（4）为保障工作进度和质量，项目负责人根据采购人要求每月在滁州办公时间不少于8个工作日，如有评审会等采购人有权延长时间。</w:t>
      </w:r>
    </w:p>
    <w:p w14:paraId="03F5A162">
      <w:pPr>
        <w:spacing w:line="360" w:lineRule="auto"/>
        <w:ind w:firstLine="43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六、成果要求</w:t>
      </w:r>
    </w:p>
    <w:p w14:paraId="49C4765F">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要保证规划成果和各研究报告、专题等通过采购人组织的审查和省、市总体规划专班的审查，并根据审查意见修改、完善成果文件。编制过程中将组织不少于3次专家咨询评审会议，相关会务费用由成交投标人承担，并包含在本咨询服务合同的总价中，采购人不再另行支付。</w:t>
      </w:r>
    </w:p>
    <w:p w14:paraId="5A5D67B4">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本项目成果文件提交份数用于各阶段评审会的成果资料根据实际需要提供。</w:t>
      </w:r>
    </w:p>
    <w:p w14:paraId="160ECDA9">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成果文件送采购人初稿15份，征求意见稿15份，送审稿30份，最终稿50份。各阶段电子文件1份（采用U盘媒介存储）。</w:t>
      </w:r>
    </w:p>
    <w:p w14:paraId="2C08278B">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成果文件电子版中的文本采用Word格式，还应提交所有成果文件PDF格式电子文件1份。</w:t>
      </w:r>
    </w:p>
    <w:p w14:paraId="2513037D">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规划编制过程中根据采购人需要及时提供中间成果资料，未经采购人同意，不能将成果文件转让或泄露给予项目无关的第三方。</w:t>
      </w:r>
    </w:p>
    <w:p w14:paraId="0689AEDB">
      <w:pPr>
        <w:spacing w:line="360" w:lineRule="auto"/>
        <w:ind w:firstLine="43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七、报价要求</w:t>
      </w:r>
    </w:p>
    <w:p w14:paraId="3656D849">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总价报价，投标人的报价的报价为承担完成对应包别项目编制服务工作的一切费用，包括但不限于人工、设备、管理、办公、交通、物耗、利润、试验、保险、税费、风险、资料收集、现场调查、环评（如有）、分析研究、成果文件编制出版费、专家咨询费、评审会务费、中期评估费用、差旅费及与履行本项目有关的其他所有费用等。编制服务过程中按要求组织专家咨询、评审等会议，会务费用均由供应商承担，相关费用包含在供应商的报价中，采购人不再另行支付。</w:t>
      </w:r>
    </w:p>
    <w:p w14:paraId="0D4E0B45">
      <w:pPr>
        <w:spacing w:line="360" w:lineRule="auto"/>
        <w:ind w:firstLine="435"/>
        <w:rPr>
          <w:rFonts w:hint="default" w:ascii="宋体" w:hAnsi="宋体" w:eastAsia="宋体" w:cs="宋体"/>
          <w:color w:val="auto"/>
          <w:sz w:val="24"/>
          <w:szCs w:val="24"/>
          <w:highlight w:val="none"/>
          <w:lang w:val="en-US" w:eastAsia="zh-CN"/>
        </w:rPr>
      </w:pPr>
    </w:p>
    <w:p w14:paraId="33014CF8">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697DC7A">
      <w:pPr>
        <w:spacing w:line="360" w:lineRule="auto"/>
        <w:jc w:val="center"/>
        <w:outlineLvl w:val="0"/>
        <w:rPr>
          <w:rFonts w:hint="eastAsia" w:ascii="宋体" w:hAnsi="宋体" w:eastAsia="宋体"/>
          <w:b/>
          <w:color w:val="auto"/>
          <w:sz w:val="28"/>
          <w:highlight w:val="none"/>
        </w:rPr>
        <w:sectPr>
          <w:pgSz w:w="11906" w:h="16838"/>
          <w:pgMar w:top="1440" w:right="1803" w:bottom="1440" w:left="1803" w:header="851" w:footer="992" w:gutter="0"/>
          <w:pgNumType w:fmt="decimal"/>
          <w:cols w:space="720" w:num="1"/>
          <w:rtlGutter w:val="0"/>
          <w:docGrid w:type="lines" w:linePitch="319" w:charSpace="0"/>
        </w:sectPr>
      </w:pPr>
      <w:bookmarkStart w:id="26" w:name="_Toc30824"/>
    </w:p>
    <w:p w14:paraId="4A8BF280">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第四章  评标方法和标准（综合评分法）</w:t>
      </w:r>
      <w:bookmarkEnd w:id="26"/>
    </w:p>
    <w:p w14:paraId="3A4FD004">
      <w:pPr>
        <w:spacing w:line="360" w:lineRule="auto"/>
        <w:ind w:firstLine="437"/>
        <w:outlineLvl w:val="1"/>
        <w:rPr>
          <w:rFonts w:ascii="宋体" w:hAnsi="宋体" w:eastAsia="宋体"/>
          <w:b/>
          <w:color w:val="auto"/>
          <w:sz w:val="24"/>
          <w:highlight w:val="none"/>
        </w:rPr>
      </w:pPr>
      <w:bookmarkStart w:id="27" w:name="_Toc4705"/>
      <w:bookmarkStart w:id="28" w:name="_Toc11823"/>
      <w:r>
        <w:rPr>
          <w:rFonts w:hint="eastAsia" w:ascii="宋体" w:hAnsi="宋体" w:eastAsia="宋体"/>
          <w:b/>
          <w:color w:val="auto"/>
          <w:sz w:val="24"/>
          <w:highlight w:val="none"/>
        </w:rPr>
        <w:t>一、总则</w:t>
      </w:r>
      <w:bookmarkEnd w:id="27"/>
      <w:bookmarkEnd w:id="28"/>
    </w:p>
    <w:p w14:paraId="353BB0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6D86245F">
      <w:pPr>
        <w:spacing w:line="360" w:lineRule="auto"/>
        <w:ind w:firstLine="437"/>
        <w:outlineLvl w:val="1"/>
        <w:rPr>
          <w:rFonts w:ascii="宋体" w:hAnsi="宋体" w:eastAsia="宋体"/>
          <w:b/>
          <w:color w:val="auto"/>
          <w:sz w:val="24"/>
          <w:highlight w:val="none"/>
        </w:rPr>
      </w:pPr>
      <w:bookmarkStart w:id="29" w:name="_Toc32410"/>
      <w:bookmarkStart w:id="30" w:name="_Toc31871"/>
      <w:r>
        <w:rPr>
          <w:rFonts w:hint="eastAsia" w:ascii="宋体" w:hAnsi="宋体" w:eastAsia="宋体"/>
          <w:b/>
          <w:color w:val="auto"/>
          <w:sz w:val="24"/>
          <w:highlight w:val="none"/>
        </w:rPr>
        <w:t>二、评标方法</w:t>
      </w:r>
      <w:bookmarkEnd w:id="29"/>
      <w:bookmarkEnd w:id="30"/>
    </w:p>
    <w:p w14:paraId="1EB5BE7D">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3"/>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49"/>
        <w:gridCol w:w="4557"/>
        <w:gridCol w:w="1883"/>
      </w:tblGrid>
      <w:tr w14:paraId="0A0C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54" w:type="dxa"/>
            <w:gridSpan w:val="4"/>
            <w:tcBorders>
              <w:bottom w:val="single" w:color="auto" w:sz="4" w:space="0"/>
            </w:tcBorders>
            <w:vAlign w:val="center"/>
          </w:tcPr>
          <w:p w14:paraId="6EFAB33C">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b/>
                <w:color w:val="auto"/>
                <w:sz w:val="24"/>
                <w:szCs w:val="22"/>
                <w:highlight w:val="none"/>
              </w:rPr>
              <w:t>资格审查表</w:t>
            </w:r>
          </w:p>
        </w:tc>
      </w:tr>
      <w:tr w14:paraId="73CF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bottom w:val="single" w:color="auto" w:sz="4" w:space="0"/>
            </w:tcBorders>
            <w:vAlign w:val="center"/>
          </w:tcPr>
          <w:p w14:paraId="42605F17">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序号</w:t>
            </w:r>
          </w:p>
        </w:tc>
        <w:tc>
          <w:tcPr>
            <w:tcW w:w="1649" w:type="dxa"/>
            <w:tcBorders>
              <w:bottom w:val="single" w:color="auto" w:sz="4" w:space="0"/>
            </w:tcBorders>
            <w:vAlign w:val="center"/>
          </w:tcPr>
          <w:p w14:paraId="64784F93">
            <w:pPr>
              <w:pStyle w:val="44"/>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宋体" w:hAnsi="宋体" w:eastAsia="宋体" w:cs="Times New Roman"/>
                <w:color w:val="auto"/>
                <w:kern w:val="2"/>
                <w:sz w:val="20"/>
                <w:szCs w:val="24"/>
                <w:highlight w:val="none"/>
                <w:lang w:val="en-US"/>
              </w:rPr>
            </w:pPr>
            <w:r>
              <w:rPr>
                <w:rFonts w:hint="eastAsia" w:ascii="宋体" w:hAnsi="宋体" w:eastAsia="宋体" w:cs="Times New Roman"/>
                <w:color w:val="auto"/>
                <w:kern w:val="2"/>
                <w:sz w:val="20"/>
                <w:szCs w:val="24"/>
                <w:highlight w:val="none"/>
                <w:lang w:val="en-US" w:eastAsia="zh-CN"/>
              </w:rPr>
              <w:t>审查因素</w:t>
            </w:r>
          </w:p>
        </w:tc>
        <w:tc>
          <w:tcPr>
            <w:tcW w:w="4557" w:type="dxa"/>
            <w:tcBorders>
              <w:bottom w:val="single" w:color="auto" w:sz="4" w:space="0"/>
            </w:tcBorders>
            <w:vAlign w:val="center"/>
          </w:tcPr>
          <w:p w14:paraId="1120B4C8">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审查内容</w:t>
            </w:r>
          </w:p>
        </w:tc>
        <w:tc>
          <w:tcPr>
            <w:tcW w:w="1883" w:type="dxa"/>
            <w:tcBorders>
              <w:bottom w:val="single" w:color="auto" w:sz="4" w:space="0"/>
            </w:tcBorders>
            <w:vAlign w:val="center"/>
          </w:tcPr>
          <w:p w14:paraId="3E5487CF">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格式要求</w:t>
            </w:r>
          </w:p>
        </w:tc>
      </w:tr>
      <w:tr w14:paraId="66BE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5" w:type="dxa"/>
            <w:tcBorders>
              <w:bottom w:val="single" w:color="auto" w:sz="4" w:space="0"/>
            </w:tcBorders>
            <w:vAlign w:val="center"/>
          </w:tcPr>
          <w:p w14:paraId="506E230C">
            <w:pPr>
              <w:adjustRightInd w:val="0"/>
              <w:snapToGrid w:val="0"/>
              <w:spacing w:before="0" w:beforeAutospacing="0" w:after="0" w:afterAutospacing="0" w:line="360" w:lineRule="auto"/>
              <w:ind w:left="0" w:right="-10"/>
              <w:jc w:val="center"/>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Times New Roman"/>
                <w:color w:val="auto"/>
                <w:sz w:val="24"/>
                <w:szCs w:val="20"/>
                <w:highlight w:val="none"/>
              </w:rPr>
              <w:t>1</w:t>
            </w:r>
          </w:p>
        </w:tc>
        <w:tc>
          <w:tcPr>
            <w:tcW w:w="1649" w:type="dxa"/>
            <w:tcBorders>
              <w:bottom w:val="single" w:color="auto" w:sz="4" w:space="0"/>
            </w:tcBorders>
            <w:vAlign w:val="center"/>
          </w:tcPr>
          <w:p w14:paraId="22ECB318">
            <w:pPr>
              <w:spacing w:before="0" w:beforeAutospacing="0" w:after="50" w:afterAutospacing="0" w:line="360" w:lineRule="auto"/>
              <w:ind w:left="0" w:right="-10"/>
              <w:jc w:val="center"/>
              <w:rPr>
                <w:rFonts w:hint="default" w:ascii="宋体" w:hAnsi="宋体" w:eastAsia="宋体" w:cs="@仿宋_GB2312"/>
                <w:color w:val="auto"/>
                <w:kern w:val="2"/>
                <w:sz w:val="24"/>
                <w:szCs w:val="28"/>
                <w:highlight w:val="none"/>
                <w:lang w:val="en-US" w:eastAsia="zh-CN" w:bidi="ar-SA"/>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4557" w:type="dxa"/>
            <w:tcBorders>
              <w:bottom w:val="single" w:color="auto" w:sz="4" w:space="0"/>
            </w:tcBorders>
            <w:vAlign w:val="center"/>
          </w:tcPr>
          <w:p w14:paraId="6BA989DA">
            <w:pPr>
              <w:spacing w:before="0" w:beforeAutospacing="0" w:after="50" w:afterAutospacing="0" w:line="360" w:lineRule="auto"/>
              <w:ind w:left="0" w:right="-1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供有效的营业执照；</w:t>
            </w:r>
          </w:p>
          <w:p w14:paraId="6E4C0B33">
            <w:pPr>
              <w:spacing w:before="0" w:beforeAutospacing="0" w:after="50" w:afterAutospacing="0" w:line="360" w:lineRule="auto"/>
              <w:ind w:left="0" w:right="-1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供有效的事业单位法人证书；</w:t>
            </w:r>
          </w:p>
          <w:p w14:paraId="54C4311C">
            <w:pPr>
              <w:spacing w:before="0" w:beforeAutospacing="0" w:after="50" w:afterAutospacing="0" w:line="360" w:lineRule="auto"/>
              <w:ind w:left="0" w:right="-1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default" w:ascii="宋体" w:hAnsi="宋体" w:eastAsia="宋体" w:cs="宋体"/>
                <w:color w:val="auto"/>
                <w:sz w:val="24"/>
                <w:szCs w:val="24"/>
                <w:highlight w:val="none"/>
              </w:rPr>
              <w:t>登记证书等证明文件；</w:t>
            </w:r>
          </w:p>
          <w:p w14:paraId="428D4033">
            <w:pPr>
              <w:spacing w:before="0" w:beforeAutospacing="0" w:after="50" w:afterAutospacing="0" w:line="360" w:lineRule="auto"/>
              <w:ind w:left="0" w:right="-1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供有效的个体工商户营业执照；</w:t>
            </w:r>
          </w:p>
          <w:p w14:paraId="725C306D">
            <w:pPr>
              <w:spacing w:before="0" w:beforeAutospacing="0" w:after="50" w:afterAutospacing="0" w:line="360" w:lineRule="auto"/>
              <w:ind w:left="0" w:right="-1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供有效的自然人身份证明。</w:t>
            </w:r>
          </w:p>
        </w:tc>
        <w:tc>
          <w:tcPr>
            <w:tcW w:w="1883" w:type="dxa"/>
            <w:vAlign w:val="center"/>
          </w:tcPr>
          <w:p w14:paraId="52E5501B">
            <w:pPr>
              <w:spacing w:before="0" w:beforeAutospacing="0" w:after="0" w:afterAutospacing="0" w:line="360" w:lineRule="auto"/>
              <w:ind w:left="0" w:right="0"/>
              <w:jc w:val="left"/>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28D4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5" w:type="dxa"/>
            <w:tcBorders>
              <w:bottom w:val="single" w:color="auto" w:sz="4" w:space="0"/>
            </w:tcBorders>
            <w:vAlign w:val="center"/>
          </w:tcPr>
          <w:p w14:paraId="1695C4A3">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w:t>
            </w:r>
          </w:p>
        </w:tc>
        <w:tc>
          <w:tcPr>
            <w:tcW w:w="1649" w:type="dxa"/>
            <w:tcBorders>
              <w:bottom w:val="single" w:color="auto" w:sz="4" w:space="0"/>
            </w:tcBorders>
            <w:vAlign w:val="center"/>
          </w:tcPr>
          <w:p w14:paraId="6A418B55">
            <w:pPr>
              <w:spacing w:before="0" w:beforeAutospacing="0" w:after="50" w:afterAutospacing="0" w:line="360" w:lineRule="auto"/>
              <w:ind w:left="0" w:right="-10"/>
              <w:jc w:val="center"/>
              <w:rPr>
                <w:rFonts w:hint="default" w:ascii="宋体" w:hAnsi="宋体" w:eastAsia="宋体" w:cs="Times New Roman"/>
                <w:color w:val="auto"/>
                <w:sz w:val="24"/>
                <w:szCs w:val="28"/>
                <w:highlight w:val="none"/>
                <w:lang w:val="en-US"/>
              </w:rPr>
            </w:pPr>
            <w:r>
              <w:rPr>
                <w:rFonts w:hint="eastAsia" w:ascii="宋体" w:hAnsi="宋体" w:eastAsia="宋体" w:cs="Times New Roman"/>
                <w:color w:val="auto"/>
                <w:sz w:val="24"/>
                <w:szCs w:val="18"/>
                <w:highlight w:val="none"/>
                <w:lang w:val="en-US" w:eastAsia="zh-CN"/>
              </w:rPr>
              <w:t>投标人资格声明书</w:t>
            </w:r>
          </w:p>
        </w:tc>
        <w:tc>
          <w:tcPr>
            <w:tcW w:w="4557" w:type="dxa"/>
            <w:tcBorders>
              <w:bottom w:val="single" w:color="auto" w:sz="4" w:space="0"/>
            </w:tcBorders>
            <w:vAlign w:val="center"/>
          </w:tcPr>
          <w:p w14:paraId="03525064">
            <w:pPr>
              <w:spacing w:before="0" w:beforeAutospacing="0" w:after="50" w:afterAutospacing="0" w:line="360" w:lineRule="auto"/>
              <w:ind w:left="0" w:right="-10"/>
              <w:jc w:val="left"/>
              <w:rPr>
                <w:rFonts w:hint="eastAsia" w:ascii="宋体" w:hAnsi="宋体" w:eastAsia="宋体" w:cs="Times New Roman"/>
                <w:color w:val="auto"/>
                <w:sz w:val="24"/>
                <w:szCs w:val="28"/>
                <w:highlight w:val="none"/>
              </w:rPr>
            </w:pP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883" w:type="dxa"/>
            <w:vAlign w:val="center"/>
          </w:tcPr>
          <w:p w14:paraId="264569B1">
            <w:pP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0"/>
                <w:highlight w:val="none"/>
              </w:rPr>
              <w:t>详见第六章投标文件格式</w:t>
            </w:r>
            <w:r>
              <w:rPr>
                <w:rFonts w:hint="eastAsia" w:ascii="宋体" w:hAnsi="宋体" w:eastAsia="宋体" w:cs="Times New Roman"/>
                <w:color w:val="auto"/>
                <w:sz w:val="24"/>
                <w:szCs w:val="20"/>
                <w:highlight w:val="none"/>
                <w:lang w:eastAsia="zh-CN"/>
              </w:rPr>
              <w:t>。</w:t>
            </w:r>
          </w:p>
        </w:tc>
      </w:tr>
      <w:tr w14:paraId="24E5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bottom w:val="single" w:color="auto" w:sz="4" w:space="0"/>
            </w:tcBorders>
            <w:vAlign w:val="center"/>
          </w:tcPr>
          <w:p w14:paraId="3F534FB4">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w:t>
            </w:r>
          </w:p>
        </w:tc>
        <w:tc>
          <w:tcPr>
            <w:tcW w:w="1649" w:type="dxa"/>
            <w:tcBorders>
              <w:bottom w:val="single" w:color="auto" w:sz="4" w:space="0"/>
            </w:tcBorders>
            <w:vAlign w:val="center"/>
          </w:tcPr>
          <w:p w14:paraId="6CBBBD87">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宋体"/>
                <w:color w:val="auto"/>
                <w:sz w:val="24"/>
                <w:szCs w:val="24"/>
                <w:highlight w:val="none"/>
              </w:rPr>
              <w:t>投标人信用记录</w:t>
            </w:r>
          </w:p>
        </w:tc>
        <w:tc>
          <w:tcPr>
            <w:tcW w:w="4557" w:type="dxa"/>
            <w:tcBorders>
              <w:bottom w:val="single" w:color="auto" w:sz="4" w:space="0"/>
            </w:tcBorders>
            <w:vAlign w:val="center"/>
          </w:tcPr>
          <w:p w14:paraId="0F107184">
            <w:pPr>
              <w:spacing w:before="0" w:beforeAutospacing="0" w:after="50" w:afterAutospacing="0" w:line="360" w:lineRule="auto"/>
              <w:ind w:left="0" w:right="-10"/>
              <w:jc w:val="left"/>
              <w:rPr>
                <w:rFonts w:hint="default" w:ascii="Times New Roman" w:hAnsi="Times New Roman" w:cs="Times New Roman"/>
                <w:color w:val="auto"/>
                <w:sz w:val="20"/>
                <w:szCs w:val="20"/>
                <w:highlight w:val="none"/>
              </w:rPr>
            </w:pPr>
            <w:r>
              <w:rPr>
                <w:rFonts w:hint="eastAsia" w:ascii="宋体" w:hAnsi="宋体" w:eastAsia="宋体" w:cs="宋体"/>
                <w:color w:val="auto"/>
                <w:sz w:val="24"/>
                <w:szCs w:val="24"/>
                <w:highlight w:val="none"/>
                <w:lang w:val="zh-CN" w:eastAsia="zh-CN"/>
              </w:rPr>
              <w:t>投标人不得存在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邀请第4条信誉要求和投标人须知正文第1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s="Times New Roman"/>
                <w:color w:val="auto"/>
                <w:sz w:val="24"/>
                <w:szCs w:val="28"/>
                <w:highlight w:val="none"/>
              </w:rPr>
              <w:t>的</w:t>
            </w:r>
            <w:r>
              <w:rPr>
                <w:rFonts w:hint="eastAsia" w:ascii="宋体" w:hAnsi="宋体" w:eastAsia="宋体" w:cs="Times New Roman"/>
                <w:color w:val="auto"/>
                <w:sz w:val="24"/>
                <w:szCs w:val="18"/>
                <w:highlight w:val="none"/>
              </w:rPr>
              <w:t>不良信用记录情形</w:t>
            </w:r>
          </w:p>
        </w:tc>
        <w:tc>
          <w:tcPr>
            <w:tcW w:w="1883" w:type="dxa"/>
            <w:tcBorders>
              <w:bottom w:val="single" w:color="auto" w:sz="4" w:space="0"/>
            </w:tcBorders>
            <w:vAlign w:val="center"/>
          </w:tcPr>
          <w:p w14:paraId="4517CC67">
            <w:pPr>
              <w:spacing w:before="0" w:beforeAutospacing="0" w:after="0" w:afterAutospacing="0" w:line="360" w:lineRule="auto"/>
              <w:ind w:left="0" w:right="0"/>
              <w:jc w:val="left"/>
              <w:rPr>
                <w:rFonts w:hint="default" w:ascii="@仿宋_GB2312" w:hAnsi="@仿宋_GB2312" w:eastAsia="@仿宋_GB2312" w:cs="@仿宋_GB2312"/>
                <w:color w:val="auto"/>
                <w:kern w:val="2"/>
                <w:sz w:val="21"/>
                <w:szCs w:val="20"/>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3604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bottom w:val="single" w:color="auto" w:sz="4" w:space="0"/>
            </w:tcBorders>
            <w:vAlign w:val="center"/>
          </w:tcPr>
          <w:p w14:paraId="1A93AC89">
            <w:pPr>
              <w:adjustRightInd w:val="0"/>
              <w:snapToGrid w:val="0"/>
              <w:spacing w:before="0" w:beforeAutospacing="0" w:after="0" w:afterAutospacing="0" w:line="360" w:lineRule="auto"/>
              <w:ind w:left="0"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Times New Roman"/>
                <w:color w:val="auto"/>
                <w:sz w:val="24"/>
                <w:szCs w:val="20"/>
                <w:highlight w:val="none"/>
                <w:lang w:val="en-US" w:eastAsia="zh-CN"/>
              </w:rPr>
              <w:t>4</w:t>
            </w:r>
          </w:p>
        </w:tc>
        <w:tc>
          <w:tcPr>
            <w:tcW w:w="1649" w:type="dxa"/>
            <w:tcBorders>
              <w:bottom w:val="single" w:color="auto" w:sz="4" w:space="0"/>
            </w:tcBorders>
            <w:vAlign w:val="center"/>
          </w:tcPr>
          <w:p w14:paraId="2FC30D63">
            <w:pPr>
              <w:spacing w:before="0" w:beforeAutospacing="0" w:after="50" w:afterAutospacing="0" w:line="360" w:lineRule="auto"/>
              <w:ind w:left="0"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诚信投标承诺书</w:t>
            </w:r>
          </w:p>
        </w:tc>
        <w:tc>
          <w:tcPr>
            <w:tcW w:w="4557" w:type="dxa"/>
            <w:tcBorders>
              <w:bottom w:val="single" w:color="auto" w:sz="4" w:space="0"/>
            </w:tcBorders>
            <w:vAlign w:val="top"/>
          </w:tcPr>
          <w:p w14:paraId="5C01FC99">
            <w:pPr>
              <w:spacing w:before="0" w:beforeAutospacing="0" w:after="50" w:afterAutospacing="0" w:line="360" w:lineRule="auto"/>
              <w:ind w:left="0" w:right="-10"/>
              <w:jc w:val="left"/>
              <w:rPr>
                <w:rFonts w:hint="eastAsia" w:ascii="宋体" w:hAnsi="宋体" w:eastAsia="宋体" w:cs="宋体"/>
                <w:color w:val="auto"/>
                <w:sz w:val="24"/>
                <w:szCs w:val="24"/>
                <w:highlight w:val="none"/>
                <w:lang w:val="en-US" w:eastAsia="en-US"/>
              </w:rPr>
            </w:pPr>
            <w:r>
              <w:rPr>
                <w:rFonts w:hint="eastAsia" w:ascii="宋体" w:hAnsi="宋体" w:eastAsia="宋体" w:cs="Times New Roman"/>
                <w:color w:val="auto"/>
                <w:sz w:val="24"/>
                <w:szCs w:val="28"/>
                <w:highlight w:val="none"/>
              </w:rPr>
              <w:t>格式、填写要求符合招标文件规定并加盖投标人电子签章</w:t>
            </w:r>
          </w:p>
        </w:tc>
        <w:tc>
          <w:tcPr>
            <w:tcW w:w="1883" w:type="dxa"/>
            <w:tcBorders>
              <w:bottom w:val="single" w:color="auto" w:sz="4" w:space="0"/>
            </w:tcBorders>
            <w:vAlign w:val="center"/>
          </w:tcPr>
          <w:p w14:paraId="3F73F4A4">
            <w:pPr>
              <w:spacing w:before="0" w:beforeAutospacing="0" w:after="50" w:afterAutospacing="0" w:line="360" w:lineRule="auto"/>
              <w:ind w:left="0" w:right="-10"/>
              <w:jc w:val="cente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sz w:val="24"/>
                <w:szCs w:val="20"/>
                <w:highlight w:val="none"/>
              </w:rPr>
              <w:t>详见第六章投标文件格式</w:t>
            </w:r>
            <w:r>
              <w:rPr>
                <w:rFonts w:hint="eastAsia" w:ascii="宋体" w:hAnsi="宋体" w:eastAsia="宋体" w:cs="Times New Roman"/>
                <w:color w:val="auto"/>
                <w:sz w:val="24"/>
                <w:szCs w:val="20"/>
                <w:highlight w:val="none"/>
                <w:lang w:eastAsia="zh-CN"/>
              </w:rPr>
              <w:t>。</w:t>
            </w:r>
          </w:p>
        </w:tc>
      </w:tr>
    </w:tbl>
    <w:p w14:paraId="4ED8A339">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52E7DE58">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2.2符合性审查</w:t>
      </w:r>
    </w:p>
    <w:p w14:paraId="3A0A0FB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5"/>
        <w:gridCol w:w="3125"/>
        <w:gridCol w:w="2510"/>
      </w:tblGrid>
      <w:tr w14:paraId="6EBB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6" w:type="dxa"/>
            <w:gridSpan w:val="4"/>
            <w:tcBorders>
              <w:bottom w:val="single" w:color="auto" w:sz="4" w:space="0"/>
            </w:tcBorders>
            <w:vAlign w:val="center"/>
          </w:tcPr>
          <w:p w14:paraId="227F8962">
            <w:pPr>
              <w:adjustRightInd w:val="0"/>
              <w:snapToGrid w:val="0"/>
              <w:spacing w:before="0" w:beforeAutospacing="0" w:after="0" w:afterAutospacing="0" w:line="360" w:lineRule="auto"/>
              <w:ind w:left="0" w:right="-10"/>
              <w:jc w:val="center"/>
              <w:rPr>
                <w:rFonts w:hint="default"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符合性审查表</w:t>
            </w:r>
          </w:p>
        </w:tc>
      </w:tr>
      <w:tr w14:paraId="735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6" w:type="dxa"/>
            <w:tcBorders>
              <w:bottom w:val="single" w:color="auto" w:sz="4" w:space="0"/>
            </w:tcBorders>
            <w:vAlign w:val="center"/>
          </w:tcPr>
          <w:p w14:paraId="20051A92">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序号</w:t>
            </w:r>
          </w:p>
        </w:tc>
        <w:tc>
          <w:tcPr>
            <w:tcW w:w="2115" w:type="dxa"/>
            <w:tcBorders>
              <w:bottom w:val="single" w:color="auto" w:sz="4" w:space="0"/>
            </w:tcBorders>
            <w:vAlign w:val="center"/>
          </w:tcPr>
          <w:p w14:paraId="7603DAF4">
            <w:pPr>
              <w:pStyle w:val="44"/>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3125" w:type="dxa"/>
            <w:tcBorders>
              <w:bottom w:val="single" w:color="auto" w:sz="4" w:space="0"/>
            </w:tcBorders>
            <w:vAlign w:val="center"/>
          </w:tcPr>
          <w:p w14:paraId="50400024">
            <w:pPr>
              <w:adjustRightInd w:val="0"/>
              <w:snapToGrid w:val="0"/>
              <w:spacing w:before="0" w:beforeAutospacing="0" w:after="0" w:afterAutospacing="0" w:line="360" w:lineRule="auto"/>
              <w:ind w:left="0"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2510" w:type="dxa"/>
            <w:tcBorders>
              <w:bottom w:val="single" w:color="auto" w:sz="4" w:space="0"/>
            </w:tcBorders>
            <w:vAlign w:val="center"/>
          </w:tcPr>
          <w:p w14:paraId="607E6C02">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格式要求</w:t>
            </w:r>
          </w:p>
        </w:tc>
      </w:tr>
      <w:tr w14:paraId="1503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430859A">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w:t>
            </w:r>
          </w:p>
        </w:tc>
        <w:tc>
          <w:tcPr>
            <w:tcW w:w="2115" w:type="dxa"/>
            <w:vAlign w:val="center"/>
          </w:tcPr>
          <w:p w14:paraId="0F9C6A70">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0"/>
                <w:highlight w:val="none"/>
              </w:rPr>
              <w:t>开标一览表</w:t>
            </w:r>
          </w:p>
        </w:tc>
        <w:tc>
          <w:tcPr>
            <w:tcW w:w="3125" w:type="dxa"/>
            <w:vAlign w:val="center"/>
          </w:tcPr>
          <w:p w14:paraId="165261D8">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格式、填写要求符合招标文件规定并加盖投标人电子签章</w:t>
            </w:r>
          </w:p>
        </w:tc>
        <w:tc>
          <w:tcPr>
            <w:tcW w:w="2510" w:type="dxa"/>
            <w:vAlign w:val="center"/>
          </w:tcPr>
          <w:p w14:paraId="60A6F2FE">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rPr>
              <w:t>详见第六章投标文件格式</w:t>
            </w:r>
            <w:r>
              <w:rPr>
                <w:rFonts w:hint="eastAsia" w:ascii="宋体" w:hAnsi="宋体" w:eastAsia="宋体" w:cs="Times New Roman"/>
                <w:color w:val="auto"/>
                <w:sz w:val="24"/>
                <w:szCs w:val="20"/>
                <w:highlight w:val="none"/>
                <w:lang w:eastAsia="zh-CN"/>
              </w:rPr>
              <w:t>。</w:t>
            </w:r>
          </w:p>
        </w:tc>
      </w:tr>
      <w:tr w14:paraId="1794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698389E7">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w:t>
            </w:r>
          </w:p>
        </w:tc>
        <w:tc>
          <w:tcPr>
            <w:tcW w:w="2115" w:type="dxa"/>
            <w:vAlign w:val="center"/>
          </w:tcPr>
          <w:p w14:paraId="033E970D">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投标函</w:t>
            </w:r>
          </w:p>
        </w:tc>
        <w:tc>
          <w:tcPr>
            <w:tcW w:w="3125" w:type="dxa"/>
            <w:vAlign w:val="center"/>
          </w:tcPr>
          <w:p w14:paraId="4CE64876">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格式、填写要求符合招标文件规定并加盖投标人电子签章</w:t>
            </w:r>
          </w:p>
        </w:tc>
        <w:tc>
          <w:tcPr>
            <w:tcW w:w="2510" w:type="dxa"/>
            <w:vAlign w:val="center"/>
          </w:tcPr>
          <w:p w14:paraId="28362721">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详见第六章投标文件格式</w:t>
            </w:r>
            <w:r>
              <w:rPr>
                <w:rFonts w:hint="eastAsia" w:ascii="宋体" w:hAnsi="宋体" w:eastAsia="宋体" w:cs="Times New Roman"/>
                <w:color w:val="auto"/>
                <w:sz w:val="24"/>
                <w:szCs w:val="20"/>
                <w:highlight w:val="none"/>
                <w:lang w:eastAsia="zh-CN"/>
              </w:rPr>
              <w:t>。</w:t>
            </w:r>
          </w:p>
        </w:tc>
      </w:tr>
      <w:tr w14:paraId="31B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26C60A2">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default" w:ascii="宋体" w:hAnsi="宋体" w:eastAsia="宋体" w:cs="Times New Roman"/>
                <w:color w:val="auto"/>
                <w:sz w:val="24"/>
                <w:szCs w:val="20"/>
                <w:highlight w:val="none"/>
              </w:rPr>
              <w:t>3</w:t>
            </w:r>
          </w:p>
        </w:tc>
        <w:tc>
          <w:tcPr>
            <w:tcW w:w="2115" w:type="dxa"/>
            <w:vAlign w:val="center"/>
          </w:tcPr>
          <w:p w14:paraId="070F060A">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授权书</w:t>
            </w:r>
          </w:p>
        </w:tc>
        <w:tc>
          <w:tcPr>
            <w:tcW w:w="3125" w:type="dxa"/>
            <w:vAlign w:val="center"/>
          </w:tcPr>
          <w:p w14:paraId="701BAF61">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格式、填写要求符合招标文件规定并加盖投标人电子签章</w:t>
            </w:r>
          </w:p>
        </w:tc>
        <w:tc>
          <w:tcPr>
            <w:tcW w:w="2510" w:type="dxa"/>
            <w:vAlign w:val="center"/>
          </w:tcPr>
          <w:p w14:paraId="5FC082F4">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rPr>
              <w:t>法定代表人参加投标的无需此件，提供身份证明即可。详见第六章投标文件格式</w:t>
            </w:r>
            <w:r>
              <w:rPr>
                <w:rFonts w:hint="eastAsia" w:ascii="宋体" w:hAnsi="宋体" w:eastAsia="宋体" w:cs="Times New Roman"/>
                <w:color w:val="auto"/>
                <w:sz w:val="24"/>
                <w:szCs w:val="20"/>
                <w:highlight w:val="none"/>
                <w:lang w:eastAsia="zh-CN"/>
              </w:rPr>
              <w:t>。</w:t>
            </w:r>
          </w:p>
        </w:tc>
      </w:tr>
      <w:tr w14:paraId="15C5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951A554">
            <w:pPr>
              <w:adjustRightInd w:val="0"/>
              <w:snapToGrid w:val="0"/>
              <w:spacing w:before="0" w:beforeAutospacing="0" w:after="0" w:afterAutospacing="0" w:line="360" w:lineRule="auto"/>
              <w:ind w:left="0" w:right="-1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4</w:t>
            </w:r>
          </w:p>
        </w:tc>
        <w:tc>
          <w:tcPr>
            <w:tcW w:w="2115" w:type="dxa"/>
            <w:vAlign w:val="center"/>
          </w:tcPr>
          <w:p w14:paraId="21C8CA40">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投标报价</w:t>
            </w:r>
          </w:p>
        </w:tc>
        <w:tc>
          <w:tcPr>
            <w:tcW w:w="3125" w:type="dxa"/>
            <w:vAlign w:val="center"/>
          </w:tcPr>
          <w:p w14:paraId="619DE0BA">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符合</w:t>
            </w:r>
            <w:r>
              <w:rPr>
                <w:rFonts w:hint="eastAsia" w:ascii="宋体" w:hAnsi="宋体" w:eastAsia="宋体" w:cs="Times New Roman"/>
                <w:color w:val="auto"/>
                <w:sz w:val="24"/>
                <w:szCs w:val="20"/>
                <w:highlight w:val="none"/>
              </w:rPr>
              <w:t>招标文件投标人须知正文第</w:t>
            </w:r>
            <w:r>
              <w:rPr>
                <w:rFonts w:hint="eastAsia" w:ascii="宋体" w:hAnsi="宋体" w:eastAsia="宋体" w:cs="Times New Roman"/>
                <w:color w:val="auto"/>
                <w:sz w:val="24"/>
                <w:szCs w:val="20"/>
                <w:highlight w:val="none"/>
                <w:lang w:val="en-US" w:eastAsia="zh-CN"/>
              </w:rPr>
              <w:t>9</w:t>
            </w:r>
            <w:r>
              <w:rPr>
                <w:rFonts w:hint="eastAsia" w:ascii="宋体" w:hAnsi="宋体" w:eastAsia="宋体" w:cs="Times New Roman"/>
                <w:color w:val="auto"/>
                <w:sz w:val="24"/>
                <w:szCs w:val="20"/>
                <w:highlight w:val="none"/>
              </w:rPr>
              <w:t>条要求</w:t>
            </w:r>
          </w:p>
        </w:tc>
        <w:tc>
          <w:tcPr>
            <w:tcW w:w="2510" w:type="dxa"/>
            <w:vAlign w:val="center"/>
          </w:tcPr>
          <w:p w14:paraId="4D8F1086">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rPr>
              <w:t>详见第六章投标文件格式</w:t>
            </w:r>
            <w:r>
              <w:rPr>
                <w:rFonts w:hint="eastAsia" w:ascii="宋体" w:hAnsi="宋体" w:eastAsia="宋体" w:cs="Times New Roman"/>
                <w:color w:val="auto"/>
                <w:sz w:val="24"/>
                <w:szCs w:val="20"/>
                <w:highlight w:val="none"/>
                <w:lang w:eastAsia="zh-CN"/>
              </w:rPr>
              <w:t>。</w:t>
            </w:r>
          </w:p>
        </w:tc>
      </w:tr>
      <w:tr w14:paraId="0F4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7FFFCEDC">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lang w:val="en-US" w:eastAsia="zh-CN"/>
              </w:rPr>
              <w:t>5</w:t>
            </w:r>
          </w:p>
        </w:tc>
        <w:tc>
          <w:tcPr>
            <w:tcW w:w="2115" w:type="dxa"/>
            <w:vAlign w:val="center"/>
          </w:tcPr>
          <w:p w14:paraId="7CEB9A5A">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商务响应情况</w:t>
            </w:r>
          </w:p>
        </w:tc>
        <w:tc>
          <w:tcPr>
            <w:tcW w:w="3125" w:type="dxa"/>
            <w:vAlign w:val="center"/>
          </w:tcPr>
          <w:p w14:paraId="62CD590A">
            <w:pPr>
              <w:spacing w:before="0" w:beforeAutospacing="0" w:after="50" w:afterAutospacing="0" w:line="360" w:lineRule="auto"/>
              <w:ind w:left="0" w:right="-10"/>
              <w:jc w:val="center"/>
              <w:rPr>
                <w:rFonts w:hint="default"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符合招标文件采购需求中对付款方式、</w:t>
            </w:r>
            <w:r>
              <w:rPr>
                <w:rFonts w:hint="eastAsia" w:ascii="宋体" w:hAnsi="宋体" w:eastAsia="宋体" w:cs="Times New Roman"/>
                <w:color w:val="auto"/>
                <w:sz w:val="24"/>
                <w:szCs w:val="28"/>
                <w:highlight w:val="none"/>
                <w:lang w:val="en-US" w:eastAsia="zh-CN"/>
              </w:rPr>
              <w:t>服务</w:t>
            </w:r>
            <w:r>
              <w:rPr>
                <w:rFonts w:hint="eastAsia" w:ascii="宋体" w:hAnsi="宋体" w:eastAsia="宋体" w:cs="Times New Roman"/>
                <w:color w:val="auto"/>
                <w:sz w:val="24"/>
                <w:szCs w:val="28"/>
                <w:highlight w:val="none"/>
              </w:rPr>
              <w:t>地点、</w:t>
            </w:r>
            <w:r>
              <w:rPr>
                <w:rFonts w:hint="eastAsia" w:ascii="宋体" w:hAnsi="宋体" w:eastAsia="宋体" w:cs="Times New Roman"/>
                <w:color w:val="auto"/>
                <w:sz w:val="24"/>
                <w:szCs w:val="28"/>
                <w:highlight w:val="none"/>
                <w:lang w:val="en-US" w:eastAsia="zh-CN"/>
              </w:rPr>
              <w:t>服务</w:t>
            </w:r>
            <w:r>
              <w:rPr>
                <w:rFonts w:hint="eastAsia" w:ascii="宋体" w:hAnsi="宋体" w:eastAsia="宋体" w:cs="Times New Roman"/>
                <w:color w:val="auto"/>
                <w:sz w:val="24"/>
                <w:szCs w:val="28"/>
                <w:highlight w:val="none"/>
              </w:rPr>
              <w:t>期限</w:t>
            </w:r>
            <w:r>
              <w:rPr>
                <w:rFonts w:hint="eastAsia" w:ascii="宋体" w:hAnsi="宋体" w:eastAsia="宋体" w:cs="Times New Roman"/>
                <w:color w:val="auto"/>
                <w:sz w:val="24"/>
                <w:szCs w:val="28"/>
                <w:highlight w:val="none"/>
                <w:lang w:val="en-US" w:eastAsia="zh-CN"/>
              </w:rPr>
              <w:t>等实质性</w:t>
            </w:r>
            <w:r>
              <w:rPr>
                <w:rFonts w:hint="eastAsia" w:ascii="宋体" w:hAnsi="宋体" w:eastAsia="宋体" w:cs="Times New Roman"/>
                <w:color w:val="auto"/>
                <w:sz w:val="24"/>
                <w:szCs w:val="28"/>
                <w:highlight w:val="none"/>
              </w:rPr>
              <w:t>要求</w:t>
            </w:r>
          </w:p>
        </w:tc>
        <w:tc>
          <w:tcPr>
            <w:tcW w:w="2510" w:type="dxa"/>
            <w:vAlign w:val="center"/>
          </w:tcPr>
          <w:p w14:paraId="6BB850AD">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rPr>
              <w:t>详见第六章投标文件格式</w:t>
            </w:r>
            <w:r>
              <w:rPr>
                <w:rFonts w:hint="eastAsia" w:ascii="宋体" w:hAnsi="宋体" w:eastAsia="宋体" w:cs="Times New Roman"/>
                <w:color w:val="auto"/>
                <w:sz w:val="24"/>
                <w:szCs w:val="20"/>
                <w:highlight w:val="none"/>
                <w:lang w:eastAsia="zh-CN"/>
              </w:rPr>
              <w:t>。</w:t>
            </w:r>
          </w:p>
        </w:tc>
      </w:tr>
      <w:tr w14:paraId="3DFC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307E48D">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r>
              <w:rPr>
                <w:rFonts w:hint="eastAsia" w:ascii="宋体" w:hAnsi="宋体" w:eastAsia="宋体" w:cs="Times New Roman"/>
                <w:color w:val="auto"/>
                <w:sz w:val="24"/>
                <w:szCs w:val="20"/>
                <w:highlight w:val="none"/>
                <w:lang w:val="en-US" w:eastAsia="zh-CN"/>
              </w:rPr>
              <w:t>6</w:t>
            </w:r>
          </w:p>
        </w:tc>
        <w:tc>
          <w:tcPr>
            <w:tcW w:w="2115" w:type="dxa"/>
            <w:shd w:val="clear" w:color="auto" w:fill="auto"/>
            <w:vAlign w:val="center"/>
          </w:tcPr>
          <w:p w14:paraId="32162305">
            <w:pPr>
              <w:spacing w:before="0" w:beforeAutospacing="0" w:after="50" w:afterAutospacing="0" w:line="360" w:lineRule="auto"/>
              <w:ind w:left="0" w:leftChars="0" w:right="-10" w:rightChars="0"/>
              <w:jc w:val="center"/>
              <w:rPr>
                <w:rFonts w:hint="default"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sz w:val="24"/>
                <w:szCs w:val="28"/>
                <w:highlight w:val="none"/>
              </w:rPr>
              <w:t>其他要求</w:t>
            </w:r>
          </w:p>
        </w:tc>
        <w:tc>
          <w:tcPr>
            <w:tcW w:w="3125" w:type="dxa"/>
            <w:shd w:val="clear" w:color="auto" w:fill="auto"/>
            <w:vAlign w:val="center"/>
          </w:tcPr>
          <w:p w14:paraId="03B81260">
            <w:pPr>
              <w:spacing w:before="0" w:beforeAutospacing="0" w:after="50" w:afterAutospacing="0" w:line="360" w:lineRule="auto"/>
              <w:ind w:left="0" w:leftChars="0" w:right="-10" w:rightChars="0"/>
              <w:jc w:val="center"/>
              <w:rPr>
                <w:rFonts w:hint="default"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sz w:val="24"/>
                <w:szCs w:val="28"/>
                <w:highlight w:val="none"/>
              </w:rPr>
              <w:t>符合法律、行政法规规定的其他条件或招标文件列明的其他</w:t>
            </w:r>
            <w:r>
              <w:rPr>
                <w:rFonts w:hint="eastAsia" w:ascii="宋体" w:hAnsi="宋体" w:eastAsia="宋体" w:cs="Times New Roman"/>
                <w:color w:val="auto"/>
                <w:sz w:val="24"/>
                <w:szCs w:val="28"/>
                <w:highlight w:val="none"/>
                <w:lang w:val="en-US" w:eastAsia="zh-CN"/>
              </w:rPr>
              <w:t>实质性</w:t>
            </w:r>
            <w:r>
              <w:rPr>
                <w:rFonts w:hint="eastAsia" w:ascii="宋体" w:hAnsi="宋体" w:eastAsia="宋体" w:cs="Times New Roman"/>
                <w:color w:val="auto"/>
                <w:sz w:val="24"/>
                <w:szCs w:val="28"/>
                <w:highlight w:val="none"/>
              </w:rPr>
              <w:t>要求</w:t>
            </w:r>
          </w:p>
        </w:tc>
        <w:tc>
          <w:tcPr>
            <w:tcW w:w="2510" w:type="dxa"/>
            <w:vAlign w:val="center"/>
          </w:tcPr>
          <w:p w14:paraId="505D9FAD">
            <w:pPr>
              <w:adjustRightInd w:val="0"/>
              <w:snapToGrid w:val="0"/>
              <w:spacing w:before="0" w:beforeAutospacing="0" w:after="0" w:afterAutospacing="0" w:line="360" w:lineRule="auto"/>
              <w:ind w:left="0" w:right="-10"/>
              <w:jc w:val="center"/>
              <w:rPr>
                <w:rFonts w:hint="eastAsia" w:ascii="宋体" w:hAnsi="宋体" w:eastAsia="宋体" w:cs="Times New Roman"/>
                <w:color w:val="auto"/>
                <w:sz w:val="24"/>
                <w:szCs w:val="20"/>
                <w:highlight w:val="none"/>
                <w:lang w:eastAsia="zh-CN"/>
              </w:rPr>
            </w:pPr>
          </w:p>
        </w:tc>
      </w:tr>
    </w:tbl>
    <w:p w14:paraId="082C0F8A">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49834E0F">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7DF54F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636BEB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90</w:t>
      </w:r>
      <w:r>
        <w:rPr>
          <w:rFonts w:ascii="宋体" w:hAnsi="宋体" w:eastAsia="宋体"/>
          <w:color w:val="auto"/>
          <w:sz w:val="24"/>
          <w:highlight w:val="none"/>
          <w:u w:val="single"/>
        </w:rPr>
        <w:t xml:space="preserve"> </w:t>
      </w:r>
      <w:r>
        <w:rPr>
          <w:rFonts w:ascii="宋体" w:hAnsi="宋体" w:eastAsia="宋体"/>
          <w:color w:val="auto"/>
          <w:sz w:val="24"/>
          <w:highlight w:val="none"/>
        </w:rPr>
        <w:t>%，价格分值占总分值的权重为</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10</w:t>
      </w:r>
      <w:r>
        <w:rPr>
          <w:rFonts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719"/>
        <w:gridCol w:w="3966"/>
        <w:gridCol w:w="1359"/>
      </w:tblGrid>
      <w:tr w14:paraId="5443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2AE9495D">
            <w:pPr>
              <w:spacing w:before="0" w:beforeAutospacing="0" w:after="0" w:afterAutospacing="0" w:line="360" w:lineRule="auto"/>
              <w:ind w:left="0" w:right="0"/>
              <w:jc w:val="center"/>
              <w:rPr>
                <w:rFonts w:hint="default"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类别</w:t>
            </w:r>
          </w:p>
        </w:tc>
        <w:tc>
          <w:tcPr>
            <w:tcW w:w="1719" w:type="dxa"/>
            <w:tcBorders>
              <w:top w:val="single" w:color="auto" w:sz="4" w:space="0"/>
              <w:left w:val="single" w:color="auto" w:sz="4" w:space="0"/>
              <w:bottom w:val="single" w:color="auto" w:sz="4" w:space="0"/>
              <w:right w:val="single" w:color="auto" w:sz="4" w:space="0"/>
            </w:tcBorders>
            <w:vAlign w:val="center"/>
          </w:tcPr>
          <w:p w14:paraId="7EDB2F7B">
            <w:pPr>
              <w:spacing w:before="0" w:beforeAutospacing="0" w:after="0" w:afterAutospacing="0" w:line="360" w:lineRule="auto"/>
              <w:ind w:left="0" w:right="0"/>
              <w:jc w:val="center"/>
              <w:rPr>
                <w:rFonts w:hint="default"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评分内容</w:t>
            </w:r>
          </w:p>
        </w:tc>
        <w:tc>
          <w:tcPr>
            <w:tcW w:w="3966" w:type="dxa"/>
            <w:tcBorders>
              <w:top w:val="single" w:color="auto" w:sz="4" w:space="0"/>
              <w:left w:val="single" w:color="auto" w:sz="4" w:space="0"/>
              <w:bottom w:val="single" w:color="auto" w:sz="4" w:space="0"/>
              <w:right w:val="single" w:color="auto" w:sz="4" w:space="0"/>
            </w:tcBorders>
            <w:vAlign w:val="center"/>
          </w:tcPr>
          <w:p w14:paraId="15CC8E24">
            <w:pPr>
              <w:spacing w:before="0" w:beforeAutospacing="0" w:after="0" w:afterAutospacing="0" w:line="360" w:lineRule="auto"/>
              <w:ind w:left="0" w:right="0"/>
              <w:jc w:val="center"/>
              <w:rPr>
                <w:rFonts w:hint="default"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评分标准</w:t>
            </w:r>
          </w:p>
        </w:tc>
        <w:tc>
          <w:tcPr>
            <w:tcW w:w="1359" w:type="dxa"/>
            <w:tcBorders>
              <w:top w:val="single" w:color="auto" w:sz="4" w:space="0"/>
              <w:left w:val="single" w:color="auto" w:sz="4" w:space="0"/>
              <w:bottom w:val="single" w:color="auto" w:sz="4" w:space="0"/>
              <w:right w:val="single" w:color="auto" w:sz="4" w:space="0"/>
            </w:tcBorders>
            <w:vAlign w:val="center"/>
          </w:tcPr>
          <w:p w14:paraId="76926AD7">
            <w:pPr>
              <w:spacing w:before="0" w:beforeAutospacing="0" w:after="0" w:afterAutospacing="0" w:line="360" w:lineRule="auto"/>
              <w:ind w:left="0" w:right="0"/>
              <w:jc w:val="center"/>
              <w:rPr>
                <w:rFonts w:hint="default"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分值范围</w:t>
            </w:r>
          </w:p>
        </w:tc>
      </w:tr>
      <w:tr w14:paraId="6415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restart"/>
            <w:tcBorders>
              <w:top w:val="single" w:color="auto" w:sz="4" w:space="0"/>
              <w:left w:val="single" w:color="auto" w:sz="4" w:space="0"/>
              <w:right w:val="single" w:color="auto" w:sz="4" w:space="0"/>
            </w:tcBorders>
            <w:vAlign w:val="center"/>
          </w:tcPr>
          <w:p w14:paraId="7764CA0D">
            <w:pPr>
              <w:spacing w:before="0" w:beforeAutospacing="0" w:after="0" w:afterAutospacing="0" w:line="360" w:lineRule="auto"/>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技术资信分</w:t>
            </w:r>
          </w:p>
          <w:p w14:paraId="192F6949">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u w:val="single"/>
                <w:lang w:val="en-US" w:eastAsia="zh-CN"/>
              </w:rPr>
              <w:t>90</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rPr>
              <w:t>分）</w:t>
            </w:r>
          </w:p>
        </w:tc>
        <w:tc>
          <w:tcPr>
            <w:tcW w:w="7044" w:type="dxa"/>
            <w:gridSpan w:val="3"/>
            <w:tcBorders>
              <w:top w:val="single" w:color="auto" w:sz="4" w:space="0"/>
              <w:left w:val="single" w:color="auto" w:sz="4" w:space="0"/>
              <w:bottom w:val="single" w:color="auto" w:sz="4" w:space="0"/>
              <w:right w:val="single" w:color="auto" w:sz="4" w:space="0"/>
            </w:tcBorders>
            <w:vAlign w:val="center"/>
          </w:tcPr>
          <w:p w14:paraId="3D319CE5">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default" w:ascii="宋体" w:hAnsi="宋体" w:eastAsia="宋体" w:cs="@仿宋_GB2312"/>
                <w:b/>
                <w:bCs/>
                <w:color w:val="auto"/>
                <w:kern w:val="2"/>
                <w:sz w:val="24"/>
                <w:szCs w:val="20"/>
                <w:highlight w:val="none"/>
                <w:lang w:val="en-US" w:eastAsia="zh-CN" w:bidi="ar-SA"/>
              </w:rPr>
              <w:t>资信部分</w:t>
            </w:r>
            <w:r>
              <w:rPr>
                <w:rFonts w:hint="eastAsia" w:ascii="宋体" w:hAnsi="宋体" w:eastAsia="宋体" w:cs="@仿宋_GB2312"/>
                <w:b/>
                <w:bCs/>
                <w:color w:val="auto"/>
                <w:kern w:val="2"/>
                <w:sz w:val="24"/>
                <w:szCs w:val="20"/>
                <w:highlight w:val="none"/>
                <w:lang w:val="en-US" w:eastAsia="zh-CN" w:bidi="ar-SA"/>
              </w:rPr>
              <w:t>（30分）</w:t>
            </w:r>
          </w:p>
        </w:tc>
      </w:tr>
      <w:tr w14:paraId="2004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791154B0">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1022701E">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投标人业绩</w:t>
            </w:r>
          </w:p>
        </w:tc>
        <w:tc>
          <w:tcPr>
            <w:tcW w:w="3966" w:type="dxa"/>
            <w:tcBorders>
              <w:top w:val="single" w:color="auto" w:sz="4" w:space="0"/>
              <w:left w:val="single" w:color="auto" w:sz="4" w:space="0"/>
              <w:bottom w:val="single" w:color="auto" w:sz="4" w:space="0"/>
              <w:right w:val="single" w:color="auto" w:sz="4" w:space="0"/>
            </w:tcBorders>
            <w:vAlign w:val="center"/>
          </w:tcPr>
          <w:p w14:paraId="46944CA6">
            <w:pPr>
              <w:spacing w:before="0" w:beforeAutospacing="0" w:after="0" w:afterAutospacing="0" w:line="360" w:lineRule="auto"/>
              <w:ind w:left="0" w:leftChars="0" w:right="0"/>
              <w:jc w:val="left"/>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自20</w:t>
            </w:r>
            <w:r>
              <w:rPr>
                <w:rFonts w:hint="eastAsia" w:ascii="宋体" w:hAnsi="宋体" w:eastAsia="宋体" w:cs="@仿宋_GB2312"/>
                <w:color w:val="auto"/>
                <w:kern w:val="2"/>
                <w:sz w:val="24"/>
                <w:szCs w:val="20"/>
                <w:highlight w:val="none"/>
                <w:lang w:val="en-US" w:eastAsia="zh-CN" w:bidi="ar-SA"/>
              </w:rPr>
              <w:t>14</w:t>
            </w:r>
            <w:r>
              <w:rPr>
                <w:rFonts w:hint="default" w:ascii="宋体" w:hAnsi="宋体" w:eastAsia="宋体" w:cs="@仿宋_GB2312"/>
                <w:color w:val="auto"/>
                <w:kern w:val="2"/>
                <w:sz w:val="24"/>
                <w:szCs w:val="20"/>
                <w:highlight w:val="none"/>
                <w:lang w:val="en-US" w:eastAsia="zh-CN" w:bidi="ar-SA"/>
              </w:rPr>
              <w:t>年1月1日以来（以合同签订时间为准）</w:t>
            </w:r>
            <w:r>
              <w:rPr>
                <w:rFonts w:hint="eastAsia" w:ascii="宋体" w:hAnsi="宋体" w:eastAsia="宋体" w:cs="@仿宋_GB2312"/>
                <w:color w:val="auto"/>
                <w:kern w:val="2"/>
                <w:sz w:val="24"/>
                <w:szCs w:val="20"/>
                <w:highlight w:val="none"/>
                <w:lang w:val="en-US" w:eastAsia="zh-CN" w:bidi="ar-SA"/>
              </w:rPr>
              <w:t>，</w:t>
            </w:r>
            <w:r>
              <w:rPr>
                <w:rFonts w:hint="default" w:ascii="宋体" w:hAnsi="宋体" w:eastAsia="宋体" w:cs="@仿宋_GB2312"/>
                <w:color w:val="auto"/>
                <w:kern w:val="2"/>
                <w:sz w:val="24"/>
                <w:szCs w:val="20"/>
                <w:highlight w:val="none"/>
                <w:lang w:val="en-US" w:eastAsia="zh-CN" w:bidi="ar-SA"/>
              </w:rPr>
              <w:t>投标人独立承担过地市级及以上交通运输规划（含公路类规划）项目业绩的，每提供一个得2分，最高得4分。</w:t>
            </w:r>
          </w:p>
          <w:p w14:paraId="4A4F0296">
            <w:pPr>
              <w:spacing w:before="0" w:beforeAutospacing="0" w:after="0" w:afterAutospacing="0" w:line="360" w:lineRule="auto"/>
              <w:ind w:left="0" w:leftChars="0" w:right="0"/>
              <w:jc w:val="left"/>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注：</w:t>
            </w:r>
            <w:r>
              <w:rPr>
                <w:rFonts w:hint="eastAsia" w:ascii="宋体" w:hAnsi="宋体" w:eastAsia="宋体" w:cs="@仿宋_GB2312"/>
                <w:color w:val="auto"/>
                <w:kern w:val="2"/>
                <w:sz w:val="24"/>
                <w:szCs w:val="20"/>
                <w:highlight w:val="none"/>
                <w:lang w:val="en-US" w:eastAsia="zh-CN" w:bidi="ar-SA"/>
              </w:rPr>
              <w:t>（1）</w:t>
            </w:r>
            <w:r>
              <w:rPr>
                <w:rFonts w:hint="default" w:ascii="宋体" w:hAnsi="宋体" w:eastAsia="宋体" w:cs="@仿宋_GB2312"/>
                <w:color w:val="auto"/>
                <w:kern w:val="2"/>
                <w:sz w:val="24"/>
                <w:szCs w:val="20"/>
                <w:highlight w:val="none"/>
                <w:lang w:val="en-US" w:eastAsia="zh-CN" w:bidi="ar-SA"/>
              </w:rPr>
              <w:t>提供业绩合同扫描件，</w:t>
            </w:r>
            <w:r>
              <w:rPr>
                <w:rFonts w:hint="eastAsia" w:ascii="宋体" w:hAnsi="宋体" w:eastAsia="宋体" w:cs="@仿宋_GB2312"/>
                <w:color w:val="auto"/>
                <w:kern w:val="2"/>
                <w:sz w:val="21"/>
                <w:szCs w:val="21"/>
                <w:highlight w:val="none"/>
                <w:lang w:val="en-US" w:eastAsia="zh-CN" w:bidi="ar-SA"/>
              </w:rPr>
              <w:t>若</w:t>
            </w:r>
            <w:r>
              <w:rPr>
                <w:rFonts w:hint="default" w:ascii="宋体" w:hAnsi="宋体" w:eastAsia="宋体" w:cs="@仿宋_GB2312"/>
                <w:color w:val="auto"/>
                <w:kern w:val="2"/>
                <w:sz w:val="21"/>
                <w:szCs w:val="21"/>
                <w:highlight w:val="none"/>
                <w:lang w:val="en-US" w:eastAsia="zh-CN" w:bidi="ar-SA"/>
              </w:rPr>
              <w:t>合同中无法体现签订时间、项目内容等关键评审因素的，须同时提供业主（合同甲方）</w:t>
            </w:r>
            <w:r>
              <w:rPr>
                <w:rFonts w:hint="eastAsia" w:ascii="宋体" w:hAnsi="宋体" w:eastAsia="宋体" w:cs="@仿宋_GB2312"/>
                <w:color w:val="auto"/>
                <w:kern w:val="2"/>
                <w:sz w:val="21"/>
                <w:szCs w:val="21"/>
                <w:highlight w:val="none"/>
                <w:lang w:val="en-US" w:eastAsia="zh-CN" w:bidi="ar-SA"/>
              </w:rPr>
              <w:t>盖章</w:t>
            </w:r>
            <w:r>
              <w:rPr>
                <w:rFonts w:hint="default" w:ascii="宋体" w:hAnsi="宋体" w:eastAsia="宋体" w:cs="@仿宋_GB2312"/>
                <w:color w:val="auto"/>
                <w:kern w:val="2"/>
                <w:sz w:val="21"/>
                <w:szCs w:val="21"/>
                <w:highlight w:val="none"/>
                <w:lang w:val="en-US" w:eastAsia="zh-CN" w:bidi="ar-SA"/>
              </w:rPr>
              <w:t>证明材料</w:t>
            </w:r>
            <w:r>
              <w:rPr>
                <w:rFonts w:hint="default" w:ascii="宋体" w:hAnsi="宋体" w:eastAsia="宋体" w:cs="@仿宋_GB2312"/>
                <w:color w:val="auto"/>
                <w:kern w:val="2"/>
                <w:sz w:val="24"/>
                <w:szCs w:val="20"/>
                <w:highlight w:val="none"/>
                <w:lang w:val="en-US" w:eastAsia="zh-CN" w:bidi="ar-SA"/>
              </w:rPr>
              <w:t>，未提供或提供不全的不得分。</w:t>
            </w:r>
          </w:p>
          <w:p w14:paraId="6F253827">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（2）</w:t>
            </w:r>
            <w:r>
              <w:rPr>
                <w:rFonts w:hint="default" w:ascii="宋体" w:hAnsi="宋体" w:eastAsia="宋体" w:cs="@仿宋_GB2312"/>
                <w:b/>
                <w:bCs/>
                <w:color w:val="auto"/>
                <w:kern w:val="2"/>
                <w:sz w:val="24"/>
                <w:szCs w:val="20"/>
                <w:highlight w:val="none"/>
                <w:lang w:val="en-US" w:eastAsia="zh-CN" w:bidi="ar-SA"/>
              </w:rPr>
              <w:t>投标人投标时只须提供</w:t>
            </w:r>
            <w:r>
              <w:rPr>
                <w:rFonts w:hint="eastAsia" w:ascii="宋体" w:hAnsi="宋体" w:eastAsia="宋体" w:cs="@仿宋_GB2312"/>
                <w:b/>
                <w:bCs/>
                <w:color w:val="auto"/>
                <w:kern w:val="2"/>
                <w:sz w:val="24"/>
                <w:szCs w:val="20"/>
                <w:highlight w:val="none"/>
                <w:lang w:val="en-US" w:eastAsia="zh-CN" w:bidi="ar-SA"/>
              </w:rPr>
              <w:t>2</w:t>
            </w:r>
            <w:r>
              <w:rPr>
                <w:rFonts w:hint="default" w:ascii="宋体" w:hAnsi="宋体" w:eastAsia="宋体" w:cs="@仿宋_GB2312"/>
                <w:b/>
                <w:bCs/>
                <w:color w:val="auto"/>
                <w:kern w:val="2"/>
                <w:sz w:val="24"/>
                <w:szCs w:val="20"/>
                <w:highlight w:val="none"/>
                <w:lang w:val="en-US" w:eastAsia="zh-CN" w:bidi="ar-SA"/>
              </w:rPr>
              <w:t>个评审业绩，若投标人提供业绩个数超过</w:t>
            </w:r>
            <w:r>
              <w:rPr>
                <w:rFonts w:hint="eastAsia" w:ascii="宋体" w:hAnsi="宋体" w:eastAsia="宋体" w:cs="@仿宋_GB2312"/>
                <w:b/>
                <w:bCs/>
                <w:color w:val="auto"/>
                <w:kern w:val="2"/>
                <w:sz w:val="24"/>
                <w:szCs w:val="20"/>
                <w:highlight w:val="none"/>
                <w:lang w:val="en-US" w:eastAsia="zh-CN" w:bidi="ar-SA"/>
              </w:rPr>
              <w:t>2</w:t>
            </w:r>
            <w:r>
              <w:rPr>
                <w:rFonts w:hint="default" w:ascii="宋体" w:hAnsi="宋体" w:eastAsia="宋体" w:cs="@仿宋_GB2312"/>
                <w:b/>
                <w:bCs/>
                <w:color w:val="auto"/>
                <w:kern w:val="2"/>
                <w:sz w:val="24"/>
                <w:szCs w:val="20"/>
                <w:highlight w:val="none"/>
                <w:lang w:val="en-US" w:eastAsia="zh-CN" w:bidi="ar-SA"/>
              </w:rPr>
              <w:t>个，则按照排列顺序从首个业绩开始评审至对应数量（</w:t>
            </w:r>
            <w:r>
              <w:rPr>
                <w:rFonts w:hint="eastAsia" w:ascii="宋体" w:hAnsi="宋体" w:eastAsia="宋体" w:cs="@仿宋_GB2312"/>
                <w:b/>
                <w:bCs/>
                <w:color w:val="auto"/>
                <w:kern w:val="2"/>
                <w:sz w:val="24"/>
                <w:szCs w:val="20"/>
                <w:highlight w:val="none"/>
                <w:lang w:val="en-US" w:eastAsia="zh-CN" w:bidi="ar-SA"/>
              </w:rPr>
              <w:t>2</w:t>
            </w:r>
            <w:r>
              <w:rPr>
                <w:rFonts w:hint="default" w:ascii="宋体" w:hAnsi="宋体" w:eastAsia="宋体" w:cs="@仿宋_GB2312"/>
                <w:b/>
                <w:bCs/>
                <w:color w:val="auto"/>
                <w:kern w:val="2"/>
                <w:sz w:val="24"/>
                <w:szCs w:val="20"/>
                <w:highlight w:val="none"/>
                <w:lang w:val="en-US" w:eastAsia="zh-CN" w:bidi="ar-SA"/>
              </w:rPr>
              <w:t>个），超出部分业绩不进行评审。对应数量（</w:t>
            </w:r>
            <w:r>
              <w:rPr>
                <w:rFonts w:hint="eastAsia" w:ascii="宋体" w:hAnsi="宋体" w:eastAsia="宋体" w:cs="@仿宋_GB2312"/>
                <w:b/>
                <w:bCs/>
                <w:color w:val="auto"/>
                <w:kern w:val="2"/>
                <w:sz w:val="24"/>
                <w:szCs w:val="20"/>
                <w:highlight w:val="none"/>
                <w:lang w:val="en-US" w:eastAsia="zh-CN" w:bidi="ar-SA"/>
              </w:rPr>
              <w:t>2</w:t>
            </w:r>
            <w:r>
              <w:rPr>
                <w:rFonts w:hint="default" w:ascii="宋体" w:hAnsi="宋体" w:eastAsia="宋体" w:cs="@仿宋_GB2312"/>
                <w:b/>
                <w:bCs/>
                <w:color w:val="auto"/>
                <w:kern w:val="2"/>
                <w:sz w:val="24"/>
                <w:szCs w:val="20"/>
                <w:highlight w:val="none"/>
                <w:lang w:val="en-US" w:eastAsia="zh-CN" w:bidi="ar-SA"/>
              </w:rPr>
              <w:t>个）内业绩不符合招标文件要求不得分的，不再补充评审超出部分业绩。如：提供</w:t>
            </w:r>
            <w:r>
              <w:rPr>
                <w:rFonts w:hint="eastAsia" w:ascii="宋体" w:hAnsi="宋体" w:eastAsia="宋体" w:cs="@仿宋_GB2312"/>
                <w:b/>
                <w:bCs/>
                <w:color w:val="auto"/>
                <w:kern w:val="2"/>
                <w:sz w:val="24"/>
                <w:szCs w:val="20"/>
                <w:highlight w:val="none"/>
                <w:lang w:val="en-US" w:eastAsia="zh-CN" w:bidi="ar-SA"/>
              </w:rPr>
              <w:t>2</w:t>
            </w:r>
            <w:r>
              <w:rPr>
                <w:rFonts w:hint="default" w:ascii="宋体" w:hAnsi="宋体" w:eastAsia="宋体" w:cs="@仿宋_GB2312"/>
                <w:b/>
                <w:bCs/>
                <w:color w:val="auto"/>
                <w:kern w:val="2"/>
                <w:sz w:val="24"/>
                <w:szCs w:val="20"/>
                <w:highlight w:val="none"/>
                <w:lang w:val="en-US" w:eastAsia="zh-CN" w:bidi="ar-SA"/>
              </w:rPr>
              <w:t>个业绩即得满分的，按照投标文件排序评审第一</w:t>
            </w:r>
            <w:r>
              <w:rPr>
                <w:rFonts w:hint="eastAsia" w:ascii="宋体" w:hAnsi="宋体" w:eastAsia="宋体" w:cs="@仿宋_GB2312"/>
                <w:b/>
                <w:bCs/>
                <w:color w:val="auto"/>
                <w:kern w:val="2"/>
                <w:sz w:val="24"/>
                <w:szCs w:val="20"/>
                <w:highlight w:val="none"/>
                <w:lang w:val="en-US" w:eastAsia="zh-CN" w:bidi="ar-SA"/>
              </w:rPr>
              <w:t>、二</w:t>
            </w:r>
            <w:r>
              <w:rPr>
                <w:rFonts w:hint="default" w:ascii="宋体" w:hAnsi="宋体" w:eastAsia="宋体" w:cs="@仿宋_GB2312"/>
                <w:b/>
                <w:bCs/>
                <w:color w:val="auto"/>
                <w:kern w:val="2"/>
                <w:sz w:val="24"/>
                <w:szCs w:val="20"/>
                <w:highlight w:val="none"/>
                <w:lang w:val="en-US" w:eastAsia="zh-CN" w:bidi="ar-SA"/>
              </w:rPr>
              <w:t>项业绩，其余超出部分不再评审。</w:t>
            </w:r>
          </w:p>
        </w:tc>
        <w:tc>
          <w:tcPr>
            <w:tcW w:w="1359" w:type="dxa"/>
            <w:tcBorders>
              <w:top w:val="single" w:color="auto" w:sz="4" w:space="0"/>
              <w:left w:val="single" w:color="auto" w:sz="4" w:space="0"/>
              <w:bottom w:val="single" w:color="auto" w:sz="4" w:space="0"/>
              <w:right w:val="single" w:color="auto" w:sz="4" w:space="0"/>
            </w:tcBorders>
            <w:vAlign w:val="center"/>
          </w:tcPr>
          <w:p w14:paraId="60EC3030">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default" w:ascii="宋体" w:hAnsi="宋体" w:eastAsia="宋体" w:cs="@仿宋_GB2312"/>
                <w:b/>
                <w:bCs/>
                <w:color w:val="auto"/>
                <w:kern w:val="2"/>
                <w:sz w:val="24"/>
                <w:szCs w:val="20"/>
                <w:highlight w:val="none"/>
                <w:lang w:val="en-US" w:eastAsia="zh-CN" w:bidi="ar-SA"/>
              </w:rPr>
              <w:t>0-</w:t>
            </w:r>
            <w:r>
              <w:rPr>
                <w:rFonts w:hint="eastAsia" w:ascii="宋体" w:hAnsi="宋体" w:eastAsia="宋体" w:cs="@仿宋_GB2312"/>
                <w:b/>
                <w:bCs/>
                <w:color w:val="auto"/>
                <w:kern w:val="2"/>
                <w:sz w:val="24"/>
                <w:szCs w:val="20"/>
                <w:highlight w:val="none"/>
                <w:lang w:val="en-US" w:eastAsia="zh-CN" w:bidi="ar-SA"/>
              </w:rPr>
              <w:t>4</w:t>
            </w:r>
            <w:r>
              <w:rPr>
                <w:rFonts w:hint="default" w:ascii="宋体" w:hAnsi="宋体" w:eastAsia="宋体" w:cs="@仿宋_GB2312"/>
                <w:b/>
                <w:bCs/>
                <w:color w:val="auto"/>
                <w:kern w:val="2"/>
                <w:sz w:val="24"/>
                <w:szCs w:val="20"/>
                <w:highlight w:val="none"/>
                <w:lang w:val="en-US" w:eastAsia="zh-CN" w:bidi="ar-SA"/>
              </w:rPr>
              <w:t>分</w:t>
            </w:r>
          </w:p>
        </w:tc>
      </w:tr>
      <w:tr w14:paraId="64C3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4E9432F9">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7B1EE8C6">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项目团队</w:t>
            </w:r>
          </w:p>
        </w:tc>
        <w:tc>
          <w:tcPr>
            <w:tcW w:w="3966" w:type="dxa"/>
            <w:tcBorders>
              <w:top w:val="single" w:color="auto" w:sz="4" w:space="0"/>
              <w:left w:val="single" w:color="auto" w:sz="4" w:space="0"/>
              <w:bottom w:val="single" w:color="auto" w:sz="4" w:space="0"/>
              <w:right w:val="single" w:color="auto" w:sz="4" w:space="0"/>
            </w:tcBorders>
            <w:vAlign w:val="center"/>
          </w:tcPr>
          <w:p w14:paraId="1B3FEB00">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（1）投标人拟派项目团队（项目负责人）（6分）：</w:t>
            </w:r>
          </w:p>
          <w:p w14:paraId="34B94C0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①具有咨询工程师（投资）资格证书或具有注册城乡规划师资格证书的得2分，满分2分；</w:t>
            </w:r>
          </w:p>
          <w:p w14:paraId="103B4E5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②具有交通工程类正高级职称的得2分，具有交通工程类高级职称的得1分，其它的不得分，满分2分；</w:t>
            </w:r>
          </w:p>
          <w:p w14:paraId="0DBC3C22">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③经评标委员会评审并得分的投标人业绩，由拟派项目负责人作为该业绩项目负责人负责实施的，得2分，满分2分。（以合同中载明为准，若合同中无法体现的，须另行提供业主（合同甲方）盖章证明材料）</w:t>
            </w:r>
          </w:p>
          <w:p w14:paraId="4CF9BD66">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（2）投标人拟派项目团队（项目负责人除外，同一人同时满足多个评分</w:t>
            </w:r>
          </w:p>
          <w:p w14:paraId="2A150E89">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标准的可累计得分）（20分）：</w:t>
            </w:r>
          </w:p>
          <w:p w14:paraId="04EDE619">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①本项目拟配备人员具有交通工程类正高级职称的，每有1人得2分；具有交通工程类高级职称的，每有1人得1分；最多得8分。</w:t>
            </w:r>
          </w:p>
          <w:p w14:paraId="144A0745">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②本项目拟配备人员具有咨询工程师（投资）资格证书的，每提供1人得2分；最多得6分。</w:t>
            </w:r>
          </w:p>
          <w:p w14:paraId="655C1143">
            <w:pPr>
              <w:spacing w:before="0" w:beforeAutospacing="0" w:after="0" w:afterAutospacing="0" w:line="360" w:lineRule="auto"/>
              <w:ind w:left="0" w:leftChars="0" w:right="0"/>
              <w:jc w:val="left"/>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③本项目拟配备人员具有注册城乡规划师资格证书的，每提供1人得2分；最多得6分。</w:t>
            </w:r>
          </w:p>
          <w:p w14:paraId="0334462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注：①提供人员名单（格式自拟）及相关证书及证明材料扫描件；</w:t>
            </w:r>
          </w:p>
          <w:p w14:paraId="7E85C33C">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②上述人员持有社保部门出具的本单位为其缴纳的投标前近三个月内任意一月的社保证明【或投标人提供承诺已为上述人员缴纳社保证明的承诺书（格式自拟）】。</w:t>
            </w:r>
          </w:p>
        </w:tc>
        <w:tc>
          <w:tcPr>
            <w:tcW w:w="1359" w:type="dxa"/>
            <w:tcBorders>
              <w:top w:val="single" w:color="auto" w:sz="4" w:space="0"/>
              <w:left w:val="single" w:color="auto" w:sz="4" w:space="0"/>
              <w:bottom w:val="single" w:color="auto" w:sz="4" w:space="0"/>
              <w:right w:val="single" w:color="auto" w:sz="4" w:space="0"/>
            </w:tcBorders>
            <w:vAlign w:val="center"/>
          </w:tcPr>
          <w:p w14:paraId="663FCA01">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0-26分</w:t>
            </w:r>
          </w:p>
        </w:tc>
      </w:tr>
      <w:tr w14:paraId="15FD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26313203">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7044" w:type="dxa"/>
            <w:gridSpan w:val="3"/>
            <w:tcBorders>
              <w:top w:val="single" w:color="auto" w:sz="4" w:space="0"/>
              <w:left w:val="single" w:color="auto" w:sz="4" w:space="0"/>
              <w:bottom w:val="single" w:color="auto" w:sz="4" w:space="0"/>
              <w:right w:val="single" w:color="auto" w:sz="4" w:space="0"/>
            </w:tcBorders>
            <w:vAlign w:val="center"/>
          </w:tcPr>
          <w:p w14:paraId="07C84C6F">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技术部分（60分）</w:t>
            </w:r>
          </w:p>
        </w:tc>
      </w:tr>
      <w:tr w14:paraId="7AC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50CE093E">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restart"/>
            <w:tcBorders>
              <w:top w:val="single" w:color="auto" w:sz="4" w:space="0"/>
              <w:left w:val="single" w:color="auto" w:sz="4" w:space="0"/>
              <w:right w:val="single" w:color="auto" w:sz="4" w:space="0"/>
            </w:tcBorders>
            <w:vAlign w:val="center"/>
          </w:tcPr>
          <w:p w14:paraId="2367A54C">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项目需求理解及分析</w:t>
            </w:r>
          </w:p>
        </w:tc>
        <w:tc>
          <w:tcPr>
            <w:tcW w:w="3966" w:type="dxa"/>
            <w:tcBorders>
              <w:top w:val="single" w:color="auto" w:sz="4" w:space="0"/>
              <w:left w:val="single" w:color="auto" w:sz="4" w:space="0"/>
              <w:bottom w:val="single" w:color="auto" w:sz="4" w:space="0"/>
              <w:right w:val="single" w:color="auto" w:sz="4" w:space="0"/>
            </w:tcBorders>
            <w:vAlign w:val="center"/>
          </w:tcPr>
          <w:p w14:paraId="0037F0A6">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1、投标人对本项目相关政策背景分析进行阐述，由评标委员会进行综合评审：</w:t>
            </w:r>
          </w:p>
          <w:p w14:paraId="17D94662">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（1）政策背景分析思路清晰，原则清楚可行，主要目标符合本地实际的得5 分； </w:t>
            </w:r>
          </w:p>
          <w:p w14:paraId="6CBE8AAB">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（2）政策背景分析思路明确，原则正确的得3分； </w:t>
            </w:r>
          </w:p>
          <w:p w14:paraId="54FCB026">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（3）政策背景分析理解与认识不到位或内容有缺失，仍需进一步完善的得1分； </w:t>
            </w:r>
          </w:p>
          <w:p w14:paraId="4ACAD2C5">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5B157110">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1391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64E0FC1C">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continue"/>
            <w:tcBorders>
              <w:left w:val="single" w:color="auto" w:sz="4" w:space="0"/>
              <w:right w:val="single" w:color="auto" w:sz="4" w:space="0"/>
            </w:tcBorders>
            <w:vAlign w:val="center"/>
          </w:tcPr>
          <w:p w14:paraId="0107438D">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p>
        </w:tc>
        <w:tc>
          <w:tcPr>
            <w:tcW w:w="3966" w:type="dxa"/>
            <w:tcBorders>
              <w:top w:val="single" w:color="auto" w:sz="4" w:space="0"/>
              <w:left w:val="single" w:color="auto" w:sz="4" w:space="0"/>
              <w:bottom w:val="single" w:color="auto" w:sz="4" w:space="0"/>
              <w:right w:val="single" w:color="auto" w:sz="4" w:space="0"/>
            </w:tcBorders>
            <w:vAlign w:val="center"/>
          </w:tcPr>
          <w:p w14:paraId="35961EEB">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2、投标人对本项目重点任务进行分析，由评标委员会进行综合评审： </w:t>
            </w:r>
          </w:p>
          <w:p w14:paraId="697652C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（1）重点任务分析详细准确且表述完整、工作目标和实施方案完整的得5分； </w:t>
            </w:r>
          </w:p>
          <w:p w14:paraId="61303058">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（2）重点任务分析可行、工作目标和实施方案合理的得3分； </w:t>
            </w:r>
          </w:p>
          <w:p w14:paraId="540AB20F">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（3）重点任务分析脱离实际，存在与本项目不匹配内容，工作目标和实施方案内容有待提升的得1分； </w:t>
            </w:r>
          </w:p>
          <w:p w14:paraId="3E53ADD1">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7806B40C">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4727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282847EC">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continue"/>
            <w:tcBorders>
              <w:left w:val="single" w:color="auto" w:sz="4" w:space="0"/>
              <w:bottom w:val="single" w:color="auto" w:sz="4" w:space="0"/>
              <w:right w:val="single" w:color="auto" w:sz="4" w:space="0"/>
            </w:tcBorders>
            <w:vAlign w:val="center"/>
          </w:tcPr>
          <w:p w14:paraId="38AD3782">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p>
        </w:tc>
        <w:tc>
          <w:tcPr>
            <w:tcW w:w="3966" w:type="dxa"/>
            <w:tcBorders>
              <w:top w:val="single" w:color="auto" w:sz="4" w:space="0"/>
              <w:left w:val="single" w:color="auto" w:sz="4" w:space="0"/>
              <w:bottom w:val="single" w:color="auto" w:sz="4" w:space="0"/>
              <w:right w:val="single" w:color="auto" w:sz="4" w:space="0"/>
            </w:tcBorders>
            <w:vAlign w:val="center"/>
          </w:tcPr>
          <w:p w14:paraId="1CE690C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3、投标人对本项目重点和难点进行详细分析，由评标委员会进行综合评审。 </w:t>
            </w:r>
          </w:p>
          <w:p w14:paraId="1BA9E49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（1）重点及难点分析内容完整、有着详细分析表述，方案内容全面，并提出对应方案的得5分； </w:t>
            </w:r>
          </w:p>
          <w:p w14:paraId="54BF068B">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（2）重点及难点分析内容简单、有相应针对重点难点的分析方案，满足本项目特性内容的得3分；</w:t>
            </w:r>
          </w:p>
          <w:p w14:paraId="5E41615B">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（3）重点及难点分析内容简单，对各个环节的保障措施或关键点缺失的，存在与本项目无关内容的得1分；</w:t>
            </w:r>
          </w:p>
          <w:p w14:paraId="0F58A504">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3E60AFF3">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4798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24B4989E">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restart"/>
            <w:tcBorders>
              <w:top w:val="single" w:color="auto" w:sz="4" w:space="0"/>
              <w:left w:val="single" w:color="auto" w:sz="4" w:space="0"/>
              <w:right w:val="single" w:color="auto" w:sz="4" w:space="0"/>
            </w:tcBorders>
            <w:vAlign w:val="center"/>
          </w:tcPr>
          <w:p w14:paraId="6ED24E1A">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项目实施方案</w:t>
            </w:r>
          </w:p>
        </w:tc>
        <w:tc>
          <w:tcPr>
            <w:tcW w:w="3966" w:type="dxa"/>
            <w:tcBorders>
              <w:top w:val="single" w:color="auto" w:sz="4" w:space="0"/>
              <w:left w:val="single" w:color="auto" w:sz="4" w:space="0"/>
              <w:bottom w:val="single" w:color="auto" w:sz="4" w:space="0"/>
              <w:right w:val="single" w:color="auto" w:sz="4" w:space="0"/>
            </w:tcBorders>
            <w:vAlign w:val="center"/>
          </w:tcPr>
          <w:p w14:paraId="54F9CFA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1、投标人针对本项目制定实施方案，对工作流程阐述分析，由评标委员会进行综合评审：</w:t>
            </w:r>
          </w:p>
          <w:p w14:paraId="049FBD6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（1）工作流程方案详尽，利于项目实施的得5分； </w:t>
            </w:r>
          </w:p>
          <w:p w14:paraId="48AE6ACF">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（2）工作流程方案完整，表述适当的得3分； </w:t>
            </w:r>
          </w:p>
          <w:p w14:paraId="376D3B2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（3）工作流程方案要求突出不够明显，有待完善的得1分； </w:t>
            </w:r>
          </w:p>
          <w:p w14:paraId="3EF58B39">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2EA8D162">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782D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4F93358E">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continue"/>
            <w:tcBorders>
              <w:left w:val="single" w:color="auto" w:sz="4" w:space="0"/>
              <w:right w:val="single" w:color="auto" w:sz="4" w:space="0"/>
            </w:tcBorders>
            <w:vAlign w:val="center"/>
          </w:tcPr>
          <w:p w14:paraId="718EF479">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p>
        </w:tc>
        <w:tc>
          <w:tcPr>
            <w:tcW w:w="3966" w:type="dxa"/>
            <w:tcBorders>
              <w:top w:val="single" w:color="auto" w:sz="4" w:space="0"/>
              <w:left w:val="single" w:color="auto" w:sz="4" w:space="0"/>
              <w:bottom w:val="single" w:color="auto" w:sz="4" w:space="0"/>
              <w:right w:val="single" w:color="auto" w:sz="4" w:space="0"/>
            </w:tcBorders>
            <w:vAlign w:val="center"/>
          </w:tcPr>
          <w:p w14:paraId="6778DBA4">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2、投标人针对本项目制定实施方案，分析此项目的研究思路并提出方案，由评标委员会进行综合评审：</w:t>
            </w:r>
          </w:p>
          <w:p w14:paraId="6333BE0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（1）研究思路与方案阐述清晰，能准确贴合项目实施的得5分；</w:t>
            </w:r>
          </w:p>
          <w:p w14:paraId="32D48F10">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（2）研究思路与方案阐述合理，满足项目需求的得3分；</w:t>
            </w:r>
          </w:p>
          <w:p w14:paraId="6893313C">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（3）研究思路与方案阐述模糊，未能准确体现项目特点的得1分；</w:t>
            </w:r>
          </w:p>
          <w:p w14:paraId="279EC6F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52CF27C4">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779B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7B23D0ED">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continue"/>
            <w:tcBorders>
              <w:left w:val="single" w:color="auto" w:sz="4" w:space="0"/>
              <w:right w:val="single" w:color="auto" w:sz="4" w:space="0"/>
            </w:tcBorders>
            <w:vAlign w:val="center"/>
          </w:tcPr>
          <w:p w14:paraId="4F22F48E">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p>
        </w:tc>
        <w:tc>
          <w:tcPr>
            <w:tcW w:w="3966" w:type="dxa"/>
            <w:tcBorders>
              <w:top w:val="single" w:color="auto" w:sz="4" w:space="0"/>
              <w:left w:val="single" w:color="auto" w:sz="4" w:space="0"/>
              <w:bottom w:val="single" w:color="auto" w:sz="4" w:space="0"/>
              <w:right w:val="single" w:color="auto" w:sz="4" w:space="0"/>
            </w:tcBorders>
            <w:vAlign w:val="center"/>
          </w:tcPr>
          <w:p w14:paraId="3B4C8E2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3、投标人针对本项目制定实施方案，提出实施进度计划方案，由评标委员会进行综合评审。 </w:t>
            </w:r>
          </w:p>
          <w:p w14:paraId="0FC2A071">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（1）进度计划详尽，具有操作性，能够有效保证如期完成项目服务的得5分；</w:t>
            </w:r>
          </w:p>
          <w:p w14:paraId="5D711DC0">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（2）进度计划按排可行，满足本项目需求的得3分；</w:t>
            </w:r>
          </w:p>
          <w:p w14:paraId="34F969C3">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（3）进度计划内容简单，实用性很关键内容仍需进一步完善的得1分；</w:t>
            </w:r>
          </w:p>
          <w:p w14:paraId="52678780">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2DC4780C">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706B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18E04350">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vMerge w:val="continue"/>
            <w:tcBorders>
              <w:left w:val="single" w:color="auto" w:sz="4" w:space="0"/>
              <w:bottom w:val="single" w:color="auto" w:sz="4" w:space="0"/>
              <w:right w:val="single" w:color="auto" w:sz="4" w:space="0"/>
            </w:tcBorders>
            <w:vAlign w:val="center"/>
          </w:tcPr>
          <w:p w14:paraId="7AFB31EA">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p>
        </w:tc>
        <w:tc>
          <w:tcPr>
            <w:tcW w:w="3966" w:type="dxa"/>
            <w:tcBorders>
              <w:top w:val="single" w:color="auto" w:sz="4" w:space="0"/>
              <w:left w:val="single" w:color="auto" w:sz="4" w:space="0"/>
              <w:bottom w:val="single" w:color="auto" w:sz="4" w:space="0"/>
              <w:right w:val="single" w:color="auto" w:sz="4" w:space="0"/>
            </w:tcBorders>
            <w:vAlign w:val="center"/>
          </w:tcPr>
          <w:p w14:paraId="01115882">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4、投标人针对本项目制定实施方案，提出进度计划保障措施方案，由评标委员会进行综合评审。 </w:t>
            </w:r>
          </w:p>
          <w:p w14:paraId="458CBFD5">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（1）方案覆盖全面，方案完整详实，表述清晰，具有针对性，利于项目实施的得5分；</w:t>
            </w:r>
          </w:p>
          <w:p w14:paraId="65DE8015">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（2）方案内容完整，表述适当，符合项目实施要求的得3分；</w:t>
            </w:r>
          </w:p>
          <w:p w14:paraId="738C60E1">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（3）方案有待完善，要点突出不够明显，具体细节有待完善的得1分；</w:t>
            </w:r>
          </w:p>
          <w:p w14:paraId="69D0C122">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72144576">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1C89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3CBB8CF2">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657271C2">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质量保障措施</w:t>
            </w:r>
          </w:p>
        </w:tc>
        <w:tc>
          <w:tcPr>
            <w:tcW w:w="3966" w:type="dxa"/>
            <w:tcBorders>
              <w:top w:val="single" w:color="auto" w:sz="4" w:space="0"/>
              <w:left w:val="single" w:color="auto" w:sz="4" w:space="0"/>
              <w:bottom w:val="single" w:color="auto" w:sz="4" w:space="0"/>
              <w:right w:val="single" w:color="auto" w:sz="4" w:space="0"/>
            </w:tcBorders>
            <w:vAlign w:val="center"/>
          </w:tcPr>
          <w:p w14:paraId="20283791">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对投标人提供的质量保障措施，由评标委员会进行综合评审：</w:t>
            </w:r>
          </w:p>
          <w:p w14:paraId="3A863364">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（1）内容覆盖全面，内容完整详实，表述清晰，具有针对性，利于项目实施的得5分；</w:t>
            </w:r>
          </w:p>
          <w:p w14:paraId="5132536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（2）内容完整，表述适当，符合项目实施要求的得3分；</w:t>
            </w:r>
          </w:p>
          <w:p w14:paraId="72780869">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（3）内容有待完善，要点突出不够明显，针对性不够，具体细节有待完善的得1分；</w:t>
            </w:r>
          </w:p>
          <w:p w14:paraId="0E8F0190">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（4）未提供相应内容的不得分。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65E5A243">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1C2F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41EFBE46">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65F3B4D1">
            <w:pPr>
              <w:spacing w:before="0" w:beforeAutospacing="0" w:after="0" w:afterAutospacing="0" w:line="360" w:lineRule="auto"/>
              <w:ind w:left="0" w:leftChars="0" w:right="0" w:rightChars="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管理制度</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14:paraId="7AFEAB37">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对管理制度是否内容齐全、职责划分是否明确、工作规范是否可行、监管措施是否得力、工作流程是否清晰、奖惩措施是否可行、项目组人员分工等，由评标委员会进行综合评审： </w:t>
            </w:r>
          </w:p>
          <w:p w14:paraId="270FF0C4">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（1）管理制度紧密结合实际，有针对性、可行性的得5分； </w:t>
            </w:r>
          </w:p>
          <w:p w14:paraId="1A5495F7">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（2）管理制度结合实际的得3分； </w:t>
            </w:r>
          </w:p>
          <w:p w14:paraId="770F91C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（3）有管理制度的内容，针对性、可行性有待改善的得1分； </w:t>
            </w:r>
          </w:p>
          <w:p w14:paraId="6B72133A">
            <w:pPr>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5227CB0F">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4C40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4F2A8CC0">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7F50FF44">
            <w:pPr>
              <w:spacing w:before="0" w:beforeAutospacing="0" w:after="0" w:afterAutospacing="0" w:line="360" w:lineRule="auto"/>
              <w:ind w:left="0" w:leftChars="0" w:right="0" w:rightChars="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保密措施</w:t>
            </w:r>
          </w:p>
        </w:tc>
        <w:tc>
          <w:tcPr>
            <w:tcW w:w="3966" w:type="dxa"/>
            <w:tcBorders>
              <w:top w:val="single" w:color="auto" w:sz="4" w:space="0"/>
              <w:left w:val="single" w:color="auto" w:sz="4" w:space="0"/>
              <w:bottom w:val="single" w:color="auto" w:sz="4" w:space="0"/>
              <w:right w:val="single" w:color="auto" w:sz="4" w:space="0"/>
            </w:tcBorders>
            <w:shd w:val="clear" w:color="auto" w:fill="auto"/>
            <w:vAlign w:val="center"/>
          </w:tcPr>
          <w:p w14:paraId="4E2E1BED">
            <w:pPr>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投标人应加强信息安全的管控，对完成项目的信息及资料必须妥善保存，制定安全及保密控制方案。通过相应的流程、制度加强对档案的控制，保证文件原件及档案信息的安全及保密，由评标委员会进行综合评审：</w:t>
            </w:r>
          </w:p>
          <w:p w14:paraId="77103046">
            <w:pPr>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（1）保密措施内容详尽、应对举措得当,符合实际工作要求得5分；</w:t>
            </w:r>
          </w:p>
          <w:p w14:paraId="547F557A">
            <w:pPr>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（2）具有保密措施、应对措施合理,得3分；</w:t>
            </w:r>
          </w:p>
          <w:p w14:paraId="212F858C">
            <w:pPr>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（3）保密措施不完善、无有效应对措施,得1分；</w:t>
            </w:r>
          </w:p>
          <w:p w14:paraId="4950E34E">
            <w:pPr>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11B319E1">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1065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19875A1F">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0D7B3E7A">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成果文件的移交及存档</w:t>
            </w:r>
          </w:p>
        </w:tc>
        <w:tc>
          <w:tcPr>
            <w:tcW w:w="3966" w:type="dxa"/>
            <w:tcBorders>
              <w:top w:val="single" w:color="auto" w:sz="4" w:space="0"/>
              <w:left w:val="single" w:color="auto" w:sz="4" w:space="0"/>
              <w:bottom w:val="single" w:color="auto" w:sz="4" w:space="0"/>
              <w:right w:val="single" w:color="auto" w:sz="4" w:space="0"/>
            </w:tcBorders>
            <w:vAlign w:val="center"/>
          </w:tcPr>
          <w:p w14:paraId="07B60C6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据投标人提供的成果文件的移交及存档描述内容，由评标委员会进行综合评审：</w:t>
            </w:r>
          </w:p>
          <w:p w14:paraId="33D15DBF">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（1）内容详细完善、表述清晰，具有针对性、可实施性的，得5分；</w:t>
            </w:r>
          </w:p>
          <w:p w14:paraId="17D4504D">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（2）内容完整合理、具有针对性的，得3分；</w:t>
            </w:r>
          </w:p>
          <w:p w14:paraId="4DD77098">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（3）内容完整性欠缺，针对性可行性的实施均有待提高的，得1分；</w:t>
            </w:r>
          </w:p>
          <w:p w14:paraId="23BAA79A">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（4）未提供的不得分。</w:t>
            </w:r>
          </w:p>
        </w:tc>
        <w:tc>
          <w:tcPr>
            <w:tcW w:w="1359" w:type="dxa"/>
            <w:tcBorders>
              <w:top w:val="single" w:color="auto" w:sz="4" w:space="0"/>
              <w:left w:val="single" w:color="auto" w:sz="4" w:space="0"/>
              <w:bottom w:val="single" w:color="auto" w:sz="4" w:space="0"/>
              <w:right w:val="single" w:color="auto" w:sz="4" w:space="0"/>
            </w:tcBorders>
            <w:vAlign w:val="center"/>
          </w:tcPr>
          <w:p w14:paraId="09147FC2">
            <w:pPr>
              <w:spacing w:before="0" w:beforeAutospacing="0" w:after="0" w:afterAutospacing="0" w:line="360" w:lineRule="auto"/>
              <w:ind w:left="0" w:leftChars="0" w:right="0"/>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cs="@仿宋_GB2312"/>
                <w:b/>
                <w:bCs/>
                <w:color w:val="auto"/>
                <w:kern w:val="2"/>
                <w:sz w:val="24"/>
                <w:szCs w:val="20"/>
                <w:highlight w:val="none"/>
                <w:lang w:val="en-US" w:eastAsia="zh-CN" w:bidi="ar-SA"/>
              </w:rPr>
              <w:t>0-5分</w:t>
            </w:r>
          </w:p>
        </w:tc>
      </w:tr>
      <w:tr w14:paraId="68B6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left w:val="single" w:color="auto" w:sz="4" w:space="0"/>
              <w:right w:val="single" w:color="auto" w:sz="4" w:space="0"/>
            </w:tcBorders>
            <w:vAlign w:val="center"/>
          </w:tcPr>
          <w:p w14:paraId="0B4225BA">
            <w:pPr>
              <w:spacing w:before="0" w:beforeAutospacing="0" w:after="0" w:afterAutospacing="0" w:line="360" w:lineRule="auto"/>
              <w:ind w:left="0" w:right="0"/>
              <w:jc w:val="center"/>
              <w:rPr>
                <w:rFonts w:hint="eastAsia" w:ascii="宋体" w:hAnsi="宋体" w:eastAsia="宋体" w:cs="Times New Roman"/>
                <w:color w:val="auto"/>
                <w:sz w:val="24"/>
                <w:szCs w:val="20"/>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69A8E791">
            <w:pPr>
              <w:spacing w:before="0" w:beforeAutospacing="0" w:after="0" w:afterAutospacing="0" w:line="360" w:lineRule="auto"/>
              <w:ind w:left="0" w:leftChars="0" w:right="0"/>
              <w:jc w:val="center"/>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后续</w:t>
            </w:r>
            <w:r>
              <w:rPr>
                <w:rFonts w:hint="default" w:ascii="宋体" w:hAnsi="宋体" w:eastAsia="宋体" w:cs="@仿宋_GB2312"/>
                <w:color w:val="auto"/>
                <w:kern w:val="2"/>
                <w:sz w:val="24"/>
                <w:szCs w:val="20"/>
                <w:highlight w:val="none"/>
                <w:lang w:val="en-US" w:eastAsia="zh-CN" w:bidi="ar-SA"/>
              </w:rPr>
              <w:t>服务方案</w:t>
            </w:r>
            <w:r>
              <w:rPr>
                <w:rFonts w:hint="eastAsia" w:ascii="宋体" w:hAnsi="宋体" w:eastAsia="宋体" w:cs="@仿宋_GB2312"/>
                <w:color w:val="auto"/>
                <w:kern w:val="2"/>
                <w:sz w:val="24"/>
                <w:szCs w:val="20"/>
                <w:highlight w:val="none"/>
                <w:lang w:val="en-US" w:eastAsia="zh-CN" w:bidi="ar-SA"/>
              </w:rPr>
              <w:t>及承诺</w:t>
            </w:r>
          </w:p>
        </w:tc>
        <w:tc>
          <w:tcPr>
            <w:tcW w:w="3966" w:type="dxa"/>
            <w:tcBorders>
              <w:top w:val="single" w:color="auto" w:sz="4" w:space="0"/>
              <w:left w:val="single" w:color="auto" w:sz="4" w:space="0"/>
              <w:bottom w:val="single" w:color="auto" w:sz="4" w:space="0"/>
              <w:right w:val="single" w:color="auto" w:sz="4" w:space="0"/>
            </w:tcBorders>
            <w:vAlign w:val="center"/>
          </w:tcPr>
          <w:p w14:paraId="0473D2E6">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 xml:space="preserve">对投标人提供的后续服务方案进行评审，内容包括但不限于后续服务承诺、后续服务内容等，由评标委员会进行综合评审： </w:t>
            </w:r>
          </w:p>
          <w:p w14:paraId="1365A70F">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（1）方案切合实际情况，解决方案合理、有具体切实可行的保障措施，服务人员配备充足、服务内容完整、安全、切实可行，措施得力的得5分；</w:t>
            </w:r>
          </w:p>
          <w:p w14:paraId="0B3DF2A7">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(2)方案基本符合实际情况，内容完整，有保障措施，配备了服务人员，解决方案基本符合项目要求的得3分；</w:t>
            </w:r>
          </w:p>
          <w:p w14:paraId="1E71E69C">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(3)方案基本满足项目要求但有一定的矛盾点，对各个环节的保障措施、解决方案等缺项或关键点缺失的得1分。</w:t>
            </w:r>
          </w:p>
          <w:p w14:paraId="1B933D84">
            <w:pPr>
              <w:spacing w:before="0" w:beforeAutospacing="0" w:after="0" w:afterAutospacing="0" w:line="360" w:lineRule="auto"/>
              <w:ind w:left="0" w:leftChars="0" w:right="0"/>
              <w:jc w:val="left"/>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(4)未提供不得分。</w:t>
            </w:r>
          </w:p>
        </w:tc>
        <w:tc>
          <w:tcPr>
            <w:tcW w:w="1359" w:type="dxa"/>
            <w:tcBorders>
              <w:top w:val="single" w:color="auto" w:sz="4" w:space="0"/>
              <w:left w:val="single" w:color="auto" w:sz="4" w:space="0"/>
              <w:bottom w:val="single" w:color="auto" w:sz="4" w:space="0"/>
              <w:right w:val="single" w:color="auto" w:sz="4" w:space="0"/>
            </w:tcBorders>
            <w:vAlign w:val="center"/>
          </w:tcPr>
          <w:p w14:paraId="12DCEDA1">
            <w:pPr>
              <w:spacing w:before="0" w:beforeAutospacing="0" w:after="0" w:afterAutospacing="0" w:line="360" w:lineRule="auto"/>
              <w:ind w:left="0" w:leftChars="0" w:right="0"/>
              <w:jc w:val="center"/>
              <w:rPr>
                <w:rFonts w:hint="default" w:ascii="宋体" w:hAnsi="宋体" w:eastAsia="宋体" w:cs="@仿宋_GB2312"/>
                <w:b/>
                <w:bCs/>
                <w:color w:val="auto"/>
                <w:kern w:val="2"/>
                <w:sz w:val="24"/>
                <w:szCs w:val="20"/>
                <w:highlight w:val="none"/>
                <w:lang w:val="en-US" w:eastAsia="zh-CN" w:bidi="ar-SA"/>
              </w:rPr>
            </w:pPr>
            <w:r>
              <w:rPr>
                <w:rFonts w:hint="default" w:ascii="宋体" w:hAnsi="宋体" w:eastAsia="宋体" w:cs="@仿宋_GB2312"/>
                <w:b/>
                <w:bCs/>
                <w:color w:val="auto"/>
                <w:kern w:val="2"/>
                <w:sz w:val="24"/>
                <w:szCs w:val="20"/>
                <w:highlight w:val="none"/>
                <w:lang w:val="en-US" w:eastAsia="zh-CN" w:bidi="ar-SA"/>
              </w:rPr>
              <w:t>0-5分</w:t>
            </w:r>
          </w:p>
        </w:tc>
      </w:tr>
      <w:tr w14:paraId="781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tcBorders>
              <w:left w:val="single" w:color="auto" w:sz="4" w:space="0"/>
              <w:right w:val="single" w:color="auto" w:sz="4" w:space="0"/>
            </w:tcBorders>
            <w:vAlign w:val="center"/>
          </w:tcPr>
          <w:p w14:paraId="13A7F3F6">
            <w:pPr>
              <w:spacing w:before="0" w:beforeAutospacing="0" w:after="0" w:afterAutospacing="0" w:line="360" w:lineRule="auto"/>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价格分</w:t>
            </w:r>
          </w:p>
          <w:p w14:paraId="2ADA3547">
            <w:pPr>
              <w:spacing w:before="0" w:beforeAutospacing="0" w:after="0" w:afterAutospacing="0" w:line="360" w:lineRule="auto"/>
              <w:ind w:left="0" w:right="0"/>
              <w:jc w:val="center"/>
              <w:rPr>
                <w:rFonts w:hint="default" w:ascii="宋体" w:hAnsi="宋体" w:eastAsia="宋体" w:cs="Times New Roman"/>
                <w:b/>
                <w:bCs/>
                <w:color w:val="auto"/>
                <w:sz w:val="24"/>
                <w:szCs w:val="20"/>
                <w:highlight w:val="none"/>
              </w:rPr>
            </w:pPr>
            <w:r>
              <w:rPr>
                <w:rFonts w:hint="eastAsia" w:ascii="宋体" w:hAnsi="宋体" w:eastAsia="宋体" w:cs="Times New Roman"/>
                <w:color w:val="auto"/>
                <w:sz w:val="24"/>
                <w:szCs w:val="20"/>
                <w:highlight w:val="none"/>
              </w:rPr>
              <w:t>（</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u w:val="single"/>
                <w:lang w:val="en-US" w:eastAsia="zh-CN"/>
              </w:rPr>
              <w:t>10</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rPr>
              <w:t>分）</w:t>
            </w:r>
          </w:p>
        </w:tc>
        <w:tc>
          <w:tcPr>
            <w:tcW w:w="7044" w:type="dxa"/>
            <w:gridSpan w:val="3"/>
            <w:tcBorders>
              <w:top w:val="single" w:color="auto" w:sz="4" w:space="0"/>
              <w:left w:val="single" w:color="auto" w:sz="4" w:space="0"/>
              <w:bottom w:val="single" w:color="auto" w:sz="4" w:space="0"/>
              <w:right w:val="single" w:color="auto" w:sz="4" w:space="0"/>
            </w:tcBorders>
            <w:vAlign w:val="center"/>
          </w:tcPr>
          <w:p w14:paraId="27CD1B7D">
            <w:pPr>
              <w:spacing w:before="0" w:beforeAutospacing="0" w:after="0" w:afterAutospacing="0" w:line="360" w:lineRule="auto"/>
              <w:ind w:left="0" w:right="0"/>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价格分统一采用低价优先法，即满足招标文件要求且投标价格最低的投标报价为评标基准价，其价格分为满分</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u w:val="single"/>
                <w:lang w:val="en-US" w:eastAsia="zh-CN"/>
              </w:rPr>
              <w:t>10</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rPr>
              <w:t>分。其他投标人的价格分统一按照下列公式计算：</w:t>
            </w:r>
          </w:p>
          <w:p w14:paraId="4F9FA968">
            <w:pPr>
              <w:spacing w:before="0" w:beforeAutospacing="0" w:after="0" w:afterAutospacing="0" w:line="360" w:lineRule="auto"/>
              <w:ind w:left="0" w:right="0"/>
              <w:rPr>
                <w:rFonts w:hint="eastAsia" w:ascii="宋体" w:hAnsi="宋体" w:eastAsia="宋体" w:cs="Times New Roman"/>
                <w:b/>
                <w:bCs/>
                <w:color w:val="auto"/>
                <w:sz w:val="24"/>
                <w:szCs w:val="20"/>
                <w:highlight w:val="none"/>
                <w:lang w:val="en-US" w:eastAsia="zh-CN"/>
              </w:rPr>
            </w:pPr>
            <w:r>
              <w:rPr>
                <w:rFonts w:hint="eastAsia" w:ascii="宋体" w:hAnsi="宋体" w:eastAsia="宋体" w:cs="Times New Roman"/>
                <w:color w:val="auto"/>
                <w:sz w:val="24"/>
                <w:szCs w:val="20"/>
                <w:highlight w:val="none"/>
              </w:rPr>
              <w:t>投标报价得分＝（评标基准价/投标报价（如有扣除为扣除后价格））×</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u w:val="single"/>
                <w:lang w:val="en-US" w:eastAsia="zh-CN"/>
              </w:rPr>
              <w:t>10</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rPr>
              <w:t>％×100</w:t>
            </w:r>
            <w:r>
              <w:rPr>
                <w:rFonts w:hint="eastAsia" w:ascii="宋体" w:hAnsi="宋体" w:eastAsia="宋体" w:cs="Times New Roman"/>
                <w:color w:val="auto"/>
                <w:sz w:val="24"/>
                <w:szCs w:val="20"/>
                <w:highlight w:val="none"/>
                <w:lang w:eastAsia="zh-CN"/>
              </w:rPr>
              <w:t>。</w:t>
            </w:r>
          </w:p>
        </w:tc>
      </w:tr>
    </w:tbl>
    <w:p w14:paraId="5105A3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3442D15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72F26551">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hint="eastAsia" w:ascii="宋体" w:hAnsi="宋体" w:eastAsia="宋体"/>
          <w:color w:val="auto"/>
          <w:sz w:val="24"/>
          <w:highlight w:val="none"/>
          <w:lang w:eastAsia="zh-CN"/>
        </w:rPr>
        <w:t>。</w:t>
      </w:r>
    </w:p>
    <w:p w14:paraId="49D73470">
      <w:pPr>
        <w:spacing w:line="360" w:lineRule="auto"/>
        <w:ind w:firstLine="435"/>
        <w:rPr>
          <w:rFonts w:hint="eastAsia"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三、无效投标条款</w:t>
      </w:r>
    </w:p>
    <w:p w14:paraId="23E2795E">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3.1投标文件有下列情形之一的,其投标文件拒收:</w:t>
      </w:r>
    </w:p>
    <w:p w14:paraId="53E7F927">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 未在开标截止时间前通过网上招标投标系统递交有效电子投标文件的，开标系统不予接收，投标将被拒绝。</w:t>
      </w:r>
    </w:p>
    <w:p w14:paraId="3A017348">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12CAD9E8">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3.2投标人有下列情形之一的,资格审查后其投标作无效投标处理：</w:t>
      </w:r>
    </w:p>
    <w:p w14:paraId="2FB203FF">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(1)投标人为本项目提供招标代理服务的；</w:t>
      </w:r>
    </w:p>
    <w:p w14:paraId="2AF5AC42">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(2)投标人与在本项目代理机构存在相互任职或工作的；</w:t>
      </w:r>
    </w:p>
    <w:p w14:paraId="370F465E">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(3)招标公告写明专门面向中小企业采购，投标人提供的货物非中小企业制造的；</w:t>
      </w:r>
    </w:p>
    <w:p w14:paraId="0F518F3B">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(4)要求供应商以联合体形式参加采购活动，投标人非联合体或者联合协议中中小企业合同金额未达到应当达到的比例；</w:t>
      </w:r>
    </w:p>
    <w:p w14:paraId="589D5260">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(5)要求获得采购合同的供应商向中小企业分包，投标人未提供分包意向协议或者分包意向协议中中小企业合同金额未达到应当达到的比例；</w:t>
      </w:r>
    </w:p>
    <w:p w14:paraId="4E231D52">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(6)评标专家无法查看并检验电子投标文件中相关资料的；</w:t>
      </w:r>
    </w:p>
    <w:p w14:paraId="7E471AEF">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(7)联合体投标未提交联合体协议的；</w:t>
      </w:r>
    </w:p>
    <w:p w14:paraId="30352245">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(8)责令停产停业的；</w:t>
      </w:r>
    </w:p>
    <w:p w14:paraId="5019EFEF">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(9)暂停或者取消参与政府采购项目资格的；</w:t>
      </w:r>
    </w:p>
    <w:p w14:paraId="77C5E059">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(10)投标人单位负责人为同一人或者存在（直接）控股、管理关系的不同单位的；</w:t>
      </w:r>
    </w:p>
    <w:p w14:paraId="6FE1DBB2">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(11)投标人基本资格条件和特定资格条件中有一项及以上不符合要求的；</w:t>
      </w:r>
    </w:p>
    <w:p w14:paraId="1B0752E3">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6158142B">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(13)其它情形，经评标委员会委提出按无效投标处理，并经公共资源交易监督部门核准的；</w:t>
      </w:r>
    </w:p>
    <w:p w14:paraId="3E5D9C0D">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(14)投标人投标MAC地址或投标人联系人或联系电话相同的，由评标委员会否决其投标，并报告监管部门作不良行为处理和进一步调查；</w:t>
      </w:r>
    </w:p>
    <w:p w14:paraId="55506D71">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(15)投标人单方面出现其他投标人材料的；</w:t>
      </w:r>
    </w:p>
    <w:p w14:paraId="0BAB6398">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(16)招标公告未写明允许采购进口产品，投标人所投产品为进口产品的；</w:t>
      </w:r>
    </w:p>
    <w:p w14:paraId="579B21FF">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(17)招标文件规定的其它无效投标情形。</w:t>
      </w:r>
    </w:p>
    <w:p w14:paraId="641E89E3">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3.3 投标人有下列情形之一的,符合性审查后其投标按无效投标处理：</w:t>
      </w:r>
    </w:p>
    <w:p w14:paraId="700402C0">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(1)投标文件签字、盖章不全，经评标委员会一致认定对开评标内容有实质性影响并经公共资源交易监督部门核准的；</w:t>
      </w:r>
    </w:p>
    <w:p w14:paraId="1A7FC2EB">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(2)未按规定的格式填写导致实质性内容不全以及实质上不响应，或者关键字迹模糊、无法辨认; 经公共资源交易监督部门核准的；</w:t>
      </w:r>
    </w:p>
    <w:p w14:paraId="55F788A6">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(3)同一投标人提交两个以上不同的投标文件或者投标报价，但招标文件规定提交备选方案的除外；</w:t>
      </w:r>
    </w:p>
    <w:p w14:paraId="5243D037">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(4)投标文件没有对招标文件的实质性要求和条件作出响应;</w:t>
      </w:r>
    </w:p>
    <w:p w14:paraId="636D46B5">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(5)投标报价超出规定的投标限价或公布的采购预算的或投标人的投标报价各项单价高于招标文件给定的单价最高限价；</w:t>
      </w:r>
    </w:p>
    <w:p w14:paraId="7CE2B7F0">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(6)不按评标委员会要求澄清、说明或补正的，或者评标委员会根据招标文件的规定对投标文件的计算错误进行修正后，投标人不接受修正的投标报价的。</w:t>
      </w:r>
    </w:p>
    <w:p w14:paraId="590FB9F5">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(7)其它情形，经评标委员会委提出按无效投标处理，并经公共资源交易监督部门核准的；</w:t>
      </w:r>
    </w:p>
    <w:p w14:paraId="56EFCA2E">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(8)投标文件含有采购人不能接受的附加条件的；</w:t>
      </w:r>
    </w:p>
    <w:p w14:paraId="61576F84">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(9)招标文件规定的其它无效投标情形。</w:t>
      </w:r>
    </w:p>
    <w:p w14:paraId="010F574F">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3.4 投标人有下列情形之一的, 详细评审后其投标按无效投标处理：</w:t>
      </w:r>
    </w:p>
    <w:p w14:paraId="5C7CD32C">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(1)投标产品不符合必须强制执行的国家标准的；</w:t>
      </w:r>
    </w:p>
    <w:p w14:paraId="32EF4931">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(2)投标人有串通投标、弄虚作假、行贿等违法行为；</w:t>
      </w:r>
    </w:p>
    <w:p w14:paraId="6A82BCE1">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(3)投标文件含有违反国家法律、法规的内容，或附有采购人不能接受的条件的；</w:t>
      </w:r>
    </w:p>
    <w:p w14:paraId="78D618C0">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(4)报价明显低于其他投标人，且不能证明报价合理性的投标无效；</w:t>
      </w:r>
    </w:p>
    <w:p w14:paraId="0BCC8A55">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(5)拒不确认评标委员会评审修正的投标无效；</w:t>
      </w:r>
    </w:p>
    <w:p w14:paraId="45628521">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(6)其它情形，经评标委员会委提出按无效投标处理，并经公共资源交易监督部门核准的；</w:t>
      </w:r>
    </w:p>
    <w:p w14:paraId="080292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(7)招标文件规定的其它无效投标情形</w:t>
      </w:r>
      <w:r>
        <w:rPr>
          <w:rFonts w:ascii="宋体" w:hAnsi="宋体" w:eastAsia="宋体"/>
          <w:color w:val="auto"/>
          <w:sz w:val="24"/>
          <w:highlight w:val="none"/>
        </w:rPr>
        <w:t>。</w:t>
      </w:r>
      <w:r>
        <w:rPr>
          <w:rFonts w:ascii="宋体" w:hAnsi="宋体" w:eastAsia="宋体"/>
          <w:color w:val="auto"/>
          <w:sz w:val="24"/>
          <w:highlight w:val="none"/>
        </w:rPr>
        <w:br w:type="page"/>
      </w:r>
    </w:p>
    <w:p w14:paraId="0199768C">
      <w:pPr>
        <w:spacing w:line="360" w:lineRule="auto"/>
        <w:jc w:val="center"/>
        <w:outlineLvl w:val="0"/>
        <w:rPr>
          <w:rFonts w:hint="eastAsia" w:ascii="宋体" w:hAnsi="宋体" w:eastAsia="宋体"/>
          <w:b/>
          <w:color w:val="auto"/>
          <w:sz w:val="28"/>
          <w:highlight w:val="none"/>
          <w:lang w:eastAsia="zh-CN"/>
        </w:rPr>
      </w:pPr>
      <w:bookmarkStart w:id="31" w:name="_Toc20405"/>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1"/>
    </w:p>
    <w:p w14:paraId="3687D323">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8"/>
          <w:szCs w:val="28"/>
          <w:highlight w:val="none"/>
        </w:rPr>
      </w:pPr>
      <w:bookmarkStart w:id="32" w:name="_Toc331685784"/>
    </w:p>
    <w:p w14:paraId="2B897AA8">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8"/>
          <w:szCs w:val="28"/>
          <w:highlight w:val="none"/>
        </w:rPr>
      </w:pPr>
      <w:r>
        <w:rPr>
          <w:rFonts w:hint="eastAsia" w:ascii="宋体" w:hAnsi="宋体" w:eastAsia="宋体" w:cs="Times New Roman"/>
          <w:b/>
          <w:bCs w:val="0"/>
          <w:color w:val="000000"/>
          <w:kern w:val="2"/>
          <w:sz w:val="28"/>
          <w:szCs w:val="28"/>
          <w:highlight w:val="none"/>
          <w:lang w:val="en-US" w:eastAsia="zh-CN"/>
        </w:rPr>
        <w:t xml:space="preserve"> </w:t>
      </w:r>
    </w:p>
    <w:p w14:paraId="3968CC49">
      <w:pPr>
        <w:pStyle w:val="18"/>
        <w:widowControl w:val="0"/>
        <w:spacing w:before="0" w:beforeAutospacing="1" w:after="120" w:afterAutospacing="0"/>
        <w:ind w:left="0" w:right="0"/>
        <w:jc w:val="both"/>
        <w:rPr>
          <w:kern w:val="2"/>
          <w:sz w:val="21"/>
          <w:szCs w:val="21"/>
          <w:highlight w:val="none"/>
        </w:rPr>
      </w:pPr>
      <w:r>
        <w:rPr>
          <w:kern w:val="2"/>
          <w:sz w:val="21"/>
          <w:szCs w:val="21"/>
          <w:highlight w:val="none"/>
          <w:lang w:val="en-US" w:eastAsia="zh-CN"/>
        </w:rPr>
        <w:t xml:space="preserve"> </w:t>
      </w:r>
    </w:p>
    <w:p w14:paraId="6FE02BFD">
      <w:pPr>
        <w:widowControl w:val="0"/>
        <w:spacing w:before="0" w:beforeAutospacing="0" w:after="0" w:afterAutospacing="0" w:line="480" w:lineRule="auto"/>
        <w:ind w:left="0" w:right="0"/>
        <w:jc w:val="center"/>
        <w:outlineLvl w:val="1"/>
        <w:rPr>
          <w:rFonts w:hint="eastAsia" w:ascii="宋体" w:hAnsi="宋体" w:eastAsia="宋体" w:cs="Times New Roman"/>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rPr>
        <w:t>政府采购合同参考范本</w:t>
      </w:r>
    </w:p>
    <w:p w14:paraId="2D9C1A14">
      <w:pPr>
        <w:widowControl w:val="0"/>
        <w:spacing w:before="0" w:beforeAutospacing="0" w:after="0" w:afterAutospacing="0" w:line="480" w:lineRule="auto"/>
        <w:ind w:left="0" w:right="0"/>
        <w:jc w:val="center"/>
        <w:outlineLvl w:val="1"/>
        <w:rPr>
          <w:rFonts w:hint="eastAsia" w:ascii="宋体" w:hAnsi="宋体" w:eastAsia="宋体" w:cs="Times New Roman"/>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rPr>
        <w:t>（服务类）</w:t>
      </w:r>
    </w:p>
    <w:p w14:paraId="5930F705">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Times New Roman"/>
          <w:b/>
          <w:bCs w:val="0"/>
          <w:color w:val="000000"/>
          <w:kern w:val="2"/>
          <w:sz w:val="24"/>
          <w:szCs w:val="24"/>
          <w:highlight w:val="none"/>
          <w:lang w:val="en-US" w:eastAsia="zh-CN"/>
        </w:rPr>
        <w:t xml:space="preserve"> </w:t>
      </w:r>
    </w:p>
    <w:p w14:paraId="215ABABB">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Times New Roman"/>
          <w:b/>
          <w:bCs w:val="0"/>
          <w:color w:val="000000"/>
          <w:kern w:val="2"/>
          <w:sz w:val="24"/>
          <w:szCs w:val="24"/>
          <w:highlight w:val="none"/>
          <w:lang w:val="en-US" w:eastAsia="zh-CN"/>
        </w:rPr>
        <w:t xml:space="preserve"> </w:t>
      </w:r>
    </w:p>
    <w:p w14:paraId="195E4D18">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Times New Roman"/>
          <w:b/>
          <w:bCs w:val="0"/>
          <w:color w:val="000000"/>
          <w:kern w:val="2"/>
          <w:sz w:val="24"/>
          <w:szCs w:val="24"/>
          <w:highlight w:val="none"/>
          <w:lang w:val="en-US" w:eastAsia="zh-CN"/>
        </w:rPr>
        <w:t xml:space="preserve"> </w:t>
      </w:r>
    </w:p>
    <w:p w14:paraId="306D5C6A">
      <w:pPr>
        <w:widowControl w:val="0"/>
        <w:spacing w:before="0" w:beforeAutospacing="0" w:after="0" w:afterAutospacing="0" w:line="360" w:lineRule="auto"/>
        <w:ind w:left="0" w:right="0"/>
        <w:jc w:val="center"/>
        <w:outlineLvl w:val="1"/>
        <w:rPr>
          <w:rFonts w:hint="eastAsia" w:ascii="宋体" w:hAnsi="宋体" w:eastAsia="宋体" w:cs="@仿宋_GB2312"/>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第一部分</w:t>
      </w:r>
      <w:r>
        <w:rPr>
          <w:rFonts w:hint="eastAsia" w:ascii="宋体" w:hAnsi="宋体" w:eastAsia="宋体" w:cs="@仿宋_GB2312"/>
          <w:b/>
          <w:bCs w:val="0"/>
          <w:color w:val="000000"/>
          <w:kern w:val="2"/>
          <w:sz w:val="24"/>
          <w:szCs w:val="24"/>
          <w:highlight w:val="none"/>
          <w:lang w:val="en-US" w:eastAsia="zh-CN"/>
        </w:rPr>
        <w:t xml:space="preserve"> </w:t>
      </w:r>
      <w:r>
        <w:rPr>
          <w:rFonts w:hint="eastAsia" w:ascii="宋体" w:hAnsi="宋体" w:eastAsia="宋体" w:cs="宋体"/>
          <w:b/>
          <w:bCs w:val="0"/>
          <w:color w:val="000000"/>
          <w:kern w:val="2"/>
          <w:sz w:val="24"/>
          <w:szCs w:val="24"/>
          <w:highlight w:val="none"/>
          <w:lang w:val="en-US" w:eastAsia="zh-CN"/>
        </w:rPr>
        <w:t>合同书</w:t>
      </w:r>
    </w:p>
    <w:p w14:paraId="53ED726A">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Times New Roman"/>
          <w:b/>
          <w:bCs w:val="0"/>
          <w:color w:val="000000"/>
          <w:kern w:val="2"/>
          <w:sz w:val="24"/>
          <w:szCs w:val="24"/>
          <w:highlight w:val="none"/>
          <w:lang w:val="en-US" w:eastAsia="zh-CN"/>
        </w:rPr>
        <w:t xml:space="preserve"> </w:t>
      </w:r>
    </w:p>
    <w:p w14:paraId="7D876A6B">
      <w:pPr>
        <w:widowControl w:val="0"/>
        <w:spacing w:before="0" w:beforeAutospacing="0" w:after="0" w:afterAutospacing="0" w:line="480" w:lineRule="auto"/>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Times New Roman"/>
          <w:b/>
          <w:bCs w:val="0"/>
          <w:color w:val="000000"/>
          <w:kern w:val="2"/>
          <w:sz w:val="24"/>
          <w:szCs w:val="24"/>
          <w:highlight w:val="none"/>
          <w:lang w:val="en-US" w:eastAsia="zh-CN"/>
        </w:rPr>
        <w:t xml:space="preserve"> </w:t>
      </w:r>
    </w:p>
    <w:p w14:paraId="5F41D90A">
      <w:pPr>
        <w:pStyle w:val="18"/>
        <w:widowControl w:val="0"/>
        <w:spacing w:before="0" w:beforeAutospacing="1" w:after="120" w:afterAutospacing="0"/>
        <w:ind w:left="0" w:right="0"/>
        <w:jc w:val="both"/>
        <w:rPr>
          <w:kern w:val="2"/>
          <w:sz w:val="21"/>
          <w:szCs w:val="21"/>
          <w:highlight w:val="none"/>
        </w:rPr>
      </w:pPr>
      <w:r>
        <w:rPr>
          <w:kern w:val="2"/>
          <w:sz w:val="21"/>
          <w:szCs w:val="21"/>
          <w:highlight w:val="none"/>
          <w:lang w:val="en-US" w:eastAsia="zh-CN"/>
        </w:rPr>
        <w:t xml:space="preserve"> </w:t>
      </w:r>
    </w:p>
    <w:p w14:paraId="0A8D1ECF">
      <w:pPr>
        <w:widowControl w:val="0"/>
        <w:wordWrap/>
        <w:adjustRightInd/>
        <w:snapToGrid/>
        <w:spacing w:before="120" w:line="480" w:lineRule="auto"/>
        <w:ind w:left="0" w:firstLine="480" w:firstLineChars="200"/>
        <w:textAlignment w:val="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u w:val="single"/>
          <w:lang w:val="en-US" w:eastAsia="zh-CN"/>
        </w:rPr>
        <w:t>滁州市“十五五”综合交通运输体系发展规划编制项目</w:t>
      </w:r>
    </w:p>
    <w:p w14:paraId="5CAE287D">
      <w:pPr>
        <w:widowControl w:val="0"/>
        <w:wordWrap/>
        <w:adjustRightInd/>
        <w:snapToGrid/>
        <w:spacing w:before="120" w:line="480" w:lineRule="auto"/>
        <w:ind w:left="0"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lang w:val="en-US" w:eastAsia="zh-CN"/>
        </w:rPr>
        <w:t xml:space="preserve">                                   </w:t>
      </w:r>
    </w:p>
    <w:p w14:paraId="1829C06D">
      <w:pPr>
        <w:widowControl w:val="0"/>
        <w:wordWrap/>
        <w:adjustRightInd/>
        <w:snapToGrid/>
        <w:spacing w:before="120" w:line="480" w:lineRule="auto"/>
        <w:ind w:left="0" w:firstLine="480" w:firstLineChars="200"/>
        <w:textAlignment w:val="auto"/>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甲方（采购人）：</w:t>
      </w:r>
      <w:r>
        <w:rPr>
          <w:rFonts w:hint="eastAsia" w:ascii="宋体" w:hAnsi="宋体" w:eastAsia="宋体" w:cs="Times New Roman"/>
          <w:color w:val="auto"/>
          <w:sz w:val="24"/>
          <w:szCs w:val="24"/>
          <w:highlight w:val="none"/>
          <w:u w:val="single"/>
          <w:lang w:eastAsia="zh-CN"/>
        </w:rPr>
        <w:t>滁州市交通运输局</w:t>
      </w:r>
      <w:r>
        <w:rPr>
          <w:rFonts w:hint="eastAsia" w:ascii="宋体" w:hAnsi="宋体" w:eastAsia="宋体" w:cs="Times New Roman"/>
          <w:color w:val="auto"/>
          <w:sz w:val="24"/>
          <w:szCs w:val="24"/>
          <w:highlight w:val="none"/>
          <w:u w:val="single"/>
          <w:lang w:val="en-US" w:eastAsia="zh-CN"/>
        </w:rPr>
        <w:t xml:space="preserve">         </w:t>
      </w:r>
    </w:p>
    <w:p w14:paraId="7E7E5C85">
      <w:pPr>
        <w:widowControl w:val="0"/>
        <w:wordWrap/>
        <w:adjustRightInd/>
        <w:snapToGrid/>
        <w:spacing w:before="120" w:line="480" w:lineRule="auto"/>
        <w:ind w:left="0" w:firstLine="480" w:firstLineChars="200"/>
        <w:textAlignment w:val="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p>
    <w:p w14:paraId="415193B8">
      <w:pPr>
        <w:widowControl w:val="0"/>
        <w:wordWrap/>
        <w:adjustRightInd/>
        <w:snapToGrid/>
        <w:spacing w:before="120" w:line="480" w:lineRule="auto"/>
        <w:ind w:left="0" w:firstLine="480" w:firstLineChars="200"/>
        <w:textAlignment w:val="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签订地：</w:t>
      </w:r>
      <w:r>
        <w:rPr>
          <w:rFonts w:hint="eastAsia" w:ascii="宋体" w:hAnsi="宋体" w:eastAsia="宋体" w:cs="Times New Roman"/>
          <w:color w:val="auto"/>
          <w:sz w:val="24"/>
          <w:szCs w:val="24"/>
          <w:highlight w:val="none"/>
          <w:u w:val="single"/>
        </w:rPr>
        <w:t xml:space="preserve">                                     </w:t>
      </w:r>
    </w:p>
    <w:p w14:paraId="3683C4DA">
      <w:pPr>
        <w:widowControl w:val="0"/>
        <w:wordWrap/>
        <w:adjustRightInd/>
        <w:snapToGrid/>
        <w:spacing w:before="120" w:line="48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46A01937">
      <w:pPr>
        <w:widowControl/>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14:paraId="2FBEA936">
      <w:pPr>
        <w:widowControl w:val="0"/>
        <w:spacing w:before="0" w:beforeAutospacing="0" w:after="0" w:afterAutospacing="0" w:line="360" w:lineRule="auto"/>
        <w:ind w:left="0" w:right="0" w:firstLine="435"/>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（以下简称：甲方）通过</w:t>
      </w:r>
      <w:r>
        <w:rPr>
          <w:rFonts w:hint="eastAsia" w:ascii="宋体" w:hAnsi="宋体" w:eastAsia="宋体" w:cs="@仿宋_GB2312"/>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组织的</w:t>
      </w:r>
      <w:r>
        <w:rPr>
          <w:rFonts w:hint="eastAsia" w:ascii="宋体" w:hAnsi="宋体" w:eastAsia="宋体" w:cs="宋体"/>
          <w:color w:val="000000"/>
          <w:kern w:val="2"/>
          <w:sz w:val="24"/>
          <w:szCs w:val="24"/>
          <w:highlight w:val="none"/>
          <w:u w:val="single"/>
          <w:lang w:val="en-US" w:eastAsia="zh-CN"/>
        </w:rPr>
        <w:t>公开招标</w:t>
      </w:r>
      <w:r>
        <w:rPr>
          <w:rFonts w:hint="eastAsia" w:ascii="宋体" w:hAnsi="宋体" w:eastAsia="宋体" w:cs="宋体"/>
          <w:color w:val="000000"/>
          <w:kern w:val="2"/>
          <w:sz w:val="24"/>
          <w:szCs w:val="24"/>
          <w:highlight w:val="none"/>
          <w:lang w:val="en-US" w:eastAsia="zh-CN"/>
        </w:rPr>
        <w:t>方式采购活动，经</w:t>
      </w:r>
      <w:r>
        <w:rPr>
          <w:rFonts w:hint="eastAsia" w:ascii="宋体" w:hAnsi="宋体" w:eastAsia="宋体" w:cs="宋体"/>
          <w:color w:val="000000"/>
          <w:kern w:val="2"/>
          <w:sz w:val="24"/>
          <w:szCs w:val="24"/>
          <w:highlight w:val="none"/>
          <w:u w:val="single"/>
          <w:lang w:val="en-US" w:eastAsia="zh-CN"/>
        </w:rPr>
        <w:t>评标委员会</w:t>
      </w:r>
      <w:r>
        <w:rPr>
          <w:rFonts w:hint="eastAsia" w:ascii="宋体" w:hAnsi="宋体" w:eastAsia="宋体" w:cs="宋体"/>
          <w:color w:val="000000"/>
          <w:kern w:val="2"/>
          <w:sz w:val="24"/>
          <w:szCs w:val="24"/>
          <w:highlight w:val="none"/>
          <w:lang w:val="en-US" w:eastAsia="zh-CN"/>
        </w:rPr>
        <w:t>评定，</w:t>
      </w:r>
      <w:r>
        <w:rPr>
          <w:rFonts w:hint="eastAsia" w:ascii="宋体" w:hAnsi="宋体" w:eastAsia="宋体" w:cs="@仿宋_GB2312"/>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（以下简称：乙方）为本项目中标人，现按照采购文件确定的事项签订本合同。</w:t>
      </w:r>
    </w:p>
    <w:p w14:paraId="5C372610">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根据《中华人民共和国民法典》、《中华人民共和国政府采购法》等相关法律法规之规定，按照平等、自愿、公平和诚实信用的原则，经甲方和乙方协商一致，约定以下合同条款，以兹共同遵守、全面履行。</w:t>
      </w:r>
    </w:p>
    <w:p w14:paraId="03261B3F">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1.1</w:t>
      </w:r>
      <w:r>
        <w:rPr>
          <w:rFonts w:hint="eastAsia" w:ascii="宋体" w:hAnsi="宋体" w:eastAsia="宋体" w:cs="Times New Roman"/>
          <w:b/>
          <w:bCs/>
          <w:color w:val="000000"/>
          <w:kern w:val="2"/>
          <w:sz w:val="24"/>
          <w:szCs w:val="24"/>
          <w:highlight w:val="none"/>
          <w:lang w:val="en-US" w:eastAsia="zh-CN"/>
        </w:rPr>
        <w:t xml:space="preserve"> </w:t>
      </w:r>
      <w:r>
        <w:rPr>
          <w:rFonts w:hint="eastAsia" w:ascii="宋体" w:hAnsi="宋体" w:eastAsia="宋体" w:cs="宋体"/>
          <w:b/>
          <w:bCs/>
          <w:color w:val="000000"/>
          <w:kern w:val="2"/>
          <w:sz w:val="24"/>
          <w:szCs w:val="24"/>
          <w:highlight w:val="none"/>
          <w:lang w:val="en-US" w:eastAsia="zh-CN"/>
        </w:rPr>
        <w:t>合同组成部分</w:t>
      </w:r>
    </w:p>
    <w:p w14:paraId="10E8F88F">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965C729">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1.1.1本合同及其补充合同、变更协议；</w:t>
      </w:r>
    </w:p>
    <w:p w14:paraId="781629C1">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1.1.2中标通知书；</w:t>
      </w:r>
    </w:p>
    <w:p w14:paraId="6FF6A6BF">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1.1.3投标文件（含澄清或者说明文件）；</w:t>
      </w:r>
    </w:p>
    <w:p w14:paraId="473E86F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1.1.4招标文件（含澄清或者修改文件）；</w:t>
      </w:r>
    </w:p>
    <w:p w14:paraId="3E34871B">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1.1.5其他相关采购文件。</w:t>
      </w:r>
    </w:p>
    <w:p w14:paraId="06CC9C42">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1.2 服务</w:t>
      </w:r>
    </w:p>
    <w:p w14:paraId="41A920E1">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u w:val="single"/>
        </w:rPr>
      </w:pPr>
      <w:r>
        <w:rPr>
          <w:rFonts w:hint="eastAsia" w:ascii="宋体" w:hAnsi="宋体" w:eastAsia="宋体" w:cs="宋体"/>
          <w:color w:val="000000"/>
          <w:kern w:val="2"/>
          <w:sz w:val="24"/>
          <w:szCs w:val="24"/>
          <w:highlight w:val="none"/>
          <w:lang w:val="en-US" w:eastAsia="zh-CN"/>
        </w:rPr>
        <w:t>1.2.1服务名称：</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7B4ECF75">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u w:val="single"/>
        </w:rPr>
      </w:pPr>
      <w:r>
        <w:rPr>
          <w:rFonts w:hint="eastAsia" w:ascii="宋体" w:hAnsi="宋体" w:eastAsia="宋体" w:cs="宋体"/>
          <w:color w:val="000000"/>
          <w:kern w:val="2"/>
          <w:sz w:val="24"/>
          <w:szCs w:val="24"/>
          <w:highlight w:val="none"/>
          <w:lang w:val="en-US" w:eastAsia="zh-CN"/>
        </w:rPr>
        <w:t>1.2.2服务内容：</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12E0981A">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1.2.3服务质量：</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3DA1E672">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w:t>
      </w:r>
      <w:r>
        <w:rPr>
          <w:rFonts w:hint="eastAsia" w:ascii="宋体" w:hAnsi="宋体" w:eastAsia="宋体" w:cs="Times New Roman"/>
          <w:b/>
          <w:bCs/>
          <w:color w:val="000000"/>
          <w:kern w:val="2"/>
          <w:sz w:val="24"/>
          <w:szCs w:val="24"/>
          <w:highlight w:val="none"/>
          <w:lang w:val="en-US" w:eastAsia="zh-CN"/>
        </w:rPr>
        <w:t xml:space="preserve">3 </w:t>
      </w:r>
      <w:r>
        <w:rPr>
          <w:rFonts w:hint="eastAsia" w:ascii="宋体" w:hAnsi="宋体" w:eastAsia="宋体" w:cs="宋体"/>
          <w:b/>
          <w:bCs/>
          <w:color w:val="000000"/>
          <w:kern w:val="2"/>
          <w:sz w:val="24"/>
          <w:szCs w:val="24"/>
          <w:highlight w:val="none"/>
          <w:lang w:val="en-US" w:eastAsia="zh-CN"/>
        </w:rPr>
        <w:t>价款</w:t>
      </w:r>
    </w:p>
    <w:p w14:paraId="15AF4076">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本合同总价为：￥</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元（大写：人民币</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w:t>
      </w:r>
    </w:p>
    <w:p w14:paraId="0B65CA26">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u w:val="single"/>
        </w:rPr>
      </w:pPr>
      <w:r>
        <w:rPr>
          <w:rFonts w:hint="eastAsia" w:ascii="宋体" w:hAnsi="宋体" w:eastAsia="宋体" w:cs="宋体"/>
          <w:color w:val="000000"/>
          <w:kern w:val="2"/>
          <w:sz w:val="24"/>
          <w:szCs w:val="24"/>
          <w:highlight w:val="none"/>
          <w:lang w:val="en-US" w:eastAsia="zh-CN"/>
        </w:rPr>
        <w:t>分项价格：</w:t>
      </w:r>
    </w:p>
    <w:tbl>
      <w:tblPr>
        <w:tblStyle w:val="2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205"/>
        <w:gridCol w:w="11"/>
        <w:gridCol w:w="3142"/>
      </w:tblGrid>
      <w:tr w14:paraId="2236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2AF295B">
            <w:pPr>
              <w:widowControl w:val="0"/>
              <w:spacing w:before="0" w:beforeAutospacing="0" w:after="0" w:afterAutospacing="0"/>
              <w:ind w:left="0" w:right="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序号</w:t>
            </w:r>
          </w:p>
        </w:tc>
        <w:tc>
          <w:tcPr>
            <w:tcW w:w="4205" w:type="dxa"/>
            <w:tcBorders>
              <w:top w:val="single" w:color="auto" w:sz="4" w:space="0"/>
              <w:left w:val="single" w:color="auto" w:sz="4" w:space="0"/>
              <w:bottom w:val="single" w:color="auto" w:sz="4" w:space="0"/>
              <w:right w:val="single" w:color="auto" w:sz="4" w:space="0"/>
            </w:tcBorders>
            <w:vAlign w:val="center"/>
          </w:tcPr>
          <w:p w14:paraId="7621B16A">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分项名称</w:t>
            </w:r>
          </w:p>
        </w:tc>
        <w:tc>
          <w:tcPr>
            <w:tcW w:w="3153" w:type="dxa"/>
            <w:gridSpan w:val="2"/>
            <w:tcBorders>
              <w:top w:val="single" w:color="auto" w:sz="4" w:space="0"/>
              <w:left w:val="single" w:color="auto" w:sz="4" w:space="0"/>
              <w:bottom w:val="single" w:color="auto" w:sz="4" w:space="0"/>
              <w:right w:val="single" w:color="auto" w:sz="4" w:space="0"/>
            </w:tcBorders>
            <w:vAlign w:val="center"/>
          </w:tcPr>
          <w:p w14:paraId="365F883D">
            <w:pPr>
              <w:widowControl w:val="0"/>
              <w:spacing w:before="0" w:beforeAutospacing="0" w:after="0" w:afterAutospacing="0"/>
              <w:ind w:left="0" w:right="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分项价格</w:t>
            </w:r>
          </w:p>
        </w:tc>
      </w:tr>
      <w:tr w14:paraId="189F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 w:type="dxa"/>
            <w:tcBorders>
              <w:top w:val="single" w:color="auto" w:sz="4" w:space="0"/>
              <w:left w:val="single" w:color="auto" w:sz="4" w:space="0"/>
              <w:bottom w:val="single" w:color="auto" w:sz="4" w:space="0"/>
              <w:right w:val="single" w:color="auto" w:sz="4" w:space="0"/>
            </w:tcBorders>
            <w:vAlign w:val="top"/>
          </w:tcPr>
          <w:p w14:paraId="0B07C39F">
            <w:pPr>
              <w:widowControl w:val="0"/>
              <w:spacing w:before="0" w:beforeAutospacing="0" w:after="0" w:afterAutospacing="0"/>
              <w:ind w:left="0" w:right="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w:t>
            </w:r>
          </w:p>
        </w:tc>
        <w:tc>
          <w:tcPr>
            <w:tcW w:w="4205" w:type="dxa"/>
            <w:tcBorders>
              <w:top w:val="single" w:color="auto" w:sz="4" w:space="0"/>
              <w:left w:val="single" w:color="auto" w:sz="4" w:space="0"/>
              <w:bottom w:val="single" w:color="auto" w:sz="4" w:space="0"/>
              <w:right w:val="single" w:color="auto" w:sz="4" w:space="0"/>
            </w:tcBorders>
            <w:vAlign w:val="center"/>
          </w:tcPr>
          <w:p w14:paraId="13AFDC94">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c>
          <w:tcPr>
            <w:tcW w:w="3153" w:type="dxa"/>
            <w:gridSpan w:val="2"/>
            <w:tcBorders>
              <w:top w:val="single" w:color="auto" w:sz="4" w:space="0"/>
              <w:left w:val="single" w:color="auto" w:sz="4" w:space="0"/>
              <w:bottom w:val="single" w:color="auto" w:sz="4" w:space="0"/>
              <w:right w:val="single" w:color="auto" w:sz="4" w:space="0"/>
            </w:tcBorders>
            <w:vAlign w:val="center"/>
          </w:tcPr>
          <w:p w14:paraId="7E53BAFE">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r>
      <w:tr w14:paraId="3910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 w:type="dxa"/>
            <w:tcBorders>
              <w:top w:val="single" w:color="auto" w:sz="4" w:space="0"/>
              <w:left w:val="single" w:color="auto" w:sz="4" w:space="0"/>
              <w:bottom w:val="single" w:color="auto" w:sz="4" w:space="0"/>
              <w:right w:val="single" w:color="auto" w:sz="4" w:space="0"/>
            </w:tcBorders>
            <w:vAlign w:val="top"/>
          </w:tcPr>
          <w:p w14:paraId="715AAEFB">
            <w:pPr>
              <w:widowControl w:val="0"/>
              <w:spacing w:before="0" w:beforeAutospacing="0" w:after="0" w:afterAutospacing="0"/>
              <w:ind w:left="0" w:right="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p>
        </w:tc>
        <w:tc>
          <w:tcPr>
            <w:tcW w:w="4205" w:type="dxa"/>
            <w:tcBorders>
              <w:top w:val="single" w:color="auto" w:sz="4" w:space="0"/>
              <w:left w:val="single" w:color="auto" w:sz="4" w:space="0"/>
              <w:bottom w:val="single" w:color="auto" w:sz="4" w:space="0"/>
              <w:right w:val="single" w:color="auto" w:sz="4" w:space="0"/>
            </w:tcBorders>
            <w:vAlign w:val="center"/>
          </w:tcPr>
          <w:p w14:paraId="5F2EB2AA">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c>
          <w:tcPr>
            <w:tcW w:w="3153" w:type="dxa"/>
            <w:gridSpan w:val="2"/>
            <w:tcBorders>
              <w:top w:val="single" w:color="auto" w:sz="4" w:space="0"/>
              <w:left w:val="single" w:color="auto" w:sz="4" w:space="0"/>
              <w:bottom w:val="single" w:color="auto" w:sz="4" w:space="0"/>
              <w:right w:val="single" w:color="auto" w:sz="4" w:space="0"/>
            </w:tcBorders>
            <w:vAlign w:val="center"/>
          </w:tcPr>
          <w:p w14:paraId="764BC7EB">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r>
      <w:tr w14:paraId="7AEB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 w:type="dxa"/>
            <w:tcBorders>
              <w:top w:val="single" w:color="auto" w:sz="4" w:space="0"/>
              <w:left w:val="single" w:color="auto" w:sz="4" w:space="0"/>
              <w:bottom w:val="single" w:color="auto" w:sz="4" w:space="0"/>
              <w:right w:val="single" w:color="auto" w:sz="4" w:space="0"/>
            </w:tcBorders>
            <w:vAlign w:val="top"/>
          </w:tcPr>
          <w:p w14:paraId="5CC7E448">
            <w:pPr>
              <w:widowControl w:val="0"/>
              <w:spacing w:before="0" w:beforeAutospacing="0" w:after="0" w:afterAutospacing="0"/>
              <w:ind w:left="0" w:right="0"/>
              <w:jc w:val="center"/>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3</w:t>
            </w:r>
          </w:p>
        </w:tc>
        <w:tc>
          <w:tcPr>
            <w:tcW w:w="4205" w:type="dxa"/>
            <w:tcBorders>
              <w:top w:val="single" w:color="auto" w:sz="4" w:space="0"/>
              <w:left w:val="single" w:color="auto" w:sz="4" w:space="0"/>
              <w:bottom w:val="single" w:color="auto" w:sz="4" w:space="0"/>
              <w:right w:val="single" w:color="auto" w:sz="4" w:space="0"/>
            </w:tcBorders>
            <w:vAlign w:val="center"/>
          </w:tcPr>
          <w:p w14:paraId="1F9459D1">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c>
          <w:tcPr>
            <w:tcW w:w="3153" w:type="dxa"/>
            <w:gridSpan w:val="2"/>
            <w:tcBorders>
              <w:top w:val="single" w:color="auto" w:sz="4" w:space="0"/>
              <w:left w:val="single" w:color="auto" w:sz="4" w:space="0"/>
              <w:bottom w:val="single" w:color="auto" w:sz="4" w:space="0"/>
              <w:right w:val="single" w:color="auto" w:sz="4" w:space="0"/>
            </w:tcBorders>
            <w:vAlign w:val="center"/>
          </w:tcPr>
          <w:p w14:paraId="3F94C998">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r>
      <w:tr w14:paraId="6858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 w:type="dxa"/>
            <w:tcBorders>
              <w:top w:val="single" w:color="auto" w:sz="4" w:space="0"/>
              <w:left w:val="single" w:color="auto" w:sz="4" w:space="0"/>
              <w:bottom w:val="single" w:color="auto" w:sz="4" w:space="0"/>
              <w:right w:val="single" w:color="auto" w:sz="4" w:space="0"/>
            </w:tcBorders>
            <w:vAlign w:val="top"/>
          </w:tcPr>
          <w:p w14:paraId="53CA173A">
            <w:pPr>
              <w:widowControl w:val="0"/>
              <w:spacing w:before="0" w:beforeAutospacing="0" w:after="0" w:afterAutospacing="0"/>
              <w:ind w:left="0" w:right="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w:t>
            </w:r>
          </w:p>
        </w:tc>
        <w:tc>
          <w:tcPr>
            <w:tcW w:w="4205" w:type="dxa"/>
            <w:tcBorders>
              <w:top w:val="single" w:color="auto" w:sz="4" w:space="0"/>
              <w:left w:val="single" w:color="auto" w:sz="4" w:space="0"/>
              <w:bottom w:val="single" w:color="auto" w:sz="4" w:space="0"/>
              <w:right w:val="single" w:color="auto" w:sz="4" w:space="0"/>
            </w:tcBorders>
            <w:vAlign w:val="center"/>
          </w:tcPr>
          <w:p w14:paraId="66A8FA04">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c>
          <w:tcPr>
            <w:tcW w:w="3153" w:type="dxa"/>
            <w:gridSpan w:val="2"/>
            <w:tcBorders>
              <w:top w:val="single" w:color="auto" w:sz="4" w:space="0"/>
              <w:left w:val="single" w:color="auto" w:sz="4" w:space="0"/>
              <w:bottom w:val="single" w:color="auto" w:sz="4" w:space="0"/>
              <w:right w:val="single" w:color="auto" w:sz="4" w:space="0"/>
            </w:tcBorders>
            <w:vAlign w:val="center"/>
          </w:tcPr>
          <w:p w14:paraId="1049BFCC">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r>
      <w:tr w14:paraId="2B74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8" w:type="dxa"/>
            <w:gridSpan w:val="3"/>
            <w:tcBorders>
              <w:top w:val="single" w:color="auto" w:sz="4" w:space="0"/>
              <w:left w:val="single" w:color="auto" w:sz="4" w:space="0"/>
              <w:bottom w:val="single" w:color="auto" w:sz="4" w:space="0"/>
              <w:right w:val="single" w:color="auto" w:sz="4" w:space="0"/>
            </w:tcBorders>
            <w:vAlign w:val="center"/>
          </w:tcPr>
          <w:p w14:paraId="1E665CEE">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总价</w:t>
            </w:r>
          </w:p>
        </w:tc>
        <w:tc>
          <w:tcPr>
            <w:tcW w:w="3142" w:type="dxa"/>
            <w:tcBorders>
              <w:top w:val="single" w:color="auto" w:sz="4" w:space="0"/>
              <w:left w:val="single" w:color="auto" w:sz="4" w:space="0"/>
              <w:bottom w:val="single" w:color="auto" w:sz="4" w:space="0"/>
              <w:right w:val="single" w:color="auto" w:sz="4" w:space="0"/>
            </w:tcBorders>
            <w:vAlign w:val="center"/>
          </w:tcPr>
          <w:p w14:paraId="6EE57907">
            <w:pPr>
              <w:widowControl w:val="0"/>
              <w:spacing w:before="0" w:beforeAutospacing="0" w:after="0" w:afterAutospacing="0"/>
              <w:ind w:left="0" w:right="0" w:firstLine="200"/>
              <w:jc w:val="center"/>
              <w:rPr>
                <w:rFonts w:hint="eastAsia" w:ascii="宋体" w:hAnsi="宋体" w:eastAsia="宋体" w:cs="Times New Roman"/>
                <w:color w:val="000000"/>
                <w:kern w:val="2"/>
                <w:sz w:val="24"/>
                <w:szCs w:val="24"/>
                <w:highlight w:val="none"/>
              </w:rPr>
            </w:pPr>
          </w:p>
        </w:tc>
      </w:tr>
    </w:tbl>
    <w:p w14:paraId="5E663604">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w:t>
      </w:r>
      <w:r>
        <w:rPr>
          <w:rFonts w:hint="eastAsia" w:ascii="宋体" w:hAnsi="宋体" w:eastAsia="宋体" w:cs="Times New Roman"/>
          <w:b/>
          <w:bCs/>
          <w:color w:val="000000"/>
          <w:kern w:val="2"/>
          <w:sz w:val="24"/>
          <w:szCs w:val="24"/>
          <w:highlight w:val="none"/>
          <w:lang w:val="en-US" w:eastAsia="zh-CN"/>
        </w:rPr>
        <w:t>4 付款方式和发票开具方式</w:t>
      </w:r>
    </w:p>
    <w:p w14:paraId="4C589FB5">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1.4.1付款方式：</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00F6F50B">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1.4.2发票开具方式：</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78EAA3D2">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w:t>
      </w:r>
      <w:r>
        <w:rPr>
          <w:rFonts w:hint="eastAsia" w:ascii="宋体" w:hAnsi="宋体" w:eastAsia="宋体" w:cs="Times New Roman"/>
          <w:b/>
          <w:bCs/>
          <w:color w:val="000000"/>
          <w:kern w:val="2"/>
          <w:sz w:val="24"/>
          <w:szCs w:val="24"/>
          <w:highlight w:val="none"/>
          <w:lang w:val="en-US" w:eastAsia="zh-CN"/>
        </w:rPr>
        <w:t xml:space="preserve">5 </w:t>
      </w:r>
      <w:r>
        <w:rPr>
          <w:rFonts w:hint="eastAsia" w:ascii="宋体" w:hAnsi="宋体" w:eastAsia="宋体" w:cs="宋体"/>
          <w:b/>
          <w:bCs/>
          <w:color w:val="000000"/>
          <w:kern w:val="2"/>
          <w:sz w:val="24"/>
          <w:szCs w:val="24"/>
          <w:highlight w:val="none"/>
          <w:lang w:val="en-US" w:eastAsia="zh-CN"/>
        </w:rPr>
        <w:t>服务期限、地点和方式</w:t>
      </w:r>
    </w:p>
    <w:p w14:paraId="78ACE63B">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u w:val="single"/>
        </w:rPr>
      </w:pPr>
      <w:r>
        <w:rPr>
          <w:rFonts w:hint="eastAsia" w:ascii="宋体" w:hAnsi="宋体" w:eastAsia="宋体" w:cs="宋体"/>
          <w:color w:val="000000"/>
          <w:kern w:val="2"/>
          <w:sz w:val="24"/>
          <w:szCs w:val="24"/>
          <w:highlight w:val="none"/>
          <w:lang w:val="en-US" w:eastAsia="zh-CN"/>
        </w:rPr>
        <w:t>1.5.1服务期限：</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465325A8">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1.5.2服务地点：</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007CCC7D">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1.5.3服务方式：</w:t>
      </w:r>
      <w:r>
        <w:rPr>
          <w:rFonts w:hint="eastAsia" w:ascii="宋体" w:hAnsi="宋体" w:eastAsia="宋体" w:cs="Times New Roman"/>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w:t>
      </w:r>
    </w:p>
    <w:p w14:paraId="26F0FE1D">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1.6 违约责任</w:t>
      </w:r>
    </w:p>
    <w:p w14:paraId="07C7E36F">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Times New Roman"/>
          <w:color w:val="000000"/>
          <w:kern w:val="2"/>
          <w:sz w:val="24"/>
          <w:szCs w:val="24"/>
          <w:highlight w:val="none"/>
          <w:u w:val="single"/>
          <w:lang w:val="en-US" w:eastAsia="zh-CN"/>
        </w:rPr>
        <w:t xml:space="preserve"> 1 </w:t>
      </w:r>
      <w:r>
        <w:rPr>
          <w:rFonts w:hint="eastAsia" w:ascii="宋体" w:hAnsi="宋体" w:eastAsia="宋体" w:cs="Times New Roman"/>
          <w:color w:val="000000"/>
          <w:kern w:val="2"/>
          <w:sz w:val="24"/>
          <w:szCs w:val="24"/>
          <w:highlight w:val="none"/>
          <w:lang w:val="en-US" w:eastAsia="zh-CN"/>
        </w:rPr>
        <w:t>%计算</w:t>
      </w:r>
      <w:r>
        <w:rPr>
          <w:rFonts w:hint="eastAsia" w:ascii="宋体" w:hAnsi="宋体" w:eastAsia="宋体" w:cs="宋体"/>
          <w:color w:val="000000"/>
          <w:kern w:val="2"/>
          <w:sz w:val="24"/>
          <w:szCs w:val="24"/>
          <w:highlight w:val="none"/>
          <w:lang w:val="en-US" w:eastAsia="zh-CN"/>
        </w:rPr>
        <w:t>，最高限额为本合同总价的</w:t>
      </w:r>
      <w:r>
        <w:rPr>
          <w:rFonts w:hint="eastAsia" w:ascii="宋体" w:hAnsi="宋体" w:eastAsia="宋体" w:cs="Times New Roman"/>
          <w:color w:val="000000"/>
          <w:kern w:val="2"/>
          <w:sz w:val="24"/>
          <w:szCs w:val="24"/>
          <w:highlight w:val="none"/>
          <w:u w:val="single"/>
          <w:lang w:val="en-US" w:eastAsia="zh-CN"/>
        </w:rPr>
        <w:t xml:space="preserve"> 10 </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val="en-US" w:eastAsia="zh-CN"/>
        </w:rPr>
        <w:t>；迟延履行的违约金计算数额达到前述最高限额之日起，甲方有权在要求乙方支付违约金的同时，书面通知乙方解除本合同；</w:t>
      </w:r>
    </w:p>
    <w:p w14:paraId="460AA80C">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1.6.2除不可抗力外，如果甲方没有按照本合同约定的付款方式付款，那么乙方可要求甲方支付违约金，违约金按每迟延付款一日的应付而未付款的</w:t>
      </w:r>
      <w:r>
        <w:rPr>
          <w:rFonts w:hint="eastAsia" w:ascii="宋体" w:hAnsi="宋体" w:eastAsia="宋体" w:cs="Times New Roman"/>
          <w:color w:val="000000"/>
          <w:kern w:val="2"/>
          <w:sz w:val="24"/>
          <w:szCs w:val="24"/>
          <w:highlight w:val="none"/>
          <w:u w:val="single"/>
          <w:lang w:val="en-US" w:eastAsia="zh-CN"/>
        </w:rPr>
        <w:t xml:space="preserve"> 0.1 </w:t>
      </w:r>
      <w:r>
        <w:rPr>
          <w:rFonts w:hint="eastAsia" w:ascii="宋体" w:hAnsi="宋体" w:eastAsia="宋体" w:cs="Times New Roman"/>
          <w:color w:val="000000"/>
          <w:kern w:val="2"/>
          <w:sz w:val="24"/>
          <w:szCs w:val="24"/>
          <w:highlight w:val="none"/>
          <w:lang w:val="en-US" w:eastAsia="zh-CN"/>
        </w:rPr>
        <w:t>%计算</w:t>
      </w:r>
      <w:r>
        <w:rPr>
          <w:rFonts w:hint="eastAsia" w:ascii="宋体" w:hAnsi="宋体" w:eastAsia="宋体" w:cs="宋体"/>
          <w:color w:val="000000"/>
          <w:kern w:val="2"/>
          <w:sz w:val="24"/>
          <w:szCs w:val="24"/>
          <w:highlight w:val="none"/>
          <w:lang w:val="en-US" w:eastAsia="zh-CN"/>
        </w:rPr>
        <w:t>，最高限额为本合同总价的</w:t>
      </w:r>
      <w:r>
        <w:rPr>
          <w:rFonts w:hint="eastAsia" w:ascii="宋体" w:hAnsi="宋体" w:eastAsia="宋体" w:cs="Times New Roman"/>
          <w:color w:val="000000"/>
          <w:kern w:val="2"/>
          <w:sz w:val="24"/>
          <w:szCs w:val="24"/>
          <w:highlight w:val="none"/>
          <w:u w:val="single"/>
          <w:lang w:val="en-US" w:eastAsia="zh-CN"/>
        </w:rPr>
        <w:t xml:space="preserve"> 1 </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val="en-US" w:eastAsia="zh-CN"/>
        </w:rPr>
        <w:t>；迟延付款的违约金计算数额达到前述最高限额之日起，乙方有权在要求甲方支付违约金的同时，书面通知甲方解除本合同；</w:t>
      </w:r>
    </w:p>
    <w:p w14:paraId="3F228C8B">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209883">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EA001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4D2AF1">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1.6.6如果出现政府采购监督管理部门在处理投诉事项期间，书面通知甲方暂停采购活动的情形，或者询问或质疑事项可能影响中标结果的，导致甲方中止履行合同的情形，均不视为甲方违约。</w:t>
      </w:r>
    </w:p>
    <w:p w14:paraId="692C9D40">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1.6.7因甲方未按合同约定支付价款、未按合同约定受领标的物、擅自解除合同</w:t>
      </w:r>
      <w:r>
        <w:rPr>
          <w:rFonts w:hint="eastAsia" w:ascii="宋体" w:hAnsi="宋体" w:eastAsia="宋体" w:cs="宋体"/>
          <w:color w:val="000000"/>
          <w:kern w:val="2"/>
          <w:sz w:val="24"/>
          <w:szCs w:val="24"/>
          <w:highlight w:val="none"/>
          <w:lang w:val="en-US" w:eastAsia="zh-CN"/>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03126A99">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1.7</w:t>
      </w:r>
      <w:r>
        <w:rPr>
          <w:rFonts w:hint="eastAsia" w:ascii="宋体" w:hAnsi="宋体" w:eastAsia="宋体" w:cs="Times New Roman"/>
          <w:b/>
          <w:bCs/>
          <w:color w:val="000000"/>
          <w:kern w:val="2"/>
          <w:sz w:val="24"/>
          <w:szCs w:val="24"/>
          <w:highlight w:val="none"/>
          <w:lang w:val="en-US" w:eastAsia="zh-CN"/>
        </w:rPr>
        <w:t xml:space="preserve"> </w:t>
      </w:r>
      <w:r>
        <w:rPr>
          <w:rFonts w:hint="eastAsia" w:ascii="宋体" w:hAnsi="宋体" w:eastAsia="宋体" w:cs="宋体"/>
          <w:b/>
          <w:bCs/>
          <w:color w:val="000000"/>
          <w:kern w:val="2"/>
          <w:sz w:val="24"/>
          <w:szCs w:val="24"/>
          <w:highlight w:val="none"/>
          <w:lang w:val="en-US" w:eastAsia="zh-CN"/>
        </w:rPr>
        <w:t>合同争议的解决</w:t>
      </w:r>
    </w:p>
    <w:p w14:paraId="5C70C965">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本合同履行过程中发生的任何争议，双方当事人均可通过和解或者调解解决；不愿和解、调解或者和解、调解不成的，可以选择下列第</w:t>
      </w:r>
      <w:r>
        <w:rPr>
          <w:rFonts w:hint="eastAsia" w:ascii="宋体" w:hAnsi="宋体" w:eastAsia="宋体" w:cs="Times New Roman"/>
          <w:color w:val="000000"/>
          <w:kern w:val="2"/>
          <w:sz w:val="24"/>
          <w:szCs w:val="24"/>
          <w:highlight w:val="none"/>
          <w:u w:val="single"/>
          <w:lang w:val="en-US" w:eastAsia="zh-CN"/>
        </w:rPr>
        <w:t xml:space="preserve"> 2 </w:t>
      </w:r>
      <w:r>
        <w:rPr>
          <w:rFonts w:hint="eastAsia" w:ascii="宋体" w:hAnsi="宋体" w:eastAsia="宋体" w:cs="宋体"/>
          <w:color w:val="000000"/>
          <w:kern w:val="2"/>
          <w:sz w:val="24"/>
          <w:szCs w:val="24"/>
          <w:highlight w:val="none"/>
          <w:lang w:val="en-US" w:eastAsia="zh-CN"/>
        </w:rPr>
        <w:t>种方式解决：</w:t>
      </w:r>
    </w:p>
    <w:p w14:paraId="6B6103E8">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1.7.1将争议提交</w:t>
      </w:r>
      <w:r>
        <w:rPr>
          <w:rFonts w:hint="eastAsia" w:ascii="宋体" w:hAnsi="宋体" w:eastAsia="宋体" w:cs="Times New Roman"/>
          <w:color w:val="000000"/>
          <w:kern w:val="2"/>
          <w:sz w:val="24"/>
          <w:szCs w:val="24"/>
          <w:highlight w:val="none"/>
          <w:u w:val="single"/>
          <w:lang w:val="en-US" w:eastAsia="zh-CN"/>
        </w:rPr>
        <w:t xml:space="preserve"> 滁州 </w:t>
      </w:r>
      <w:r>
        <w:rPr>
          <w:rFonts w:hint="eastAsia" w:ascii="宋体" w:hAnsi="宋体" w:eastAsia="宋体" w:cs="宋体"/>
          <w:color w:val="000000"/>
          <w:kern w:val="2"/>
          <w:sz w:val="24"/>
          <w:szCs w:val="24"/>
          <w:highlight w:val="none"/>
          <w:lang w:val="en-US" w:eastAsia="zh-CN"/>
        </w:rPr>
        <w:t>仲裁委员会依申请仲裁时其现行有效的仲裁规则裁决；</w:t>
      </w:r>
    </w:p>
    <w:p w14:paraId="70734765">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1.7.2向</w:t>
      </w:r>
      <w:r>
        <w:rPr>
          <w:rFonts w:hint="eastAsia" w:ascii="宋体" w:hAnsi="宋体" w:eastAsia="宋体" w:cs="Times New Roman"/>
          <w:color w:val="000000"/>
          <w:kern w:val="2"/>
          <w:sz w:val="24"/>
          <w:szCs w:val="24"/>
          <w:highlight w:val="none"/>
          <w:u w:val="single"/>
          <w:lang w:val="en-US" w:eastAsia="zh-CN"/>
        </w:rPr>
        <w:t xml:space="preserve"> 项目所在地 </w:t>
      </w:r>
      <w:r>
        <w:rPr>
          <w:rFonts w:hint="eastAsia" w:ascii="宋体" w:hAnsi="宋体" w:eastAsia="宋体" w:cs="宋体"/>
          <w:color w:val="000000"/>
          <w:kern w:val="2"/>
          <w:sz w:val="24"/>
          <w:szCs w:val="24"/>
          <w:highlight w:val="none"/>
          <w:lang w:val="en-US" w:eastAsia="zh-CN"/>
        </w:rPr>
        <w:t>人民法院起诉。</w:t>
      </w:r>
    </w:p>
    <w:p w14:paraId="169E5C7B">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1.8</w:t>
      </w:r>
      <w:r>
        <w:rPr>
          <w:rFonts w:hint="eastAsia" w:ascii="宋体" w:hAnsi="宋体" w:eastAsia="宋体" w:cs="Times New Roman"/>
          <w:b/>
          <w:bCs/>
          <w:color w:val="000000"/>
          <w:kern w:val="2"/>
          <w:sz w:val="24"/>
          <w:szCs w:val="24"/>
          <w:highlight w:val="none"/>
          <w:lang w:val="en-US" w:eastAsia="zh-CN"/>
        </w:rPr>
        <w:t xml:space="preserve"> </w:t>
      </w:r>
      <w:r>
        <w:rPr>
          <w:rFonts w:hint="eastAsia" w:ascii="宋体" w:hAnsi="宋体" w:eastAsia="宋体" w:cs="宋体"/>
          <w:b/>
          <w:bCs/>
          <w:color w:val="000000"/>
          <w:kern w:val="2"/>
          <w:sz w:val="24"/>
          <w:szCs w:val="24"/>
          <w:highlight w:val="none"/>
          <w:lang w:val="en-US" w:eastAsia="zh-CN"/>
        </w:rPr>
        <w:t>合同生效</w:t>
      </w:r>
    </w:p>
    <w:p w14:paraId="6DC6BF21">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本合同自双方当事人盖章时生效。</w:t>
      </w:r>
    </w:p>
    <w:p w14:paraId="25302762">
      <w:pPr>
        <w:widowControl w:val="0"/>
        <w:autoSpaceDE w:val="0"/>
        <w:autoSpaceDN w:val="0"/>
        <w:adjustRightInd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 xml:space="preserve"> </w:t>
      </w:r>
    </w:p>
    <w:p w14:paraId="4682249C">
      <w:pPr>
        <w:widowControl w:val="0"/>
        <w:autoSpaceDE w:val="0"/>
        <w:autoSpaceDN w:val="0"/>
        <w:adjustRightInd w:val="0"/>
        <w:spacing w:before="0" w:beforeAutospacing="0" w:after="0" w:afterAutospacing="0" w:line="560" w:lineRule="exact"/>
        <w:ind w:left="0" w:right="0"/>
        <w:jc w:val="both"/>
        <w:rPr>
          <w:rFonts w:hint="eastAsia" w:ascii="宋体" w:hAnsi="宋体" w:eastAsia="宋体" w:cs="Times New Roman"/>
          <w:bCs/>
          <w:color w:val="000000"/>
          <w:kern w:val="2"/>
          <w:sz w:val="24"/>
          <w:szCs w:val="24"/>
          <w:highlight w:val="none"/>
        </w:rPr>
      </w:pPr>
      <w:r>
        <w:rPr>
          <w:rFonts w:hint="eastAsia" w:ascii="宋体" w:hAnsi="宋体" w:eastAsia="宋体" w:cs="宋体"/>
          <w:bCs/>
          <w:color w:val="000000"/>
          <w:kern w:val="2"/>
          <w:sz w:val="24"/>
          <w:szCs w:val="24"/>
          <w:highlight w:val="none"/>
          <w:lang w:val="en-US" w:eastAsia="zh-CN"/>
        </w:rPr>
        <w:t>甲</w:t>
      </w:r>
      <w:r>
        <w:rPr>
          <w:rFonts w:hint="eastAsia" w:ascii="宋体" w:hAnsi="宋体" w:eastAsia="宋体" w:cs="Times New Roman"/>
          <w:bCs/>
          <w:color w:val="000000"/>
          <w:kern w:val="2"/>
          <w:sz w:val="24"/>
          <w:szCs w:val="24"/>
          <w:highlight w:val="none"/>
          <w:lang w:val="en-US" w:eastAsia="zh-CN"/>
        </w:rPr>
        <w:t xml:space="preserve">    </w:t>
      </w:r>
      <w:r>
        <w:rPr>
          <w:rFonts w:hint="eastAsia" w:ascii="宋体" w:hAnsi="宋体" w:eastAsia="宋体" w:cs="宋体"/>
          <w:bCs/>
          <w:color w:val="000000"/>
          <w:kern w:val="2"/>
          <w:sz w:val="24"/>
          <w:szCs w:val="24"/>
          <w:highlight w:val="none"/>
          <w:lang w:val="en-US" w:eastAsia="zh-CN"/>
        </w:rPr>
        <w:t>方：</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u w:val="single"/>
          <w:lang w:val="en-US" w:eastAsia="zh-CN"/>
        </w:rPr>
        <w:t>（单位盖章）</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Times New Roman"/>
          <w:bCs/>
          <w:color w:val="000000"/>
          <w:kern w:val="2"/>
          <w:sz w:val="24"/>
          <w:szCs w:val="24"/>
          <w:highlight w:val="none"/>
          <w:lang w:val="en-US" w:eastAsia="zh-CN"/>
        </w:rPr>
        <w:t xml:space="preserve">          </w:t>
      </w:r>
      <w:r>
        <w:rPr>
          <w:rFonts w:hint="eastAsia" w:ascii="宋体" w:hAnsi="宋体" w:eastAsia="宋体" w:cs="宋体"/>
          <w:bCs/>
          <w:color w:val="000000"/>
          <w:kern w:val="2"/>
          <w:sz w:val="24"/>
          <w:szCs w:val="24"/>
          <w:highlight w:val="none"/>
          <w:lang w:val="en-US" w:eastAsia="zh-CN"/>
        </w:rPr>
        <w:t>乙方：</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u w:val="single"/>
          <w:lang w:val="en-US" w:eastAsia="zh-CN"/>
        </w:rPr>
        <w:t>（单位盖章）</w:t>
      </w:r>
      <w:r>
        <w:rPr>
          <w:rFonts w:hint="eastAsia" w:ascii="宋体" w:hAnsi="宋体" w:eastAsia="宋体" w:cs="Times New Roman"/>
          <w:bCs/>
          <w:color w:val="000000"/>
          <w:kern w:val="2"/>
          <w:sz w:val="24"/>
          <w:szCs w:val="24"/>
          <w:highlight w:val="none"/>
          <w:u w:val="single"/>
          <w:lang w:val="en-US" w:eastAsia="zh-CN"/>
        </w:rPr>
        <w:t xml:space="preserve">     </w:t>
      </w:r>
    </w:p>
    <w:p w14:paraId="44122D72">
      <w:pPr>
        <w:widowControl w:val="0"/>
        <w:autoSpaceDE w:val="0"/>
        <w:autoSpaceDN w:val="0"/>
        <w:adjustRightInd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法定代表人</w:t>
      </w:r>
      <w:r>
        <w:rPr>
          <w:rFonts w:hint="eastAsia" w:ascii="宋体" w:hAnsi="宋体" w:eastAsia="宋体" w:cs="Times New Roman"/>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法定代表人</w:t>
      </w:r>
    </w:p>
    <w:p w14:paraId="5C5F03C5">
      <w:pPr>
        <w:widowControl w:val="0"/>
        <w:autoSpaceDE w:val="0"/>
        <w:autoSpaceDN w:val="0"/>
        <w:adjustRightInd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或授权代表（签字）：</w:t>
      </w:r>
      <w:r>
        <w:rPr>
          <w:rFonts w:hint="eastAsia" w:ascii="宋体" w:hAnsi="宋体" w:eastAsia="宋体" w:cs="Times New Roman"/>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或授权代表（签字）：</w:t>
      </w:r>
    </w:p>
    <w:p w14:paraId="3DB96CC8">
      <w:pPr>
        <w:widowControl/>
        <w:spacing w:before="0" w:beforeAutospacing="0" w:after="0" w:afterAutospacing="0" w:line="560" w:lineRule="exact"/>
        <w:ind w:left="0" w:right="0"/>
        <w:jc w:val="left"/>
        <w:rPr>
          <w:rFonts w:hint="eastAsia" w:ascii="宋体" w:hAnsi="宋体" w:eastAsia="宋体" w:cs="Times New Roman"/>
          <w:bCs/>
          <w:color w:val="000000"/>
          <w:kern w:val="2"/>
          <w:sz w:val="24"/>
          <w:szCs w:val="24"/>
          <w:highlight w:val="none"/>
        </w:rPr>
      </w:pPr>
      <w:r>
        <w:rPr>
          <w:rFonts w:hint="eastAsia" w:ascii="宋体" w:hAnsi="宋体" w:eastAsia="宋体" w:cs="宋体"/>
          <w:bCs/>
          <w:color w:val="000000"/>
          <w:kern w:val="2"/>
          <w:sz w:val="24"/>
          <w:szCs w:val="24"/>
          <w:highlight w:val="none"/>
          <w:lang w:val="en-US" w:eastAsia="zh-CN"/>
        </w:rPr>
        <w:t>时间：</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lang w:val="en-US" w:eastAsia="zh-CN"/>
        </w:rPr>
        <w:t>年</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lang w:val="en-US" w:eastAsia="zh-CN"/>
        </w:rPr>
        <w:t>月</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lang w:val="en-US" w:eastAsia="zh-CN"/>
        </w:rPr>
        <w:t>日</w:t>
      </w:r>
      <w:r>
        <w:rPr>
          <w:rFonts w:hint="eastAsia" w:ascii="宋体" w:hAnsi="宋体" w:eastAsia="宋体" w:cs="Times New Roman"/>
          <w:bCs/>
          <w:color w:val="000000"/>
          <w:kern w:val="2"/>
          <w:sz w:val="24"/>
          <w:szCs w:val="24"/>
          <w:highlight w:val="none"/>
          <w:lang w:val="en-US" w:eastAsia="zh-CN"/>
        </w:rPr>
        <w:t xml:space="preserve">               </w:t>
      </w:r>
      <w:r>
        <w:rPr>
          <w:rFonts w:hint="eastAsia" w:ascii="宋体" w:hAnsi="宋体" w:eastAsia="宋体" w:cs="宋体"/>
          <w:bCs/>
          <w:color w:val="000000"/>
          <w:kern w:val="2"/>
          <w:sz w:val="24"/>
          <w:szCs w:val="24"/>
          <w:highlight w:val="none"/>
          <w:lang w:val="en-US" w:eastAsia="zh-CN"/>
        </w:rPr>
        <w:t>时间：</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lang w:val="en-US" w:eastAsia="zh-CN"/>
        </w:rPr>
        <w:t>年</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lang w:val="en-US" w:eastAsia="zh-CN"/>
        </w:rPr>
        <w:t>月</w:t>
      </w:r>
      <w:r>
        <w:rPr>
          <w:rFonts w:hint="eastAsia" w:ascii="宋体" w:hAnsi="宋体" w:eastAsia="宋体" w:cs="Times New Roman"/>
          <w:bCs/>
          <w:color w:val="000000"/>
          <w:kern w:val="2"/>
          <w:sz w:val="24"/>
          <w:szCs w:val="24"/>
          <w:highlight w:val="none"/>
          <w:u w:val="single"/>
          <w:lang w:val="en-US" w:eastAsia="zh-CN"/>
        </w:rPr>
        <w:t xml:space="preserve">    </w:t>
      </w:r>
      <w:r>
        <w:rPr>
          <w:rFonts w:hint="eastAsia" w:ascii="宋体" w:hAnsi="宋体" w:eastAsia="宋体" w:cs="宋体"/>
          <w:bCs/>
          <w:color w:val="000000"/>
          <w:kern w:val="2"/>
          <w:sz w:val="24"/>
          <w:szCs w:val="24"/>
          <w:highlight w:val="none"/>
          <w:lang w:val="en-US" w:eastAsia="zh-CN"/>
        </w:rPr>
        <w:t>日</w:t>
      </w:r>
    </w:p>
    <w:p w14:paraId="29597AB3">
      <w:pPr>
        <w:widowControl w:val="0"/>
        <w:spacing w:before="0" w:beforeAutospacing="0" w:after="0" w:afterAutospacing="0" w:line="560" w:lineRule="exact"/>
        <w:ind w:left="0" w:right="0"/>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乙方账户信息</w:t>
      </w:r>
    </w:p>
    <w:p w14:paraId="46746A65">
      <w:pPr>
        <w:widowControl w:val="0"/>
        <w:spacing w:before="0" w:beforeAutospacing="0" w:after="0" w:afterAutospacing="0" w:line="560" w:lineRule="exact"/>
        <w:ind w:left="0" w:right="0"/>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户名：</w:t>
      </w:r>
      <w:r>
        <w:rPr>
          <w:rFonts w:hint="eastAsia" w:ascii="宋体" w:hAnsi="宋体" w:eastAsia="宋体" w:cs="@仿宋_GB2312"/>
          <w:color w:val="000000"/>
          <w:kern w:val="2"/>
          <w:sz w:val="24"/>
          <w:szCs w:val="24"/>
          <w:highlight w:val="none"/>
          <w:u w:val="single"/>
          <w:lang w:val="en-US" w:eastAsia="zh-CN"/>
        </w:rPr>
        <w:t xml:space="preserve">            </w:t>
      </w:r>
    </w:p>
    <w:p w14:paraId="615D2312">
      <w:pPr>
        <w:widowControl w:val="0"/>
        <w:spacing w:before="0" w:beforeAutospacing="0" w:after="0" w:afterAutospacing="0" w:line="560" w:lineRule="exact"/>
        <w:ind w:left="0" w:right="0"/>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账号：</w:t>
      </w:r>
      <w:r>
        <w:rPr>
          <w:rFonts w:hint="eastAsia" w:ascii="宋体" w:hAnsi="宋体" w:eastAsia="宋体" w:cs="@仿宋_GB2312"/>
          <w:color w:val="000000"/>
          <w:kern w:val="2"/>
          <w:sz w:val="24"/>
          <w:szCs w:val="24"/>
          <w:highlight w:val="none"/>
          <w:u w:val="single"/>
          <w:lang w:val="en-US" w:eastAsia="zh-CN"/>
        </w:rPr>
        <w:t xml:space="preserve">            </w:t>
      </w:r>
    </w:p>
    <w:p w14:paraId="3028F8CB">
      <w:pPr>
        <w:widowControl w:val="0"/>
        <w:spacing w:before="0" w:beforeAutospacing="0" w:after="0" w:afterAutospacing="0" w:line="560" w:lineRule="exact"/>
        <w:ind w:left="0" w:right="0"/>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开户银行：</w:t>
      </w:r>
      <w:r>
        <w:rPr>
          <w:rFonts w:hint="eastAsia" w:ascii="宋体" w:hAnsi="宋体" w:eastAsia="宋体" w:cs="@仿宋_GB2312"/>
          <w:color w:val="000000"/>
          <w:kern w:val="2"/>
          <w:sz w:val="24"/>
          <w:szCs w:val="24"/>
          <w:highlight w:val="none"/>
          <w:u w:val="single"/>
          <w:lang w:val="en-US" w:eastAsia="zh-CN"/>
        </w:rPr>
        <w:t xml:space="preserve">        </w:t>
      </w:r>
    </w:p>
    <w:p w14:paraId="4F155594">
      <w:pPr>
        <w:widowControl/>
        <w:spacing w:before="0" w:beforeAutospacing="0" w:after="0" w:afterAutospacing="0"/>
        <w:ind w:left="0" w:right="0"/>
        <w:jc w:val="left"/>
        <w:rPr>
          <w:rFonts w:hint="eastAsia" w:ascii="宋体" w:hAnsi="宋体" w:eastAsia="宋体" w:cs="Times New Roman"/>
          <w:b/>
          <w:bCs w:val="0"/>
          <w:color w:val="000000"/>
          <w:kern w:val="2"/>
          <w:sz w:val="24"/>
          <w:szCs w:val="24"/>
          <w:highlight w:val="none"/>
        </w:rPr>
      </w:pPr>
      <w:r>
        <w:rPr>
          <w:rFonts w:hint="eastAsia" w:ascii="宋体" w:hAnsi="宋体" w:eastAsia="宋体" w:cs="Times New Roman"/>
          <w:b/>
          <w:bCs w:val="0"/>
          <w:color w:val="000000"/>
          <w:kern w:val="2"/>
          <w:sz w:val="24"/>
          <w:szCs w:val="24"/>
          <w:highlight w:val="none"/>
          <w:lang w:val="en-US" w:eastAsia="zh-CN"/>
        </w:rPr>
        <w:br w:type="page"/>
      </w:r>
    </w:p>
    <w:p w14:paraId="2C0FFABD">
      <w:pPr>
        <w:widowControl w:val="0"/>
        <w:spacing w:before="0" w:beforeAutospacing="0" w:after="0" w:afterAutospacing="0" w:line="360" w:lineRule="auto"/>
        <w:ind w:left="0" w:right="0"/>
        <w:jc w:val="center"/>
        <w:outlineLvl w:val="1"/>
        <w:rPr>
          <w:rFonts w:hint="eastAsia" w:ascii="宋体" w:hAnsi="宋体" w:eastAsia="宋体" w:cs="@仿宋_GB2312"/>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第二部分</w:t>
      </w:r>
      <w:r>
        <w:rPr>
          <w:rFonts w:hint="eastAsia" w:ascii="宋体" w:hAnsi="宋体" w:eastAsia="宋体" w:cs="@仿宋_GB2312"/>
          <w:b/>
          <w:bCs w:val="0"/>
          <w:color w:val="000000"/>
          <w:kern w:val="2"/>
          <w:sz w:val="24"/>
          <w:szCs w:val="24"/>
          <w:highlight w:val="none"/>
          <w:lang w:val="en-US" w:eastAsia="zh-CN"/>
        </w:rPr>
        <w:t xml:space="preserve"> </w:t>
      </w:r>
      <w:r>
        <w:rPr>
          <w:rFonts w:hint="eastAsia" w:ascii="宋体" w:hAnsi="宋体" w:eastAsia="宋体" w:cs="宋体"/>
          <w:b/>
          <w:bCs w:val="0"/>
          <w:color w:val="000000"/>
          <w:kern w:val="2"/>
          <w:sz w:val="24"/>
          <w:szCs w:val="24"/>
          <w:highlight w:val="none"/>
          <w:lang w:val="en-US" w:eastAsia="zh-CN"/>
        </w:rPr>
        <w:t>合同一般条款</w:t>
      </w:r>
    </w:p>
    <w:p w14:paraId="2123F220">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2.1</w:t>
      </w:r>
      <w:r>
        <w:rPr>
          <w:rFonts w:hint="eastAsia" w:ascii="宋体" w:hAnsi="宋体" w:eastAsia="宋体" w:cs="Times New Roman"/>
          <w:b/>
          <w:bCs/>
          <w:color w:val="000000"/>
          <w:kern w:val="2"/>
          <w:sz w:val="24"/>
          <w:szCs w:val="24"/>
          <w:highlight w:val="none"/>
          <w:lang w:val="en-US" w:eastAsia="zh-CN"/>
        </w:rPr>
        <w:t xml:space="preserve"> </w:t>
      </w:r>
      <w:r>
        <w:rPr>
          <w:rFonts w:hint="eastAsia" w:ascii="宋体" w:hAnsi="宋体" w:eastAsia="宋体" w:cs="宋体"/>
          <w:b/>
          <w:bCs/>
          <w:color w:val="000000"/>
          <w:kern w:val="2"/>
          <w:sz w:val="24"/>
          <w:szCs w:val="24"/>
          <w:highlight w:val="none"/>
          <w:lang w:val="en-US" w:eastAsia="zh-CN"/>
        </w:rPr>
        <w:t>定义</w:t>
      </w:r>
    </w:p>
    <w:p w14:paraId="6C1E564D">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本合同中的下列词语应按以下内容进行解释：</w:t>
      </w:r>
    </w:p>
    <w:p w14:paraId="1EE894F7">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.1“合同”系指采购人和中标人签订的载明双方当事人所达成的协议，并包括所有的附件、附录和构成合同的其他文件。</w:t>
      </w:r>
    </w:p>
    <w:p w14:paraId="6C1005AF">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1.2“合同价”系指根据合同约定，中标人在完全履行合同义务后</w:t>
      </w:r>
      <w:r>
        <w:rPr>
          <w:rFonts w:hint="eastAsia" w:ascii="宋体" w:hAnsi="宋体" w:eastAsia="宋体" w:cs="宋体"/>
          <w:color w:val="000000"/>
          <w:kern w:val="2"/>
          <w:sz w:val="24"/>
          <w:szCs w:val="24"/>
          <w:highlight w:val="none"/>
          <w:lang w:val="en-US" w:eastAsia="zh-CN"/>
        </w:rPr>
        <w:t>，采购人应支付给中标人的价格。</w:t>
      </w:r>
    </w:p>
    <w:p w14:paraId="04751E1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1.3“</w:t>
      </w:r>
      <w:r>
        <w:rPr>
          <w:rFonts w:hint="eastAsia" w:ascii="宋体" w:hAnsi="宋体" w:eastAsia="宋体" w:cs="宋体"/>
          <w:color w:val="000000"/>
          <w:kern w:val="2"/>
          <w:sz w:val="24"/>
          <w:szCs w:val="24"/>
          <w:highlight w:val="none"/>
          <w:lang w:val="en-US" w:eastAsia="zh-CN"/>
        </w:rPr>
        <w:t>服务”系指中标人根据合同约定应向采购人履行的除货物和工程以外的其他政府采购对象，包括采购人自身需要的服务和向社会公众提供的公共服务。</w:t>
      </w:r>
    </w:p>
    <w:p w14:paraId="6014A610">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4“甲方”系指与中标人签署合同的采购人；采购人委托采购代理机构代表其与乙方签订合同的，采购人的授权委托书作为合同附件。</w:t>
      </w:r>
    </w:p>
    <w:p w14:paraId="313AA34D">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4B16F8C">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6“现场”系指合同约定提供服务的地点。</w:t>
      </w:r>
    </w:p>
    <w:p w14:paraId="384F0579">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2 技术规范</w:t>
      </w:r>
    </w:p>
    <w:p w14:paraId="07ECA3B8">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货物所应遵守的技术规范应与采购文件规定的技术规范和技术规范附件</w:t>
      </w:r>
      <w:r>
        <w:rPr>
          <w:rFonts w:hint="eastAsia" w:ascii="宋体" w:hAnsi="宋体" w:eastAsia="宋体" w:cs="Times New Roman"/>
          <w:color w:val="000000"/>
          <w:kern w:val="2"/>
          <w:sz w:val="24"/>
          <w:szCs w:val="24"/>
          <w:highlight w:val="none"/>
          <w:lang w:val="en-US" w:eastAsia="zh-CN"/>
        </w:rPr>
        <w:t>(如果有的话)及其技术规范偏差表(如果被甲方接受的话)相一致</w:t>
      </w:r>
      <w:r>
        <w:rPr>
          <w:rFonts w:hint="eastAsia" w:ascii="宋体" w:hAnsi="宋体" w:eastAsia="宋体" w:cs="宋体"/>
          <w:color w:val="000000"/>
          <w:kern w:val="2"/>
          <w:sz w:val="24"/>
          <w:szCs w:val="24"/>
          <w:highlight w:val="none"/>
          <w:lang w:val="en-US" w:eastAsia="zh-CN"/>
        </w:rPr>
        <w:t>；如果采购文件中没有技术规范的相应说明，那么应以国家有关部门最新颁布的相应标准和规范为准。</w:t>
      </w:r>
    </w:p>
    <w:p w14:paraId="2C69EADD">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3 知识产权</w:t>
      </w:r>
    </w:p>
    <w:p w14:paraId="37FBB9E1">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7816EAC">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2.3.2具有知识产权的计算机软件等货物的知识产权归属，详见</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w:t>
      </w:r>
    </w:p>
    <w:p w14:paraId="3874048E">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4 </w:t>
      </w:r>
      <w:r>
        <w:rPr>
          <w:rFonts w:hint="eastAsia" w:ascii="宋体" w:hAnsi="宋体" w:eastAsia="宋体" w:cs="宋体"/>
          <w:b/>
          <w:bCs/>
          <w:color w:val="000000"/>
          <w:kern w:val="2"/>
          <w:sz w:val="24"/>
          <w:szCs w:val="24"/>
          <w:highlight w:val="none"/>
          <w:lang w:val="en-US" w:eastAsia="zh-CN"/>
        </w:rPr>
        <w:t>履约检查和问题反馈</w:t>
      </w:r>
    </w:p>
    <w:p w14:paraId="40C0BB97">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2.4</w:t>
      </w:r>
      <w:r>
        <w:rPr>
          <w:rFonts w:hint="eastAsia" w:ascii="宋体" w:hAnsi="宋体" w:eastAsia="宋体" w:cs="Times New Roman"/>
          <w:color w:val="000000"/>
          <w:kern w:val="2"/>
          <w:sz w:val="24"/>
          <w:szCs w:val="24"/>
          <w:highlight w:val="none"/>
          <w:lang w:val="en-US" w:eastAsia="zh-CN"/>
        </w:rPr>
        <w:t>.1甲方</w:t>
      </w:r>
      <w:r>
        <w:rPr>
          <w:rFonts w:hint="eastAsia" w:ascii="宋体" w:hAnsi="宋体" w:eastAsia="宋体" w:cs="宋体"/>
          <w:color w:val="000000"/>
          <w:kern w:val="2"/>
          <w:sz w:val="24"/>
          <w:szCs w:val="24"/>
          <w:highlight w:val="none"/>
          <w:lang w:val="en-US" w:eastAsia="zh-CN"/>
        </w:rPr>
        <w:t>有权在其认为必要时，对乙方是否能够按照合同约定提供服务进行履约检查，以确保乙方所提供的服务能够依约满足甲方项目需求，但不得因履约检查妨碍乙方的正常工作，乙方应予积极配合；</w:t>
      </w:r>
    </w:p>
    <w:p w14:paraId="54B0517A">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.2合同履行期间，甲方有权将履行过程中出现的问题反馈给乙方，双方当事人应以书面形式约定需要完善和改进的内容。</w:t>
      </w:r>
    </w:p>
    <w:p w14:paraId="360304D6">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5 </w:t>
      </w:r>
      <w:r>
        <w:rPr>
          <w:rFonts w:hint="eastAsia" w:ascii="宋体" w:hAnsi="宋体" w:eastAsia="宋体" w:cs="宋体"/>
          <w:b/>
          <w:bCs/>
          <w:color w:val="000000"/>
          <w:kern w:val="2"/>
          <w:sz w:val="24"/>
          <w:szCs w:val="24"/>
          <w:highlight w:val="none"/>
          <w:lang w:val="en-US" w:eastAsia="zh-CN"/>
        </w:rPr>
        <w:t>结算方式和付款条件</w:t>
      </w:r>
    </w:p>
    <w:p w14:paraId="4A8A936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详见</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w:t>
      </w:r>
    </w:p>
    <w:p w14:paraId="6CCC6F14">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6 </w:t>
      </w:r>
      <w:r>
        <w:rPr>
          <w:rFonts w:hint="eastAsia" w:ascii="宋体" w:hAnsi="宋体" w:eastAsia="宋体" w:cs="宋体"/>
          <w:b/>
          <w:bCs/>
          <w:color w:val="000000"/>
          <w:kern w:val="2"/>
          <w:sz w:val="24"/>
          <w:szCs w:val="24"/>
          <w:highlight w:val="none"/>
          <w:lang w:val="en-US" w:eastAsia="zh-CN"/>
        </w:rPr>
        <w:t>技术资料和保密义务</w:t>
      </w:r>
    </w:p>
    <w:p w14:paraId="0B21DB77">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6.1</w:t>
      </w:r>
      <w:r>
        <w:rPr>
          <w:rFonts w:hint="eastAsia" w:ascii="宋体" w:hAnsi="宋体" w:eastAsia="宋体" w:cs="宋体"/>
          <w:color w:val="000000"/>
          <w:kern w:val="2"/>
          <w:sz w:val="24"/>
          <w:szCs w:val="24"/>
          <w:highlight w:val="none"/>
          <w:lang w:val="en-US" w:eastAsia="zh-CN"/>
        </w:rPr>
        <w:t>乙方有权依据合同约定和项目需要，向甲方了解有关情况，调阅有关资料等，甲方应予积极配合；</w:t>
      </w:r>
    </w:p>
    <w:p w14:paraId="2AA575A1">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6</w:t>
      </w:r>
      <w:r>
        <w:rPr>
          <w:rFonts w:hint="eastAsia" w:ascii="宋体" w:hAnsi="宋体" w:eastAsia="宋体" w:cs="宋体"/>
          <w:color w:val="000000"/>
          <w:kern w:val="2"/>
          <w:sz w:val="24"/>
          <w:szCs w:val="24"/>
          <w:highlight w:val="none"/>
          <w:lang w:val="en-US" w:eastAsia="zh-CN"/>
        </w:rPr>
        <w:t>.2乙方有义务妥善保管和保护由甲方提供的前款信息和资料等；</w:t>
      </w:r>
    </w:p>
    <w:p w14:paraId="7491D737">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6.</w:t>
      </w:r>
      <w:r>
        <w:rPr>
          <w:rFonts w:hint="eastAsia" w:ascii="宋体" w:hAnsi="宋体" w:eastAsia="宋体" w:cs="宋体"/>
          <w:color w:val="000000"/>
          <w:kern w:val="2"/>
          <w:sz w:val="24"/>
          <w:szCs w:val="24"/>
          <w:highlight w:val="none"/>
          <w:lang w:val="en-US" w:eastAsia="zh-CN"/>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BB1625">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Times New Roman"/>
          <w:b/>
          <w:bCs/>
          <w:color w:val="000000"/>
          <w:kern w:val="2"/>
          <w:sz w:val="24"/>
          <w:szCs w:val="24"/>
          <w:highlight w:val="none"/>
          <w:lang w:val="en-US" w:eastAsia="zh-CN"/>
        </w:rPr>
        <w:t>2.7 质量保证</w:t>
      </w:r>
    </w:p>
    <w:p w14:paraId="490C02EB">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7</w:t>
      </w:r>
      <w:r>
        <w:rPr>
          <w:rFonts w:hint="eastAsia" w:ascii="宋体" w:hAnsi="宋体" w:eastAsia="宋体" w:cs="宋体"/>
          <w:color w:val="000000"/>
          <w:kern w:val="2"/>
          <w:sz w:val="24"/>
          <w:szCs w:val="24"/>
          <w:highlight w:val="none"/>
          <w:lang w:val="en-US" w:eastAsia="zh-CN"/>
        </w:rPr>
        <w:t>.1乙方应建立和完善履行合同的内部质量保证体系，并提供相关内部规章制度给甲方，以便甲方进行监督检查；</w:t>
      </w:r>
    </w:p>
    <w:p w14:paraId="3BC9500A">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7</w:t>
      </w:r>
      <w:r>
        <w:rPr>
          <w:rFonts w:hint="eastAsia" w:ascii="宋体" w:hAnsi="宋体" w:eastAsia="宋体" w:cs="宋体"/>
          <w:color w:val="000000"/>
          <w:kern w:val="2"/>
          <w:sz w:val="24"/>
          <w:szCs w:val="24"/>
          <w:highlight w:val="none"/>
          <w:lang w:val="en-US" w:eastAsia="zh-CN"/>
        </w:rPr>
        <w:t>.2乙方应保证履行合同的人员数量和素质、软件和硬件设备的配置、场地、环境和设施等满足全面履行合同的要求，并应接受甲方的监督检查。</w:t>
      </w:r>
    </w:p>
    <w:p w14:paraId="1FFABE41">
      <w:pPr>
        <w:widowControl w:val="0"/>
        <w:spacing w:before="0" w:beforeAutospacing="0" w:after="0" w:afterAutospacing="0" w:line="360" w:lineRule="auto"/>
        <w:ind w:left="0" w:right="0" w:firstLine="437"/>
        <w:jc w:val="both"/>
        <w:outlineLvl w:val="2"/>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2.8 延迟履行</w:t>
      </w:r>
    </w:p>
    <w:p w14:paraId="728733C3">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345301A">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Times New Roman"/>
          <w:b/>
          <w:bCs/>
          <w:color w:val="000000"/>
          <w:kern w:val="2"/>
          <w:sz w:val="24"/>
          <w:szCs w:val="24"/>
          <w:highlight w:val="none"/>
          <w:lang w:val="en-US" w:eastAsia="zh-CN"/>
        </w:rPr>
        <w:t>2.9 合同变更</w:t>
      </w:r>
    </w:p>
    <w:p w14:paraId="3D034DE2">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9</w:t>
      </w:r>
      <w:r>
        <w:rPr>
          <w:rFonts w:hint="eastAsia" w:ascii="宋体" w:hAnsi="宋体" w:eastAsia="宋体" w:cs="宋体"/>
          <w:color w:val="000000"/>
          <w:kern w:val="2"/>
          <w:sz w:val="24"/>
          <w:szCs w:val="24"/>
          <w:highlight w:val="none"/>
          <w:lang w:val="en-US" w:eastAsia="zh-CN"/>
        </w:rPr>
        <w:t>.1双方当事人协商一致，可以签订书面补充合同的形式变更合同，但不得违背采购文件确定的事项；</w:t>
      </w:r>
    </w:p>
    <w:p w14:paraId="52241942">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9</w:t>
      </w:r>
      <w:r>
        <w:rPr>
          <w:rFonts w:hint="eastAsia" w:ascii="宋体" w:hAnsi="宋体" w:eastAsia="宋体" w:cs="宋体"/>
          <w:color w:val="000000"/>
          <w:kern w:val="2"/>
          <w:sz w:val="24"/>
          <w:szCs w:val="24"/>
          <w:highlight w:val="none"/>
          <w:lang w:val="en-US" w:eastAsia="zh-CN"/>
        </w:rPr>
        <w:t>.2合同继续履行将损害国家利益和社会公共利益的，双方当事人应当以书面形式变更合同。有过错的一方应当承担赔偿责任，双方当事人都有过错的，各自承担相应的责任。</w:t>
      </w:r>
    </w:p>
    <w:p w14:paraId="3BF0CDB6">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2.1</w:t>
      </w:r>
      <w:r>
        <w:rPr>
          <w:rFonts w:hint="eastAsia" w:ascii="宋体" w:hAnsi="宋体" w:eastAsia="宋体" w:cs="Times New Roman"/>
          <w:b/>
          <w:bCs/>
          <w:color w:val="000000"/>
          <w:kern w:val="2"/>
          <w:sz w:val="24"/>
          <w:szCs w:val="24"/>
          <w:highlight w:val="none"/>
          <w:lang w:val="en-US" w:eastAsia="zh-CN"/>
        </w:rPr>
        <w:t xml:space="preserve">0 </w:t>
      </w:r>
      <w:r>
        <w:rPr>
          <w:rFonts w:hint="eastAsia" w:ascii="宋体" w:hAnsi="宋体" w:eastAsia="宋体" w:cs="宋体"/>
          <w:b/>
          <w:bCs/>
          <w:color w:val="000000"/>
          <w:kern w:val="2"/>
          <w:sz w:val="24"/>
          <w:szCs w:val="24"/>
          <w:highlight w:val="none"/>
          <w:lang w:val="en-US" w:eastAsia="zh-CN"/>
        </w:rPr>
        <w:t>合同转让和分包</w:t>
      </w:r>
    </w:p>
    <w:p w14:paraId="6AF8F733">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61D3D6">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2.1</w:t>
      </w:r>
      <w:r>
        <w:rPr>
          <w:rFonts w:hint="eastAsia" w:ascii="宋体" w:hAnsi="宋体" w:eastAsia="宋体" w:cs="Times New Roman"/>
          <w:b/>
          <w:bCs/>
          <w:color w:val="000000"/>
          <w:kern w:val="2"/>
          <w:sz w:val="24"/>
          <w:szCs w:val="24"/>
          <w:highlight w:val="none"/>
          <w:lang w:val="en-US" w:eastAsia="zh-CN"/>
        </w:rPr>
        <w:t>1 不可抗力</w:t>
      </w:r>
    </w:p>
    <w:p w14:paraId="46FD4FDC">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w:t>
      </w:r>
      <w:r>
        <w:rPr>
          <w:rFonts w:hint="eastAsia" w:ascii="宋体" w:hAnsi="宋体" w:eastAsia="宋体" w:cs="Times New Roman"/>
          <w:color w:val="000000"/>
          <w:kern w:val="2"/>
          <w:sz w:val="24"/>
          <w:szCs w:val="24"/>
          <w:highlight w:val="none"/>
          <w:lang w:val="en-US" w:eastAsia="zh-CN"/>
        </w:rPr>
        <w:t>1.1如果任何一方遭遇法律规定的不可抗力，致使合同履行受阻时，履行合同的期限应予延长，延长的期限应相当于不可抗力所影响的时间</w:t>
      </w:r>
      <w:r>
        <w:rPr>
          <w:rFonts w:hint="eastAsia" w:ascii="宋体" w:hAnsi="宋体" w:eastAsia="宋体" w:cs="宋体"/>
          <w:color w:val="000000"/>
          <w:kern w:val="2"/>
          <w:sz w:val="24"/>
          <w:szCs w:val="24"/>
          <w:highlight w:val="none"/>
          <w:lang w:val="en-US" w:eastAsia="zh-CN"/>
        </w:rPr>
        <w:t>；</w:t>
      </w:r>
    </w:p>
    <w:p w14:paraId="4EB6ABD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.2因不可抗力致使不能实现合同目的的，当事人可以解除合同；</w:t>
      </w:r>
    </w:p>
    <w:p w14:paraId="24262CCF">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.3因不可抗力致使合同有变更必要的，双方当事人应在</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约定时间内以书面形式变更合同；</w:t>
      </w:r>
    </w:p>
    <w:p w14:paraId="22EC808A">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4受不可抗力影响的一方在不可抗力发生后，应在</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约定时间内以书面形式通知对方当事人，并在</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约定时间内，将有关部门出具的证明文件送达对方当事人。</w:t>
      </w:r>
    </w:p>
    <w:p w14:paraId="302388D9">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12 </w:t>
      </w:r>
      <w:r>
        <w:rPr>
          <w:rFonts w:hint="eastAsia" w:ascii="宋体" w:hAnsi="宋体" w:eastAsia="宋体" w:cs="宋体"/>
          <w:b/>
          <w:bCs/>
          <w:color w:val="000000"/>
          <w:kern w:val="2"/>
          <w:sz w:val="24"/>
          <w:szCs w:val="24"/>
          <w:highlight w:val="none"/>
          <w:lang w:val="en-US" w:eastAsia="zh-CN"/>
        </w:rPr>
        <w:t>税费</w:t>
      </w:r>
    </w:p>
    <w:p w14:paraId="7457F4AD">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与合同有关的一切税费，均按照中华人民共和国法律的相关规定缴纳。</w:t>
      </w:r>
    </w:p>
    <w:p w14:paraId="6AB69B43">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13 </w:t>
      </w:r>
      <w:r>
        <w:rPr>
          <w:rFonts w:hint="eastAsia" w:ascii="宋体" w:hAnsi="宋体" w:eastAsia="宋体" w:cs="宋体"/>
          <w:b/>
          <w:bCs/>
          <w:color w:val="000000"/>
          <w:kern w:val="2"/>
          <w:sz w:val="24"/>
          <w:szCs w:val="24"/>
          <w:highlight w:val="none"/>
          <w:lang w:val="en-US" w:eastAsia="zh-CN"/>
        </w:rPr>
        <w:t>乙方破产</w:t>
      </w:r>
    </w:p>
    <w:p w14:paraId="379D47BF">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1E5459">
      <w:pPr>
        <w:widowControl w:val="0"/>
        <w:spacing w:before="0" w:beforeAutospacing="0" w:after="0" w:afterAutospacing="0" w:line="360" w:lineRule="auto"/>
        <w:ind w:left="0" w:right="0" w:firstLine="437"/>
        <w:jc w:val="both"/>
        <w:outlineLvl w:val="2"/>
        <w:rPr>
          <w:rFonts w:hint="eastAsia" w:ascii="宋体" w:hAnsi="宋体" w:eastAsia="宋体" w:cs="Times New Roman"/>
          <w:b/>
          <w:bCs w:val="0"/>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2.1</w:t>
      </w:r>
      <w:r>
        <w:rPr>
          <w:rFonts w:hint="eastAsia" w:ascii="宋体" w:hAnsi="宋体" w:eastAsia="宋体" w:cs="Times New Roman"/>
          <w:b/>
          <w:bCs/>
          <w:color w:val="000000"/>
          <w:kern w:val="2"/>
          <w:sz w:val="24"/>
          <w:szCs w:val="24"/>
          <w:highlight w:val="none"/>
          <w:lang w:val="en-US" w:eastAsia="zh-CN"/>
        </w:rPr>
        <w:t xml:space="preserve">4 </w:t>
      </w:r>
      <w:r>
        <w:rPr>
          <w:rFonts w:hint="eastAsia" w:ascii="宋体" w:hAnsi="宋体" w:eastAsia="宋体" w:cs="宋体"/>
          <w:b/>
          <w:bCs/>
          <w:color w:val="000000"/>
          <w:kern w:val="2"/>
          <w:sz w:val="24"/>
          <w:szCs w:val="24"/>
          <w:highlight w:val="none"/>
          <w:lang w:val="en-US" w:eastAsia="zh-CN"/>
        </w:rPr>
        <w:t>合同中止、终止</w:t>
      </w:r>
    </w:p>
    <w:p w14:paraId="2E49CA9E">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w:t>
      </w:r>
      <w:r>
        <w:rPr>
          <w:rFonts w:hint="eastAsia" w:ascii="宋体" w:hAnsi="宋体" w:eastAsia="宋体" w:cs="Times New Roman"/>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.1双方当事人不得擅自中止或者终止合同；</w:t>
      </w:r>
    </w:p>
    <w:p w14:paraId="00719A5E">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w:t>
      </w:r>
      <w:r>
        <w:rPr>
          <w:rFonts w:hint="eastAsia" w:ascii="宋体" w:hAnsi="宋体" w:eastAsia="宋体" w:cs="Times New Roman"/>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en-US" w:eastAsia="zh-CN"/>
        </w:rPr>
        <w:t>.2合同继续履行将损害国家利益和社会公共利益的，双方当事人应当中止或者终止合同。有过错的一方应当承担赔偿责任，双方当事人都有过错的，各自承担相应的责任。</w:t>
      </w:r>
    </w:p>
    <w:p w14:paraId="017FA389">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2.1</w:t>
      </w:r>
      <w:r>
        <w:rPr>
          <w:rFonts w:hint="eastAsia" w:ascii="宋体" w:hAnsi="宋体" w:eastAsia="宋体" w:cs="Times New Roman"/>
          <w:b/>
          <w:bCs/>
          <w:color w:val="000000"/>
          <w:kern w:val="2"/>
          <w:sz w:val="24"/>
          <w:szCs w:val="24"/>
          <w:highlight w:val="none"/>
          <w:lang w:val="en-US" w:eastAsia="zh-CN"/>
        </w:rPr>
        <w:t xml:space="preserve">5 </w:t>
      </w:r>
      <w:r>
        <w:rPr>
          <w:rFonts w:hint="eastAsia" w:ascii="宋体" w:hAnsi="宋体" w:eastAsia="宋体" w:cs="宋体"/>
          <w:b/>
          <w:bCs/>
          <w:color w:val="000000"/>
          <w:kern w:val="2"/>
          <w:sz w:val="24"/>
          <w:szCs w:val="24"/>
          <w:highlight w:val="none"/>
          <w:lang w:val="en-US" w:eastAsia="zh-CN"/>
        </w:rPr>
        <w:t>检验和验收</w:t>
      </w:r>
    </w:p>
    <w:p w14:paraId="6D96046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5</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val="en-US" w:eastAsia="zh-CN"/>
        </w:rPr>
        <w:t>1乙方按照</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的约定，定期提交服务报告，甲方按照</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的约定进行定期验收；</w:t>
      </w:r>
    </w:p>
    <w:p w14:paraId="469C1A30">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FD2255">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2.15.3检验和验收标准、程序等具体内容以及前述验收书的效力详见</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i/>
          <w:iCs w:val="0"/>
          <w:color w:val="000000"/>
          <w:kern w:val="2"/>
          <w:sz w:val="24"/>
          <w:szCs w:val="24"/>
          <w:highlight w:val="none"/>
          <w:lang w:val="en-US" w:eastAsia="zh-CN"/>
        </w:rPr>
        <w:t>。</w:t>
      </w:r>
    </w:p>
    <w:p w14:paraId="31CA80C7">
      <w:pPr>
        <w:widowControl w:val="0"/>
        <w:spacing w:before="0" w:beforeAutospacing="0" w:after="0" w:afterAutospacing="0" w:line="360" w:lineRule="auto"/>
        <w:ind w:left="0" w:right="0" w:firstLine="437"/>
        <w:jc w:val="both"/>
        <w:outlineLvl w:val="2"/>
        <w:rPr>
          <w:rFonts w:hint="eastAsia" w:ascii="宋体" w:hAnsi="宋体" w:eastAsia="宋体" w:cs="Times New Roman"/>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16 </w:t>
      </w:r>
      <w:r>
        <w:rPr>
          <w:rFonts w:hint="eastAsia" w:ascii="宋体" w:hAnsi="宋体" w:eastAsia="宋体" w:cs="宋体"/>
          <w:b/>
          <w:bCs/>
          <w:color w:val="000000"/>
          <w:kern w:val="2"/>
          <w:sz w:val="24"/>
          <w:szCs w:val="24"/>
          <w:highlight w:val="none"/>
          <w:lang w:val="en-US" w:eastAsia="zh-CN"/>
        </w:rPr>
        <w:t>合同使用的文字和适用的法律</w:t>
      </w:r>
    </w:p>
    <w:p w14:paraId="22579BE8">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16.1合同使用汉语书就</w:t>
      </w:r>
      <w:r>
        <w:rPr>
          <w:rFonts w:hint="eastAsia" w:ascii="宋体" w:hAnsi="宋体" w:eastAsia="宋体" w:cs="宋体"/>
          <w:color w:val="000000"/>
          <w:kern w:val="2"/>
          <w:sz w:val="24"/>
          <w:szCs w:val="24"/>
          <w:highlight w:val="none"/>
          <w:lang w:val="en-US" w:eastAsia="zh-CN"/>
        </w:rPr>
        <w:t>、变更和解释；</w:t>
      </w:r>
    </w:p>
    <w:p w14:paraId="75B1D5FE">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Times New Roman"/>
          <w:color w:val="000000"/>
          <w:kern w:val="2"/>
          <w:sz w:val="24"/>
          <w:szCs w:val="24"/>
          <w:highlight w:val="none"/>
          <w:lang w:val="en-US" w:eastAsia="zh-CN"/>
        </w:rPr>
        <w:t>16</w:t>
      </w:r>
      <w:r>
        <w:rPr>
          <w:rFonts w:hint="eastAsia" w:ascii="宋体" w:hAnsi="宋体" w:eastAsia="宋体" w:cs="宋体"/>
          <w:color w:val="000000"/>
          <w:kern w:val="2"/>
          <w:sz w:val="24"/>
          <w:szCs w:val="24"/>
          <w:highlight w:val="none"/>
          <w:lang w:val="en-US" w:eastAsia="zh-CN"/>
        </w:rPr>
        <w:t>.2合同适用中华人民共和国法律。</w:t>
      </w:r>
    </w:p>
    <w:p w14:paraId="1D463183">
      <w:pPr>
        <w:widowControl w:val="0"/>
        <w:spacing w:before="0" w:beforeAutospacing="0" w:after="0" w:afterAutospacing="0" w:line="360" w:lineRule="auto"/>
        <w:ind w:left="0" w:right="0" w:firstLine="437"/>
        <w:jc w:val="both"/>
        <w:outlineLvl w:val="2"/>
        <w:rPr>
          <w:rFonts w:hint="eastAsia" w:ascii="宋体" w:hAnsi="宋体" w:eastAsia="宋体" w:cs="Times New Roman"/>
          <w:b/>
          <w:bCs w:val="0"/>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17 </w:t>
      </w:r>
      <w:r>
        <w:rPr>
          <w:rFonts w:hint="eastAsia" w:ascii="宋体" w:hAnsi="宋体" w:eastAsia="宋体" w:cs="宋体"/>
          <w:b/>
          <w:bCs/>
          <w:color w:val="000000"/>
          <w:kern w:val="2"/>
          <w:sz w:val="24"/>
          <w:szCs w:val="24"/>
          <w:highlight w:val="none"/>
          <w:lang w:val="en-US" w:eastAsia="zh-CN"/>
        </w:rPr>
        <w:t>履约保证金</w:t>
      </w:r>
    </w:p>
    <w:p w14:paraId="39CBC704">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无。</w:t>
      </w:r>
    </w:p>
    <w:p w14:paraId="0041EA0B">
      <w:pPr>
        <w:widowControl w:val="0"/>
        <w:spacing w:before="0" w:beforeAutospacing="0" w:after="0" w:afterAutospacing="0" w:line="360" w:lineRule="auto"/>
        <w:ind w:left="0" w:right="0" w:firstLine="437"/>
        <w:jc w:val="both"/>
        <w:outlineLvl w:val="2"/>
        <w:rPr>
          <w:rFonts w:hint="eastAsia" w:ascii="宋体" w:hAnsi="宋体" w:eastAsia="宋体" w:cs="Times New Roman"/>
          <w:b/>
          <w:bCs w:val="0"/>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2.</w:t>
      </w:r>
      <w:r>
        <w:rPr>
          <w:rFonts w:hint="eastAsia" w:ascii="宋体" w:hAnsi="宋体" w:eastAsia="宋体" w:cs="Times New Roman"/>
          <w:b/>
          <w:bCs/>
          <w:color w:val="000000"/>
          <w:kern w:val="2"/>
          <w:sz w:val="24"/>
          <w:szCs w:val="24"/>
          <w:highlight w:val="none"/>
          <w:lang w:val="en-US" w:eastAsia="zh-CN"/>
        </w:rPr>
        <w:t xml:space="preserve">18 </w:t>
      </w:r>
      <w:r>
        <w:rPr>
          <w:rFonts w:hint="eastAsia" w:ascii="宋体" w:hAnsi="宋体" w:eastAsia="宋体" w:cs="宋体"/>
          <w:b/>
          <w:bCs/>
          <w:color w:val="000000"/>
          <w:kern w:val="2"/>
          <w:sz w:val="24"/>
          <w:szCs w:val="24"/>
          <w:highlight w:val="none"/>
          <w:lang w:val="en-US" w:eastAsia="zh-CN"/>
        </w:rPr>
        <w:t>合同份数</w:t>
      </w:r>
    </w:p>
    <w:p w14:paraId="30B735F8">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合同份数按</w:t>
      </w:r>
      <w:r>
        <w:rPr>
          <w:rFonts w:hint="eastAsia" w:ascii="宋体" w:hAnsi="宋体" w:eastAsia="宋体" w:cs="宋体"/>
          <w:b/>
          <w:bCs w:val="0"/>
          <w:i/>
          <w:iCs w:val="0"/>
          <w:color w:val="000000"/>
          <w:kern w:val="2"/>
          <w:sz w:val="24"/>
          <w:szCs w:val="24"/>
          <w:highlight w:val="none"/>
          <w:u w:val="single"/>
          <w:lang w:val="en-US" w:eastAsia="zh-CN"/>
        </w:rPr>
        <w:t>合同专用条款</w:t>
      </w:r>
      <w:r>
        <w:rPr>
          <w:rFonts w:hint="eastAsia" w:ascii="宋体" w:hAnsi="宋体" w:eastAsia="宋体" w:cs="宋体"/>
          <w:color w:val="000000"/>
          <w:kern w:val="2"/>
          <w:sz w:val="24"/>
          <w:szCs w:val="24"/>
          <w:highlight w:val="none"/>
          <w:lang w:val="en-US" w:eastAsia="zh-CN"/>
        </w:rPr>
        <w:t>规定，每份均具有同等法律效力。</w:t>
      </w:r>
    </w:p>
    <w:p w14:paraId="466EB53F">
      <w:pPr>
        <w:widowControl w:val="0"/>
        <w:spacing w:before="0" w:beforeAutospacing="0" w:after="0" w:afterAutospacing="0" w:line="360" w:lineRule="auto"/>
        <w:ind w:left="0" w:right="0"/>
        <w:jc w:val="center"/>
        <w:outlineLvl w:val="1"/>
        <w:rPr>
          <w:rFonts w:hint="eastAsia" w:ascii="宋体" w:hAnsi="宋体" w:eastAsia="宋体" w:cs="@仿宋_GB2312"/>
          <w:b/>
          <w:bCs w:val="0"/>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br w:type="page"/>
      </w:r>
      <w:r>
        <w:rPr>
          <w:rFonts w:hint="eastAsia" w:ascii="宋体" w:hAnsi="宋体" w:eastAsia="宋体" w:cs="宋体"/>
          <w:b/>
          <w:bCs w:val="0"/>
          <w:color w:val="000000"/>
          <w:kern w:val="2"/>
          <w:sz w:val="24"/>
          <w:szCs w:val="24"/>
          <w:highlight w:val="none"/>
          <w:lang w:val="en-US" w:eastAsia="zh-CN"/>
        </w:rPr>
        <w:t>第三部分</w:t>
      </w:r>
      <w:r>
        <w:rPr>
          <w:rFonts w:hint="eastAsia" w:ascii="宋体" w:hAnsi="宋体" w:eastAsia="宋体" w:cs="@仿宋_GB2312"/>
          <w:b/>
          <w:bCs w:val="0"/>
          <w:color w:val="000000"/>
          <w:kern w:val="2"/>
          <w:sz w:val="24"/>
          <w:szCs w:val="24"/>
          <w:highlight w:val="none"/>
          <w:lang w:val="en-US" w:eastAsia="zh-CN"/>
        </w:rPr>
        <w:t xml:space="preserve"> </w:t>
      </w:r>
      <w:r>
        <w:rPr>
          <w:rFonts w:hint="eastAsia" w:ascii="宋体" w:hAnsi="宋体" w:eastAsia="宋体" w:cs="宋体"/>
          <w:b/>
          <w:bCs w:val="0"/>
          <w:color w:val="000000"/>
          <w:kern w:val="2"/>
          <w:sz w:val="24"/>
          <w:szCs w:val="24"/>
          <w:highlight w:val="none"/>
          <w:lang w:val="en-US" w:eastAsia="zh-CN"/>
        </w:rPr>
        <w:t>合同专用条款</w:t>
      </w:r>
    </w:p>
    <w:p w14:paraId="669D22B9">
      <w:pPr>
        <w:widowControl w:val="0"/>
        <w:spacing w:before="0" w:beforeAutospacing="0" w:after="0" w:afterAutospacing="0" w:line="360" w:lineRule="auto"/>
        <w:ind w:left="0" w:right="0" w:firstLine="435"/>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E66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EB5E03F">
            <w:pPr>
              <w:widowControl w:val="0"/>
              <w:spacing w:before="0" w:beforeAutospacing="0" w:after="0" w:afterAutospacing="0"/>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条款号</w:t>
            </w:r>
          </w:p>
        </w:tc>
        <w:tc>
          <w:tcPr>
            <w:tcW w:w="7568" w:type="dxa"/>
            <w:tcBorders>
              <w:top w:val="single" w:color="auto" w:sz="6" w:space="0"/>
              <w:left w:val="single" w:color="auto" w:sz="6" w:space="0"/>
              <w:bottom w:val="single" w:color="auto" w:sz="6" w:space="0"/>
              <w:right w:val="single" w:color="auto" w:sz="6" w:space="0"/>
            </w:tcBorders>
            <w:vAlign w:val="center"/>
          </w:tcPr>
          <w:p w14:paraId="22F5ACB0">
            <w:pPr>
              <w:widowControl w:val="0"/>
              <w:spacing w:before="0" w:beforeAutospacing="0" w:after="0" w:afterAutospacing="0"/>
              <w:ind w:left="0" w:right="0"/>
              <w:jc w:val="center"/>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约定内容</w:t>
            </w:r>
          </w:p>
        </w:tc>
      </w:tr>
      <w:tr w14:paraId="7FFC2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2DA7366">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6DEF3D67">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（签订合同时可补充）</w:t>
            </w:r>
          </w:p>
        </w:tc>
      </w:tr>
      <w:tr w14:paraId="43B9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8D1CC7">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CB0B2D6">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34EC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600F9C1">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0C335D">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454F4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A005104">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59F45347">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78B17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966FE61">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68546D78">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u w:val="single"/>
              </w:rPr>
            </w:pPr>
          </w:p>
        </w:tc>
      </w:tr>
      <w:tr w14:paraId="692A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584794B2">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782CE54D">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5E737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F4919AF">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5102E92D">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u w:val="single"/>
              </w:rPr>
            </w:pPr>
          </w:p>
        </w:tc>
      </w:tr>
      <w:tr w14:paraId="57CE9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0774F58">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62A37031">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6857E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C1FEDEC">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EDA24E8">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798C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05F1E00">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389C9D57">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39FC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54286F8">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nil"/>
              <w:bottom w:val="single" w:color="auto" w:sz="6" w:space="0"/>
              <w:right w:val="single" w:color="auto" w:sz="6" w:space="0"/>
            </w:tcBorders>
            <w:vAlign w:val="center"/>
          </w:tcPr>
          <w:p w14:paraId="4AE0A744">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r w14:paraId="2BA50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84554ED">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c>
          <w:tcPr>
            <w:tcW w:w="7568" w:type="dxa"/>
            <w:tcBorders>
              <w:top w:val="single" w:color="auto" w:sz="6" w:space="0"/>
              <w:left w:val="nil"/>
              <w:bottom w:val="single" w:color="auto" w:sz="6" w:space="0"/>
              <w:right w:val="single" w:color="auto" w:sz="6" w:space="0"/>
            </w:tcBorders>
            <w:vAlign w:val="center"/>
          </w:tcPr>
          <w:p w14:paraId="28B94AF6">
            <w:pPr>
              <w:widowControl w:val="0"/>
              <w:spacing w:before="0" w:beforeAutospacing="0" w:after="0" w:afterAutospacing="0" w:line="560" w:lineRule="exact"/>
              <w:ind w:left="0" w:right="0"/>
              <w:jc w:val="both"/>
              <w:rPr>
                <w:rFonts w:hint="eastAsia" w:ascii="宋体" w:hAnsi="宋体" w:eastAsia="宋体" w:cs="Times New Roman"/>
                <w:color w:val="000000"/>
                <w:kern w:val="2"/>
                <w:sz w:val="24"/>
                <w:szCs w:val="24"/>
                <w:highlight w:val="none"/>
              </w:rPr>
            </w:pPr>
          </w:p>
        </w:tc>
      </w:tr>
    </w:tbl>
    <w:p w14:paraId="5B48DDB0">
      <w:pPr>
        <w:widowControl w:val="0"/>
        <w:spacing w:before="0" w:beforeAutospacing="0" w:after="0" w:afterAutospacing="0" w:line="360" w:lineRule="auto"/>
        <w:ind w:left="0" w:right="0"/>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 xml:space="preserve"> </w:t>
      </w:r>
    </w:p>
    <w:p w14:paraId="6B14F438">
      <w:pPr>
        <w:widowControl/>
        <w:jc w:val="left"/>
        <w:rPr>
          <w:rFonts w:ascii="宋体" w:hAnsi="宋体" w:eastAsia="宋体"/>
          <w:color w:val="auto"/>
          <w:sz w:val="24"/>
          <w:highlight w:val="none"/>
        </w:rPr>
      </w:pPr>
      <w:r>
        <w:rPr>
          <w:rFonts w:ascii="宋体" w:hAnsi="宋体" w:eastAsia="宋体"/>
          <w:color w:val="auto"/>
          <w:sz w:val="24"/>
          <w:highlight w:val="none"/>
        </w:rPr>
        <w:br w:type="page"/>
      </w:r>
    </w:p>
    <w:bookmarkEnd w:id="32"/>
    <w:p w14:paraId="63878CCA">
      <w:pPr>
        <w:spacing w:line="360" w:lineRule="auto"/>
        <w:jc w:val="center"/>
        <w:outlineLvl w:val="0"/>
        <w:rPr>
          <w:rFonts w:ascii="宋体" w:hAnsi="宋体" w:eastAsia="宋体"/>
          <w:b/>
          <w:color w:val="auto"/>
          <w:sz w:val="28"/>
          <w:highlight w:val="none"/>
        </w:rPr>
      </w:pPr>
      <w:bookmarkStart w:id="33" w:name="_Toc13555"/>
      <w:r>
        <w:rPr>
          <w:rFonts w:hint="eastAsia" w:ascii="宋体" w:hAnsi="宋体" w:eastAsia="宋体"/>
          <w:b/>
          <w:color w:val="auto"/>
          <w:sz w:val="28"/>
          <w:highlight w:val="none"/>
        </w:rPr>
        <w:t>第六章  投标文件格式</w:t>
      </w:r>
      <w:bookmarkEnd w:id="33"/>
    </w:p>
    <w:p w14:paraId="17B7B94D">
      <w:pPr>
        <w:spacing w:line="900" w:lineRule="exact"/>
        <w:jc w:val="center"/>
        <w:rPr>
          <w:rFonts w:ascii="宋体" w:hAnsi="宋体" w:eastAsia="宋体"/>
          <w:b/>
          <w:color w:val="auto"/>
          <w:sz w:val="72"/>
          <w:highlight w:val="none"/>
        </w:rPr>
      </w:pPr>
    </w:p>
    <w:p w14:paraId="0185349C">
      <w:pPr>
        <w:spacing w:line="900" w:lineRule="exact"/>
        <w:jc w:val="center"/>
        <w:outlineLvl w:val="1"/>
        <w:rPr>
          <w:rFonts w:ascii="宋体" w:hAnsi="宋体" w:eastAsia="宋体"/>
          <w:b/>
          <w:color w:val="auto"/>
          <w:sz w:val="72"/>
          <w:highlight w:val="none"/>
        </w:rPr>
      </w:pPr>
      <w:bookmarkStart w:id="34" w:name="_Toc5119"/>
      <w:r>
        <w:rPr>
          <w:rFonts w:hint="eastAsia" w:ascii="宋体" w:hAnsi="宋体" w:eastAsia="宋体"/>
          <w:b/>
          <w:color w:val="auto"/>
          <w:sz w:val="72"/>
          <w:highlight w:val="none"/>
        </w:rPr>
        <w:t>投</w:t>
      </w:r>
      <w:bookmarkEnd w:id="34"/>
    </w:p>
    <w:p w14:paraId="027C69BD">
      <w:pPr>
        <w:spacing w:line="900" w:lineRule="exact"/>
        <w:jc w:val="center"/>
        <w:rPr>
          <w:rFonts w:ascii="宋体" w:hAnsi="宋体" w:eastAsia="宋体"/>
          <w:b/>
          <w:color w:val="auto"/>
          <w:sz w:val="72"/>
          <w:highlight w:val="none"/>
        </w:rPr>
      </w:pPr>
    </w:p>
    <w:p w14:paraId="12CD2418">
      <w:pPr>
        <w:spacing w:line="900" w:lineRule="exact"/>
        <w:jc w:val="center"/>
        <w:outlineLvl w:val="1"/>
        <w:rPr>
          <w:rFonts w:ascii="宋体" w:hAnsi="宋体" w:eastAsia="宋体"/>
          <w:b/>
          <w:color w:val="auto"/>
          <w:sz w:val="72"/>
          <w:highlight w:val="none"/>
        </w:rPr>
      </w:pPr>
      <w:bookmarkStart w:id="35" w:name="_Toc4782"/>
      <w:r>
        <w:rPr>
          <w:rFonts w:hint="eastAsia" w:ascii="宋体" w:hAnsi="宋体" w:eastAsia="宋体"/>
          <w:b/>
          <w:color w:val="auto"/>
          <w:sz w:val="72"/>
          <w:highlight w:val="none"/>
        </w:rPr>
        <w:t>标</w:t>
      </w:r>
      <w:bookmarkEnd w:id="35"/>
    </w:p>
    <w:p w14:paraId="1EC08250">
      <w:pPr>
        <w:spacing w:line="900" w:lineRule="exact"/>
        <w:jc w:val="center"/>
        <w:rPr>
          <w:rFonts w:ascii="宋体" w:hAnsi="宋体" w:eastAsia="宋体"/>
          <w:b/>
          <w:color w:val="auto"/>
          <w:sz w:val="72"/>
          <w:highlight w:val="none"/>
        </w:rPr>
      </w:pPr>
    </w:p>
    <w:p w14:paraId="0095768E">
      <w:pPr>
        <w:spacing w:line="900" w:lineRule="exact"/>
        <w:jc w:val="center"/>
        <w:outlineLvl w:val="1"/>
        <w:rPr>
          <w:rFonts w:ascii="宋体" w:hAnsi="宋体" w:eastAsia="宋体"/>
          <w:b/>
          <w:color w:val="auto"/>
          <w:sz w:val="72"/>
          <w:highlight w:val="none"/>
        </w:rPr>
      </w:pPr>
      <w:bookmarkStart w:id="36" w:name="_Toc19607"/>
      <w:r>
        <w:rPr>
          <w:rFonts w:hint="eastAsia" w:ascii="宋体" w:hAnsi="宋体" w:eastAsia="宋体"/>
          <w:b/>
          <w:color w:val="auto"/>
          <w:sz w:val="72"/>
          <w:highlight w:val="none"/>
        </w:rPr>
        <w:t>文</w:t>
      </w:r>
      <w:bookmarkEnd w:id="36"/>
    </w:p>
    <w:p w14:paraId="21C314A9">
      <w:pPr>
        <w:spacing w:line="900" w:lineRule="exact"/>
        <w:jc w:val="center"/>
        <w:rPr>
          <w:rFonts w:ascii="宋体" w:hAnsi="宋体" w:eastAsia="宋体"/>
          <w:b/>
          <w:color w:val="auto"/>
          <w:sz w:val="72"/>
          <w:highlight w:val="none"/>
        </w:rPr>
      </w:pPr>
    </w:p>
    <w:p w14:paraId="138549A1">
      <w:pPr>
        <w:jc w:val="center"/>
        <w:outlineLvl w:val="1"/>
        <w:rPr>
          <w:rFonts w:ascii="宋体" w:hAnsi="宋体" w:eastAsia="宋体"/>
          <w:b/>
          <w:color w:val="auto"/>
          <w:sz w:val="72"/>
          <w:highlight w:val="none"/>
        </w:rPr>
      </w:pPr>
      <w:bookmarkStart w:id="37" w:name="_Toc8365"/>
      <w:r>
        <w:rPr>
          <w:rFonts w:hint="eastAsia" w:ascii="宋体" w:hAnsi="宋体" w:eastAsia="宋体"/>
          <w:b/>
          <w:color w:val="auto"/>
          <w:sz w:val="72"/>
          <w:highlight w:val="none"/>
        </w:rPr>
        <w:t>件</w:t>
      </w:r>
      <w:bookmarkEnd w:id="37"/>
    </w:p>
    <w:p w14:paraId="0C21E636">
      <w:pPr>
        <w:spacing w:after="156" w:afterLines="50"/>
        <w:jc w:val="center"/>
        <w:rPr>
          <w:rFonts w:ascii="宋体" w:hAnsi="宋体" w:eastAsia="宋体"/>
          <w:b/>
          <w:color w:val="auto"/>
          <w:sz w:val="72"/>
          <w:highlight w:val="none"/>
        </w:rPr>
      </w:pPr>
    </w:p>
    <w:p w14:paraId="2EFA684C">
      <w:pPr>
        <w:pStyle w:val="8"/>
        <w:widowControl w:val="0"/>
        <w:wordWrap/>
        <w:adjustRightInd/>
        <w:snapToGrid/>
        <w:spacing w:after="0" w:line="360" w:lineRule="auto"/>
        <w:ind w:firstLine="480" w:firstLineChars="200"/>
        <w:jc w:val="center"/>
        <w:textAlignment w:val="auto"/>
        <w:outlineLvl w:val="1"/>
        <w:rPr>
          <w:rFonts w:hint="default" w:ascii="宋体" w:hAnsi="宋体" w:eastAsia="宋体"/>
          <w:color w:val="auto"/>
          <w:sz w:val="24"/>
          <w:szCs w:val="18"/>
          <w:highlight w:val="none"/>
          <w:lang w:val="en-US" w:eastAsia="zh-CN"/>
        </w:rPr>
      </w:pPr>
    </w:p>
    <w:p w14:paraId="46AB872B">
      <w:pPr>
        <w:spacing w:before="156" w:beforeLines="50" w:after="156" w:afterLines="50"/>
        <w:jc w:val="center"/>
        <w:outlineLvl w:val="9"/>
        <w:rPr>
          <w:rFonts w:ascii="宋体" w:hAnsi="宋体" w:eastAsia="宋体"/>
          <w:b/>
          <w:color w:val="auto"/>
          <w:sz w:val="32"/>
          <w:szCs w:val="32"/>
          <w:highlight w:val="none"/>
        </w:rPr>
      </w:pPr>
    </w:p>
    <w:p w14:paraId="4B57B737">
      <w:pPr>
        <w:spacing w:after="156" w:afterLines="50" w:line="500" w:lineRule="exact"/>
        <w:jc w:val="center"/>
        <w:rPr>
          <w:rFonts w:ascii="宋体" w:hAnsi="宋体" w:eastAsia="宋体"/>
          <w:b/>
          <w:color w:val="auto"/>
          <w:sz w:val="28"/>
          <w:szCs w:val="28"/>
          <w:highlight w:val="none"/>
        </w:rPr>
      </w:pPr>
    </w:p>
    <w:p w14:paraId="288651A5">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2247CB0">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FE9325B">
      <w:pPr>
        <w:tabs>
          <w:tab w:val="left" w:pos="2410"/>
        </w:tabs>
        <w:autoSpaceDE w:val="0"/>
        <w:autoSpaceDN w:val="0"/>
        <w:adjustRightInd w:val="0"/>
        <w:snapToGrid w:val="0"/>
        <w:spacing w:line="360" w:lineRule="auto"/>
        <w:ind w:firstLine="1928" w:firstLineChars="6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77C3D997">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38" w:name="_Toc19687"/>
      <w:bookmarkStart w:id="39"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38"/>
      <w:bookmarkEnd w:id="39"/>
    </w:p>
    <w:p w14:paraId="4114BD99">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5F3A5210">
      <w:pPr>
        <w:spacing w:line="360" w:lineRule="auto"/>
        <w:jc w:val="center"/>
        <w:outlineLvl w:val="1"/>
        <w:rPr>
          <w:rFonts w:ascii="宋体" w:hAnsi="宋体" w:eastAsia="宋体"/>
          <w:b/>
          <w:color w:val="auto"/>
          <w:sz w:val="24"/>
          <w:highlight w:val="none"/>
        </w:rPr>
      </w:pPr>
      <w:bookmarkStart w:id="40" w:name="_Toc28960"/>
      <w:bookmarkStart w:id="41" w:name="_Toc17986"/>
      <w:r>
        <w:rPr>
          <w:rFonts w:hint="eastAsia" w:ascii="宋体" w:hAnsi="宋体" w:eastAsia="宋体"/>
          <w:b/>
          <w:color w:val="auto"/>
          <w:sz w:val="24"/>
          <w:highlight w:val="none"/>
        </w:rPr>
        <w:t>一、开标一览表</w:t>
      </w:r>
      <w:bookmarkEnd w:id="40"/>
      <w:bookmarkEnd w:id="41"/>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6213"/>
      </w:tblGrid>
      <w:tr w14:paraId="0659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303" w:type="dxa"/>
            <w:tcBorders>
              <w:top w:val="single" w:color="auto" w:sz="4" w:space="0"/>
              <w:bottom w:val="single" w:color="auto" w:sz="4" w:space="0"/>
              <w:right w:val="single" w:color="auto" w:sz="4" w:space="0"/>
            </w:tcBorders>
            <w:vAlign w:val="center"/>
          </w:tcPr>
          <w:p w14:paraId="4533B90B">
            <w:pPr>
              <w:widowControl/>
              <w:spacing w:before="0" w:beforeAutospacing="0" w:after="0" w:afterAutospacing="0" w:line="360" w:lineRule="exact"/>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项目名称</w:t>
            </w:r>
          </w:p>
        </w:tc>
        <w:tc>
          <w:tcPr>
            <w:tcW w:w="6213" w:type="dxa"/>
            <w:tcBorders>
              <w:top w:val="single" w:color="auto" w:sz="4" w:space="0"/>
              <w:bottom w:val="single" w:color="auto" w:sz="4" w:space="0"/>
              <w:right w:val="single" w:color="auto" w:sz="4" w:space="0"/>
            </w:tcBorders>
            <w:vAlign w:val="center"/>
          </w:tcPr>
          <w:p w14:paraId="7F98099F">
            <w:pPr>
              <w:spacing w:before="0" w:beforeAutospacing="0" w:after="0" w:afterAutospacing="0" w:line="360" w:lineRule="exact"/>
              <w:ind w:left="0" w:right="0"/>
              <w:jc w:val="center"/>
              <w:rPr>
                <w:rFonts w:hint="default" w:ascii="宋体" w:hAnsi="宋体" w:eastAsia="宋体" w:cs="Times New Roman"/>
                <w:bCs/>
                <w:color w:val="auto"/>
                <w:sz w:val="24"/>
                <w:szCs w:val="20"/>
                <w:highlight w:val="none"/>
                <w:u w:val="single"/>
              </w:rPr>
            </w:pPr>
          </w:p>
        </w:tc>
      </w:tr>
      <w:tr w14:paraId="5AC0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3" w:type="dxa"/>
            <w:tcBorders>
              <w:top w:val="nil"/>
            </w:tcBorders>
            <w:vAlign w:val="center"/>
          </w:tcPr>
          <w:p w14:paraId="20813FEC">
            <w:pPr>
              <w:spacing w:before="0" w:beforeAutospacing="0" w:after="0" w:afterAutospacing="0" w:line="360" w:lineRule="exact"/>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投标人全称</w:t>
            </w:r>
          </w:p>
        </w:tc>
        <w:tc>
          <w:tcPr>
            <w:tcW w:w="6213" w:type="dxa"/>
            <w:tcBorders>
              <w:top w:val="nil"/>
            </w:tcBorders>
            <w:vAlign w:val="center"/>
          </w:tcPr>
          <w:p w14:paraId="0D6561FD">
            <w:pPr>
              <w:spacing w:before="0" w:beforeAutospacing="0" w:after="0" w:afterAutospacing="0" w:line="360" w:lineRule="auto"/>
              <w:ind w:left="0" w:right="0"/>
              <w:rPr>
                <w:rFonts w:hint="default" w:ascii="宋体" w:hAnsi="宋体" w:eastAsia="宋体" w:cs="Times New Roman"/>
                <w:color w:val="auto"/>
                <w:sz w:val="24"/>
                <w:szCs w:val="20"/>
                <w:highlight w:val="none"/>
              </w:rPr>
            </w:pPr>
          </w:p>
        </w:tc>
      </w:tr>
      <w:tr w14:paraId="4213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3" w:type="dxa"/>
            <w:tcBorders>
              <w:top w:val="nil"/>
            </w:tcBorders>
            <w:vAlign w:val="center"/>
          </w:tcPr>
          <w:p w14:paraId="6327BDF1">
            <w:pPr>
              <w:spacing w:before="0" w:beforeAutospacing="0" w:after="0" w:afterAutospacing="0" w:line="360" w:lineRule="exact"/>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投标范围</w:t>
            </w:r>
          </w:p>
        </w:tc>
        <w:tc>
          <w:tcPr>
            <w:tcW w:w="6213" w:type="dxa"/>
            <w:tcBorders>
              <w:top w:val="nil"/>
            </w:tcBorders>
            <w:vAlign w:val="center"/>
          </w:tcPr>
          <w:p w14:paraId="2DCC5D19">
            <w:pPr>
              <w:widowControl/>
              <w:wordWrap/>
              <w:adjustRightInd/>
              <w:spacing w:before="0" w:beforeAutospacing="0" w:after="0" w:afterAutospacing="0" w:line="360" w:lineRule="auto"/>
              <w:ind w:left="0" w:right="0"/>
              <w:textAlignment w:val="auto"/>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8"/>
                <w:highlight w:val="none"/>
              </w:rPr>
              <w:t>全部</w:t>
            </w:r>
          </w:p>
        </w:tc>
      </w:tr>
      <w:tr w14:paraId="53A0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3" w:type="dxa"/>
            <w:tcBorders>
              <w:top w:val="nil"/>
            </w:tcBorders>
            <w:vAlign w:val="center"/>
          </w:tcPr>
          <w:p w14:paraId="701AD647">
            <w:pPr>
              <w:spacing w:before="0" w:beforeAutospacing="0" w:after="0" w:afterAutospacing="0" w:line="360" w:lineRule="exact"/>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投标报价</w:t>
            </w:r>
          </w:p>
        </w:tc>
        <w:tc>
          <w:tcPr>
            <w:tcW w:w="6213" w:type="dxa"/>
            <w:tcBorders>
              <w:top w:val="nil"/>
            </w:tcBorders>
            <w:vAlign w:val="center"/>
          </w:tcPr>
          <w:p w14:paraId="4CAB23D8">
            <w:pPr>
              <w:wordWrap/>
              <w:adjustRightInd/>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3E04905">
            <w:pPr>
              <w:wordWrap/>
              <w:adjustRightInd/>
              <w:spacing w:before="0" w:beforeAutospacing="0" w:after="0" w:afterAutospacing="0" w:line="360" w:lineRule="auto"/>
              <w:ind w:left="0" w:right="-670"/>
              <w:textAlignment w:val="auto"/>
              <w:rPr>
                <w:rFonts w:hint="default" w:ascii="宋体" w:hAnsi="宋体" w:eastAsia="宋体" w:cs="Times New Roman"/>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BAE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3" w:type="dxa"/>
            <w:tcBorders>
              <w:top w:val="nil"/>
            </w:tcBorders>
            <w:vAlign w:val="center"/>
          </w:tcPr>
          <w:p w14:paraId="44C7CED7">
            <w:pPr>
              <w:spacing w:before="0" w:beforeAutospacing="0" w:after="0" w:afterAutospacing="0" w:line="360" w:lineRule="auto"/>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其他</w:t>
            </w:r>
          </w:p>
        </w:tc>
        <w:tc>
          <w:tcPr>
            <w:tcW w:w="6213" w:type="dxa"/>
            <w:tcBorders>
              <w:top w:val="nil"/>
            </w:tcBorders>
            <w:vAlign w:val="center"/>
          </w:tcPr>
          <w:p w14:paraId="3882C216">
            <w:pPr>
              <w:spacing w:before="0" w:beforeAutospacing="0" w:after="0" w:afterAutospacing="0" w:line="360" w:lineRule="auto"/>
              <w:ind w:left="0" w:right="0"/>
              <w:jc w:val="left"/>
              <w:rPr>
                <w:rFonts w:hint="default" w:ascii="宋体" w:hAnsi="宋体" w:eastAsia="宋体" w:cs="Times New Roman"/>
                <w:color w:val="auto"/>
                <w:sz w:val="24"/>
                <w:szCs w:val="28"/>
                <w:highlight w:val="none"/>
              </w:rPr>
            </w:pPr>
          </w:p>
        </w:tc>
      </w:tr>
    </w:tbl>
    <w:p w14:paraId="57B3A36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0EB13DC">
      <w:pPr>
        <w:tabs>
          <w:tab w:val="left" w:pos="630"/>
        </w:tabs>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BDFC73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19B829A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4BC85F9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3F86388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ADC0E0C">
      <w:pPr>
        <w:spacing w:line="360" w:lineRule="auto"/>
        <w:jc w:val="center"/>
        <w:outlineLvl w:val="1"/>
        <w:rPr>
          <w:rFonts w:ascii="宋体" w:hAnsi="宋体" w:eastAsia="宋体"/>
          <w:b/>
          <w:color w:val="auto"/>
          <w:sz w:val="24"/>
          <w:highlight w:val="none"/>
        </w:rPr>
      </w:pPr>
      <w:bookmarkStart w:id="42" w:name="_Toc6441"/>
      <w:bookmarkStart w:id="43" w:name="_Toc6120"/>
      <w:r>
        <w:rPr>
          <w:rFonts w:hint="eastAsia" w:ascii="宋体" w:hAnsi="宋体" w:eastAsia="宋体"/>
          <w:b/>
          <w:color w:val="auto"/>
          <w:sz w:val="24"/>
          <w:highlight w:val="none"/>
        </w:rPr>
        <w:t>二、投标函</w:t>
      </w:r>
      <w:bookmarkEnd w:id="42"/>
      <w:bookmarkEnd w:id="43"/>
    </w:p>
    <w:p w14:paraId="79736828">
      <w:pPr>
        <w:pStyle w:val="11"/>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F6C3F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DA45D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4B4DE0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623EBB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4090476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9ADA7CD">
      <w:pPr>
        <w:spacing w:line="360" w:lineRule="auto"/>
        <w:ind w:firstLine="4800" w:firstLineChars="2000"/>
        <w:rPr>
          <w:rFonts w:ascii="宋体" w:hAnsi="宋体" w:eastAsia="宋体"/>
          <w:color w:val="auto"/>
          <w:sz w:val="24"/>
          <w:highlight w:val="none"/>
        </w:rPr>
      </w:pPr>
    </w:p>
    <w:p w14:paraId="56E1BBC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1727907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58B2114">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5B470A57">
      <w:pPr>
        <w:spacing w:line="360" w:lineRule="auto"/>
        <w:jc w:val="center"/>
        <w:outlineLvl w:val="1"/>
        <w:rPr>
          <w:rFonts w:hint="eastAsia" w:ascii="宋体" w:hAnsi="宋体" w:eastAsia="宋体"/>
          <w:b/>
          <w:color w:val="auto"/>
          <w:sz w:val="24"/>
          <w:highlight w:val="none"/>
        </w:rPr>
      </w:pPr>
      <w:bookmarkStart w:id="44" w:name="_Toc18881"/>
      <w:r>
        <w:rPr>
          <w:rFonts w:hint="eastAsia" w:ascii="宋体" w:hAnsi="宋体" w:eastAsia="宋体"/>
          <w:b/>
          <w:color w:val="auto"/>
          <w:sz w:val="24"/>
          <w:highlight w:val="none"/>
          <w:lang w:val="en-US" w:eastAsia="zh-CN"/>
        </w:rPr>
        <w:t>三．投标人资格声明书</w:t>
      </w:r>
      <w:bookmarkEnd w:id="44"/>
      <w:r>
        <w:rPr>
          <w:rFonts w:hint="eastAsia" w:ascii="宋体" w:hAnsi="宋体" w:eastAsia="宋体"/>
          <w:b/>
          <w:color w:val="auto"/>
          <w:sz w:val="24"/>
          <w:highlight w:val="none"/>
          <w:lang w:val="en-US" w:eastAsia="zh-CN"/>
        </w:rPr>
        <w:t xml:space="preserve"> </w:t>
      </w:r>
    </w:p>
    <w:p w14:paraId="7C87DC42">
      <w:pPr>
        <w:pStyle w:val="11"/>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0E79893">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在参与本次项目投标中，我单位承诺：</w:t>
      </w:r>
    </w:p>
    <w:p w14:paraId="1FCE8B53">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5ED399E7">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（二）具有履行合同所必需的设备和专业技术能力；</w:t>
      </w:r>
    </w:p>
    <w:p w14:paraId="60E0C9A2">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0EC9DC6C">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17019C7">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（五）我单位不属于政府采购法律、行政法规规定的公益一类事业单位、或使用事业编制且由财政拨款保障的群团组织（仅适用于政府购买服务项目）； </w:t>
      </w:r>
    </w:p>
    <w:p w14:paraId="1E7955B6">
      <w:pPr>
        <w:widowControl/>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（六）我单位不存在为采购项目提供整体设计、规范编制或者项目管理、监理、检测等服务后，再参加该采购项目的其他采购活动的情形（单一来源采购项目除外）；</w:t>
      </w:r>
    </w:p>
    <w:p w14:paraId="3E203E80">
      <w:pPr>
        <w:widowControl/>
        <w:wordWrap/>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（七）与我单位存在单位负责人为同一人或者存在直接控股、管理关系的其他法人单位信息如下（如有，不论其是否参加同一合同项下的政府采购活动均须填写）：</w:t>
      </w:r>
    </w:p>
    <w:tbl>
      <w:tblPr>
        <w:tblStyle w:val="2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39"/>
        <w:gridCol w:w="2839"/>
      </w:tblGrid>
      <w:tr w14:paraId="17EC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Align w:val="top"/>
          </w:tcPr>
          <w:p w14:paraId="05C53C0A">
            <w:pPr>
              <w:widowControl/>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2839" w:type="dxa"/>
            <w:vAlign w:val="top"/>
          </w:tcPr>
          <w:p w14:paraId="729F42C6">
            <w:pPr>
              <w:pStyle w:val="8"/>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单位名称</w:t>
            </w:r>
          </w:p>
        </w:tc>
        <w:tc>
          <w:tcPr>
            <w:tcW w:w="2839" w:type="dxa"/>
            <w:vAlign w:val="top"/>
          </w:tcPr>
          <w:p w14:paraId="4359E32E">
            <w:pPr>
              <w:pStyle w:val="8"/>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相互关系</w:t>
            </w:r>
          </w:p>
        </w:tc>
      </w:tr>
      <w:tr w14:paraId="071F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Align w:val="top"/>
          </w:tcPr>
          <w:p w14:paraId="1C22BBDE">
            <w:pPr>
              <w:pStyle w:val="8"/>
              <w:wordWrap/>
              <w:adjustRightInd/>
              <w:snapToGrid/>
              <w:spacing w:before="0" w:beforeLines="50" w:beforeAutospacing="0" w:after="10" w:afterAutospacing="0" w:line="240"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39" w:type="dxa"/>
            <w:vAlign w:val="top"/>
          </w:tcPr>
          <w:p w14:paraId="46FB3EC7">
            <w:pPr>
              <w:pStyle w:val="8"/>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p>
        </w:tc>
        <w:tc>
          <w:tcPr>
            <w:tcW w:w="2839" w:type="dxa"/>
            <w:vAlign w:val="top"/>
          </w:tcPr>
          <w:p w14:paraId="2F710542">
            <w:pPr>
              <w:pStyle w:val="8"/>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p>
        </w:tc>
      </w:tr>
      <w:tr w14:paraId="5B93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Align w:val="top"/>
          </w:tcPr>
          <w:p w14:paraId="6630282D">
            <w:pPr>
              <w:pStyle w:val="8"/>
              <w:wordWrap/>
              <w:adjustRightInd/>
              <w:snapToGrid/>
              <w:spacing w:before="0" w:beforeLines="50" w:beforeAutospacing="0" w:after="10" w:afterAutospacing="0" w:line="240"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839" w:type="dxa"/>
            <w:vAlign w:val="top"/>
          </w:tcPr>
          <w:p w14:paraId="1F4F9889">
            <w:pPr>
              <w:pStyle w:val="8"/>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p>
        </w:tc>
        <w:tc>
          <w:tcPr>
            <w:tcW w:w="2839" w:type="dxa"/>
            <w:vAlign w:val="top"/>
          </w:tcPr>
          <w:p w14:paraId="7629CD85">
            <w:pPr>
              <w:pStyle w:val="8"/>
              <w:wordWrap/>
              <w:adjustRightInd/>
              <w:snapToGrid/>
              <w:spacing w:before="0" w:beforeLines="50" w:beforeAutospacing="0" w:after="10" w:afterAutospacing="0" w:line="240" w:lineRule="auto"/>
              <w:ind w:left="0" w:right="0"/>
              <w:jc w:val="center"/>
              <w:textAlignment w:val="auto"/>
              <w:rPr>
                <w:rFonts w:hint="eastAsia" w:ascii="宋体" w:hAnsi="宋体" w:eastAsia="宋体" w:cs="宋体"/>
                <w:color w:val="auto"/>
                <w:kern w:val="0"/>
                <w:sz w:val="24"/>
                <w:szCs w:val="24"/>
                <w:highlight w:val="none"/>
                <w:lang w:val="en-US" w:eastAsia="zh-CN"/>
              </w:rPr>
            </w:pPr>
          </w:p>
        </w:tc>
      </w:tr>
    </w:tbl>
    <w:p w14:paraId="217FD7E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45AB6B8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8C3D3A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80CFA01">
      <w:pPr>
        <w:rPr>
          <w:rFonts w:hint="eastAsia" w:ascii="宋体" w:hAnsi="宋体" w:eastAsia="宋体"/>
          <w:b/>
          <w:color w:val="auto"/>
          <w:sz w:val="24"/>
          <w:highlight w:val="none"/>
        </w:rPr>
      </w:pPr>
      <w:bookmarkStart w:id="45" w:name="_Toc11607"/>
      <w:r>
        <w:rPr>
          <w:rFonts w:hint="eastAsia" w:ascii="宋体" w:hAnsi="宋体" w:eastAsia="宋体"/>
          <w:b/>
          <w:color w:val="auto"/>
          <w:sz w:val="24"/>
          <w:highlight w:val="none"/>
        </w:rPr>
        <w:br w:type="page"/>
      </w:r>
    </w:p>
    <w:p w14:paraId="7820D1A4">
      <w:pPr>
        <w:spacing w:line="360" w:lineRule="auto"/>
        <w:jc w:val="center"/>
        <w:outlineLvl w:val="1"/>
        <w:rPr>
          <w:rFonts w:ascii="宋体" w:hAnsi="宋体" w:eastAsia="宋体"/>
          <w:b/>
          <w:color w:val="auto"/>
          <w:sz w:val="24"/>
          <w:highlight w:val="none"/>
        </w:rPr>
      </w:pPr>
      <w:bookmarkStart w:id="46" w:name="_Toc24583"/>
      <w:r>
        <w:rPr>
          <w:rFonts w:hint="eastAsia" w:ascii="宋体" w:hAnsi="宋体" w:eastAsia="宋体"/>
          <w:b/>
          <w:color w:val="auto"/>
          <w:sz w:val="24"/>
          <w:highlight w:val="none"/>
        </w:rPr>
        <w:t>四、授权书</w:t>
      </w:r>
      <w:bookmarkEnd w:id="45"/>
      <w:bookmarkEnd w:id="46"/>
    </w:p>
    <w:p w14:paraId="6C049CB8">
      <w:pPr>
        <w:pStyle w:val="10"/>
        <w:snapToGrid w:val="0"/>
        <w:spacing w:line="360" w:lineRule="auto"/>
        <w:ind w:firstLine="480" w:firstLineChars="200"/>
        <w:jc w:val="left"/>
        <w:rPr>
          <w:rFonts w:hAnsi="宋体" w:eastAsia="宋体"/>
          <w:color w:val="auto"/>
          <w:sz w:val="24"/>
          <w:szCs w:val="28"/>
          <w:highlight w:val="none"/>
        </w:rPr>
      </w:pPr>
    </w:p>
    <w:p w14:paraId="6B43FC87">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7619A97">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8E3A8C5">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11A47639">
      <w:pPr>
        <w:spacing w:line="360" w:lineRule="auto"/>
        <w:ind w:firstLine="435"/>
        <w:rPr>
          <w:rFonts w:ascii="宋体" w:hAnsi="宋体" w:eastAsia="宋体"/>
          <w:color w:val="auto"/>
          <w:sz w:val="24"/>
          <w:highlight w:val="none"/>
        </w:rPr>
      </w:pPr>
    </w:p>
    <w:p w14:paraId="12BF306D">
      <w:pPr>
        <w:spacing w:line="360" w:lineRule="auto"/>
        <w:ind w:firstLine="435"/>
        <w:rPr>
          <w:rFonts w:ascii="宋体" w:hAnsi="宋体" w:eastAsia="宋体"/>
          <w:color w:val="auto"/>
          <w:sz w:val="24"/>
          <w:highlight w:val="none"/>
        </w:rPr>
      </w:pPr>
    </w:p>
    <w:p w14:paraId="4420678E">
      <w:pPr>
        <w:spacing w:line="360" w:lineRule="auto"/>
        <w:ind w:firstLine="435"/>
        <w:rPr>
          <w:rFonts w:ascii="宋体" w:hAnsi="宋体" w:eastAsia="宋体"/>
          <w:color w:val="auto"/>
          <w:sz w:val="24"/>
          <w:highlight w:val="none"/>
        </w:rPr>
      </w:pPr>
    </w:p>
    <w:p w14:paraId="03E413CD">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1FA9055">
      <w:pPr>
        <w:spacing w:line="360" w:lineRule="auto"/>
        <w:ind w:firstLine="435"/>
        <w:rPr>
          <w:rFonts w:hAnsi="宋体" w:eastAsia="宋体"/>
          <w:color w:val="auto"/>
          <w:sz w:val="24"/>
          <w:szCs w:val="28"/>
          <w:highlight w:val="none"/>
          <w:lang w:val="zh-CN"/>
        </w:rPr>
      </w:pPr>
    </w:p>
    <w:p w14:paraId="6898B975">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4791339A">
      <w:pPr>
        <w:spacing w:line="360" w:lineRule="auto"/>
        <w:rPr>
          <w:rFonts w:ascii="宋体" w:hAnsi="宋体" w:eastAsia="宋体"/>
          <w:color w:val="auto"/>
          <w:sz w:val="24"/>
          <w:szCs w:val="28"/>
          <w:highlight w:val="none"/>
        </w:rPr>
      </w:pPr>
    </w:p>
    <w:p w14:paraId="2D18D46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73BB45E">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1967F1C">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2939CF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3370CF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6F99EDCD">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E57C530">
      <w:pPr>
        <w:widowControl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bookmarkStart w:id="47" w:name="_Toc32226"/>
      <w:bookmarkStart w:id="48" w:name="_Toc31027"/>
      <w:r>
        <w:rPr>
          <w:rFonts w:hint="eastAsia" w:ascii="宋体" w:hAnsi="宋体" w:eastAsia="宋体"/>
          <w:b/>
          <w:color w:val="auto"/>
          <w:sz w:val="24"/>
          <w:highlight w:val="none"/>
        </w:rPr>
        <w:t>五、</w:t>
      </w:r>
      <w:r>
        <w:rPr>
          <w:rFonts w:hint="eastAsia" w:ascii="宋体" w:hAnsi="宋体" w:eastAsia="宋体" w:cs="宋体"/>
          <w:b/>
          <w:bCs w:val="0"/>
          <w:color w:val="auto"/>
          <w:kern w:val="2"/>
          <w:sz w:val="24"/>
          <w:szCs w:val="24"/>
          <w:highlight w:val="none"/>
          <w:lang w:val="en-US" w:eastAsia="zh-CN"/>
        </w:rPr>
        <w:t>诚信投标承诺书</w:t>
      </w:r>
    </w:p>
    <w:p w14:paraId="227BD403">
      <w:pPr>
        <w:widowControl w:val="0"/>
        <w:spacing w:before="0" w:beforeAutospacing="0" w:after="0" w:afterAutospacing="0" w:line="5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本人以企业法定代表人的身份郑重承诺：</w:t>
      </w:r>
    </w:p>
    <w:p w14:paraId="54DC0ABE">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一、将遵循公开、公正和诚实信用的原则自愿参加</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项目的投标，所提供的一切材料都是真实、有效、合法的；</w:t>
      </w:r>
    </w:p>
    <w:p w14:paraId="13D77033">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C91BE6D">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三、不出借、转让资质证书，不让他人挂靠投标，不以他人名义投标或者以其他方式弄虚作假，骗取中标；</w:t>
      </w:r>
    </w:p>
    <w:p w14:paraId="2A880BA4">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四、不与其他投标人相互串通投标报价，不排挤其他投标人的公平竞争、损害采购人的合法权益；</w:t>
      </w:r>
    </w:p>
    <w:p w14:paraId="6F956439">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五、不与采购人、采购代理机构或其他投标人串通投标，损害国家利益、社会公共利益或者他人的合法权益；</w:t>
      </w:r>
    </w:p>
    <w:p w14:paraId="677E9398">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u w:val="single"/>
          <w:lang w:val="en-US" w:eastAsia="zh-CN"/>
        </w:rPr>
        <w:t xml:space="preserve">       （企业名称）</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u w:val="single"/>
          <w:lang w:val="en-US" w:eastAsia="zh-CN"/>
        </w:rPr>
        <w:t xml:space="preserve">       （企业名称）</w:t>
      </w:r>
      <w:r>
        <w:rPr>
          <w:rFonts w:hint="eastAsia" w:ascii="宋体" w:hAnsi="宋体" w:eastAsia="宋体" w:cs="宋体"/>
          <w:color w:val="auto"/>
          <w:kern w:val="2"/>
          <w:sz w:val="21"/>
          <w:szCs w:val="21"/>
          <w:highlight w:val="none"/>
          <w:lang w:val="en-US" w:eastAsia="zh-CN"/>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9978BF7">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七、严格遵守开标现场纪律，服从监管人员管理；</w:t>
      </w:r>
    </w:p>
    <w:p w14:paraId="1AFC08FA">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八、保证中标后不转包，若有分包征得招标人同意；</w:t>
      </w:r>
    </w:p>
    <w:p w14:paraId="095190AC">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九、保证中标之后，按照投标文件要求提供相关后续服务；</w:t>
      </w:r>
    </w:p>
    <w:p w14:paraId="45B0F7F3">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十、保证企业及所属相关人员在本次投标中无行贿等犯罪行为；</w:t>
      </w:r>
    </w:p>
    <w:p w14:paraId="4D2FAFDB">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1567B43">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以上内容我已仔细阅读，本公司若有违反承诺内容的行为，自愿接受取消投标或者中标资格、中标无效、记入不良行为记录等有关处理，愿意承担法律责任，给采购人造成损失的，依法承担赔偿责任。</w:t>
      </w:r>
    </w:p>
    <w:p w14:paraId="620FC927">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p>
    <w:p w14:paraId="2995837F">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 </w:t>
      </w:r>
    </w:p>
    <w:p w14:paraId="7F900CFB">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开户银行：                       基本账户：</w:t>
      </w:r>
    </w:p>
    <w:p w14:paraId="2F93BD32">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投标单位（签章）：      </w:t>
      </w:r>
      <w:bookmarkStart w:id="76" w:name="_GoBack"/>
      <w:bookmarkEnd w:id="76"/>
      <w:r>
        <w:rPr>
          <w:rFonts w:hint="eastAsia" w:ascii="宋体" w:hAnsi="宋体" w:eastAsia="宋体" w:cs="宋体"/>
          <w:color w:val="auto"/>
          <w:kern w:val="2"/>
          <w:sz w:val="21"/>
          <w:szCs w:val="21"/>
          <w:highlight w:val="none"/>
          <w:lang w:val="en-US" w:eastAsia="zh-CN"/>
        </w:rPr>
        <w:t xml:space="preserve">         法定代表人（签章）：</w:t>
      </w:r>
    </w:p>
    <w:p w14:paraId="1C8B79A6">
      <w:pPr>
        <w:widowControl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 </w:t>
      </w:r>
    </w:p>
    <w:p w14:paraId="51BAEDEE">
      <w:pPr>
        <w:widowControl w:val="0"/>
        <w:spacing w:before="0" w:beforeAutospacing="0" w:after="0" w:afterAutospacing="0" w:line="560" w:lineRule="exact"/>
        <w:ind w:left="0" w:right="0"/>
        <w:jc w:val="right"/>
        <w:rPr>
          <w:rFonts w:hint="eastAsia" w:ascii="仿宋_GB2312" w:hAnsi="@仿宋_GB2312" w:eastAsia="仿宋_GB2312" w:cs="仿宋_GB2312"/>
          <w:color w:val="auto"/>
          <w:kern w:val="2"/>
          <w:sz w:val="32"/>
          <w:szCs w:val="32"/>
          <w:highlight w:val="none"/>
        </w:rPr>
      </w:pPr>
      <w:r>
        <w:rPr>
          <w:rFonts w:hint="eastAsia" w:ascii="宋体" w:hAnsi="宋体" w:eastAsia="宋体" w:cs="宋体"/>
          <w:color w:val="auto"/>
          <w:kern w:val="2"/>
          <w:sz w:val="21"/>
          <w:szCs w:val="21"/>
          <w:highlight w:val="none"/>
          <w:lang w:val="en-US" w:eastAsia="zh-CN"/>
        </w:rPr>
        <w:t>日期：</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年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月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日</w:t>
      </w:r>
    </w:p>
    <w:p w14:paraId="171D7123">
      <w:pPr>
        <w:widowControl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rPr>
        <w:t xml:space="preserve"> </w:t>
      </w:r>
    </w:p>
    <w:p w14:paraId="0D6990FF">
      <w:pPr>
        <w:widowControl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p>
    <w:p w14:paraId="6D41E395">
      <w:pPr>
        <w:spacing w:line="360" w:lineRule="auto"/>
        <w:jc w:val="center"/>
        <w:outlineLvl w:val="1"/>
        <w:rPr>
          <w:rFonts w:hint="eastAsia" w:ascii="宋体" w:hAnsi="宋体" w:eastAsia="宋体"/>
          <w:b/>
          <w:color w:val="auto"/>
          <w:sz w:val="24"/>
          <w:highlight w:val="none"/>
        </w:rPr>
      </w:pPr>
    </w:p>
    <w:p w14:paraId="036D6F1F">
      <w:pPr>
        <w:spacing w:line="360" w:lineRule="auto"/>
        <w:jc w:val="center"/>
        <w:outlineLvl w:val="1"/>
        <w:rPr>
          <w:rFonts w:hint="eastAsia" w:ascii="宋体" w:hAnsi="宋体" w:eastAsia="宋体"/>
          <w:b/>
          <w:color w:val="auto"/>
          <w:sz w:val="24"/>
          <w:highlight w:val="none"/>
        </w:rPr>
      </w:pPr>
    </w:p>
    <w:p w14:paraId="5AB43FD0">
      <w:pPr>
        <w:spacing w:line="360" w:lineRule="auto"/>
        <w:jc w:val="center"/>
        <w:outlineLvl w:val="1"/>
        <w:rPr>
          <w:rFonts w:hint="eastAsia" w:ascii="宋体" w:hAnsi="宋体" w:eastAsia="宋体"/>
          <w:b/>
          <w:color w:val="auto"/>
          <w:sz w:val="24"/>
          <w:highlight w:val="none"/>
        </w:rPr>
      </w:pPr>
    </w:p>
    <w:p w14:paraId="1B1AB6DB">
      <w:pPr>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br w:type="page"/>
      </w:r>
    </w:p>
    <w:p w14:paraId="39B99C69">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lang w:val="en-US" w:eastAsia="zh-CN"/>
        </w:rPr>
        <w:t>六、</w:t>
      </w:r>
      <w:r>
        <w:rPr>
          <w:rFonts w:hint="eastAsia" w:ascii="宋体" w:hAnsi="宋体" w:eastAsia="宋体"/>
          <w:b/>
          <w:color w:val="auto"/>
          <w:sz w:val="24"/>
          <w:highlight w:val="none"/>
        </w:rPr>
        <w:t>投标分项报价表</w:t>
      </w:r>
      <w:bookmarkEnd w:id="47"/>
      <w:bookmarkEnd w:id="48"/>
    </w:p>
    <w:p w14:paraId="390A7D1D">
      <w:pPr>
        <w:spacing w:line="360" w:lineRule="auto"/>
        <w:ind w:firstLine="435"/>
        <w:jc w:val="center"/>
        <w:rPr>
          <w:rFonts w:ascii="宋体" w:hAnsi="宋体" w:eastAsia="宋体"/>
          <w:b/>
          <w:color w:val="auto"/>
          <w:sz w:val="24"/>
          <w:highlight w:val="none"/>
        </w:rPr>
      </w:pPr>
      <w:r>
        <w:rPr>
          <w:rFonts w:hint="eastAsia" w:ascii="宋体" w:hAnsi="宋体" w:eastAsia="宋体"/>
          <w:i/>
          <w:color w:val="auto"/>
          <w:sz w:val="24"/>
          <w:highlight w:val="none"/>
        </w:rPr>
        <w:t>（仅供参考，投标人可自行制作格式）</w:t>
      </w: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07"/>
        <w:gridCol w:w="1356"/>
        <w:gridCol w:w="1696"/>
        <w:gridCol w:w="1567"/>
      </w:tblGrid>
      <w:tr w14:paraId="2DC0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0" w:type="dxa"/>
            <w:vAlign w:val="center"/>
          </w:tcPr>
          <w:p w14:paraId="021A95EB">
            <w:pPr>
              <w:spacing w:before="0" w:beforeAutospacing="0" w:after="0" w:afterAutospacing="0"/>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序号</w:t>
            </w:r>
          </w:p>
        </w:tc>
        <w:tc>
          <w:tcPr>
            <w:tcW w:w="3107" w:type="dxa"/>
            <w:vAlign w:val="center"/>
          </w:tcPr>
          <w:p w14:paraId="5321B508">
            <w:pPr>
              <w:spacing w:before="0" w:beforeAutospacing="0" w:after="0" w:afterAutospacing="0"/>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服务内容</w:t>
            </w:r>
          </w:p>
        </w:tc>
        <w:tc>
          <w:tcPr>
            <w:tcW w:w="1356" w:type="dxa"/>
            <w:vAlign w:val="center"/>
          </w:tcPr>
          <w:p w14:paraId="0C75BC41">
            <w:pPr>
              <w:spacing w:before="0" w:beforeAutospacing="0" w:after="0" w:afterAutospacing="0"/>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项</w:t>
            </w:r>
          </w:p>
        </w:tc>
        <w:tc>
          <w:tcPr>
            <w:tcW w:w="1696" w:type="dxa"/>
            <w:vAlign w:val="center"/>
          </w:tcPr>
          <w:p w14:paraId="2591ED34">
            <w:pPr>
              <w:spacing w:before="0" w:beforeAutospacing="0" w:after="0" w:afterAutospacing="0"/>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单价</w:t>
            </w:r>
          </w:p>
        </w:tc>
        <w:tc>
          <w:tcPr>
            <w:tcW w:w="1567" w:type="dxa"/>
            <w:vAlign w:val="center"/>
          </w:tcPr>
          <w:p w14:paraId="4C0C6809">
            <w:pPr>
              <w:spacing w:before="0" w:beforeAutospacing="0" w:after="0" w:afterAutospacing="0"/>
              <w:ind w:left="0" w:right="0"/>
              <w:jc w:val="center"/>
              <w:rPr>
                <w:rFonts w:hint="default"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小计金额（元）</w:t>
            </w:r>
          </w:p>
        </w:tc>
      </w:tr>
      <w:tr w14:paraId="14B0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bottom w:val="single" w:color="auto" w:sz="4" w:space="0"/>
            </w:tcBorders>
            <w:vAlign w:val="center"/>
          </w:tcPr>
          <w:p w14:paraId="3248DE74">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w:t>
            </w:r>
          </w:p>
        </w:tc>
        <w:tc>
          <w:tcPr>
            <w:tcW w:w="3107" w:type="dxa"/>
            <w:vAlign w:val="center"/>
          </w:tcPr>
          <w:p w14:paraId="7F2DA551">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356" w:type="dxa"/>
            <w:vAlign w:val="center"/>
          </w:tcPr>
          <w:p w14:paraId="501192A4">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696" w:type="dxa"/>
            <w:vAlign w:val="center"/>
          </w:tcPr>
          <w:p w14:paraId="1048F1DF">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67" w:type="dxa"/>
            <w:vAlign w:val="center"/>
          </w:tcPr>
          <w:p w14:paraId="7841FEE0">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4220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40330369">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w:t>
            </w:r>
          </w:p>
        </w:tc>
        <w:tc>
          <w:tcPr>
            <w:tcW w:w="3107" w:type="dxa"/>
            <w:vAlign w:val="center"/>
          </w:tcPr>
          <w:p w14:paraId="1B724EC7">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356" w:type="dxa"/>
            <w:vAlign w:val="center"/>
          </w:tcPr>
          <w:p w14:paraId="0181D0E5">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696" w:type="dxa"/>
            <w:vAlign w:val="center"/>
          </w:tcPr>
          <w:p w14:paraId="527B4F82">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67" w:type="dxa"/>
            <w:vAlign w:val="center"/>
          </w:tcPr>
          <w:p w14:paraId="6923440C">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2371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17497B5D">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3</w:t>
            </w:r>
          </w:p>
        </w:tc>
        <w:tc>
          <w:tcPr>
            <w:tcW w:w="3107" w:type="dxa"/>
            <w:vAlign w:val="center"/>
          </w:tcPr>
          <w:p w14:paraId="0842CFBE">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356" w:type="dxa"/>
            <w:vAlign w:val="center"/>
          </w:tcPr>
          <w:p w14:paraId="4C886CF4">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696" w:type="dxa"/>
            <w:vAlign w:val="center"/>
          </w:tcPr>
          <w:p w14:paraId="34608EDA">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67" w:type="dxa"/>
            <w:vAlign w:val="center"/>
          </w:tcPr>
          <w:p w14:paraId="1718962B">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7C04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2DA691C9">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default" w:ascii="宋体" w:hAnsi="宋体" w:eastAsia="宋体" w:cs="Times New Roman"/>
                <w:color w:val="auto"/>
                <w:sz w:val="24"/>
                <w:szCs w:val="20"/>
                <w:highlight w:val="none"/>
              </w:rPr>
              <w:t>…</w:t>
            </w:r>
          </w:p>
        </w:tc>
        <w:tc>
          <w:tcPr>
            <w:tcW w:w="3107" w:type="dxa"/>
            <w:vAlign w:val="center"/>
          </w:tcPr>
          <w:p w14:paraId="15AEC3F6">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356" w:type="dxa"/>
            <w:vAlign w:val="center"/>
          </w:tcPr>
          <w:p w14:paraId="72ED88FC">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696" w:type="dxa"/>
            <w:vAlign w:val="center"/>
          </w:tcPr>
          <w:p w14:paraId="7D56B95A">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67" w:type="dxa"/>
            <w:vAlign w:val="center"/>
          </w:tcPr>
          <w:p w14:paraId="4C7E6362">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0ED4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6099EC3B">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3107" w:type="dxa"/>
            <w:vAlign w:val="center"/>
          </w:tcPr>
          <w:p w14:paraId="52AFE9EF">
            <w:pPr>
              <w:pStyle w:val="46"/>
              <w:spacing w:before="0" w:beforeAutospacing="0" w:after="0" w:afterAutospacing="0"/>
              <w:ind w:left="-108" w:right="0"/>
              <w:jc w:val="center"/>
              <w:rPr>
                <w:rFonts w:hint="default"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其他费用</w:t>
            </w:r>
          </w:p>
        </w:tc>
        <w:tc>
          <w:tcPr>
            <w:tcW w:w="1356" w:type="dxa"/>
            <w:vAlign w:val="center"/>
          </w:tcPr>
          <w:p w14:paraId="1352EB6F">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696" w:type="dxa"/>
            <w:vAlign w:val="center"/>
          </w:tcPr>
          <w:p w14:paraId="4B3C98B9">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67" w:type="dxa"/>
            <w:vAlign w:val="center"/>
          </w:tcPr>
          <w:p w14:paraId="3BD35A8C">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0060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23908943">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3107" w:type="dxa"/>
            <w:vAlign w:val="center"/>
          </w:tcPr>
          <w:p w14:paraId="1C65E9BA">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default" w:ascii="宋体" w:hAnsi="宋体" w:eastAsia="宋体" w:cs="Times New Roman"/>
                <w:color w:val="auto"/>
                <w:sz w:val="24"/>
                <w:szCs w:val="20"/>
                <w:highlight w:val="none"/>
              </w:rPr>
              <w:t>……</w:t>
            </w:r>
          </w:p>
        </w:tc>
        <w:tc>
          <w:tcPr>
            <w:tcW w:w="1356" w:type="dxa"/>
            <w:vAlign w:val="center"/>
          </w:tcPr>
          <w:p w14:paraId="4D84E6BF">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696" w:type="dxa"/>
            <w:vAlign w:val="center"/>
          </w:tcPr>
          <w:p w14:paraId="755EE61B">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67" w:type="dxa"/>
            <w:vAlign w:val="center"/>
          </w:tcPr>
          <w:p w14:paraId="4F1AE4D4">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2949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49" w:type="dxa"/>
            <w:gridSpan w:val="4"/>
            <w:vAlign w:val="center"/>
          </w:tcPr>
          <w:p w14:paraId="331D0568">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b/>
                <w:color w:val="auto"/>
                <w:sz w:val="24"/>
                <w:szCs w:val="20"/>
                <w:highlight w:val="none"/>
              </w:rPr>
              <w:t>合计金额（元）</w:t>
            </w:r>
          </w:p>
        </w:tc>
        <w:tc>
          <w:tcPr>
            <w:tcW w:w="1567" w:type="dxa"/>
            <w:vAlign w:val="center"/>
          </w:tcPr>
          <w:p w14:paraId="757EBE1C">
            <w:pPr>
              <w:spacing w:before="0" w:beforeAutospacing="0" w:after="0" w:afterAutospacing="0"/>
              <w:ind w:left="0" w:right="0"/>
              <w:jc w:val="center"/>
              <w:rPr>
                <w:rFonts w:hint="default" w:ascii="宋体" w:hAnsi="宋体" w:eastAsia="宋体" w:cs="Times New Roman"/>
                <w:color w:val="auto"/>
                <w:sz w:val="24"/>
                <w:szCs w:val="20"/>
                <w:highlight w:val="none"/>
              </w:rPr>
            </w:pPr>
          </w:p>
        </w:tc>
      </w:tr>
    </w:tbl>
    <w:p w14:paraId="3DBE721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FA3A886">
      <w:pPr>
        <w:tabs>
          <w:tab w:val="left" w:pos="630"/>
        </w:tabs>
        <w:spacing w:line="360" w:lineRule="auto"/>
        <w:ind w:firstLine="4800" w:firstLineChars="2000"/>
        <w:rPr>
          <w:rFonts w:ascii="宋体" w:hAnsi="宋体" w:eastAsia="宋体"/>
          <w:b/>
          <w:bCs/>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358B372">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25A2234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所列服务为对应本项目需求的全部服务内容。如有漏项或缺项，投标人承担全部责任。</w:t>
      </w:r>
    </w:p>
    <w:p w14:paraId="5E30D0C9">
      <w:pPr>
        <w:pStyle w:val="8"/>
        <w:rPr>
          <w:rFonts w:hint="eastAsia" w:ascii="宋体" w:hAnsi="宋体" w:eastAsia="宋体"/>
          <w:color w:val="auto"/>
          <w:sz w:val="24"/>
          <w:highlight w:val="none"/>
        </w:rPr>
      </w:pPr>
    </w:p>
    <w:p w14:paraId="1B45671F">
      <w:pPr>
        <w:rPr>
          <w:rFonts w:hint="eastAsia" w:ascii="宋体" w:hAnsi="宋体" w:eastAsia="宋体"/>
          <w:b/>
          <w:color w:val="auto"/>
          <w:sz w:val="24"/>
          <w:highlight w:val="none"/>
        </w:rPr>
      </w:pPr>
      <w:bookmarkStart w:id="49" w:name="_Toc20329"/>
      <w:r>
        <w:rPr>
          <w:rFonts w:hint="eastAsia" w:ascii="宋体" w:hAnsi="宋体" w:eastAsia="宋体"/>
          <w:b/>
          <w:color w:val="auto"/>
          <w:sz w:val="24"/>
          <w:highlight w:val="none"/>
        </w:rPr>
        <w:br w:type="page"/>
      </w:r>
    </w:p>
    <w:p w14:paraId="1400C539">
      <w:pPr>
        <w:spacing w:line="360" w:lineRule="auto"/>
        <w:jc w:val="center"/>
        <w:outlineLvl w:val="1"/>
        <w:rPr>
          <w:rFonts w:hint="default" w:ascii="宋体" w:hAnsi="宋体" w:eastAsia="宋体"/>
          <w:b/>
          <w:color w:val="auto"/>
          <w:sz w:val="24"/>
          <w:highlight w:val="none"/>
          <w:lang w:val="en-US" w:eastAsia="zh-CN"/>
        </w:rPr>
      </w:pPr>
      <w:bookmarkStart w:id="50" w:name="_Toc15209"/>
      <w:r>
        <w:rPr>
          <w:rFonts w:hint="eastAsia" w:ascii="宋体" w:hAnsi="宋体" w:eastAsia="宋体"/>
          <w:b/>
          <w:color w:val="auto"/>
          <w:sz w:val="24"/>
          <w:highlight w:val="none"/>
          <w:lang w:val="en-US" w:eastAsia="zh-CN"/>
        </w:rPr>
        <w:t>七</w:t>
      </w:r>
      <w:r>
        <w:rPr>
          <w:rFonts w:hint="eastAsia" w:ascii="宋体" w:hAnsi="宋体" w:eastAsia="宋体"/>
          <w:b/>
          <w:color w:val="auto"/>
          <w:sz w:val="24"/>
          <w:highlight w:val="none"/>
        </w:rPr>
        <w:t>、投标响应表</w:t>
      </w:r>
      <w:bookmarkEnd w:id="49"/>
      <w:bookmarkEnd w:id="50"/>
    </w:p>
    <w:p w14:paraId="6B9CC0EC">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5"/>
        <w:gridCol w:w="2496"/>
        <w:gridCol w:w="2573"/>
        <w:gridCol w:w="810"/>
      </w:tblGrid>
      <w:tr w14:paraId="4768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2" w:type="dxa"/>
            <w:vAlign w:val="center"/>
          </w:tcPr>
          <w:p w14:paraId="76153356">
            <w:pPr>
              <w:pStyle w:val="10"/>
              <w:spacing w:before="0" w:beforeAutospacing="0" w:after="0" w:afterAutospacing="0"/>
              <w:ind w:left="0" w:right="0"/>
              <w:jc w:val="center"/>
              <w:rPr>
                <w:rFonts w:hint="default" w:ascii="宋体" w:hAnsi="宋体" w:cs="Wingdings"/>
                <w:b/>
                <w:color w:val="auto"/>
                <w:sz w:val="24"/>
                <w:szCs w:val="20"/>
                <w:highlight w:val="none"/>
              </w:rPr>
            </w:pPr>
            <w:r>
              <w:rPr>
                <w:rFonts w:hint="eastAsia" w:ascii="宋体" w:hAnsi="宋体" w:cs="Wingdings"/>
                <w:b/>
                <w:color w:val="auto"/>
                <w:sz w:val="24"/>
                <w:szCs w:val="20"/>
                <w:highlight w:val="none"/>
              </w:rPr>
              <w:t>序号</w:t>
            </w:r>
          </w:p>
        </w:tc>
        <w:tc>
          <w:tcPr>
            <w:tcW w:w="1915" w:type="dxa"/>
            <w:vAlign w:val="center"/>
          </w:tcPr>
          <w:p w14:paraId="25D2B14F">
            <w:pPr>
              <w:pStyle w:val="10"/>
              <w:spacing w:before="0" w:beforeAutospacing="0" w:after="0" w:afterAutospacing="0"/>
              <w:ind w:left="0" w:right="0"/>
              <w:jc w:val="center"/>
              <w:rPr>
                <w:rFonts w:hint="default" w:ascii="宋体" w:hAnsi="宋体" w:cs="Wingdings"/>
                <w:b/>
                <w:color w:val="auto"/>
                <w:sz w:val="24"/>
                <w:szCs w:val="20"/>
                <w:highlight w:val="none"/>
              </w:rPr>
            </w:pPr>
            <w:r>
              <w:rPr>
                <w:rFonts w:hint="eastAsia" w:ascii="宋体" w:hAnsi="宋体" w:cs="Times New Roman"/>
                <w:b/>
                <w:bCs/>
                <w:color w:val="auto"/>
                <w:sz w:val="24"/>
                <w:szCs w:val="24"/>
                <w:highlight w:val="none"/>
              </w:rPr>
              <w:t>商务条款</w:t>
            </w:r>
          </w:p>
        </w:tc>
        <w:tc>
          <w:tcPr>
            <w:tcW w:w="2496" w:type="dxa"/>
            <w:vAlign w:val="center"/>
          </w:tcPr>
          <w:p w14:paraId="4748C0DA">
            <w:pPr>
              <w:pStyle w:val="10"/>
              <w:spacing w:before="0" w:beforeAutospacing="0" w:after="0" w:afterAutospacing="0"/>
              <w:ind w:left="0" w:right="0"/>
              <w:jc w:val="center"/>
              <w:rPr>
                <w:rFonts w:hint="default" w:ascii="宋体" w:hAnsi="宋体" w:cs="Wingdings"/>
                <w:b/>
                <w:color w:val="auto"/>
                <w:sz w:val="24"/>
                <w:szCs w:val="20"/>
                <w:highlight w:val="none"/>
              </w:rPr>
            </w:pPr>
            <w:r>
              <w:rPr>
                <w:rFonts w:hint="eastAsia" w:ascii="宋体" w:hAnsi="宋体" w:cs="Wingdings"/>
                <w:b/>
                <w:color w:val="auto"/>
                <w:sz w:val="24"/>
                <w:szCs w:val="20"/>
                <w:highlight w:val="none"/>
              </w:rPr>
              <w:t>招标文件要求</w:t>
            </w:r>
          </w:p>
        </w:tc>
        <w:tc>
          <w:tcPr>
            <w:tcW w:w="2573" w:type="dxa"/>
            <w:vAlign w:val="center"/>
          </w:tcPr>
          <w:p w14:paraId="6E45AB6E">
            <w:pPr>
              <w:pStyle w:val="10"/>
              <w:spacing w:before="0" w:beforeAutospacing="0" w:after="0" w:afterAutospacing="0"/>
              <w:ind w:left="0" w:right="0"/>
              <w:jc w:val="center"/>
              <w:rPr>
                <w:rFonts w:hint="default" w:ascii="宋体" w:hAnsi="宋体" w:cs="Wingdings"/>
                <w:b/>
                <w:color w:val="auto"/>
                <w:sz w:val="24"/>
                <w:szCs w:val="20"/>
                <w:highlight w:val="none"/>
              </w:rPr>
            </w:pPr>
            <w:r>
              <w:rPr>
                <w:rFonts w:hint="eastAsia" w:ascii="宋体" w:hAnsi="宋体" w:cs="Wingdings"/>
                <w:b/>
                <w:color w:val="auto"/>
                <w:sz w:val="24"/>
                <w:szCs w:val="20"/>
                <w:highlight w:val="none"/>
              </w:rPr>
              <w:t>投标人承诺</w:t>
            </w:r>
          </w:p>
        </w:tc>
        <w:tc>
          <w:tcPr>
            <w:tcW w:w="810" w:type="dxa"/>
            <w:vAlign w:val="center"/>
          </w:tcPr>
          <w:p w14:paraId="36443E45">
            <w:pPr>
              <w:pStyle w:val="10"/>
              <w:spacing w:before="0" w:beforeAutospacing="0" w:after="0" w:afterAutospacing="0"/>
              <w:ind w:left="0" w:right="0"/>
              <w:jc w:val="center"/>
              <w:rPr>
                <w:rFonts w:hint="default" w:ascii="宋体" w:hAnsi="宋体" w:cs="Wingdings"/>
                <w:b/>
                <w:color w:val="auto"/>
                <w:sz w:val="24"/>
                <w:szCs w:val="20"/>
                <w:highlight w:val="none"/>
              </w:rPr>
            </w:pPr>
            <w:r>
              <w:rPr>
                <w:rFonts w:hint="eastAsia" w:ascii="宋体" w:hAnsi="宋体" w:cs="Wingdings"/>
                <w:b/>
                <w:color w:val="auto"/>
                <w:sz w:val="24"/>
                <w:szCs w:val="20"/>
                <w:highlight w:val="none"/>
              </w:rPr>
              <w:t>偏离说明</w:t>
            </w:r>
          </w:p>
        </w:tc>
      </w:tr>
      <w:tr w14:paraId="0C28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016B30D9">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default" w:ascii="宋体" w:hAnsi="宋体" w:eastAsia="宋体" w:cs="Times New Roman"/>
                <w:color w:val="auto"/>
                <w:sz w:val="24"/>
                <w:szCs w:val="20"/>
                <w:highlight w:val="none"/>
              </w:rPr>
              <w:t>1</w:t>
            </w:r>
          </w:p>
        </w:tc>
        <w:tc>
          <w:tcPr>
            <w:tcW w:w="1915" w:type="dxa"/>
            <w:vAlign w:val="center"/>
          </w:tcPr>
          <w:p w14:paraId="135C87FF">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default" w:ascii="宋体" w:hAnsi="宋体" w:eastAsia="宋体" w:cs="Times New Roman"/>
                <w:color w:val="auto"/>
                <w:sz w:val="24"/>
                <w:szCs w:val="20"/>
                <w:highlight w:val="none"/>
              </w:rPr>
              <w:t>付款方式</w:t>
            </w:r>
          </w:p>
        </w:tc>
        <w:tc>
          <w:tcPr>
            <w:tcW w:w="2496" w:type="dxa"/>
            <w:vAlign w:val="center"/>
          </w:tcPr>
          <w:p w14:paraId="0B930AE7">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2573" w:type="dxa"/>
            <w:vAlign w:val="center"/>
          </w:tcPr>
          <w:p w14:paraId="238E2E4A">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10" w:type="dxa"/>
            <w:vAlign w:val="center"/>
          </w:tcPr>
          <w:p w14:paraId="003549E3">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73E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7C6C8A48">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2</w:t>
            </w:r>
          </w:p>
        </w:tc>
        <w:tc>
          <w:tcPr>
            <w:tcW w:w="1915" w:type="dxa"/>
            <w:vAlign w:val="center"/>
          </w:tcPr>
          <w:p w14:paraId="05D34311">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服务地点</w:t>
            </w:r>
          </w:p>
        </w:tc>
        <w:tc>
          <w:tcPr>
            <w:tcW w:w="2496" w:type="dxa"/>
            <w:vAlign w:val="center"/>
          </w:tcPr>
          <w:p w14:paraId="7631CED0">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2573" w:type="dxa"/>
            <w:vAlign w:val="center"/>
          </w:tcPr>
          <w:p w14:paraId="7867A801">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10" w:type="dxa"/>
            <w:vAlign w:val="center"/>
          </w:tcPr>
          <w:p w14:paraId="3AEE730E">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205F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2F8FBA19">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3</w:t>
            </w:r>
          </w:p>
        </w:tc>
        <w:tc>
          <w:tcPr>
            <w:tcW w:w="1915" w:type="dxa"/>
            <w:vAlign w:val="center"/>
          </w:tcPr>
          <w:p w14:paraId="3017010E">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服务期限</w:t>
            </w:r>
          </w:p>
        </w:tc>
        <w:tc>
          <w:tcPr>
            <w:tcW w:w="2496" w:type="dxa"/>
            <w:vAlign w:val="center"/>
          </w:tcPr>
          <w:p w14:paraId="164E5FE4">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2573" w:type="dxa"/>
            <w:vAlign w:val="center"/>
          </w:tcPr>
          <w:p w14:paraId="565CB396">
            <w:pPr>
              <w:pStyle w:val="46"/>
              <w:spacing w:before="0" w:beforeAutospacing="0" w:after="0" w:afterAutospacing="0"/>
              <w:ind w:left="0" w:right="0"/>
              <w:jc w:val="center"/>
              <w:rPr>
                <w:rFonts w:hint="default" w:ascii="宋体" w:hAnsi="宋体" w:eastAsia="宋体" w:cs="Times New Roman"/>
                <w:color w:val="auto"/>
                <w:sz w:val="20"/>
                <w:szCs w:val="20"/>
                <w:highlight w:val="none"/>
              </w:rPr>
            </w:pPr>
          </w:p>
        </w:tc>
        <w:tc>
          <w:tcPr>
            <w:tcW w:w="810" w:type="dxa"/>
            <w:vAlign w:val="center"/>
          </w:tcPr>
          <w:p w14:paraId="2C2BA92E">
            <w:pPr>
              <w:spacing w:before="0" w:beforeAutospacing="0" w:after="0" w:afterAutospacing="0"/>
              <w:ind w:left="0" w:right="0"/>
              <w:jc w:val="center"/>
              <w:rPr>
                <w:rFonts w:hint="default" w:ascii="宋体" w:hAnsi="宋体" w:eastAsia="宋体" w:cs="Times New Roman"/>
                <w:color w:val="auto"/>
                <w:sz w:val="24"/>
                <w:szCs w:val="20"/>
                <w:highlight w:val="none"/>
              </w:rPr>
            </w:pPr>
          </w:p>
        </w:tc>
      </w:tr>
      <w:tr w14:paraId="6251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779AEEAB">
            <w:pPr>
              <w:spacing w:before="0" w:beforeAutospacing="0" w:after="0" w:afterAutospacing="0"/>
              <w:ind w:left="0" w:right="0"/>
              <w:jc w:val="center"/>
              <w:rPr>
                <w:rFonts w:hint="default"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w:t>
            </w:r>
          </w:p>
        </w:tc>
        <w:tc>
          <w:tcPr>
            <w:tcW w:w="1915" w:type="dxa"/>
            <w:vAlign w:val="center"/>
          </w:tcPr>
          <w:p w14:paraId="7FB9E8CD">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2496" w:type="dxa"/>
            <w:vAlign w:val="center"/>
          </w:tcPr>
          <w:p w14:paraId="57B4EC4B">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2573" w:type="dxa"/>
            <w:vAlign w:val="center"/>
          </w:tcPr>
          <w:p w14:paraId="392D0FAF">
            <w:pPr>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10" w:type="dxa"/>
            <w:vAlign w:val="center"/>
          </w:tcPr>
          <w:p w14:paraId="67DF302C">
            <w:pPr>
              <w:spacing w:before="0" w:beforeAutospacing="0" w:after="0" w:afterAutospacing="0"/>
              <w:ind w:left="0" w:right="0"/>
              <w:jc w:val="center"/>
              <w:rPr>
                <w:rFonts w:hint="default" w:ascii="宋体" w:hAnsi="宋体" w:eastAsia="宋体" w:cs="Times New Roman"/>
                <w:color w:val="auto"/>
                <w:sz w:val="24"/>
                <w:szCs w:val="20"/>
                <w:highlight w:val="none"/>
              </w:rPr>
            </w:pPr>
          </w:p>
        </w:tc>
      </w:tr>
    </w:tbl>
    <w:p w14:paraId="2C4B41FE">
      <w:pPr>
        <w:widowControl w:val="0"/>
        <w:spacing w:before="0" w:beforeAutospacing="0" w:after="0" w:afterAutospacing="0" w:line="360" w:lineRule="auto"/>
        <w:ind w:left="0" w:right="0" w:firstLine="4800" w:firstLineChars="2000"/>
        <w:jc w:val="both"/>
        <w:rPr>
          <w:rFonts w:hint="eastAsia" w:ascii="宋体" w:hAnsi="宋体" w:eastAsia="宋体" w:cs="@仿宋_GB2312"/>
          <w:kern w:val="2"/>
          <w:sz w:val="24"/>
          <w:szCs w:val="24"/>
          <w:highlight w:val="none"/>
          <w:u w:val="single"/>
        </w:rPr>
      </w:pPr>
    </w:p>
    <w:p w14:paraId="1B41CA20">
      <w:pPr>
        <w:tabs>
          <w:tab w:val="left" w:pos="630"/>
        </w:tabs>
        <w:spacing w:line="360" w:lineRule="auto"/>
        <w:ind w:firstLine="4800" w:firstLineChars="2000"/>
        <w:rPr>
          <w:rFonts w:ascii="宋体" w:hAnsi="宋体" w:eastAsia="宋体"/>
          <w:color w:val="auto"/>
          <w:sz w:val="24"/>
          <w:highlight w:val="none"/>
          <w:u w:val="single"/>
        </w:rPr>
      </w:pPr>
    </w:p>
    <w:p w14:paraId="1A0ADE66">
      <w:pPr>
        <w:pStyle w:val="11"/>
        <w:spacing w:line="360" w:lineRule="auto"/>
        <w:rPr>
          <w:rFonts w:ascii="宋体" w:hAnsi="宋体" w:eastAsia="宋体"/>
          <w:b w:val="0"/>
          <w:color w:val="auto"/>
          <w:sz w:val="24"/>
          <w:highlight w:val="none"/>
        </w:rPr>
      </w:pPr>
      <w:r>
        <w:rPr>
          <w:rFonts w:ascii="宋体" w:hAnsi="宋体" w:eastAsia="宋体"/>
          <w:b w:val="0"/>
          <w:color w:val="auto"/>
          <w:sz w:val="24"/>
          <w:highlight w:val="none"/>
        </w:rPr>
        <w:br w:type="page"/>
      </w:r>
    </w:p>
    <w:p w14:paraId="5DC106AB">
      <w:pPr>
        <w:spacing w:line="360" w:lineRule="auto"/>
        <w:jc w:val="center"/>
        <w:outlineLvl w:val="1"/>
        <w:rPr>
          <w:rFonts w:hint="eastAsia" w:ascii="宋体" w:hAnsi="宋体" w:eastAsia="宋体"/>
          <w:b/>
          <w:color w:val="auto"/>
          <w:sz w:val="24"/>
          <w:highlight w:val="none"/>
          <w:lang w:val="en-US" w:eastAsia="zh-CN"/>
        </w:rPr>
      </w:pPr>
      <w:bookmarkStart w:id="51" w:name="_Toc23068"/>
      <w:r>
        <w:rPr>
          <w:rFonts w:hint="eastAsia" w:ascii="宋体" w:hAnsi="宋体" w:eastAsia="宋体"/>
          <w:b/>
          <w:color w:val="auto"/>
          <w:sz w:val="24"/>
          <w:highlight w:val="none"/>
          <w:lang w:val="en-US" w:eastAsia="zh-CN"/>
        </w:rPr>
        <w:t>八、中小企业声明函</w:t>
      </w:r>
      <w:bookmarkEnd w:id="51"/>
    </w:p>
    <w:p w14:paraId="072E455B">
      <w:pPr>
        <w:pStyle w:val="8"/>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294BDD24">
      <w:pPr>
        <w:rPr>
          <w:rFonts w:ascii="宋体" w:hAnsi="宋体" w:eastAsia="宋体"/>
          <w:color w:val="auto"/>
          <w:sz w:val="24"/>
          <w:szCs w:val="24"/>
          <w:highlight w:val="none"/>
        </w:rPr>
      </w:pPr>
    </w:p>
    <w:p w14:paraId="0F1361E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5C9A3CC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A0CB2C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4DBD5A2">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1E03C6A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0C99B5D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42FEC6DB">
      <w:pPr>
        <w:spacing w:line="360" w:lineRule="auto"/>
        <w:ind w:firstLine="435"/>
        <w:rPr>
          <w:rFonts w:ascii="宋体" w:hAnsi="宋体" w:eastAsia="宋体"/>
          <w:color w:val="auto"/>
          <w:sz w:val="24"/>
          <w:szCs w:val="24"/>
          <w:highlight w:val="none"/>
        </w:rPr>
      </w:pPr>
    </w:p>
    <w:p w14:paraId="5CDBB8B6">
      <w:pPr>
        <w:spacing w:line="360" w:lineRule="auto"/>
        <w:ind w:firstLine="435"/>
        <w:rPr>
          <w:rFonts w:ascii="宋体" w:hAnsi="宋体" w:eastAsia="宋体"/>
          <w:color w:val="auto"/>
          <w:sz w:val="24"/>
          <w:szCs w:val="24"/>
          <w:highlight w:val="none"/>
        </w:rPr>
      </w:pPr>
    </w:p>
    <w:p w14:paraId="74AA3AB8">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14:paraId="04486EEB">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14:paraId="4B847955">
      <w:pPr>
        <w:tabs>
          <w:tab w:val="left" w:pos="4620"/>
        </w:tabs>
        <w:spacing w:line="360" w:lineRule="auto"/>
        <w:jc w:val="left"/>
        <w:rPr>
          <w:rFonts w:ascii="宋体" w:hAnsi="宋体" w:eastAsia="宋体"/>
          <w:color w:val="auto"/>
          <w:sz w:val="24"/>
          <w:szCs w:val="24"/>
          <w:highlight w:val="none"/>
        </w:rPr>
      </w:pPr>
    </w:p>
    <w:p w14:paraId="586F8F05">
      <w:pPr>
        <w:tabs>
          <w:tab w:val="left" w:pos="4620"/>
        </w:tabs>
        <w:spacing w:line="360" w:lineRule="auto"/>
        <w:jc w:val="left"/>
        <w:rPr>
          <w:rFonts w:ascii="宋体" w:hAnsi="宋体" w:eastAsia="宋体"/>
          <w:color w:val="auto"/>
          <w:sz w:val="24"/>
          <w:szCs w:val="24"/>
          <w:highlight w:val="none"/>
        </w:rPr>
      </w:pPr>
    </w:p>
    <w:p w14:paraId="40D12F1D">
      <w:pPr>
        <w:tabs>
          <w:tab w:val="left" w:pos="4620"/>
        </w:tabs>
        <w:spacing w:line="360" w:lineRule="auto"/>
        <w:jc w:val="left"/>
        <w:rPr>
          <w:rFonts w:ascii="宋体" w:hAnsi="宋体" w:eastAsia="宋体"/>
          <w:color w:val="auto"/>
          <w:sz w:val="24"/>
          <w:szCs w:val="24"/>
          <w:highlight w:val="none"/>
        </w:rPr>
      </w:pPr>
    </w:p>
    <w:p w14:paraId="6C58B3B5">
      <w:pPr>
        <w:tabs>
          <w:tab w:val="left" w:pos="4620"/>
        </w:tabs>
        <w:spacing w:line="360" w:lineRule="auto"/>
        <w:jc w:val="left"/>
        <w:rPr>
          <w:rFonts w:ascii="宋体" w:hAnsi="宋体" w:eastAsia="宋体"/>
          <w:color w:val="auto"/>
          <w:sz w:val="24"/>
          <w:szCs w:val="24"/>
          <w:highlight w:val="none"/>
        </w:rPr>
      </w:pPr>
    </w:p>
    <w:p w14:paraId="080001EC">
      <w:pPr>
        <w:tabs>
          <w:tab w:val="left" w:pos="4620"/>
        </w:tabs>
        <w:spacing w:line="360" w:lineRule="auto"/>
        <w:jc w:val="left"/>
        <w:outlineLvl w:val="9"/>
        <w:rPr>
          <w:rFonts w:hint="eastAsia" w:ascii="宋体" w:hAnsi="宋体" w:eastAsia="宋体"/>
          <w:b/>
          <w:color w:val="auto"/>
          <w:szCs w:val="24"/>
          <w:highlight w:val="none"/>
          <w:lang w:eastAsia="zh-CN"/>
        </w:rPr>
      </w:pPr>
      <w:r>
        <w:rPr>
          <w:rFonts w:hint="eastAsia" w:ascii="宋体" w:hAnsi="宋体" w:eastAsia="宋体"/>
          <w:b/>
          <w:color w:val="auto"/>
          <w:szCs w:val="24"/>
          <w:highlight w:val="none"/>
          <w:lang w:eastAsia="zh-CN"/>
        </w:rPr>
        <w:t>注：</w:t>
      </w:r>
    </w:p>
    <w:p w14:paraId="653ADD0F">
      <w:pPr>
        <w:tabs>
          <w:tab w:val="left" w:pos="4620"/>
        </w:tabs>
        <w:spacing w:line="360" w:lineRule="auto"/>
        <w:rPr>
          <w:rFonts w:ascii="宋体" w:hAnsi="宋体" w:eastAsia="宋体"/>
          <w:color w:val="auto"/>
          <w:szCs w:val="24"/>
          <w:highlight w:val="none"/>
        </w:rPr>
      </w:pPr>
      <w:r>
        <w:rPr>
          <w:rFonts w:ascii="宋体" w:hAnsi="宋体" w:eastAsia="宋体"/>
          <w:color w:val="auto"/>
          <w:szCs w:val="24"/>
          <w:highlight w:val="none"/>
        </w:rPr>
        <w:t>1.从业人员、营业收入、资产总额填报上一年数据，无上一年数据的新成立企业可不填报。</w:t>
      </w:r>
    </w:p>
    <w:p w14:paraId="2E1F1E52">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2A9D30D">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620073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62B2506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0D458C23">
      <w:pPr>
        <w:pStyle w:val="8"/>
        <w:rPr>
          <w:rFonts w:hint="eastAsia" w:ascii="宋体" w:hAnsi="宋体" w:eastAsia="宋体"/>
          <w:b/>
          <w:bCs/>
          <w:color w:val="auto"/>
          <w:szCs w:val="24"/>
          <w:highlight w:val="none"/>
        </w:rPr>
      </w:pPr>
    </w:p>
    <w:p w14:paraId="062CCC4A">
      <w:pPr>
        <w:rPr>
          <w:rFonts w:hint="eastAsia" w:ascii="宋体" w:hAnsi="宋体" w:eastAsia="宋体"/>
          <w:b/>
          <w:color w:val="auto"/>
          <w:sz w:val="24"/>
          <w:highlight w:val="none"/>
        </w:rPr>
      </w:pPr>
      <w:bookmarkStart w:id="52" w:name="_Toc16713"/>
      <w:r>
        <w:rPr>
          <w:rFonts w:hint="eastAsia" w:ascii="宋体" w:hAnsi="宋体" w:eastAsia="宋体"/>
          <w:b/>
          <w:color w:val="auto"/>
          <w:sz w:val="24"/>
          <w:highlight w:val="none"/>
        </w:rPr>
        <w:br w:type="page"/>
      </w:r>
    </w:p>
    <w:p w14:paraId="6F375D99">
      <w:pPr>
        <w:spacing w:line="360" w:lineRule="auto"/>
        <w:jc w:val="center"/>
        <w:outlineLvl w:val="1"/>
        <w:rPr>
          <w:rFonts w:hint="eastAsia" w:ascii="宋体" w:hAnsi="宋体" w:eastAsia="宋体"/>
          <w:b/>
          <w:color w:val="auto"/>
          <w:sz w:val="24"/>
          <w:highlight w:val="none"/>
          <w:lang w:val="en-US" w:eastAsia="zh-CN"/>
        </w:rPr>
      </w:pPr>
      <w:bookmarkStart w:id="53" w:name="_Toc17315"/>
      <w:r>
        <w:rPr>
          <w:rFonts w:hint="eastAsia" w:ascii="宋体" w:hAnsi="宋体" w:eastAsia="宋体"/>
          <w:b/>
          <w:color w:val="auto"/>
          <w:sz w:val="24"/>
          <w:highlight w:val="none"/>
          <w:lang w:val="en-US" w:eastAsia="zh-CN"/>
        </w:rPr>
        <w:t>九、残疾人福利性单位声明函</w:t>
      </w:r>
      <w:bookmarkEnd w:id="52"/>
      <w:bookmarkEnd w:id="53"/>
    </w:p>
    <w:p w14:paraId="51DF57F8">
      <w:pPr>
        <w:pStyle w:val="8"/>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5A9ECB56">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25FE7947">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0C70C69A">
      <w:pPr>
        <w:spacing w:line="360" w:lineRule="auto"/>
        <w:ind w:firstLine="4228" w:firstLineChars="1762"/>
        <w:rPr>
          <w:rFonts w:ascii="宋体" w:hAnsi="宋体" w:eastAsia="宋体"/>
          <w:color w:val="auto"/>
          <w:sz w:val="24"/>
          <w:szCs w:val="24"/>
          <w:highlight w:val="none"/>
        </w:rPr>
      </w:pPr>
    </w:p>
    <w:p w14:paraId="27EF9E7B">
      <w:pPr>
        <w:spacing w:line="360" w:lineRule="auto"/>
        <w:ind w:firstLine="4228" w:firstLineChars="1762"/>
        <w:rPr>
          <w:rFonts w:ascii="宋体" w:hAnsi="宋体" w:eastAsia="宋体"/>
          <w:color w:val="auto"/>
          <w:sz w:val="24"/>
          <w:szCs w:val="24"/>
          <w:highlight w:val="none"/>
        </w:rPr>
      </w:pPr>
    </w:p>
    <w:p w14:paraId="5FEDB6B4">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14:paraId="29167979">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14:paraId="09999B5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39D7BE1">
      <w:pPr>
        <w:spacing w:line="360" w:lineRule="auto"/>
        <w:jc w:val="center"/>
        <w:outlineLvl w:val="1"/>
        <w:rPr>
          <w:rFonts w:hint="eastAsia" w:ascii="宋体" w:hAnsi="宋体" w:eastAsia="宋体"/>
          <w:b/>
          <w:color w:val="auto"/>
          <w:sz w:val="24"/>
          <w:highlight w:val="none"/>
          <w:lang w:val="en-US" w:eastAsia="zh-CN"/>
        </w:rPr>
      </w:pPr>
      <w:bookmarkStart w:id="54" w:name="_Toc457768004"/>
      <w:bookmarkStart w:id="55" w:name="_Toc520299348"/>
      <w:bookmarkStart w:id="56" w:name="_Toc300210382"/>
      <w:bookmarkStart w:id="57" w:name="_Toc26536"/>
      <w:bookmarkStart w:id="58" w:name="_Toc23860"/>
      <w:bookmarkStart w:id="59" w:name="_Hlk11701496"/>
      <w:r>
        <w:rPr>
          <w:rFonts w:hint="eastAsia" w:ascii="宋体" w:hAnsi="宋体" w:eastAsia="宋体"/>
          <w:b/>
          <w:color w:val="auto"/>
          <w:sz w:val="24"/>
          <w:highlight w:val="none"/>
          <w:lang w:val="en-US" w:eastAsia="zh-CN"/>
        </w:rPr>
        <w:t>十、</w:t>
      </w:r>
      <w:bookmarkEnd w:id="54"/>
      <w:bookmarkEnd w:id="55"/>
      <w:bookmarkEnd w:id="56"/>
      <w:r>
        <w:rPr>
          <w:rFonts w:hint="eastAsia" w:ascii="宋体" w:hAnsi="宋体" w:eastAsia="宋体"/>
          <w:b/>
          <w:color w:val="auto"/>
          <w:sz w:val="24"/>
          <w:highlight w:val="none"/>
          <w:lang w:val="en-US" w:eastAsia="zh-CN"/>
        </w:rPr>
        <w:t>诚信履约承诺函</w:t>
      </w:r>
      <w:bookmarkEnd w:id="57"/>
      <w:bookmarkEnd w:id="58"/>
    </w:p>
    <w:p w14:paraId="6AA98C8E">
      <w:pPr>
        <w:spacing w:line="360" w:lineRule="auto"/>
        <w:rPr>
          <w:rFonts w:ascii="宋体" w:hAnsi="宋体" w:eastAsia="宋体"/>
          <w:b/>
          <w:bCs/>
          <w:color w:val="auto"/>
          <w:sz w:val="24"/>
          <w:highlight w:val="none"/>
        </w:rPr>
      </w:pPr>
    </w:p>
    <w:p w14:paraId="3BBAED81">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2E61551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5091F5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4196DAFD">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04EAA15B">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28856A51">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555F96F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5FB8837D">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C2D6D1">
      <w:pPr>
        <w:spacing w:line="360" w:lineRule="auto"/>
        <w:rPr>
          <w:rFonts w:ascii="宋体" w:hAnsi="宋体" w:eastAsia="宋体"/>
          <w:bCs/>
          <w:color w:val="auto"/>
          <w:sz w:val="24"/>
          <w:highlight w:val="none"/>
        </w:rPr>
      </w:pPr>
    </w:p>
    <w:p w14:paraId="2F5DD4E5">
      <w:pPr>
        <w:spacing w:line="360" w:lineRule="auto"/>
        <w:rPr>
          <w:rFonts w:ascii="宋体" w:hAnsi="宋体" w:eastAsia="宋体"/>
          <w:bCs/>
          <w:color w:val="auto"/>
          <w:sz w:val="24"/>
          <w:highlight w:val="none"/>
        </w:rPr>
      </w:pPr>
    </w:p>
    <w:p w14:paraId="675F8F36">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投标人电子签章：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4328683">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01D967D1">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59"/>
    <w:p w14:paraId="500B0983">
      <w:pPr>
        <w:spacing w:line="360" w:lineRule="auto"/>
        <w:jc w:val="center"/>
        <w:outlineLvl w:val="1"/>
        <w:rPr>
          <w:rFonts w:hint="eastAsia" w:ascii="宋体" w:hAnsi="宋体" w:eastAsia="宋体"/>
          <w:b/>
          <w:color w:val="auto"/>
          <w:sz w:val="24"/>
          <w:highlight w:val="none"/>
          <w:lang w:val="en-US" w:eastAsia="zh-CN"/>
        </w:rPr>
      </w:pPr>
      <w:bookmarkStart w:id="60" w:name="_Toc32633"/>
      <w:bookmarkStart w:id="61" w:name="_Toc31807"/>
      <w:r>
        <w:rPr>
          <w:rFonts w:hint="eastAsia" w:ascii="宋体" w:hAnsi="宋体" w:eastAsia="宋体"/>
          <w:b/>
          <w:color w:val="auto"/>
          <w:sz w:val="24"/>
          <w:highlight w:val="none"/>
          <w:lang w:val="en-US" w:eastAsia="zh-CN"/>
        </w:rPr>
        <w:t>十一、其他相关证明材料</w:t>
      </w:r>
      <w:bookmarkEnd w:id="60"/>
      <w:bookmarkEnd w:id="61"/>
    </w:p>
    <w:p w14:paraId="6D17BB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提供符合投标邀请、采购需求及评标方法和标准规定的相关证明文件。</w:t>
      </w:r>
    </w:p>
    <w:p w14:paraId="3677E74A">
      <w:pPr>
        <w:spacing w:line="360" w:lineRule="auto"/>
        <w:ind w:firstLine="480" w:firstLineChars="200"/>
        <w:rPr>
          <w:rFonts w:ascii="宋体" w:hAnsi="宋体" w:eastAsia="宋体"/>
          <w:color w:val="auto"/>
          <w:sz w:val="24"/>
          <w:highlight w:val="none"/>
        </w:rPr>
      </w:pPr>
    </w:p>
    <w:p w14:paraId="1EDC931B">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特别提示：</w:t>
      </w:r>
    </w:p>
    <w:p w14:paraId="436548BC">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rPr>
        <w:t>投标人在投标文件制作时可在此栏内上传</w:t>
      </w:r>
      <w:r>
        <w:rPr>
          <w:rFonts w:ascii="宋体" w:hAnsi="宋体" w:eastAsia="宋体"/>
          <w:color w:val="auto"/>
          <w:sz w:val="24"/>
          <w:highlight w:val="none"/>
        </w:rPr>
        <w:t>招标文件要求上传的证明资料</w:t>
      </w:r>
      <w:r>
        <w:rPr>
          <w:rFonts w:hint="eastAsia" w:ascii="宋体" w:hAnsi="宋体" w:eastAsia="宋体"/>
          <w:color w:val="auto"/>
          <w:sz w:val="24"/>
          <w:highlight w:val="none"/>
        </w:rPr>
        <w:t>，如营业执照、证书</w:t>
      </w:r>
      <w:r>
        <w:rPr>
          <w:rFonts w:ascii="宋体" w:hAnsi="宋体" w:eastAsia="宋体"/>
          <w:color w:val="auto"/>
          <w:sz w:val="24"/>
          <w:highlight w:val="none"/>
        </w:rPr>
        <w:t>等，应将上述证明材料制作成扫描件上传</w:t>
      </w:r>
      <w:r>
        <w:rPr>
          <w:rFonts w:hint="eastAsia" w:ascii="宋体" w:hAnsi="宋体" w:eastAsia="宋体"/>
          <w:color w:val="auto"/>
          <w:sz w:val="24"/>
          <w:highlight w:val="none"/>
          <w:lang w:eastAsia="zh-CN"/>
        </w:rPr>
        <w:t>。</w:t>
      </w:r>
    </w:p>
    <w:p w14:paraId="1D774019">
      <w:pPr>
        <w:spacing w:line="360" w:lineRule="auto"/>
        <w:ind w:firstLine="435"/>
        <w:rPr>
          <w:rFonts w:hint="eastAsia" w:ascii="宋体" w:hAnsi="宋体" w:eastAsia="宋体"/>
          <w:color w:val="auto"/>
          <w:sz w:val="24"/>
          <w:highlight w:val="none"/>
          <w:lang w:eastAsia="zh-CN"/>
        </w:rPr>
      </w:pPr>
    </w:p>
    <w:p w14:paraId="53267D0C">
      <w:pPr>
        <w:spacing w:line="360" w:lineRule="auto"/>
        <w:ind w:firstLine="435"/>
        <w:rPr>
          <w:rFonts w:hint="eastAsia" w:ascii="宋体" w:hAnsi="宋体" w:eastAsia="宋体"/>
          <w:color w:val="auto"/>
          <w:sz w:val="24"/>
          <w:highlight w:val="none"/>
          <w:lang w:eastAsia="zh-CN"/>
        </w:rPr>
      </w:pPr>
    </w:p>
    <w:p w14:paraId="22960419">
      <w:pPr>
        <w:rPr>
          <w:rFonts w:hint="eastAsia" w:ascii="宋体" w:hAnsi="宋体" w:eastAsia="宋体" w:cs="宋体"/>
          <w:b/>
          <w:bCs w:val="0"/>
          <w:color w:val="auto"/>
          <w:kern w:val="2"/>
          <w:sz w:val="28"/>
          <w:szCs w:val="28"/>
          <w:highlight w:val="none"/>
          <w:lang w:val="en-US" w:eastAsia="zh-CN"/>
        </w:rPr>
      </w:pPr>
      <w:r>
        <w:rPr>
          <w:rFonts w:hint="eastAsia" w:ascii="宋体" w:hAnsi="宋体" w:eastAsia="宋体" w:cs="宋体"/>
          <w:b/>
          <w:bCs w:val="0"/>
          <w:color w:val="auto"/>
          <w:kern w:val="2"/>
          <w:sz w:val="28"/>
          <w:szCs w:val="28"/>
          <w:highlight w:val="none"/>
          <w:lang w:val="en-US" w:eastAsia="zh-CN"/>
        </w:rPr>
        <w:br w:type="page"/>
      </w:r>
    </w:p>
    <w:p w14:paraId="7CD02B72">
      <w:pPr>
        <w:widowControl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rPr>
        <w:t>附件</w:t>
      </w:r>
      <w:r>
        <w:rPr>
          <w:rFonts w:hint="default" w:ascii="Times New Roman" w:hAnsi="Times New Roman" w:eastAsia="宋体" w:cs="Times New Roman"/>
          <w:b/>
          <w:bCs w:val="0"/>
          <w:color w:val="auto"/>
          <w:kern w:val="2"/>
          <w:sz w:val="28"/>
          <w:szCs w:val="28"/>
          <w:highlight w:val="none"/>
          <w:lang w:val="en-US" w:eastAsia="zh-CN"/>
        </w:rPr>
        <w:t>1</w:t>
      </w:r>
    </w:p>
    <w:p w14:paraId="249FE254">
      <w:pPr>
        <w:widowControl w:val="0"/>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rPr>
        <w:t>关于联合惩戒失信行为 加强信用查询管理的通知</w:t>
      </w:r>
    </w:p>
    <w:p w14:paraId="676C1D6B">
      <w:pPr>
        <w:widowControl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一、失信行为联合惩戒的范围和查询渠道</w:t>
      </w:r>
    </w:p>
    <w:p w14:paraId="45D54E76">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在我市公共资源交易活动中对存在下列失信行为的投标人、法定代表人及其项目经理（建造师）实施联合惩戒，禁止参与我市公共资源交易活动。</w:t>
      </w:r>
    </w:p>
    <w:p w14:paraId="445C939F">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（一）工程建设项目</w:t>
      </w:r>
    </w:p>
    <w:p w14:paraId="52966BCA">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1、“信用中国”网站（www.creditchina.gov.cn）查询投标人、法定代表人及其项目经理(建造师)以下失信行为：</w:t>
      </w:r>
    </w:p>
    <w:p w14:paraId="373FE395">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①被列入“失信被执行人”的;</w:t>
      </w:r>
    </w:p>
    <w:p w14:paraId="7CF6CD1A">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②被列入“重大税收违法失信主体”的；</w:t>
      </w:r>
    </w:p>
    <w:p w14:paraId="3066FDBB">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③被列入“拖欠农民工工资失信联合惩戒对象名单”的；</w:t>
      </w:r>
    </w:p>
    <w:p w14:paraId="4C5A2EFC">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④被列入 “严重失信主体名单”的；</w:t>
      </w:r>
    </w:p>
    <w:p w14:paraId="736A1D4D">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⑤在“信用中国”网站上披露的仍在公示期的严重失信行为(具体行为类别及判定依据见附件2)的。</w:t>
      </w:r>
    </w:p>
    <w:p w14:paraId="59ED857D">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2、国家企业信用信息公示系统网站（www.gsxt.gov.cn）查询投标人以下失信行为：</w:t>
      </w:r>
    </w:p>
    <w:p w14:paraId="16EF9D5F">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①被列入“经营异常名录”或者“严重违法失信名单”的。</w:t>
      </w:r>
    </w:p>
    <w:p w14:paraId="121E190D">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3、由投标人、法定代表人及其项目经理(建造师)进行承诺，不进行现场网上信用查询的失信行为：</w:t>
      </w:r>
    </w:p>
    <w:p w14:paraId="2A65E5FF">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①前三年有行贿犯罪行为的单位和个人；</w:t>
      </w:r>
    </w:p>
    <w:p w14:paraId="08F54B3B">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②被滁州市县两级公管部门取消在一定期限内的投标资格且在取消期限内的；</w:t>
      </w:r>
    </w:p>
    <w:p w14:paraId="4FFBABE4">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③被滁州市县两级各行业主管部门取消在一定期限内的投标资格且在取消期限内的；</w:t>
      </w:r>
    </w:p>
    <w:p w14:paraId="4FE5EF06">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④因拖欠农民工工资被县级及以上有关行政主管部门限制投标资格且在限制期限内的；</w:t>
      </w:r>
    </w:p>
    <w:p w14:paraId="1B0D427E">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5548D8B">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（二）政府采购项目</w:t>
      </w:r>
    </w:p>
    <w:p w14:paraId="723D6D76">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1、“信用中国”网站（www.creditchina.gov.cn）查询供应商、法定代表人及其项目负责人以下失信行为：</w:t>
      </w:r>
    </w:p>
    <w:p w14:paraId="5B0DA6E2">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①被列入“失信被执行人”的;</w:t>
      </w:r>
    </w:p>
    <w:p w14:paraId="24B2B159">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②被列入“重大税收违法失信主体”的；</w:t>
      </w:r>
    </w:p>
    <w:p w14:paraId="6DB6AA20">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③被列入 “严重失信主体名单”的；</w:t>
      </w:r>
    </w:p>
    <w:p w14:paraId="3329D246">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④在“信用中国”网站上披露的仍在公示期的严重失信行为(具体行为类别及判定依据见附件2)的。</w:t>
      </w:r>
    </w:p>
    <w:p w14:paraId="2DC74293">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2、国家企业信用信息公示系统网站（www.gsxt.gov.cn）查询供应商以下失信行为：</w:t>
      </w:r>
    </w:p>
    <w:p w14:paraId="2A9B320C">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①被列入“经营异常名录”或者“严重违法失信名单”的。</w:t>
      </w:r>
    </w:p>
    <w:p w14:paraId="2AA972F6">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3、中国政府采购网站（www.ccgp.gov.cn）查询以下失信行为：</w:t>
      </w:r>
    </w:p>
    <w:p w14:paraId="42E6A808">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①被列入“政府采购严重违法失信行为信息记录”的。</w:t>
      </w:r>
    </w:p>
    <w:p w14:paraId="0F27DD8E">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4、由竞争主体进行承诺，不进行现场网上信用查询的失信行为：</w:t>
      </w:r>
    </w:p>
    <w:p w14:paraId="0127548D">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①前三年有行贿犯罪行为的单位和个人。</w:t>
      </w:r>
    </w:p>
    <w:p w14:paraId="522E0E99">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二、在开评标活动中的查询程序</w:t>
      </w:r>
    </w:p>
    <w:p w14:paraId="47406B94">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A459510">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E16DCFF">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3、项目单位及其委托的代理机构应当做好信用查询结果截图和记录留存。</w:t>
      </w:r>
    </w:p>
    <w:p w14:paraId="707563C8">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三、相关要求</w:t>
      </w:r>
    </w:p>
    <w:p w14:paraId="5B770563">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1、参与公共资源交易活动的竞争主体根据上述范围查询的内容进行自查并承诺，出具《诚信投标承诺书》（诚信投标承诺书包括但不限于上述自查并承诺内容）并注明承诺日期（投标截止时间前5日内）。</w:t>
      </w:r>
    </w:p>
    <w:p w14:paraId="2982B8C9">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1C680F09">
      <w:pPr>
        <w:keepNext w:val="0"/>
        <w:keepLines w:val="0"/>
        <w:pageBreakBefore w:val="0"/>
        <w:widowControl/>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lang w:val="en-US" w:eastAsia="zh-CN"/>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09B58CB8">
      <w:pPr>
        <w:widowControl/>
        <w:autoSpaceDE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2、“信用中国”查询的严重失信行为判定依据为各行业主管部门下发的联合惩戒文件中规定的行为（按附件2执行）。</w:t>
      </w:r>
    </w:p>
    <w:p w14:paraId="10499E4B">
      <w:pPr>
        <w:widowControl/>
        <w:autoSpaceDE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3、资格预审的项目以递交资格预审申请文件截止时间查询为准；资格后审的项目以递交投标文件截止时间查询为准。</w:t>
      </w:r>
    </w:p>
    <w:p w14:paraId="740B7841">
      <w:pPr>
        <w:widowControl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br w:type="page"/>
      </w:r>
      <w:r>
        <w:rPr>
          <w:rFonts w:hint="eastAsia" w:ascii="宋体" w:hAnsi="宋体" w:eastAsia="宋体" w:cs="宋体"/>
          <w:b/>
          <w:bCs w:val="0"/>
          <w:color w:val="auto"/>
          <w:kern w:val="2"/>
          <w:sz w:val="24"/>
          <w:szCs w:val="24"/>
          <w:highlight w:val="none"/>
          <w:lang w:val="en-US" w:eastAsia="zh-CN"/>
        </w:rPr>
        <w:t>附件</w:t>
      </w:r>
      <w:r>
        <w:rPr>
          <w:rFonts w:hint="default" w:ascii="Times New Roman" w:hAnsi="Times New Roman" w:eastAsia="宋体" w:cs="Times New Roman"/>
          <w:b/>
          <w:bCs w:val="0"/>
          <w:color w:val="auto"/>
          <w:kern w:val="2"/>
          <w:sz w:val="24"/>
          <w:szCs w:val="24"/>
          <w:highlight w:val="none"/>
          <w:lang w:val="en-US" w:eastAsia="zh-CN"/>
        </w:rPr>
        <w:t>2</w:t>
      </w:r>
    </w:p>
    <w:p w14:paraId="26D90431">
      <w:pPr>
        <w:widowControl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“信用中国”查询的严重失信行为类别及判定依据</w:t>
      </w:r>
    </w:p>
    <w:p w14:paraId="1C823A58">
      <w:pPr>
        <w:widowControl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 xml:space="preserve"> </w:t>
      </w:r>
    </w:p>
    <w:p w14:paraId="1CCC14B9">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“信用中国”查询的严重失信行为判定依据为各行业主管部门下发的联合惩戒文件中规定的行为。下面将部分类别的严重失信行为列举如下：</w:t>
      </w:r>
    </w:p>
    <w:p w14:paraId="32C39B4C">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0"/>
          <w:sz w:val="24"/>
          <w:szCs w:val="24"/>
          <w:highlight w:val="none"/>
          <w:lang w:val="en-US" w:eastAsia="zh-CN"/>
        </w:rPr>
        <w:t xml:space="preserve"> </w:t>
      </w:r>
    </w:p>
    <w:p w14:paraId="7DAE7D6A">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一、安全生产领域严重失信行为：</w:t>
      </w:r>
    </w:p>
    <w:p w14:paraId="642E7970">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（一）下列发生生产安全事故的生产经营单位及其有关人员应当列入严重失信主体名单：</w:t>
      </w:r>
    </w:p>
    <w:p w14:paraId="299A7CA6">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1、发生特别重大、重大生产安全事故的生产经营单位及其主要负责人，以及经调查认定对该事故发生负有责任，应当列入名单的其他单位和人员；</w:t>
      </w:r>
    </w:p>
    <w:p w14:paraId="79F1BFBC">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2、12个月内累计发生2起以上较大生产安全事故的生产经营单位及其主要负责人；</w:t>
      </w:r>
    </w:p>
    <w:p w14:paraId="366465C2">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3、发生生产安全事故，情节特别严重、影响特别恶劣，依照《中华人民共和国安全生产法》第一百一十四条的规定被处以罚款数额2倍以上5倍以下罚款的生产经营单位及其主要负责人；</w:t>
      </w:r>
    </w:p>
    <w:p w14:paraId="511AC9D3">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4、瞒报、谎报生产安全事故的生产经营单位及其有关责任人员；</w:t>
      </w:r>
    </w:p>
    <w:p w14:paraId="1FF73816">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5、发生生产安全事故后，不立即组织抢救或者在事故调查处理期间擅离职守或者逃匿的生产经营单位主要负责人。</w:t>
      </w:r>
    </w:p>
    <w:p w14:paraId="0909E0C5">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（二）下列未发生生产安全事故，但因安全生产违法行为，受到行政处罚的生产经营单位或者机构及其有关人员，应当列入严重失信主体名单：</w:t>
      </w:r>
    </w:p>
    <w:p w14:paraId="585CD8F7">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1、未依法取得安全生产相关许可或者许可被暂扣、吊销期间从事相关生产经营活动的生产经营单位及其主要负责人；</w:t>
      </w:r>
    </w:p>
    <w:p w14:paraId="4595A8A9">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2、承担安全评价、认证、检测、检验职责的机构及其直接责任人员租借资质、挂靠、出具虚假报告或者证书的；</w:t>
      </w:r>
    </w:p>
    <w:p w14:paraId="7F398D90">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3、在应急管理部门作出行政处罚后，有执行能力拒不执行或者逃避执行的生产经营单位及其主要负责人；</w:t>
      </w:r>
    </w:p>
    <w:p w14:paraId="616630A5">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4、其他违反安全生产法律法规受到行政处罚，且性质恶劣、情节严重的。</w:t>
      </w:r>
    </w:p>
    <w:p w14:paraId="7DB26A57">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依据：《安全生产严重失信主体名单管理办法》（2023年8月8日应急管理部令第11号）</w:t>
      </w:r>
    </w:p>
    <w:p w14:paraId="5D1C14F7">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0"/>
          <w:sz w:val="24"/>
          <w:szCs w:val="24"/>
          <w:highlight w:val="none"/>
          <w:lang w:val="en-US" w:eastAsia="zh-CN"/>
        </w:rPr>
        <w:t xml:space="preserve"> </w:t>
      </w:r>
    </w:p>
    <w:p w14:paraId="2A279B00">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二、环境保护领域严重失信行为：</w:t>
      </w:r>
    </w:p>
    <w:p w14:paraId="1F43E809">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（一因为环境违法构成环境犯罪的；</w:t>
      </w:r>
    </w:p>
    <w:p w14:paraId="185D0372">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（二）建设项目环境影响评价文件未按规定通过审批，擅自开工建设的；</w:t>
      </w:r>
    </w:p>
    <w:p w14:paraId="295A6D02">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（三）建设项目环保设施未建成、环保措施未落实、未通过竣工环保验收或者验收不合格，主体工程正式投入生产或者使用的；</w:t>
      </w:r>
    </w:p>
    <w:p w14:paraId="4545C273">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（四）建设项目性质、规模、地点、采用的生产工艺或者防治污染、防止生态破坏的措施发生重大变动，未重新报批环境影响评价文件，擅自投入生产或者使用的；</w:t>
      </w:r>
    </w:p>
    <w:p w14:paraId="04A38481">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（五）主要污染物排放总量超过控制指标的；</w:t>
      </w:r>
    </w:p>
    <w:p w14:paraId="6EA9CB22">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（六）私设暗管或者利用渗井、渗坑、裂隙、溶洞等排放、倾倒、处置水污染物，或者通过私设旁路排放大气污染物的；</w:t>
      </w:r>
    </w:p>
    <w:p w14:paraId="275031C9">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（七）非法排放、倾倒、处置危险废物，或者向无经营许可证或者超出经营许可范围的单位或个人提供或者委托其收集、贮存、利用、处置危险废物的；</w:t>
      </w:r>
    </w:p>
    <w:p w14:paraId="03B36A9E">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（八）环境违法行为造成集中式生活饮用水水源取水中断的；</w:t>
      </w:r>
    </w:p>
    <w:p w14:paraId="181B7D62">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（九）环境违法行为对生活饮用水水源保护区、自然保护区、国家重点生态功能区、风景名胜区、居住功能区、基本农田保护区等环境敏感区造成重大不利影响的；</w:t>
      </w:r>
    </w:p>
    <w:p w14:paraId="5B8F6D84">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（十）违法从事自然资源开发、交通基础设施建设，以及其他开发建设活动，造成严重生态破坏的；</w:t>
      </w:r>
    </w:p>
    <w:p w14:paraId="2D71BADD">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（十一）发生较大及以上突发环境事件的；</w:t>
      </w:r>
    </w:p>
    <w:p w14:paraId="1ACCEEB3">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（十二）被环保部门挂牌督办，整改逾期未完成的；</w:t>
      </w:r>
    </w:p>
    <w:p w14:paraId="4529C8E2">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（十三）以暴力、威胁等方式拒绝、阻挠环保部门工作人员现场检查的；</w:t>
      </w:r>
    </w:p>
    <w:p w14:paraId="5000D12A">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（十四）违反重污染天气应急预案有关规定，对重污染天气响应不力的。</w:t>
      </w:r>
    </w:p>
    <w:p w14:paraId="4ADC754B">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依据：《关于对环境保护领域失信生产经营单位及其有关人员开展联合惩戒的合作备忘录》、《企业环境信用评价办法（试行）》（环发〔2013〕150号）</w:t>
      </w:r>
    </w:p>
    <w:p w14:paraId="7C9B8C5B">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0"/>
          <w:sz w:val="24"/>
          <w:szCs w:val="24"/>
          <w:highlight w:val="none"/>
          <w:lang w:val="en-US" w:eastAsia="zh-CN"/>
        </w:rPr>
        <w:t xml:space="preserve"> </w:t>
      </w:r>
    </w:p>
    <w:p w14:paraId="3F78A6B3">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三、公共资源交易领域严重失信行为</w:t>
      </w:r>
    </w:p>
    <w:p w14:paraId="6AB40857">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（一）违反法律规定，必须进行招标的项目而不招标的，将必须进行招标的项目化整为零或者以其他任何方式规避招标的； </w:t>
      </w:r>
    </w:p>
    <w:p w14:paraId="283481A5">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（二）招标代理机构违反法律规定，泄露应当保密的与招标投标活动有关的情况和资料的，或者与招标人、投标人串通损害 国家利益、社会公共利益或者他人合法权益的；</w:t>
      </w:r>
    </w:p>
    <w:p w14:paraId="3F7EB91A">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（三）招标人以不合理的条件限制或者排斥潜在投标人的，对潜在投标人实行歧视待遇的，强制要求投标人组成联合体共同 投标的，或者限制投标人之间竞争的；</w:t>
      </w:r>
    </w:p>
    <w:p w14:paraId="11216CC2">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（四）依法必须进行招标的项目的招标人向他人透露已获取招标文件的潜在投标人的名称、数量或者可能影响公平竞争的有 关招标投标的其他情况的，或者泄露标底的；</w:t>
      </w:r>
    </w:p>
    <w:p w14:paraId="094E80A9">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（五）投标人相互串通投标或者与招标人串通投标的，投标人以向招标人或者评标委员会成员行贿的手段谋取中标的； </w:t>
      </w:r>
    </w:p>
    <w:p w14:paraId="560C3F51">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（六）投标人以他人名义投标或者以其他方式弄虚作假，骗取中标的；</w:t>
      </w:r>
    </w:p>
    <w:p w14:paraId="1A5ACEF2">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（七）依法必须进行招标的项目，招标人违反法律规定，与投标人就投标价格、投标方案等实质性内容进行谈判的；</w:t>
      </w:r>
    </w:p>
    <w:p w14:paraId="76913E77">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38D6EE82">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（九）招标人在评标委员会依法推荐的中标候选人以外确定中标人的，依法必须进行招标的项目在所有投标被评标委员会否 决后自行确定中标人的； </w:t>
      </w:r>
    </w:p>
    <w:p w14:paraId="77370C53">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（十）中标人将中标项目转让给他人的，将中标项目肢解后分别转让给他人的，违反法律规定将中标项目的部分主体、关键 性工作分包给他人的，或者分包人再次分包的； </w:t>
      </w:r>
    </w:p>
    <w:p w14:paraId="057A9198">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（十一）招标人与中标人不按照招标文件和中标人的投标文件订立合同的，或者招标人、中标人订立背离合同实质性内容的 协议的； </w:t>
      </w:r>
    </w:p>
    <w:p w14:paraId="33CDF6FF">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（十二）中标人不按照与招标人订立的合同履行义务，情节严重的； </w:t>
      </w:r>
    </w:p>
    <w:p w14:paraId="776810C1">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6A3EB73">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6C2D413E">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（十五）采购人对应当实行集中采购的政府采购项目，不委托集中采购机构实行集中采购的； </w:t>
      </w:r>
    </w:p>
    <w:p w14:paraId="40AB2855">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（十六）采购人、采购代理机构违反法律规定隐匿、销毁应当保存的采购文件或者伪造、变造采购文件的； </w:t>
      </w:r>
    </w:p>
    <w:p w14:paraId="2EE70BDA">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B37C055">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（十八）疫苗生产企业向县级疾病预防控制机构以外的单位或者个人销售第二类疫苗的； </w:t>
      </w:r>
    </w:p>
    <w:p w14:paraId="6D5DF377">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Times New Roman"/>
          <w:color w:val="auto"/>
          <w:kern w:val="2"/>
          <w:sz w:val="24"/>
          <w:szCs w:val="24"/>
          <w:highlight w:val="none"/>
        </w:rPr>
      </w:pPr>
      <w:r>
        <w:rPr>
          <w:rFonts w:hint="eastAsia" w:ascii="宋体" w:hAnsi="宋体" w:eastAsia="宋体" w:cs="宋体"/>
          <w:color w:val="auto"/>
          <w:kern w:val="0"/>
          <w:sz w:val="24"/>
          <w:szCs w:val="24"/>
          <w:highlight w:val="none"/>
          <w:lang w:val="en-US" w:eastAsia="zh-CN"/>
        </w:rPr>
        <w:t>（十九）存在其他违反公共资源交易法律法规行为的。</w:t>
      </w:r>
    </w:p>
    <w:p w14:paraId="66B94B59">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依据：《关于对公共资源交易领域严重失信主体开展联合惩戒的备忘录》（发改法规〔2018〕457号）</w:t>
      </w:r>
    </w:p>
    <w:p w14:paraId="4D4134F6">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 xml:space="preserve"> </w:t>
      </w:r>
    </w:p>
    <w:p w14:paraId="2A2E8FE0">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四、社会保险领域严重失信行为</w:t>
      </w:r>
    </w:p>
    <w:p w14:paraId="56D91E17">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（一）用人单位未按相关规定参加社会保险且拒不整改的； </w:t>
      </w:r>
    </w:p>
    <w:p w14:paraId="7BCD378E">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（二）用人单位未如实申报社会保险缴费基数且拒不整改的； </w:t>
      </w:r>
    </w:p>
    <w:p w14:paraId="657E1518">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（三）应缴纳社会保险费却拒不缴纳的； </w:t>
      </w:r>
    </w:p>
    <w:p w14:paraId="04D9ED32">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（四）隐匿、转移、侵占、挪用社会保险费款、基金或者违规投资运营的；</w:t>
      </w:r>
    </w:p>
    <w:p w14:paraId="67AAA6E6">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（五）以欺诈、伪造证明材料或者其他手段参加、申报社会保险和骗取社会保险基金支出或社会保险待遇的； </w:t>
      </w:r>
    </w:p>
    <w:p w14:paraId="2E295898">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（六）非法获取、出售或变相交易社会保险个人权益数据的； </w:t>
      </w:r>
    </w:p>
    <w:p w14:paraId="48A305E1">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（七）社会保险服务机构违反服务协议或相关规定的； </w:t>
      </w:r>
    </w:p>
    <w:p w14:paraId="387B162F">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（八）拒绝协助社会保险行政部门、经办机构对事故和问题进 行调查核实的；拒绝接受或协助税务部门对社会保险实施监督检查， 不如实提供与社会保险相关各项资料的； </w:t>
      </w:r>
    </w:p>
    <w:p w14:paraId="4A27A93F">
      <w:pPr>
        <w:widowControl/>
        <w:autoSpaceDE w:val="0"/>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（九）其他违反法律法规规定的。</w:t>
      </w:r>
    </w:p>
    <w:p w14:paraId="69DCA669">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依据：《关于对社会保险领域严重失信企业及其有关人员实施联合惩戒的合作备忘录》（发改财金〔2018〕1704号）</w:t>
      </w:r>
    </w:p>
    <w:p w14:paraId="685707B8">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 xml:space="preserve"> </w:t>
      </w:r>
    </w:p>
    <w:p w14:paraId="2BA5295D">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五、建筑市场领域严重失信行为</w:t>
      </w:r>
    </w:p>
    <w:p w14:paraId="4305C445">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（一）利用虚假材料、以欺骗手段取得企业资质的；</w:t>
      </w:r>
    </w:p>
    <w:p w14:paraId="1E4D3516">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（二）发生转包、出借资质，受到行政处罚的；</w:t>
      </w:r>
    </w:p>
    <w:p w14:paraId="6E509CCF">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（三）发生重大及以上工程质量安全事故，或1年内累计发生2次及以上较大工程质量安全事故，或发生性质恶劣、危害性严重、社会影响大的较大工程质量安全事故，受到行政处罚的；</w:t>
      </w:r>
    </w:p>
    <w:p w14:paraId="0238F2D8">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（四）经法院判决或仲裁机构裁决，认定为拖欠工程款,且拒不履行生效法律文书确定的义务的。</w:t>
      </w:r>
    </w:p>
    <w:p w14:paraId="2C17B8A5">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各级住房城乡建设主管部门应当参照建筑市场主体“黑名单”，对被人力资源社会保障行政部门列入拖欠农民工工资“黑名单”的建筑市场各方主体加强监管。</w:t>
      </w:r>
    </w:p>
    <w:p w14:paraId="5A7BAEF6">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依据：《建筑市场信用管理暂行办法》（建市〔2017〕241号）</w:t>
      </w:r>
    </w:p>
    <w:p w14:paraId="11B87B8E">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 xml:space="preserve"> </w:t>
      </w:r>
    </w:p>
    <w:p w14:paraId="7343B0C7">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六、政府采购严重失信行为</w:t>
      </w:r>
    </w:p>
    <w:p w14:paraId="18CBD3DB">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供应商、采购代理机构在三年内受到财政部门作出下列情形之一的行政处罚，列入政府采购严重违法失信行为记录名单。</w:t>
      </w:r>
    </w:p>
    <w:p w14:paraId="357FE1E9">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（一）三万元以上罚款；</w:t>
      </w:r>
    </w:p>
    <w:p w14:paraId="65200AB0">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（二）在一至三年内禁止参加政府采购活动（处罚期限届满的除外）；</w:t>
      </w:r>
    </w:p>
    <w:p w14:paraId="794AF7DB">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（三）在一至三年内禁止代理政府采购业务（处罚期限届满的除外）；</w:t>
      </w:r>
    </w:p>
    <w:p w14:paraId="4E4F6246">
      <w:pPr>
        <w:widowControl/>
        <w:autoSpaceDE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rPr>
      </w:pPr>
      <w:r>
        <w:rPr>
          <w:rFonts w:hint="eastAsia" w:ascii="宋体" w:hAnsi="宋体" w:eastAsia="宋体" w:cs="宋体"/>
          <w:color w:val="auto"/>
          <w:kern w:val="0"/>
          <w:sz w:val="24"/>
          <w:szCs w:val="24"/>
          <w:highlight w:val="none"/>
          <w:lang w:val="en-US" w:eastAsia="zh-CN"/>
        </w:rPr>
        <w:t>（四）撤销政府采购代理机构资格（仅针对《政府采购法》第78条修改前作出的处罚决定）。</w:t>
      </w:r>
    </w:p>
    <w:p w14:paraId="09CA5C7D">
      <w:pPr>
        <w:widowControl/>
        <w:autoSpaceDE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rPr>
        <w:t>依据：《关于报送政府采购严重违法失信行为信息记录的通知》（财办库〔2014〕526号）</w:t>
      </w:r>
    </w:p>
    <w:p w14:paraId="0FE2BF9D">
      <w:pPr>
        <w:widowControl/>
        <w:autoSpaceDE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 xml:space="preserve"> </w:t>
      </w:r>
    </w:p>
    <w:p w14:paraId="2808754D">
      <w:pPr>
        <w:widowControl/>
        <w:autoSpaceDE w:val="0"/>
        <w:spacing w:before="0" w:beforeAutospacing="0" w:after="0" w:afterAutospacing="0" w:line="480" w:lineRule="exact"/>
        <w:ind w:left="0" w:right="0" w:firstLine="482" w:firstLineChars="200"/>
        <w:jc w:val="both"/>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未列出的其他类别严重失信行为，由招标人（代理机构）根据各类别行业主管部门下发的联合惩戒文件进行判断。</w:t>
      </w:r>
    </w:p>
    <w:p w14:paraId="09425C7B">
      <w:pPr>
        <w:widowControl w:val="0"/>
        <w:spacing w:before="0" w:beforeAutospacing="0" w:after="0" w:afterAutospacing="0" w:line="440" w:lineRule="exact"/>
        <w:ind w:left="0" w:right="0" w:firstLine="615"/>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 xml:space="preserve"> </w:t>
      </w:r>
    </w:p>
    <w:p w14:paraId="468D1870">
      <w:pPr>
        <w:widowControl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p>
    <w:p w14:paraId="1E3B0B01">
      <w:pPr>
        <w:spacing w:line="360" w:lineRule="auto"/>
        <w:ind w:firstLine="435"/>
        <w:rPr>
          <w:rFonts w:hint="eastAsia" w:ascii="宋体" w:hAnsi="宋体" w:eastAsia="宋体"/>
          <w:color w:val="auto"/>
          <w:sz w:val="24"/>
          <w:highlight w:val="none"/>
          <w:lang w:eastAsia="zh-CN"/>
        </w:rPr>
      </w:pPr>
    </w:p>
    <w:p w14:paraId="048CD1BB">
      <w:pPr>
        <w:spacing w:line="360" w:lineRule="auto"/>
        <w:ind w:firstLine="435"/>
        <w:rPr>
          <w:rFonts w:hint="eastAsia" w:ascii="宋体" w:hAnsi="宋体" w:eastAsia="宋体"/>
          <w:color w:val="auto"/>
          <w:sz w:val="24"/>
          <w:highlight w:val="none"/>
          <w:lang w:eastAsia="zh-CN"/>
        </w:rPr>
      </w:pPr>
    </w:p>
    <w:p w14:paraId="337E8885">
      <w:pPr>
        <w:spacing w:line="360" w:lineRule="auto"/>
        <w:ind w:firstLine="435"/>
        <w:rPr>
          <w:rFonts w:hint="eastAsia" w:ascii="宋体" w:hAnsi="宋体" w:eastAsia="宋体"/>
          <w:color w:val="auto"/>
          <w:sz w:val="24"/>
          <w:highlight w:val="none"/>
          <w:lang w:eastAsia="zh-CN"/>
        </w:rPr>
      </w:pPr>
    </w:p>
    <w:p w14:paraId="5AADE87F">
      <w:pPr>
        <w:spacing w:line="360" w:lineRule="auto"/>
        <w:ind w:firstLine="435"/>
        <w:rPr>
          <w:rFonts w:ascii="宋体" w:hAnsi="宋体" w:eastAsia="宋体"/>
          <w:color w:val="auto"/>
          <w:sz w:val="24"/>
          <w:highlight w:val="none"/>
        </w:rPr>
      </w:pPr>
    </w:p>
    <w:p w14:paraId="1CC61302">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56A296BE">
      <w:pPr>
        <w:spacing w:line="360" w:lineRule="auto"/>
        <w:jc w:val="center"/>
        <w:outlineLvl w:val="0"/>
        <w:rPr>
          <w:rFonts w:ascii="宋体" w:hAnsi="宋体" w:eastAsia="宋体"/>
          <w:b/>
          <w:bCs/>
          <w:color w:val="auto"/>
          <w:sz w:val="28"/>
          <w:highlight w:val="none"/>
        </w:rPr>
      </w:pPr>
      <w:bookmarkStart w:id="62" w:name="_Toc20819"/>
      <w:bookmarkStart w:id="63" w:name="_Toc6435"/>
      <w:r>
        <w:rPr>
          <w:rFonts w:hint="eastAsia" w:ascii="宋体" w:hAnsi="宋体" w:eastAsia="宋体"/>
          <w:b/>
          <w:color w:val="auto"/>
          <w:sz w:val="28"/>
          <w:highlight w:val="none"/>
        </w:rPr>
        <w:t>第</w:t>
      </w:r>
      <w:r>
        <w:rPr>
          <w:rFonts w:hint="eastAsia" w:ascii="宋体" w:hAnsi="宋体" w:eastAsia="宋体"/>
          <w:b/>
          <w:color w:val="auto"/>
          <w:sz w:val="28"/>
          <w:highlight w:val="none"/>
          <w:lang w:val="en-US" w:eastAsia="zh-CN"/>
        </w:rPr>
        <w:t>七</w:t>
      </w:r>
      <w:r>
        <w:rPr>
          <w:rFonts w:hint="eastAsia" w:ascii="宋体" w:hAnsi="宋体" w:eastAsia="宋体"/>
          <w:b/>
          <w:color w:val="auto"/>
          <w:sz w:val="28"/>
          <w:highlight w:val="none"/>
        </w:rPr>
        <w:t>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62"/>
      <w:bookmarkEnd w:id="63"/>
    </w:p>
    <w:p w14:paraId="48F6E0A0">
      <w:pPr>
        <w:spacing w:line="360" w:lineRule="auto"/>
        <w:jc w:val="center"/>
        <w:outlineLvl w:val="1"/>
        <w:rPr>
          <w:rFonts w:ascii="仿宋" w:hAnsi="仿宋" w:eastAsia="仿宋" w:cs="仿宋"/>
          <w:b/>
          <w:bCs/>
          <w:color w:val="auto"/>
          <w:sz w:val="32"/>
          <w:szCs w:val="44"/>
          <w:highlight w:val="none"/>
        </w:rPr>
      </w:pPr>
      <w:bookmarkStart w:id="64" w:name="_Toc27159"/>
      <w:bookmarkStart w:id="65" w:name="_Toc6955"/>
      <w:r>
        <w:rPr>
          <w:rFonts w:hint="eastAsia" w:ascii="仿宋" w:hAnsi="仿宋" w:eastAsia="仿宋" w:cs="仿宋"/>
          <w:b/>
          <w:bCs/>
          <w:color w:val="auto"/>
          <w:sz w:val="32"/>
          <w:szCs w:val="44"/>
          <w:highlight w:val="none"/>
        </w:rPr>
        <w:t>询问函范本</w:t>
      </w:r>
      <w:bookmarkEnd w:id="64"/>
      <w:bookmarkEnd w:id="65"/>
    </w:p>
    <w:p w14:paraId="18500B53">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5C1CC28E">
      <w:pPr>
        <w:adjustRightInd w:val="0"/>
        <w:snapToGrid w:val="0"/>
        <w:spacing w:line="360" w:lineRule="auto"/>
        <w:rPr>
          <w:rFonts w:hint="eastAsia" w:ascii="宋体" w:hAnsi="宋体" w:eastAsia="宋体" w:cs="仿宋"/>
          <w:b/>
          <w:bCs/>
          <w:color w:val="auto"/>
          <w:sz w:val="24"/>
          <w:szCs w:val="24"/>
          <w:highlight w:val="none"/>
          <w:u w:val="single"/>
          <w:lang w:eastAsia="zh-CN"/>
        </w:rPr>
      </w:pPr>
      <w:r>
        <w:rPr>
          <w:rFonts w:hint="eastAsia" w:ascii="宋体" w:hAnsi="宋体" w:eastAsia="宋体" w:cs="仿宋"/>
          <w:b/>
          <w:bCs/>
          <w:color w:val="auto"/>
          <w:sz w:val="24"/>
          <w:szCs w:val="24"/>
          <w:highlight w:val="none"/>
          <w:lang w:val="en-US" w:eastAsia="zh-CN"/>
        </w:rPr>
        <w:t>致：</w:t>
      </w:r>
      <w:r>
        <w:rPr>
          <w:rFonts w:hint="eastAsia" w:ascii="宋体" w:hAnsi="宋体" w:eastAsia="宋体" w:cs="仿宋"/>
          <w:b/>
          <w:bCs/>
          <w:color w:val="auto"/>
          <w:sz w:val="24"/>
          <w:szCs w:val="24"/>
          <w:highlight w:val="none"/>
          <w:u w:val="none"/>
          <w:lang w:eastAsia="zh-CN"/>
        </w:rPr>
        <w:t>采购人</w:t>
      </w:r>
    </w:p>
    <w:p w14:paraId="2B43224D">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389B6635">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66" w:name="_Toc13899"/>
      <w:r>
        <w:rPr>
          <w:rFonts w:hint="eastAsia" w:ascii="宋体" w:hAnsi="宋体" w:eastAsia="宋体" w:cs="仿宋"/>
          <w:color w:val="auto"/>
          <w:sz w:val="24"/>
          <w:szCs w:val="24"/>
          <w:highlight w:val="none"/>
        </w:rPr>
        <w:t>一、(事项一)</w:t>
      </w:r>
      <w:bookmarkEnd w:id="66"/>
    </w:p>
    <w:p w14:paraId="4E1BD6D7">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440710EB">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5AA9104C">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44881E33">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67" w:name="_Toc3352"/>
      <w:r>
        <w:rPr>
          <w:rFonts w:hint="eastAsia" w:ascii="宋体" w:hAnsi="宋体" w:eastAsia="宋体" w:cs="仿宋"/>
          <w:color w:val="auto"/>
          <w:sz w:val="24"/>
          <w:szCs w:val="24"/>
          <w:highlight w:val="none"/>
        </w:rPr>
        <w:t>二、(事项二)</w:t>
      </w:r>
      <w:bookmarkEnd w:id="67"/>
    </w:p>
    <w:p w14:paraId="5EF7A936">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405A3BC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7A34DDAE">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66A70782">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146036D7">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BB64BA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6D22DA16">
      <w:pPr>
        <w:jc w:val="center"/>
        <w:outlineLvl w:val="1"/>
        <w:rPr>
          <w:rFonts w:ascii="仿宋" w:hAnsi="仿宋" w:eastAsia="仿宋" w:cs="仿宋"/>
          <w:b/>
          <w:bCs/>
          <w:color w:val="auto"/>
          <w:sz w:val="32"/>
          <w:szCs w:val="44"/>
          <w:highlight w:val="none"/>
        </w:rPr>
      </w:pPr>
      <w:bookmarkStart w:id="68" w:name="_Toc857"/>
      <w:bookmarkStart w:id="69" w:name="_Toc1575"/>
      <w:r>
        <w:rPr>
          <w:rFonts w:hint="eastAsia" w:ascii="仿宋" w:hAnsi="仿宋" w:eastAsia="仿宋" w:cs="仿宋"/>
          <w:b/>
          <w:bCs/>
          <w:color w:val="auto"/>
          <w:sz w:val="32"/>
          <w:szCs w:val="44"/>
          <w:highlight w:val="none"/>
        </w:rPr>
        <w:t>质疑函范本</w:t>
      </w:r>
      <w:bookmarkEnd w:id="68"/>
      <w:bookmarkEnd w:id="69"/>
    </w:p>
    <w:p w14:paraId="5FD5751F">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0" w:name="_Toc21381"/>
      <w:r>
        <w:rPr>
          <w:rFonts w:hint="eastAsia" w:ascii="宋体" w:hAnsi="宋体" w:eastAsia="宋体" w:cs="仿宋"/>
          <w:b/>
          <w:bCs/>
          <w:color w:val="auto"/>
          <w:sz w:val="24"/>
          <w:szCs w:val="24"/>
          <w:highlight w:val="none"/>
        </w:rPr>
        <w:t>一、质疑供应商基本信息</w:t>
      </w:r>
      <w:bookmarkEnd w:id="70"/>
    </w:p>
    <w:p w14:paraId="49F49A8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6B34D98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280415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3F9256A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3757635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48814C8A">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5A64C63">
      <w:pPr>
        <w:adjustRightInd w:val="0"/>
        <w:snapToGrid w:val="0"/>
        <w:spacing w:line="360" w:lineRule="auto"/>
        <w:outlineLvl w:val="9"/>
        <w:rPr>
          <w:rFonts w:ascii="宋体" w:hAnsi="宋体" w:eastAsia="宋体" w:cs="仿宋"/>
          <w:b/>
          <w:bCs/>
          <w:color w:val="auto"/>
          <w:sz w:val="24"/>
          <w:szCs w:val="24"/>
          <w:highlight w:val="none"/>
        </w:rPr>
      </w:pPr>
      <w:bookmarkStart w:id="71" w:name="_Toc28415"/>
      <w:r>
        <w:rPr>
          <w:rFonts w:hint="eastAsia" w:ascii="宋体" w:hAnsi="宋体" w:eastAsia="宋体" w:cs="仿宋"/>
          <w:b/>
          <w:bCs/>
          <w:color w:val="auto"/>
          <w:sz w:val="24"/>
          <w:szCs w:val="24"/>
          <w:highlight w:val="none"/>
        </w:rPr>
        <w:t>二、质疑项目基本情况</w:t>
      </w:r>
      <w:bookmarkEnd w:id="71"/>
    </w:p>
    <w:p w14:paraId="1C8BF7A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0754F8E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64732EFB">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28C18E6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2B08C60B">
      <w:pPr>
        <w:adjustRightInd w:val="0"/>
        <w:snapToGrid w:val="0"/>
        <w:spacing w:line="360" w:lineRule="auto"/>
        <w:outlineLvl w:val="9"/>
        <w:rPr>
          <w:rFonts w:ascii="宋体" w:hAnsi="宋体" w:eastAsia="宋体" w:cs="仿宋"/>
          <w:b/>
          <w:bCs/>
          <w:color w:val="auto"/>
          <w:sz w:val="24"/>
          <w:szCs w:val="24"/>
          <w:highlight w:val="none"/>
        </w:rPr>
      </w:pPr>
      <w:bookmarkStart w:id="72" w:name="_Toc19014"/>
      <w:r>
        <w:rPr>
          <w:rFonts w:hint="eastAsia" w:ascii="宋体" w:hAnsi="宋体" w:eastAsia="宋体" w:cs="仿宋"/>
          <w:b/>
          <w:bCs/>
          <w:color w:val="auto"/>
          <w:sz w:val="24"/>
          <w:szCs w:val="24"/>
          <w:highlight w:val="none"/>
        </w:rPr>
        <w:t>三、质疑事项具体内容</w:t>
      </w:r>
      <w:bookmarkEnd w:id="72"/>
    </w:p>
    <w:p w14:paraId="7354F825">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552A5322">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ADDE96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5B494535">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271174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0DC5D29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14775269">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663786E">
      <w:pPr>
        <w:adjustRightInd w:val="0"/>
        <w:snapToGrid w:val="0"/>
        <w:spacing w:line="360" w:lineRule="auto"/>
        <w:outlineLvl w:val="9"/>
        <w:rPr>
          <w:rFonts w:ascii="宋体" w:hAnsi="宋体" w:eastAsia="宋体" w:cs="仿宋"/>
          <w:b/>
          <w:bCs/>
          <w:color w:val="auto"/>
          <w:sz w:val="24"/>
          <w:szCs w:val="24"/>
          <w:highlight w:val="none"/>
        </w:rPr>
      </w:pPr>
      <w:bookmarkStart w:id="73" w:name="_Toc17919"/>
      <w:r>
        <w:rPr>
          <w:rFonts w:hint="eastAsia" w:ascii="宋体" w:hAnsi="宋体" w:eastAsia="宋体" w:cs="仿宋"/>
          <w:b/>
          <w:bCs/>
          <w:color w:val="auto"/>
          <w:sz w:val="24"/>
          <w:szCs w:val="24"/>
          <w:highlight w:val="none"/>
        </w:rPr>
        <w:t>四、与质疑事项相关的质疑请求</w:t>
      </w:r>
      <w:bookmarkEnd w:id="73"/>
    </w:p>
    <w:p w14:paraId="1342889A">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B013A43">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06E369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04D002F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336EA31">
      <w:pPr>
        <w:outlineLvl w:val="0"/>
        <w:rPr>
          <w:rFonts w:ascii="宋体" w:hAnsi="宋体" w:eastAsia="宋体"/>
          <w:b/>
          <w:color w:val="auto"/>
          <w:sz w:val="28"/>
          <w:szCs w:val="32"/>
          <w:highlight w:val="none"/>
        </w:rPr>
      </w:pPr>
      <w:bookmarkStart w:id="74" w:name="_Toc22239"/>
      <w:bookmarkStart w:id="75" w:name="_Toc9754"/>
      <w:r>
        <w:rPr>
          <w:rFonts w:hint="eastAsia" w:ascii="宋体" w:hAnsi="宋体" w:eastAsia="宋体"/>
          <w:b/>
          <w:color w:val="auto"/>
          <w:sz w:val="28"/>
          <w:szCs w:val="32"/>
          <w:highlight w:val="none"/>
        </w:rPr>
        <w:t>质疑函制作说明：</w:t>
      </w:r>
      <w:bookmarkEnd w:id="74"/>
      <w:bookmarkEnd w:id="75"/>
    </w:p>
    <w:p w14:paraId="698BD2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4A58615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0A3A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764B10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540C0D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38F920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MingLiU">
    <w:altName w:val="PMingLiU-ExtB"/>
    <w:panose1 w:val="020203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00006FF" w:usb1="4000205B" w:usb2="00000010"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CD4E">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43C0">
    <w:pPr>
      <w:pStyle w:val="14"/>
      <w:jc w:val="center"/>
    </w:pPr>
    <w:r>
      <w:rPr>
        <w:rFonts w:ascii="@仿宋_GB2312" w:hAnsi="@仿宋_GB2312" w:eastAsia="@仿宋_GB2312" w:cs="@仿宋_GB2312"/>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670566F">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vem4iMMBAACPAwAADgAAAAAAAAABACAAAAAfAQAAZHJzL2Uyb0RvYy54bWxQ&#10;SwUGAAAAAAYABgBZAQAAVAUAAAAA&#10;">
              <v:fill on="f" focussize="0,0"/>
              <v:stroke on="f"/>
              <v:imagedata o:title=""/>
              <o:lock v:ext="edit" aspectratio="f"/>
              <v:textbox inset="0mm,0mm,0mm,0mm" style="mso-fit-shape-to-text:t;">
                <w:txbxContent>
                  <w:p w14:paraId="7670566F">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F768">
    <w:pPr>
      <w:pStyle w:val="15"/>
      <w:pBdr>
        <w:bottom w:val="none" w:color="auto" w:sz="0" w:space="1"/>
      </w:pBdr>
      <w:jc w:val="lef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1670">
    <w:pPr>
      <w:pStyle w:val="15"/>
      <w:pBdr>
        <w:bottom w:val="none" w:color="auto" w:sz="0" w:space="1"/>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44D3"/>
    <w:rsid w:val="000B54F4"/>
    <w:rsid w:val="000C1DB1"/>
    <w:rsid w:val="000D3F37"/>
    <w:rsid w:val="000D431F"/>
    <w:rsid w:val="000E2208"/>
    <w:rsid w:val="000E3C74"/>
    <w:rsid w:val="000E3F9B"/>
    <w:rsid w:val="000E3FC3"/>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E1545"/>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A613C"/>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0D69"/>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46AD2"/>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0F1DA1"/>
    <w:rsid w:val="014B7AE2"/>
    <w:rsid w:val="0188638F"/>
    <w:rsid w:val="01D34DB2"/>
    <w:rsid w:val="0214602E"/>
    <w:rsid w:val="02235CC1"/>
    <w:rsid w:val="02443869"/>
    <w:rsid w:val="02F37843"/>
    <w:rsid w:val="03486B27"/>
    <w:rsid w:val="035A307B"/>
    <w:rsid w:val="03863E70"/>
    <w:rsid w:val="03BF593A"/>
    <w:rsid w:val="040A094E"/>
    <w:rsid w:val="043164D2"/>
    <w:rsid w:val="049C3EC3"/>
    <w:rsid w:val="04BA64C7"/>
    <w:rsid w:val="04E36C96"/>
    <w:rsid w:val="0559183C"/>
    <w:rsid w:val="056800F4"/>
    <w:rsid w:val="056F201D"/>
    <w:rsid w:val="05850883"/>
    <w:rsid w:val="058D4B98"/>
    <w:rsid w:val="05A607FA"/>
    <w:rsid w:val="05B664D4"/>
    <w:rsid w:val="05CF5FA2"/>
    <w:rsid w:val="0633077A"/>
    <w:rsid w:val="06D118A6"/>
    <w:rsid w:val="06FD269B"/>
    <w:rsid w:val="070677A2"/>
    <w:rsid w:val="07076C01"/>
    <w:rsid w:val="071C12AC"/>
    <w:rsid w:val="074A3962"/>
    <w:rsid w:val="074E231E"/>
    <w:rsid w:val="076A196A"/>
    <w:rsid w:val="07921036"/>
    <w:rsid w:val="079A27C4"/>
    <w:rsid w:val="07A934B3"/>
    <w:rsid w:val="07D03DA8"/>
    <w:rsid w:val="07E129C9"/>
    <w:rsid w:val="07EB2663"/>
    <w:rsid w:val="080D4B60"/>
    <w:rsid w:val="08153BE4"/>
    <w:rsid w:val="083E11BD"/>
    <w:rsid w:val="08412444"/>
    <w:rsid w:val="08A92ADB"/>
    <w:rsid w:val="08B15E54"/>
    <w:rsid w:val="08CB2A51"/>
    <w:rsid w:val="08E458C1"/>
    <w:rsid w:val="09082248"/>
    <w:rsid w:val="09267C87"/>
    <w:rsid w:val="092D5151"/>
    <w:rsid w:val="0966277A"/>
    <w:rsid w:val="097C3D4B"/>
    <w:rsid w:val="0980799C"/>
    <w:rsid w:val="099948FD"/>
    <w:rsid w:val="09A84B40"/>
    <w:rsid w:val="09DB5CCC"/>
    <w:rsid w:val="0A0F6376"/>
    <w:rsid w:val="0A1B5312"/>
    <w:rsid w:val="0A1C7070"/>
    <w:rsid w:val="0A2E2D1E"/>
    <w:rsid w:val="0A353CEA"/>
    <w:rsid w:val="0A6A08B7"/>
    <w:rsid w:val="0A6A18DB"/>
    <w:rsid w:val="0A786C09"/>
    <w:rsid w:val="0A7A254C"/>
    <w:rsid w:val="0A9849A9"/>
    <w:rsid w:val="0AAB2F8F"/>
    <w:rsid w:val="0AEF3828"/>
    <w:rsid w:val="0AF273D4"/>
    <w:rsid w:val="0B2C0449"/>
    <w:rsid w:val="0BBB665B"/>
    <w:rsid w:val="0BCD3D94"/>
    <w:rsid w:val="0C265565"/>
    <w:rsid w:val="0C8353F1"/>
    <w:rsid w:val="0C963376"/>
    <w:rsid w:val="0CB7664E"/>
    <w:rsid w:val="0CCD37C8"/>
    <w:rsid w:val="0CEA36C2"/>
    <w:rsid w:val="0D4C612B"/>
    <w:rsid w:val="0D6B3773"/>
    <w:rsid w:val="0D8F0AE7"/>
    <w:rsid w:val="0D9F28C7"/>
    <w:rsid w:val="0DAB2E51"/>
    <w:rsid w:val="0DC432BA"/>
    <w:rsid w:val="0DD8176C"/>
    <w:rsid w:val="0DDF2AFB"/>
    <w:rsid w:val="0E296B84"/>
    <w:rsid w:val="0E3E5A73"/>
    <w:rsid w:val="0E5B6625"/>
    <w:rsid w:val="0E816EC5"/>
    <w:rsid w:val="0EEA6FC1"/>
    <w:rsid w:val="0F7B0F31"/>
    <w:rsid w:val="0F7F4595"/>
    <w:rsid w:val="0F954485"/>
    <w:rsid w:val="0FA933C0"/>
    <w:rsid w:val="0FBF344F"/>
    <w:rsid w:val="0FE10DAC"/>
    <w:rsid w:val="0FFA00C0"/>
    <w:rsid w:val="101C0036"/>
    <w:rsid w:val="102869DB"/>
    <w:rsid w:val="1039037E"/>
    <w:rsid w:val="103A04BC"/>
    <w:rsid w:val="10505F32"/>
    <w:rsid w:val="10563548"/>
    <w:rsid w:val="105A27E6"/>
    <w:rsid w:val="105A46BB"/>
    <w:rsid w:val="10B1077E"/>
    <w:rsid w:val="10C81F6C"/>
    <w:rsid w:val="10CD30DE"/>
    <w:rsid w:val="10DB0369"/>
    <w:rsid w:val="11660CBD"/>
    <w:rsid w:val="119B0711"/>
    <w:rsid w:val="11BA02F0"/>
    <w:rsid w:val="11E06E41"/>
    <w:rsid w:val="12152F8F"/>
    <w:rsid w:val="12197477"/>
    <w:rsid w:val="12331667"/>
    <w:rsid w:val="1289059B"/>
    <w:rsid w:val="12A65A60"/>
    <w:rsid w:val="12D06431"/>
    <w:rsid w:val="12E7492B"/>
    <w:rsid w:val="130C43B0"/>
    <w:rsid w:val="13587E2C"/>
    <w:rsid w:val="13776A55"/>
    <w:rsid w:val="13951544"/>
    <w:rsid w:val="13B50586"/>
    <w:rsid w:val="13D36C5E"/>
    <w:rsid w:val="13DE01AE"/>
    <w:rsid w:val="142F5D29"/>
    <w:rsid w:val="143538C7"/>
    <w:rsid w:val="1466407E"/>
    <w:rsid w:val="14733F9D"/>
    <w:rsid w:val="14834E28"/>
    <w:rsid w:val="148E7D65"/>
    <w:rsid w:val="14CA62B3"/>
    <w:rsid w:val="14E43D09"/>
    <w:rsid w:val="14EF5D19"/>
    <w:rsid w:val="14F055ED"/>
    <w:rsid w:val="15106414"/>
    <w:rsid w:val="151D4243"/>
    <w:rsid w:val="15231BF9"/>
    <w:rsid w:val="15533B0A"/>
    <w:rsid w:val="157C32FC"/>
    <w:rsid w:val="157C674C"/>
    <w:rsid w:val="15AA6950"/>
    <w:rsid w:val="15CA4090"/>
    <w:rsid w:val="15F5735F"/>
    <w:rsid w:val="16051EF8"/>
    <w:rsid w:val="160C28FB"/>
    <w:rsid w:val="161F43DC"/>
    <w:rsid w:val="167209B0"/>
    <w:rsid w:val="16B72867"/>
    <w:rsid w:val="16EB42BE"/>
    <w:rsid w:val="171E4694"/>
    <w:rsid w:val="172D64A6"/>
    <w:rsid w:val="17577E5E"/>
    <w:rsid w:val="178D35C8"/>
    <w:rsid w:val="179F5278"/>
    <w:rsid w:val="17B32F15"/>
    <w:rsid w:val="17E07B9B"/>
    <w:rsid w:val="185D743E"/>
    <w:rsid w:val="186270E4"/>
    <w:rsid w:val="188B5D2F"/>
    <w:rsid w:val="1990114D"/>
    <w:rsid w:val="19A410F8"/>
    <w:rsid w:val="1A1E6C69"/>
    <w:rsid w:val="1A3B68AA"/>
    <w:rsid w:val="1A3E1C1E"/>
    <w:rsid w:val="1A4A39F2"/>
    <w:rsid w:val="1A4E703E"/>
    <w:rsid w:val="1A69644B"/>
    <w:rsid w:val="1AE31E7C"/>
    <w:rsid w:val="1AE856E5"/>
    <w:rsid w:val="1B105834"/>
    <w:rsid w:val="1B1C3432"/>
    <w:rsid w:val="1B3204C1"/>
    <w:rsid w:val="1B391A9C"/>
    <w:rsid w:val="1B843A53"/>
    <w:rsid w:val="1BCA6B98"/>
    <w:rsid w:val="1BDD4B1E"/>
    <w:rsid w:val="1BEE63EC"/>
    <w:rsid w:val="1BF956CF"/>
    <w:rsid w:val="1C042AFF"/>
    <w:rsid w:val="1C141836"/>
    <w:rsid w:val="1C191A02"/>
    <w:rsid w:val="1C7A236C"/>
    <w:rsid w:val="1C8F13B1"/>
    <w:rsid w:val="1C962F1E"/>
    <w:rsid w:val="1CB02232"/>
    <w:rsid w:val="1CC23D13"/>
    <w:rsid w:val="1D031584"/>
    <w:rsid w:val="1D0B7468"/>
    <w:rsid w:val="1D1B4B41"/>
    <w:rsid w:val="1D6D356C"/>
    <w:rsid w:val="1D8F29E0"/>
    <w:rsid w:val="1D9E066F"/>
    <w:rsid w:val="1DA3702B"/>
    <w:rsid w:val="1DA376A1"/>
    <w:rsid w:val="1DB96EC4"/>
    <w:rsid w:val="1DD0420E"/>
    <w:rsid w:val="1DF0665E"/>
    <w:rsid w:val="1E1D4D68"/>
    <w:rsid w:val="1E450758"/>
    <w:rsid w:val="1E6B6A14"/>
    <w:rsid w:val="1E85324A"/>
    <w:rsid w:val="1E8A7418"/>
    <w:rsid w:val="1E8B4C6A"/>
    <w:rsid w:val="1EAA6A05"/>
    <w:rsid w:val="1EBF49AE"/>
    <w:rsid w:val="1F244944"/>
    <w:rsid w:val="1F325180"/>
    <w:rsid w:val="1F59624F"/>
    <w:rsid w:val="1F8E612F"/>
    <w:rsid w:val="1FE521F3"/>
    <w:rsid w:val="1FEA4E1F"/>
    <w:rsid w:val="202E11BC"/>
    <w:rsid w:val="204358FA"/>
    <w:rsid w:val="20550D9A"/>
    <w:rsid w:val="20EC5803"/>
    <w:rsid w:val="21012835"/>
    <w:rsid w:val="21103CDF"/>
    <w:rsid w:val="21584C46"/>
    <w:rsid w:val="21714B53"/>
    <w:rsid w:val="217521B6"/>
    <w:rsid w:val="2182430A"/>
    <w:rsid w:val="218E2416"/>
    <w:rsid w:val="22097CEF"/>
    <w:rsid w:val="222B321C"/>
    <w:rsid w:val="225B2C40"/>
    <w:rsid w:val="226915FE"/>
    <w:rsid w:val="22BE4F7D"/>
    <w:rsid w:val="22E14C32"/>
    <w:rsid w:val="231828DF"/>
    <w:rsid w:val="23201794"/>
    <w:rsid w:val="23713D9D"/>
    <w:rsid w:val="23916A3E"/>
    <w:rsid w:val="23AE0B4E"/>
    <w:rsid w:val="23F46D37"/>
    <w:rsid w:val="24101808"/>
    <w:rsid w:val="241E5CD3"/>
    <w:rsid w:val="242B4894"/>
    <w:rsid w:val="24681E07"/>
    <w:rsid w:val="246F29D3"/>
    <w:rsid w:val="24B97929"/>
    <w:rsid w:val="24D12D46"/>
    <w:rsid w:val="24D67C6F"/>
    <w:rsid w:val="24FF48BB"/>
    <w:rsid w:val="2520252D"/>
    <w:rsid w:val="25592D3B"/>
    <w:rsid w:val="258E0C37"/>
    <w:rsid w:val="25A8619C"/>
    <w:rsid w:val="26122A2E"/>
    <w:rsid w:val="26130602"/>
    <w:rsid w:val="2613131C"/>
    <w:rsid w:val="26163BC1"/>
    <w:rsid w:val="26357304"/>
    <w:rsid w:val="263712CE"/>
    <w:rsid w:val="263D0E74"/>
    <w:rsid w:val="266F6CBA"/>
    <w:rsid w:val="2685028B"/>
    <w:rsid w:val="26A225FF"/>
    <w:rsid w:val="26A64C5A"/>
    <w:rsid w:val="26D7485F"/>
    <w:rsid w:val="26DC4BB2"/>
    <w:rsid w:val="26F50752"/>
    <w:rsid w:val="271153DC"/>
    <w:rsid w:val="27135D4E"/>
    <w:rsid w:val="2729330D"/>
    <w:rsid w:val="273644A3"/>
    <w:rsid w:val="275728D1"/>
    <w:rsid w:val="27675BE3"/>
    <w:rsid w:val="278E4E50"/>
    <w:rsid w:val="27D11B30"/>
    <w:rsid w:val="27D843EB"/>
    <w:rsid w:val="27DC037F"/>
    <w:rsid w:val="281C4C20"/>
    <w:rsid w:val="285F0CA7"/>
    <w:rsid w:val="285F40CA"/>
    <w:rsid w:val="28C01ECB"/>
    <w:rsid w:val="28C127EC"/>
    <w:rsid w:val="28D56B7C"/>
    <w:rsid w:val="28EC3ECC"/>
    <w:rsid w:val="29470893"/>
    <w:rsid w:val="29BF71E3"/>
    <w:rsid w:val="29FC3482"/>
    <w:rsid w:val="2A1262DA"/>
    <w:rsid w:val="2A127B63"/>
    <w:rsid w:val="2A2953D2"/>
    <w:rsid w:val="2A510484"/>
    <w:rsid w:val="2AAA4765"/>
    <w:rsid w:val="2ABA427C"/>
    <w:rsid w:val="2AC21606"/>
    <w:rsid w:val="2AF63C5E"/>
    <w:rsid w:val="2AFE060C"/>
    <w:rsid w:val="2B7E7608"/>
    <w:rsid w:val="2B7F04E9"/>
    <w:rsid w:val="2BA33B3F"/>
    <w:rsid w:val="2BB533C1"/>
    <w:rsid w:val="2C0003B4"/>
    <w:rsid w:val="2C1520B2"/>
    <w:rsid w:val="2C305555"/>
    <w:rsid w:val="2C5233CB"/>
    <w:rsid w:val="2C9A21B9"/>
    <w:rsid w:val="2CCE400E"/>
    <w:rsid w:val="2CE20523"/>
    <w:rsid w:val="2D484307"/>
    <w:rsid w:val="2D496D68"/>
    <w:rsid w:val="2D5B1D46"/>
    <w:rsid w:val="2D792E9C"/>
    <w:rsid w:val="2DB90CBD"/>
    <w:rsid w:val="2DE51610"/>
    <w:rsid w:val="2DEF248E"/>
    <w:rsid w:val="2E314855"/>
    <w:rsid w:val="2E6672CB"/>
    <w:rsid w:val="2E7A48DE"/>
    <w:rsid w:val="2E8E1CA7"/>
    <w:rsid w:val="2EDC3ED8"/>
    <w:rsid w:val="2F097580"/>
    <w:rsid w:val="2F2D046C"/>
    <w:rsid w:val="2F2F348A"/>
    <w:rsid w:val="2F3B5F94"/>
    <w:rsid w:val="2F5B427F"/>
    <w:rsid w:val="2F6351B4"/>
    <w:rsid w:val="2F6649D2"/>
    <w:rsid w:val="2F77256D"/>
    <w:rsid w:val="2FA64FEA"/>
    <w:rsid w:val="2FCF199E"/>
    <w:rsid w:val="2FD7142C"/>
    <w:rsid w:val="300F6E18"/>
    <w:rsid w:val="30483E83"/>
    <w:rsid w:val="304F5466"/>
    <w:rsid w:val="30793D93"/>
    <w:rsid w:val="30AA0E97"/>
    <w:rsid w:val="30BC42A9"/>
    <w:rsid w:val="31126BC0"/>
    <w:rsid w:val="314805C3"/>
    <w:rsid w:val="318854D0"/>
    <w:rsid w:val="31AB491E"/>
    <w:rsid w:val="31D9148B"/>
    <w:rsid w:val="3234700A"/>
    <w:rsid w:val="324D2395"/>
    <w:rsid w:val="326C67A3"/>
    <w:rsid w:val="32821B23"/>
    <w:rsid w:val="32A41A99"/>
    <w:rsid w:val="334E4CD8"/>
    <w:rsid w:val="33730E72"/>
    <w:rsid w:val="33802506"/>
    <w:rsid w:val="33956111"/>
    <w:rsid w:val="33C10429"/>
    <w:rsid w:val="33DC1707"/>
    <w:rsid w:val="33F22ACC"/>
    <w:rsid w:val="33FC76B3"/>
    <w:rsid w:val="34086433"/>
    <w:rsid w:val="34136117"/>
    <w:rsid w:val="343C0775"/>
    <w:rsid w:val="348558FB"/>
    <w:rsid w:val="34AA76A9"/>
    <w:rsid w:val="34CE1050"/>
    <w:rsid w:val="34D10B40"/>
    <w:rsid w:val="355E5C87"/>
    <w:rsid w:val="3562552D"/>
    <w:rsid w:val="356C50EC"/>
    <w:rsid w:val="35725E7F"/>
    <w:rsid w:val="35987DB6"/>
    <w:rsid w:val="35A547AD"/>
    <w:rsid w:val="35AA2402"/>
    <w:rsid w:val="35E623C9"/>
    <w:rsid w:val="35E87EEF"/>
    <w:rsid w:val="35EA010B"/>
    <w:rsid w:val="35EB79DF"/>
    <w:rsid w:val="35EF41BA"/>
    <w:rsid w:val="360B4679"/>
    <w:rsid w:val="361108CD"/>
    <w:rsid w:val="361F7F47"/>
    <w:rsid w:val="36525CB0"/>
    <w:rsid w:val="365E28A7"/>
    <w:rsid w:val="36624375"/>
    <w:rsid w:val="366A124C"/>
    <w:rsid w:val="36DD1A1E"/>
    <w:rsid w:val="36F7183E"/>
    <w:rsid w:val="3700166C"/>
    <w:rsid w:val="3727617F"/>
    <w:rsid w:val="375969FE"/>
    <w:rsid w:val="375A306E"/>
    <w:rsid w:val="375F0685"/>
    <w:rsid w:val="37620175"/>
    <w:rsid w:val="37667C65"/>
    <w:rsid w:val="37705918"/>
    <w:rsid w:val="37985945"/>
    <w:rsid w:val="37D70499"/>
    <w:rsid w:val="37EA2644"/>
    <w:rsid w:val="3851430F"/>
    <w:rsid w:val="38694EE9"/>
    <w:rsid w:val="38804D57"/>
    <w:rsid w:val="38B8629F"/>
    <w:rsid w:val="38C54755"/>
    <w:rsid w:val="38D86941"/>
    <w:rsid w:val="390F1C37"/>
    <w:rsid w:val="3914724D"/>
    <w:rsid w:val="391905F6"/>
    <w:rsid w:val="396401D4"/>
    <w:rsid w:val="39677CC5"/>
    <w:rsid w:val="39953223"/>
    <w:rsid w:val="399A3BF6"/>
    <w:rsid w:val="39A1380C"/>
    <w:rsid w:val="39A20CFD"/>
    <w:rsid w:val="39E76710"/>
    <w:rsid w:val="39F23A32"/>
    <w:rsid w:val="3A377697"/>
    <w:rsid w:val="3A7166BD"/>
    <w:rsid w:val="3A856654"/>
    <w:rsid w:val="3ABC7B9C"/>
    <w:rsid w:val="3AD60C5E"/>
    <w:rsid w:val="3B365CC9"/>
    <w:rsid w:val="3B4C2CCE"/>
    <w:rsid w:val="3B4C7172"/>
    <w:rsid w:val="3B5A363D"/>
    <w:rsid w:val="3B713BD8"/>
    <w:rsid w:val="3B8E59E5"/>
    <w:rsid w:val="3B9A7B88"/>
    <w:rsid w:val="3B9F3746"/>
    <w:rsid w:val="3BC114FF"/>
    <w:rsid w:val="3BDF3DFC"/>
    <w:rsid w:val="3BE41159"/>
    <w:rsid w:val="3BEC625F"/>
    <w:rsid w:val="3C0F436B"/>
    <w:rsid w:val="3C2660C6"/>
    <w:rsid w:val="3C495460"/>
    <w:rsid w:val="3C797AF3"/>
    <w:rsid w:val="3C7C5835"/>
    <w:rsid w:val="3CB642F5"/>
    <w:rsid w:val="3CB8216A"/>
    <w:rsid w:val="3CDA193F"/>
    <w:rsid w:val="3D223EBA"/>
    <w:rsid w:val="3D2C7AC8"/>
    <w:rsid w:val="3D2D6B2F"/>
    <w:rsid w:val="3D344362"/>
    <w:rsid w:val="3D7F6D36"/>
    <w:rsid w:val="3D855D12"/>
    <w:rsid w:val="3D8B42FF"/>
    <w:rsid w:val="3D8C02DD"/>
    <w:rsid w:val="3D9170BE"/>
    <w:rsid w:val="3DBE6FB6"/>
    <w:rsid w:val="3DC20089"/>
    <w:rsid w:val="3DF36A6E"/>
    <w:rsid w:val="3DFA2506"/>
    <w:rsid w:val="3E02162D"/>
    <w:rsid w:val="3E1D69B6"/>
    <w:rsid w:val="3E3D0FF4"/>
    <w:rsid w:val="3E4413E0"/>
    <w:rsid w:val="3E6B3DB3"/>
    <w:rsid w:val="3E7F160D"/>
    <w:rsid w:val="3EAE54E2"/>
    <w:rsid w:val="3F1138E1"/>
    <w:rsid w:val="3F2A1578"/>
    <w:rsid w:val="3F792F1E"/>
    <w:rsid w:val="3FF51B86"/>
    <w:rsid w:val="40824826"/>
    <w:rsid w:val="408C11D1"/>
    <w:rsid w:val="40C36AAA"/>
    <w:rsid w:val="40C652D1"/>
    <w:rsid w:val="40C91210"/>
    <w:rsid w:val="40D95004"/>
    <w:rsid w:val="40E63923"/>
    <w:rsid w:val="40E90D2E"/>
    <w:rsid w:val="41135982"/>
    <w:rsid w:val="414B735B"/>
    <w:rsid w:val="41744B0D"/>
    <w:rsid w:val="418F5DD2"/>
    <w:rsid w:val="41BE4CC7"/>
    <w:rsid w:val="41CA0DF1"/>
    <w:rsid w:val="4219017E"/>
    <w:rsid w:val="42446DF5"/>
    <w:rsid w:val="4267663F"/>
    <w:rsid w:val="42937435"/>
    <w:rsid w:val="42B443F4"/>
    <w:rsid w:val="42EB7271"/>
    <w:rsid w:val="42ED4D97"/>
    <w:rsid w:val="42F43FD4"/>
    <w:rsid w:val="432F1853"/>
    <w:rsid w:val="4359067E"/>
    <w:rsid w:val="435B3335"/>
    <w:rsid w:val="43A51B15"/>
    <w:rsid w:val="43A91E5B"/>
    <w:rsid w:val="43E268C5"/>
    <w:rsid w:val="443E6CDE"/>
    <w:rsid w:val="445F7F16"/>
    <w:rsid w:val="448F2126"/>
    <w:rsid w:val="44BC3308"/>
    <w:rsid w:val="44EC4671"/>
    <w:rsid w:val="44FA19ED"/>
    <w:rsid w:val="450D1720"/>
    <w:rsid w:val="45383C57"/>
    <w:rsid w:val="457868C8"/>
    <w:rsid w:val="45813EBC"/>
    <w:rsid w:val="459260C9"/>
    <w:rsid w:val="45BA48DB"/>
    <w:rsid w:val="45CD77AA"/>
    <w:rsid w:val="45E21D1F"/>
    <w:rsid w:val="45E42C1A"/>
    <w:rsid w:val="46030B23"/>
    <w:rsid w:val="46181376"/>
    <w:rsid w:val="463A3650"/>
    <w:rsid w:val="464C0026"/>
    <w:rsid w:val="465D33FD"/>
    <w:rsid w:val="469F0116"/>
    <w:rsid w:val="475259B7"/>
    <w:rsid w:val="475573AE"/>
    <w:rsid w:val="47867568"/>
    <w:rsid w:val="47B474C1"/>
    <w:rsid w:val="47B75973"/>
    <w:rsid w:val="47BC14BF"/>
    <w:rsid w:val="47DF0FED"/>
    <w:rsid w:val="47F44954"/>
    <w:rsid w:val="48623B31"/>
    <w:rsid w:val="48831CF9"/>
    <w:rsid w:val="48EF3693"/>
    <w:rsid w:val="49564F55"/>
    <w:rsid w:val="49580328"/>
    <w:rsid w:val="49952666"/>
    <w:rsid w:val="49A165B8"/>
    <w:rsid w:val="49B1408D"/>
    <w:rsid w:val="49CF51F6"/>
    <w:rsid w:val="49E113CD"/>
    <w:rsid w:val="4A3C27B8"/>
    <w:rsid w:val="4A7C1915"/>
    <w:rsid w:val="4A7D4FD2"/>
    <w:rsid w:val="4A913C9A"/>
    <w:rsid w:val="4AB67DF8"/>
    <w:rsid w:val="4AC565F9"/>
    <w:rsid w:val="4AE22D2F"/>
    <w:rsid w:val="4AE44CD1"/>
    <w:rsid w:val="4B09298A"/>
    <w:rsid w:val="4B1F70AC"/>
    <w:rsid w:val="4B240F94"/>
    <w:rsid w:val="4B38326F"/>
    <w:rsid w:val="4B386AE5"/>
    <w:rsid w:val="4B5005B9"/>
    <w:rsid w:val="4B58746D"/>
    <w:rsid w:val="4B610285"/>
    <w:rsid w:val="4B647BC0"/>
    <w:rsid w:val="4BA75287"/>
    <w:rsid w:val="4BE62CCB"/>
    <w:rsid w:val="4BED70D6"/>
    <w:rsid w:val="4C177328"/>
    <w:rsid w:val="4C3C565C"/>
    <w:rsid w:val="4C46376A"/>
    <w:rsid w:val="4C602AB7"/>
    <w:rsid w:val="4CCC79C7"/>
    <w:rsid w:val="4D5F117A"/>
    <w:rsid w:val="4D7555C7"/>
    <w:rsid w:val="4D7F0CE1"/>
    <w:rsid w:val="4DB52955"/>
    <w:rsid w:val="4DEB130C"/>
    <w:rsid w:val="4DF94F37"/>
    <w:rsid w:val="4E261AA5"/>
    <w:rsid w:val="4E3A10AC"/>
    <w:rsid w:val="4EAE6DA0"/>
    <w:rsid w:val="4EBE3A8B"/>
    <w:rsid w:val="4EC372F3"/>
    <w:rsid w:val="4ECF2AAF"/>
    <w:rsid w:val="4F22401A"/>
    <w:rsid w:val="4F2F3C65"/>
    <w:rsid w:val="4F692614"/>
    <w:rsid w:val="4F90367A"/>
    <w:rsid w:val="4FD037EF"/>
    <w:rsid w:val="5016514B"/>
    <w:rsid w:val="502857C7"/>
    <w:rsid w:val="502B6D9B"/>
    <w:rsid w:val="5043249A"/>
    <w:rsid w:val="50461F8A"/>
    <w:rsid w:val="50476D3D"/>
    <w:rsid w:val="5105680D"/>
    <w:rsid w:val="51200A2D"/>
    <w:rsid w:val="513F7105"/>
    <w:rsid w:val="517448D5"/>
    <w:rsid w:val="51BB734E"/>
    <w:rsid w:val="51C13DC5"/>
    <w:rsid w:val="51C33452"/>
    <w:rsid w:val="51CB1C78"/>
    <w:rsid w:val="51D13AD5"/>
    <w:rsid w:val="51D55866"/>
    <w:rsid w:val="51DB6702"/>
    <w:rsid w:val="51EF5BB9"/>
    <w:rsid w:val="51F83758"/>
    <w:rsid w:val="51FD6A51"/>
    <w:rsid w:val="52070FB5"/>
    <w:rsid w:val="52466271"/>
    <w:rsid w:val="526B680A"/>
    <w:rsid w:val="527C6CA6"/>
    <w:rsid w:val="528F15C5"/>
    <w:rsid w:val="52E33AC0"/>
    <w:rsid w:val="5302663C"/>
    <w:rsid w:val="530D168E"/>
    <w:rsid w:val="53150D15"/>
    <w:rsid w:val="53172495"/>
    <w:rsid w:val="53185E60"/>
    <w:rsid w:val="531968C6"/>
    <w:rsid w:val="53241628"/>
    <w:rsid w:val="5352083E"/>
    <w:rsid w:val="53634348"/>
    <w:rsid w:val="536F5CA7"/>
    <w:rsid w:val="53B13BBE"/>
    <w:rsid w:val="53D30A5E"/>
    <w:rsid w:val="53EA467D"/>
    <w:rsid w:val="54196F7E"/>
    <w:rsid w:val="541A5D30"/>
    <w:rsid w:val="54921C42"/>
    <w:rsid w:val="54B576DE"/>
    <w:rsid w:val="54CA3B23"/>
    <w:rsid w:val="54D93F05"/>
    <w:rsid w:val="54F2448F"/>
    <w:rsid w:val="54F93A6F"/>
    <w:rsid w:val="553700F3"/>
    <w:rsid w:val="553E632F"/>
    <w:rsid w:val="554A3878"/>
    <w:rsid w:val="55676C2B"/>
    <w:rsid w:val="55690BF5"/>
    <w:rsid w:val="55833339"/>
    <w:rsid w:val="558B11A3"/>
    <w:rsid w:val="558E2409"/>
    <w:rsid w:val="55AE0106"/>
    <w:rsid w:val="55C0458D"/>
    <w:rsid w:val="55F068CD"/>
    <w:rsid w:val="56220DA3"/>
    <w:rsid w:val="566B62A7"/>
    <w:rsid w:val="566C3136"/>
    <w:rsid w:val="568D04F2"/>
    <w:rsid w:val="56B0015D"/>
    <w:rsid w:val="56B063AF"/>
    <w:rsid w:val="56E246C3"/>
    <w:rsid w:val="570F757A"/>
    <w:rsid w:val="57256D9D"/>
    <w:rsid w:val="574216FD"/>
    <w:rsid w:val="575D6537"/>
    <w:rsid w:val="578C63DF"/>
    <w:rsid w:val="57923F19"/>
    <w:rsid w:val="579D2DD8"/>
    <w:rsid w:val="57B40DFD"/>
    <w:rsid w:val="582901C7"/>
    <w:rsid w:val="582F0470"/>
    <w:rsid w:val="583B7EFB"/>
    <w:rsid w:val="585B234B"/>
    <w:rsid w:val="585E353C"/>
    <w:rsid w:val="588D6DD7"/>
    <w:rsid w:val="58DF2F7C"/>
    <w:rsid w:val="591A3FB4"/>
    <w:rsid w:val="5A0E1D6B"/>
    <w:rsid w:val="5A526582"/>
    <w:rsid w:val="5A5F5C77"/>
    <w:rsid w:val="5A7122F9"/>
    <w:rsid w:val="5ABD1DAF"/>
    <w:rsid w:val="5AEB58A3"/>
    <w:rsid w:val="5AF905A1"/>
    <w:rsid w:val="5B073454"/>
    <w:rsid w:val="5B10566E"/>
    <w:rsid w:val="5B323837"/>
    <w:rsid w:val="5B5A4B3C"/>
    <w:rsid w:val="5B8F2A37"/>
    <w:rsid w:val="5BBE39CD"/>
    <w:rsid w:val="5BC11A60"/>
    <w:rsid w:val="5C050F4B"/>
    <w:rsid w:val="5C201D6D"/>
    <w:rsid w:val="5C295359"/>
    <w:rsid w:val="5C4C0928"/>
    <w:rsid w:val="5C507D4F"/>
    <w:rsid w:val="5C7A4D54"/>
    <w:rsid w:val="5C904CB9"/>
    <w:rsid w:val="5CA70254"/>
    <w:rsid w:val="5CD23B73"/>
    <w:rsid w:val="5CDE0169"/>
    <w:rsid w:val="5CFF3BED"/>
    <w:rsid w:val="5D704AEA"/>
    <w:rsid w:val="5D755256"/>
    <w:rsid w:val="5DB00E6A"/>
    <w:rsid w:val="5EC06CB8"/>
    <w:rsid w:val="5ED13367"/>
    <w:rsid w:val="5EFD3C0A"/>
    <w:rsid w:val="5F011414"/>
    <w:rsid w:val="5F127819"/>
    <w:rsid w:val="5F63752A"/>
    <w:rsid w:val="5F8B1768"/>
    <w:rsid w:val="5F8C30F4"/>
    <w:rsid w:val="5F906D7E"/>
    <w:rsid w:val="5FBC1D27"/>
    <w:rsid w:val="5FBF7663"/>
    <w:rsid w:val="5FE07D05"/>
    <w:rsid w:val="5FEB66AA"/>
    <w:rsid w:val="5FEE3CB7"/>
    <w:rsid w:val="5FEF590D"/>
    <w:rsid w:val="60BE175D"/>
    <w:rsid w:val="60D44997"/>
    <w:rsid w:val="60F1503F"/>
    <w:rsid w:val="61025188"/>
    <w:rsid w:val="61057D5F"/>
    <w:rsid w:val="61385CB1"/>
    <w:rsid w:val="61412A26"/>
    <w:rsid w:val="61483DB4"/>
    <w:rsid w:val="614D4977"/>
    <w:rsid w:val="61665FE8"/>
    <w:rsid w:val="61B56F70"/>
    <w:rsid w:val="61F26C86"/>
    <w:rsid w:val="621F0E23"/>
    <w:rsid w:val="62514EEA"/>
    <w:rsid w:val="6287090C"/>
    <w:rsid w:val="62917095"/>
    <w:rsid w:val="629E7A04"/>
    <w:rsid w:val="62A63DB0"/>
    <w:rsid w:val="62CA6298"/>
    <w:rsid w:val="62CB6586"/>
    <w:rsid w:val="62CD5E9B"/>
    <w:rsid w:val="62EE098B"/>
    <w:rsid w:val="62EF7724"/>
    <w:rsid w:val="62F37D50"/>
    <w:rsid w:val="631A1780"/>
    <w:rsid w:val="631A194D"/>
    <w:rsid w:val="632154F3"/>
    <w:rsid w:val="63235EC9"/>
    <w:rsid w:val="632E0D88"/>
    <w:rsid w:val="63497970"/>
    <w:rsid w:val="634F0626"/>
    <w:rsid w:val="63504476"/>
    <w:rsid w:val="63C60FC0"/>
    <w:rsid w:val="63C96C0E"/>
    <w:rsid w:val="63F14E78"/>
    <w:rsid w:val="63FA3360"/>
    <w:rsid w:val="64632CB3"/>
    <w:rsid w:val="647E5D3F"/>
    <w:rsid w:val="649966D5"/>
    <w:rsid w:val="64BA3D7A"/>
    <w:rsid w:val="64D54118"/>
    <w:rsid w:val="64F179BC"/>
    <w:rsid w:val="65357C58"/>
    <w:rsid w:val="653B3C30"/>
    <w:rsid w:val="6569254B"/>
    <w:rsid w:val="65766A16"/>
    <w:rsid w:val="65945F13"/>
    <w:rsid w:val="65C94C55"/>
    <w:rsid w:val="65D23F5A"/>
    <w:rsid w:val="662C3C0B"/>
    <w:rsid w:val="665704D3"/>
    <w:rsid w:val="66AC783F"/>
    <w:rsid w:val="66C32BE9"/>
    <w:rsid w:val="66E75E1D"/>
    <w:rsid w:val="67002A3B"/>
    <w:rsid w:val="670047E9"/>
    <w:rsid w:val="670F0ED0"/>
    <w:rsid w:val="67302D72"/>
    <w:rsid w:val="673148E2"/>
    <w:rsid w:val="673A29F1"/>
    <w:rsid w:val="674A1F08"/>
    <w:rsid w:val="674E72EB"/>
    <w:rsid w:val="675445CD"/>
    <w:rsid w:val="67702665"/>
    <w:rsid w:val="67900263"/>
    <w:rsid w:val="679F2254"/>
    <w:rsid w:val="67C021CA"/>
    <w:rsid w:val="67C065A4"/>
    <w:rsid w:val="67C37CA9"/>
    <w:rsid w:val="67C779FD"/>
    <w:rsid w:val="67D359C9"/>
    <w:rsid w:val="67F53CE1"/>
    <w:rsid w:val="67FC0BCD"/>
    <w:rsid w:val="68155CD8"/>
    <w:rsid w:val="6849089E"/>
    <w:rsid w:val="68664E5D"/>
    <w:rsid w:val="686C5CBD"/>
    <w:rsid w:val="686D6A1C"/>
    <w:rsid w:val="68E63EB3"/>
    <w:rsid w:val="68FE36DD"/>
    <w:rsid w:val="692073C4"/>
    <w:rsid w:val="694E60FC"/>
    <w:rsid w:val="695D5489"/>
    <w:rsid w:val="6967621D"/>
    <w:rsid w:val="69693705"/>
    <w:rsid w:val="696E6382"/>
    <w:rsid w:val="699C49E8"/>
    <w:rsid w:val="69DF4B8A"/>
    <w:rsid w:val="69EF4042"/>
    <w:rsid w:val="6AB26742"/>
    <w:rsid w:val="6AB87933"/>
    <w:rsid w:val="6AE20331"/>
    <w:rsid w:val="6B4B23F5"/>
    <w:rsid w:val="6B6651E9"/>
    <w:rsid w:val="6C410A63"/>
    <w:rsid w:val="6C507F65"/>
    <w:rsid w:val="6C646557"/>
    <w:rsid w:val="6C675CE6"/>
    <w:rsid w:val="6C8B724B"/>
    <w:rsid w:val="6C8E2A92"/>
    <w:rsid w:val="6CA97D11"/>
    <w:rsid w:val="6CE64481"/>
    <w:rsid w:val="6CEF35AF"/>
    <w:rsid w:val="6D003795"/>
    <w:rsid w:val="6D1F7993"/>
    <w:rsid w:val="6D384CD5"/>
    <w:rsid w:val="6D452BB7"/>
    <w:rsid w:val="6D4F4321"/>
    <w:rsid w:val="6D8141AA"/>
    <w:rsid w:val="6DFF7360"/>
    <w:rsid w:val="6E0C43BB"/>
    <w:rsid w:val="6E182D60"/>
    <w:rsid w:val="6E2B2A93"/>
    <w:rsid w:val="6E5A6ED5"/>
    <w:rsid w:val="6E602011"/>
    <w:rsid w:val="6E7A5F73"/>
    <w:rsid w:val="6E7C32EF"/>
    <w:rsid w:val="6EA025E7"/>
    <w:rsid w:val="6EC425A0"/>
    <w:rsid w:val="6EC86534"/>
    <w:rsid w:val="6F0419BD"/>
    <w:rsid w:val="6F1104C5"/>
    <w:rsid w:val="6F1B7502"/>
    <w:rsid w:val="6F2E3798"/>
    <w:rsid w:val="6F463B6B"/>
    <w:rsid w:val="6F4B6562"/>
    <w:rsid w:val="6F621672"/>
    <w:rsid w:val="6F675D4D"/>
    <w:rsid w:val="6F6872BA"/>
    <w:rsid w:val="6F811C8E"/>
    <w:rsid w:val="6FD74228"/>
    <w:rsid w:val="6FDC4FAB"/>
    <w:rsid w:val="701E15D0"/>
    <w:rsid w:val="702A0B29"/>
    <w:rsid w:val="7072622A"/>
    <w:rsid w:val="70934920"/>
    <w:rsid w:val="709F32C5"/>
    <w:rsid w:val="70FE5EDF"/>
    <w:rsid w:val="71241A1C"/>
    <w:rsid w:val="71297032"/>
    <w:rsid w:val="713A128A"/>
    <w:rsid w:val="71633091"/>
    <w:rsid w:val="71F078D3"/>
    <w:rsid w:val="72203F91"/>
    <w:rsid w:val="729E741E"/>
    <w:rsid w:val="72C13A69"/>
    <w:rsid w:val="72C50FCD"/>
    <w:rsid w:val="72D27981"/>
    <w:rsid w:val="72E70F53"/>
    <w:rsid w:val="73081CA5"/>
    <w:rsid w:val="73AB0341"/>
    <w:rsid w:val="742C4E6F"/>
    <w:rsid w:val="74367A9C"/>
    <w:rsid w:val="74545B7C"/>
    <w:rsid w:val="74842075"/>
    <w:rsid w:val="74846BDD"/>
    <w:rsid w:val="7487762D"/>
    <w:rsid w:val="74AD0280"/>
    <w:rsid w:val="74AD7D25"/>
    <w:rsid w:val="74E938A0"/>
    <w:rsid w:val="75145083"/>
    <w:rsid w:val="75385498"/>
    <w:rsid w:val="75954C96"/>
    <w:rsid w:val="759A2AA2"/>
    <w:rsid w:val="75C335B1"/>
    <w:rsid w:val="75F714AD"/>
    <w:rsid w:val="760342F6"/>
    <w:rsid w:val="760951B9"/>
    <w:rsid w:val="76574C50"/>
    <w:rsid w:val="765C6722"/>
    <w:rsid w:val="769962BD"/>
    <w:rsid w:val="76BC207F"/>
    <w:rsid w:val="76EB4904"/>
    <w:rsid w:val="76F105F2"/>
    <w:rsid w:val="77000835"/>
    <w:rsid w:val="77194977"/>
    <w:rsid w:val="77275DC2"/>
    <w:rsid w:val="776112D4"/>
    <w:rsid w:val="777378F5"/>
    <w:rsid w:val="777A2D3C"/>
    <w:rsid w:val="777D1F12"/>
    <w:rsid w:val="77882D05"/>
    <w:rsid w:val="77B07ED5"/>
    <w:rsid w:val="77C41863"/>
    <w:rsid w:val="78537BEA"/>
    <w:rsid w:val="78561AB1"/>
    <w:rsid w:val="787B6E79"/>
    <w:rsid w:val="787E5EB6"/>
    <w:rsid w:val="78872FBC"/>
    <w:rsid w:val="78874D6A"/>
    <w:rsid w:val="789F482B"/>
    <w:rsid w:val="78A33264"/>
    <w:rsid w:val="79074B81"/>
    <w:rsid w:val="793622EC"/>
    <w:rsid w:val="794F0939"/>
    <w:rsid w:val="79504562"/>
    <w:rsid w:val="797A0886"/>
    <w:rsid w:val="79AF0FCA"/>
    <w:rsid w:val="79C74517"/>
    <w:rsid w:val="79D57D57"/>
    <w:rsid w:val="79E20016"/>
    <w:rsid w:val="79EF2560"/>
    <w:rsid w:val="79F24465"/>
    <w:rsid w:val="79F3642F"/>
    <w:rsid w:val="7A2B7977"/>
    <w:rsid w:val="7A794379"/>
    <w:rsid w:val="7A8760AF"/>
    <w:rsid w:val="7A910122"/>
    <w:rsid w:val="7AB94608"/>
    <w:rsid w:val="7AC878BC"/>
    <w:rsid w:val="7ACB6A1D"/>
    <w:rsid w:val="7AD305A5"/>
    <w:rsid w:val="7AF9279C"/>
    <w:rsid w:val="7B060A9A"/>
    <w:rsid w:val="7B1B3E90"/>
    <w:rsid w:val="7B1B79EC"/>
    <w:rsid w:val="7B42766E"/>
    <w:rsid w:val="7B540EE4"/>
    <w:rsid w:val="7B566C76"/>
    <w:rsid w:val="7BBA0FB3"/>
    <w:rsid w:val="7BBC1DFF"/>
    <w:rsid w:val="7BE2675B"/>
    <w:rsid w:val="7BE6418C"/>
    <w:rsid w:val="7C09018C"/>
    <w:rsid w:val="7C1648AD"/>
    <w:rsid w:val="7C280612"/>
    <w:rsid w:val="7C2D79D7"/>
    <w:rsid w:val="7C615578"/>
    <w:rsid w:val="7CC51958"/>
    <w:rsid w:val="7CDD764F"/>
    <w:rsid w:val="7CE65DD7"/>
    <w:rsid w:val="7CEC40B6"/>
    <w:rsid w:val="7D556349"/>
    <w:rsid w:val="7DC97BD3"/>
    <w:rsid w:val="7E2936C3"/>
    <w:rsid w:val="7E2E365C"/>
    <w:rsid w:val="7E3314F0"/>
    <w:rsid w:val="7E615244"/>
    <w:rsid w:val="7E6411B9"/>
    <w:rsid w:val="7E653D41"/>
    <w:rsid w:val="7E840763"/>
    <w:rsid w:val="7ED00AED"/>
    <w:rsid w:val="7F2C21C7"/>
    <w:rsid w:val="7F3217A8"/>
    <w:rsid w:val="7F6556D9"/>
    <w:rsid w:val="7F9F166F"/>
    <w:rsid w:val="7FA75CF2"/>
    <w:rsid w:val="7FAC5D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qFormat/>
    <w:uiPriority w:val="0"/>
    <w:pPr>
      <w:keepNext/>
      <w:keepLines/>
      <w:spacing w:before="280" w:after="290" w:line="376" w:lineRule="auto"/>
      <w:outlineLvl w:val="3"/>
    </w:pPr>
    <w:rPr>
      <w:b/>
      <w:bCs/>
      <w:sz w:val="28"/>
      <w:szCs w:val="28"/>
    </w:rPr>
  </w:style>
  <w:style w:type="character" w:default="1" w:styleId="25">
    <w:name w:val="Default Paragraph Font"/>
    <w:unhideWhenUsed/>
    <w:qFormat/>
    <w:uiPriority w:val="1"/>
  </w:style>
  <w:style w:type="table" w:default="1" w:styleId="23">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62"/>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0">
    <w:name w:val="Plain Text"/>
    <w:basedOn w:val="1"/>
    <w:link w:val="55"/>
    <w:qFormat/>
    <w:uiPriority w:val="99"/>
    <w:rPr>
      <w:rFonts w:ascii="宋体" w:hAnsi="Courier New" w:eastAsia="宋体" w:cs="黑体"/>
      <w:szCs w:val="22"/>
    </w:rPr>
  </w:style>
  <w:style w:type="paragraph" w:styleId="11">
    <w:name w:val="Date"/>
    <w:basedOn w:val="1"/>
    <w:next w:val="1"/>
    <w:link w:val="59"/>
    <w:qFormat/>
    <w:uiPriority w:val="0"/>
    <w:rPr>
      <w:rFonts w:ascii="Arial" w:hAnsi="Arial" w:eastAsia="宋体" w:cs="Arial"/>
      <w:b/>
      <w:sz w:val="28"/>
    </w:rPr>
  </w:style>
  <w:style w:type="paragraph" w:styleId="12">
    <w:name w:val="Body Text Indent 2"/>
    <w:basedOn w:val="1"/>
    <w:unhideWhenUsed/>
    <w:qFormat/>
    <w:uiPriority w:val="99"/>
    <w:pPr>
      <w:widowControl w:val="0"/>
      <w:spacing w:after="120" w:afterAutospacing="0" w:line="480" w:lineRule="auto"/>
      <w:ind w:left="420" w:leftChars="200"/>
      <w:jc w:val="both"/>
    </w:pPr>
    <w:rPr>
      <w:rFonts w:hint="default" w:ascii="Times New Roman" w:hAnsi="Times New Roman" w:cs="Times New Roman"/>
      <w:kern w:val="2"/>
      <w:sz w:val="21"/>
      <w:szCs w:val="21"/>
      <w:lang w:val="en-US" w:eastAsia="zh-CN"/>
    </w:rPr>
  </w:style>
  <w:style w:type="paragraph" w:styleId="13">
    <w:name w:val="Balloon Text"/>
    <w:basedOn w:val="1"/>
    <w:link w:val="52"/>
    <w:unhideWhenUsed/>
    <w:qFormat/>
    <w:uiPriority w:val="99"/>
    <w:rPr>
      <w:sz w:val="18"/>
      <w:szCs w:val="18"/>
    </w:rPr>
  </w:style>
  <w:style w:type="paragraph" w:styleId="14">
    <w:name w:val="footer"/>
    <w:basedOn w:val="1"/>
    <w:link w:val="54"/>
    <w:unhideWhenUsed/>
    <w:qFormat/>
    <w:uiPriority w:val="99"/>
    <w:pPr>
      <w:tabs>
        <w:tab w:val="center" w:pos="4153"/>
        <w:tab w:val="right" w:pos="8306"/>
      </w:tabs>
      <w:snapToGrid w:val="0"/>
      <w:jc w:val="left"/>
    </w:pPr>
    <w:rPr>
      <w:sz w:val="18"/>
      <w:szCs w:val="18"/>
    </w:rPr>
  </w:style>
  <w:style w:type="paragraph" w:styleId="15">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68"/>
    <w:unhideWhenUsed/>
    <w:qFormat/>
    <w:uiPriority w:val="99"/>
    <w:rPr>
      <w:rFonts w:ascii="@仿宋_GB2312" w:hAnsi="@仿宋_GB2312" w:eastAsia="@仿宋_GB2312" w:cs="@仿宋_GB2312"/>
      <w:b/>
      <w:bCs/>
    </w:rPr>
  </w:style>
  <w:style w:type="paragraph" w:styleId="21">
    <w:name w:val="Body Text First Indent"/>
    <w:basedOn w:val="8"/>
    <w:unhideWhenUsed/>
    <w:qFormat/>
    <w:uiPriority w:val="99"/>
    <w:pPr>
      <w:ind w:firstLine="420" w:firstLineChars="100"/>
    </w:pPr>
  </w:style>
  <w:style w:type="paragraph" w:styleId="22">
    <w:name w:val="Body Text First Indent 2"/>
    <w:unhideWhenUsed/>
    <w:qFormat/>
    <w:uiPriority w:val="99"/>
    <w:pPr>
      <w:widowControl w:val="0"/>
      <w:spacing w:before="0" w:beforeAutospacing="1" w:after="120" w:afterAutospacing="0"/>
      <w:ind w:left="420" w:leftChars="200" w:firstLine="420" w:firstLineChars="200"/>
      <w:jc w:val="both"/>
    </w:pPr>
    <w:rPr>
      <w:rFonts w:hint="default" w:ascii="Calibri" w:hAnsi="Calibri" w:eastAsia="宋体" w:cs="Times New Roman"/>
      <w:kern w:val="2"/>
      <w:sz w:val="21"/>
      <w:szCs w:val="21"/>
      <w:lang w:val="en-US" w:eastAsia="zh-CN" w:bidi="ar-SA"/>
    </w:r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FollowedHyperlink"/>
    <w:basedOn w:val="25"/>
    <w:unhideWhenUsed/>
    <w:qFormat/>
    <w:uiPriority w:val="99"/>
    <w:rPr>
      <w:color w:val="5C5C5C"/>
      <w:u w:val="none"/>
    </w:rPr>
  </w:style>
  <w:style w:type="character" w:styleId="28">
    <w:name w:val="Emphasis"/>
    <w:basedOn w:val="25"/>
    <w:qFormat/>
    <w:uiPriority w:val="20"/>
    <w:rPr>
      <w:b/>
      <w:bCs/>
    </w:rPr>
  </w:style>
  <w:style w:type="character" w:styleId="29">
    <w:name w:val="HTML Definition"/>
    <w:basedOn w:val="25"/>
    <w:unhideWhenUsed/>
    <w:qFormat/>
    <w:uiPriority w:val="99"/>
  </w:style>
  <w:style w:type="character" w:styleId="30">
    <w:name w:val="HTML Typewriter"/>
    <w:basedOn w:val="25"/>
    <w:unhideWhenUsed/>
    <w:qFormat/>
    <w:uiPriority w:val="99"/>
    <w:rPr>
      <w:rFonts w:hint="default"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style>
  <w:style w:type="character" w:styleId="33">
    <w:name w:val="Hyperlink"/>
    <w:basedOn w:val="25"/>
    <w:unhideWhenUsed/>
    <w:qFormat/>
    <w:uiPriority w:val="99"/>
    <w:rPr>
      <w:color w:val="0000FF"/>
      <w:u w:val="single"/>
    </w:rPr>
  </w:style>
  <w:style w:type="character" w:styleId="34">
    <w:name w:val="HTML Code"/>
    <w:basedOn w:val="25"/>
    <w:unhideWhenUsed/>
    <w:qFormat/>
    <w:uiPriority w:val="99"/>
    <w:rPr>
      <w:rFonts w:ascii="monospace" w:hAnsi="monospace" w:eastAsia="monospace" w:cs="monospace"/>
      <w:sz w:val="20"/>
    </w:rPr>
  </w:style>
  <w:style w:type="character" w:styleId="35">
    <w:name w:val="annotation reference"/>
    <w:basedOn w:val="25"/>
    <w:unhideWhenUsed/>
    <w:qFormat/>
    <w:uiPriority w:val="99"/>
    <w:rPr>
      <w:sz w:val="21"/>
      <w:szCs w:val="21"/>
    </w:rPr>
  </w:style>
  <w:style w:type="character" w:styleId="36">
    <w:name w:val="HTML Cite"/>
    <w:basedOn w:val="25"/>
    <w:unhideWhenUsed/>
    <w:qFormat/>
    <w:uiPriority w:val="99"/>
  </w:style>
  <w:style w:type="character" w:styleId="37">
    <w:name w:val="HTML Keyboard"/>
    <w:basedOn w:val="25"/>
    <w:unhideWhenUsed/>
    <w:qFormat/>
    <w:uiPriority w:val="99"/>
    <w:rPr>
      <w:rFonts w:hint="default" w:ascii="monospace" w:hAnsi="monospace" w:eastAsia="monospace" w:cs="monospace"/>
      <w:sz w:val="20"/>
    </w:rPr>
  </w:style>
  <w:style w:type="character" w:styleId="38">
    <w:name w:val="HTML Sample"/>
    <w:basedOn w:val="25"/>
    <w:unhideWhenUsed/>
    <w:qFormat/>
    <w:uiPriority w:val="99"/>
    <w:rPr>
      <w:rFonts w:hint="default" w:ascii="monospace" w:hAnsi="monospace" w:eastAsia="monospace" w:cs="monospace"/>
    </w:rPr>
  </w:style>
  <w:style w:type="character" w:customStyle="1" w:styleId="39">
    <w:name w:val="标题 1 Char"/>
    <w:basedOn w:val="25"/>
    <w:link w:val="2"/>
    <w:qFormat/>
    <w:uiPriority w:val="9"/>
    <w:rPr>
      <w:rFonts w:ascii="@仿宋_GB2312" w:hAnsi="@仿宋_GB2312" w:eastAsia="@仿宋_GB2312" w:cs="@仿宋_GB2312"/>
      <w:b/>
      <w:bCs/>
      <w:kern w:val="44"/>
      <w:sz w:val="44"/>
      <w:szCs w:val="44"/>
    </w:rPr>
  </w:style>
  <w:style w:type="character" w:customStyle="1" w:styleId="40">
    <w:name w:val="标题 3 Char"/>
    <w:basedOn w:val="25"/>
    <w:link w:val="4"/>
    <w:semiHidden/>
    <w:qFormat/>
    <w:uiPriority w:val="9"/>
    <w:rPr>
      <w:rFonts w:ascii="@仿宋_GB2312" w:hAnsi="@仿宋_GB2312" w:eastAsia="@仿宋_GB2312" w:cs="@仿宋_GB2312"/>
      <w:b/>
      <w:bCs/>
      <w:sz w:val="32"/>
      <w:szCs w:val="32"/>
    </w:rPr>
  </w:style>
  <w:style w:type="character" w:customStyle="1" w:styleId="41">
    <w:name w:val="标题 4 Char"/>
    <w:qFormat/>
    <w:uiPriority w:val="0"/>
    <w:rPr>
      <w:rFonts w:ascii="Arial" w:hAnsi="Arial" w:eastAsia="Arial"/>
      <w:b/>
      <w:bCs/>
      <w:kern w:val="2"/>
      <w:sz w:val="28"/>
      <w:szCs w:val="28"/>
      <w:lang w:val="en-US" w:eastAsia="zh-CN" w:bidi="ar-SA"/>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5">
    <w:name w:val="List Paragraph"/>
    <w:basedOn w:val="1"/>
    <w:qFormat/>
    <w:uiPriority w:val="34"/>
    <w:pPr>
      <w:ind w:firstLine="420" w:firstLineChars="200"/>
    </w:pPr>
  </w:style>
  <w:style w:type="paragraph" w:customStyle="1" w:styleId="46">
    <w:name w:val="Char Char Char Char Char Char Char1 Char"/>
    <w:basedOn w:val="1"/>
    <w:qFormat/>
    <w:uiPriority w:val="0"/>
    <w:rPr>
      <w:rFonts w:ascii="Arial" w:hAnsi="Arial" w:eastAsia="宋体" w:cs="Arial"/>
      <w:sz w:val="24"/>
    </w:rPr>
  </w:style>
  <w:style w:type="paragraph" w:customStyle="1" w:styleId="47">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48">
    <w:name w:val="Table Text"/>
    <w:basedOn w:val="1"/>
    <w:semiHidden/>
    <w:qFormat/>
    <w:uiPriority w:val="0"/>
    <w:rPr>
      <w:rFonts w:ascii="Arial" w:hAnsi="Arial" w:eastAsia="Arial" w:cs="Arial"/>
      <w:sz w:val="21"/>
      <w:szCs w:val="21"/>
      <w:lang w:val="en-US" w:eastAsia="en-US" w:bidi="ar-SA"/>
    </w:rPr>
  </w:style>
  <w:style w:type="paragraph" w:customStyle="1" w:styleId="49">
    <w:name w:val="Plain Text"/>
    <w:basedOn w:val="1"/>
    <w:qFormat/>
    <w:uiPriority w:val="0"/>
    <w:pPr>
      <w:widowControl w:val="0"/>
      <w:adjustRightInd w:val="0"/>
      <w:spacing w:before="0" w:beforeAutospacing="0" w:after="0" w:afterAutospacing="0"/>
      <w:ind w:left="0" w:right="0"/>
      <w:jc w:val="both"/>
    </w:pPr>
    <w:rPr>
      <w:rFonts w:hint="eastAsia" w:ascii="宋体" w:hAnsi="Courier New" w:eastAsia="楷体_GB2312" w:cs="宋体"/>
      <w:kern w:val="2"/>
      <w:sz w:val="26"/>
      <w:szCs w:val="26"/>
      <w:lang w:val="en-US" w:eastAsia="zh-CN"/>
    </w:rPr>
  </w:style>
  <w:style w:type="paragraph" w:customStyle="1" w:styleId="50">
    <w:name w:val="列表段落21"/>
    <w:basedOn w:val="1"/>
    <w:qFormat/>
    <w:uiPriority w:val="0"/>
    <w:pPr>
      <w:widowControl w:val="0"/>
      <w:spacing w:after="160" w:afterAutospacing="0" w:line="520" w:lineRule="exact"/>
      <w:ind w:firstLine="420"/>
      <w:jc w:val="both"/>
    </w:pPr>
    <w:rPr>
      <w:rFonts w:eastAsia="仿宋_GB2312"/>
      <w:kern w:val="2"/>
      <w:sz w:val="21"/>
      <w:szCs w:val="21"/>
      <w:lang w:val="en-US" w:eastAsia="zh-CN"/>
    </w:rPr>
  </w:style>
  <w:style w:type="paragraph" w:customStyle="1" w:styleId="51">
    <w:name w:val="Table Paragraph"/>
    <w:qFormat/>
    <w:uiPriority w:val="1"/>
    <w:rPr>
      <w:rFonts w:ascii="Times New Roman" w:hAnsi="Times New Roman" w:eastAsia="宋体" w:cs="Times New Roman"/>
      <w:lang w:val="en-US" w:eastAsia="zh-CN" w:bidi="ar-SA"/>
    </w:rPr>
  </w:style>
  <w:style w:type="character" w:customStyle="1" w:styleId="52">
    <w:name w:val="批注框文本 Char"/>
    <w:basedOn w:val="25"/>
    <w:link w:val="13"/>
    <w:semiHidden/>
    <w:qFormat/>
    <w:uiPriority w:val="99"/>
    <w:rPr>
      <w:rFonts w:ascii="@仿宋_GB2312" w:hAnsi="@仿宋_GB2312" w:eastAsia="@仿宋_GB2312" w:cs="@仿宋_GB2312"/>
      <w:sz w:val="18"/>
      <w:szCs w:val="18"/>
    </w:rPr>
  </w:style>
  <w:style w:type="character" w:customStyle="1" w:styleId="53">
    <w:name w:val="页眉 Char"/>
    <w:basedOn w:val="25"/>
    <w:link w:val="15"/>
    <w:qFormat/>
    <w:uiPriority w:val="99"/>
    <w:rPr>
      <w:rFonts w:ascii="@仿宋_GB2312" w:hAnsi="@仿宋_GB2312" w:eastAsia="@仿宋_GB2312" w:cs="@仿宋_GB2312"/>
      <w:sz w:val="18"/>
      <w:szCs w:val="18"/>
    </w:rPr>
  </w:style>
  <w:style w:type="character" w:customStyle="1" w:styleId="54">
    <w:name w:val="页脚 Char"/>
    <w:basedOn w:val="25"/>
    <w:link w:val="14"/>
    <w:qFormat/>
    <w:uiPriority w:val="99"/>
    <w:rPr>
      <w:rFonts w:ascii="@仿宋_GB2312" w:hAnsi="@仿宋_GB2312" w:eastAsia="@仿宋_GB2312" w:cs="@仿宋_GB2312"/>
      <w:sz w:val="18"/>
      <w:szCs w:val="18"/>
    </w:rPr>
  </w:style>
  <w:style w:type="character" w:customStyle="1" w:styleId="55">
    <w:name w:val="纯文本 Char"/>
    <w:link w:val="10"/>
    <w:qFormat/>
    <w:uiPriority w:val="0"/>
    <w:rPr>
      <w:rFonts w:ascii="宋体" w:hAnsi="Courier New"/>
    </w:rPr>
  </w:style>
  <w:style w:type="character" w:customStyle="1" w:styleId="56">
    <w:name w:val="纯文本 字符1"/>
    <w:basedOn w:val="25"/>
    <w:semiHidden/>
    <w:qFormat/>
    <w:uiPriority w:val="99"/>
    <w:rPr>
      <w:rFonts w:ascii="宋体" w:hAnsi="Courier New" w:cs="Courier New"/>
      <w:szCs w:val="20"/>
    </w:rPr>
  </w:style>
  <w:style w:type="character" w:customStyle="1" w:styleId="57">
    <w:name w:val="未处理的提及1"/>
    <w:basedOn w:val="25"/>
    <w:unhideWhenUsed/>
    <w:qFormat/>
    <w:uiPriority w:val="99"/>
    <w:rPr>
      <w:color w:val="605E5C"/>
      <w:shd w:val="clear" w:color="auto" w:fill="E1DFDD"/>
    </w:rPr>
  </w:style>
  <w:style w:type="character" w:customStyle="1" w:styleId="58">
    <w:name w:val="日期 字符"/>
    <w:basedOn w:val="25"/>
    <w:semiHidden/>
    <w:qFormat/>
    <w:uiPriority w:val="99"/>
    <w:rPr>
      <w:rFonts w:ascii="@仿宋_GB2312" w:hAnsi="@仿宋_GB2312" w:eastAsia="@仿宋_GB2312" w:cs="@仿宋_GB2312"/>
      <w:szCs w:val="20"/>
    </w:rPr>
  </w:style>
  <w:style w:type="character" w:customStyle="1" w:styleId="59">
    <w:name w:val="日期 Char"/>
    <w:link w:val="11"/>
    <w:qFormat/>
    <w:uiPriority w:val="0"/>
    <w:rPr>
      <w:rFonts w:ascii="Arial" w:hAnsi="Arial" w:eastAsia="宋体" w:cs="Arial"/>
      <w:b/>
      <w:sz w:val="28"/>
      <w:szCs w:val="20"/>
    </w:rPr>
  </w:style>
  <w:style w:type="character" w:customStyle="1" w:styleId="60">
    <w:name w:val="纯文本 Char1"/>
    <w:qFormat/>
    <w:locked/>
    <w:uiPriority w:val="99"/>
    <w:rPr>
      <w:rFonts w:ascii="Arial" w:hAnsi="Arial" w:eastAsia="Arial"/>
      <w:kern w:val="2"/>
      <w:sz w:val="21"/>
      <w:lang w:val="en-US" w:eastAsia="zh-CN" w:bidi="ar-SA"/>
    </w:rPr>
  </w:style>
  <w:style w:type="character" w:customStyle="1" w:styleId="61">
    <w:name w:val="批注文字 Char"/>
    <w:basedOn w:val="25"/>
    <w:semiHidden/>
    <w:qFormat/>
    <w:uiPriority w:val="99"/>
    <w:rPr>
      <w:rFonts w:ascii="@仿宋_GB2312" w:hAnsi="@仿宋_GB2312" w:eastAsia="@仿宋_GB2312" w:cs="@仿宋_GB2312"/>
      <w:szCs w:val="20"/>
    </w:rPr>
  </w:style>
  <w:style w:type="character" w:customStyle="1" w:styleId="62">
    <w:name w:val="批注文字 Char1"/>
    <w:link w:val="7"/>
    <w:qFormat/>
    <w:uiPriority w:val="0"/>
    <w:rPr>
      <w:rFonts w:ascii="Arial" w:hAnsi="Arial" w:eastAsia="黑体" w:cs="Arial"/>
      <w:szCs w:val="20"/>
    </w:rPr>
  </w:style>
  <w:style w:type="character" w:customStyle="1" w:styleId="63">
    <w:name w:val="fontstyle01"/>
    <w:basedOn w:val="25"/>
    <w:qFormat/>
    <w:uiPriority w:val="0"/>
    <w:rPr>
      <w:rFonts w:hint="eastAsia" w:ascii="宋体" w:hAnsi="宋体" w:eastAsia="宋体"/>
      <w:color w:val="000000"/>
      <w:sz w:val="22"/>
      <w:szCs w:val="22"/>
    </w:rPr>
  </w:style>
  <w:style w:type="character" w:customStyle="1" w:styleId="64">
    <w:name w:val="fontstyle21"/>
    <w:basedOn w:val="25"/>
    <w:qFormat/>
    <w:uiPriority w:val="0"/>
    <w:rPr>
      <w:rFonts w:hint="default" w:ascii="TimesNewRomanPSMT" w:hAnsi="TimesNewRomanPSMT"/>
      <w:color w:val="000000"/>
      <w:sz w:val="22"/>
      <w:szCs w:val="22"/>
    </w:rPr>
  </w:style>
  <w:style w:type="character" w:customStyle="1" w:styleId="6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5"/>
    <w:semiHidden/>
    <w:qFormat/>
    <w:uiPriority w:val="9"/>
    <w:rPr>
      <w:rFonts w:ascii="Cambria" w:hAnsi="Cambria" w:eastAsia="宋体" w:cs="黑体"/>
      <w:b/>
      <w:bCs/>
      <w:sz w:val="28"/>
      <w:szCs w:val="28"/>
    </w:rPr>
  </w:style>
  <w:style w:type="character" w:customStyle="1" w:styleId="67">
    <w:name w:val="标题 4 Char1"/>
    <w:link w:val="5"/>
    <w:qFormat/>
    <w:uiPriority w:val="0"/>
    <w:rPr>
      <w:rFonts w:ascii="@仿宋_GB2312" w:hAnsi="@仿宋_GB2312" w:eastAsia="@仿宋_GB2312" w:cs="@仿宋_GB2312"/>
      <w:b/>
      <w:bCs/>
      <w:sz w:val="28"/>
      <w:szCs w:val="28"/>
    </w:rPr>
  </w:style>
  <w:style w:type="character" w:customStyle="1" w:styleId="68">
    <w:name w:val="批注主题 Char"/>
    <w:basedOn w:val="62"/>
    <w:link w:val="20"/>
    <w:semiHidden/>
    <w:qFormat/>
    <w:uiPriority w:val="99"/>
    <w:rPr>
      <w:rFonts w:ascii="@仿宋_GB2312" w:hAnsi="@仿宋_GB2312" w:eastAsia="@仿宋_GB2312" w:cs="@仿宋_GB2312"/>
      <w:b/>
      <w:bCs/>
      <w:szCs w:val="20"/>
    </w:rPr>
  </w:style>
  <w:style w:type="character" w:customStyle="1" w:styleId="69">
    <w:name w:val="15"/>
    <w:basedOn w:val="25"/>
    <w:qFormat/>
    <w:uiPriority w:val="0"/>
    <w:rPr>
      <w:rFonts w:hint="default" w:ascii="Times New Roman" w:hAnsi="Times New Roman" w:cs="Times New Roman"/>
      <w:b/>
      <w:bCs/>
      <w:kern w:val="44"/>
      <w:sz w:val="44"/>
      <w:szCs w:val="44"/>
    </w:rPr>
  </w:style>
  <w:style w:type="character" w:customStyle="1" w:styleId="70">
    <w:name w:val="10"/>
    <w:basedOn w:val="25"/>
    <w:qFormat/>
    <w:uiPriority w:val="0"/>
    <w:rPr>
      <w:rFonts w:hint="default" w:ascii="Verdana" w:hAnsi="Verdana" w:cs="Verdana"/>
      <w:sz w:val="30"/>
      <w:szCs w:val="30"/>
    </w:rPr>
  </w:style>
  <w:style w:type="character" w:customStyle="1" w:styleId="71">
    <w:name w:val="16"/>
    <w:basedOn w:val="25"/>
    <w:qFormat/>
    <w:uiPriority w:val="0"/>
    <w:rPr>
      <w:rFonts w:hint="default" w:ascii="Verdana" w:hAnsi="Verdana" w:cs="Verdana"/>
      <w:sz w:val="30"/>
      <w:szCs w:val="30"/>
    </w:rPr>
  </w:style>
  <w:style w:type="character" w:customStyle="1" w:styleId="72">
    <w:name w:val="font31"/>
    <w:basedOn w:val="25"/>
    <w:qFormat/>
    <w:uiPriority w:val="0"/>
    <w:rPr>
      <w:rFonts w:hint="default" w:ascii="方正书宋_GBK" w:hAnsi="方正书宋_GBK" w:eastAsia="方正书宋_GBK" w:cs="方正书宋_GBK"/>
      <w:color w:val="000000"/>
      <w:sz w:val="20"/>
      <w:szCs w:val="20"/>
      <w:u w:val="none"/>
    </w:rPr>
  </w:style>
  <w:style w:type="character" w:customStyle="1" w:styleId="73">
    <w:name w:val="font51"/>
    <w:basedOn w:val="25"/>
    <w:qFormat/>
    <w:uiPriority w:val="0"/>
    <w:rPr>
      <w:rFonts w:hint="default" w:ascii="Arial" w:hAnsi="Arial" w:cs="Arial"/>
      <w:color w:val="000000"/>
      <w:sz w:val="20"/>
      <w:szCs w:val="20"/>
      <w:u w:val="none"/>
    </w:rPr>
  </w:style>
  <w:style w:type="character" w:customStyle="1" w:styleId="74">
    <w:name w:val="font41"/>
    <w:basedOn w:val="25"/>
    <w:qFormat/>
    <w:uiPriority w:val="0"/>
    <w:rPr>
      <w:rFonts w:hint="default" w:ascii="Arial" w:hAnsi="Arial" w:cs="Arial"/>
      <w:color w:val="000000"/>
      <w:sz w:val="20"/>
      <w:szCs w:val="20"/>
      <w:u w:val="none"/>
    </w:rPr>
  </w:style>
  <w:style w:type="character" w:customStyle="1" w:styleId="75">
    <w:name w:val="font61"/>
    <w:basedOn w:val="25"/>
    <w:qFormat/>
    <w:uiPriority w:val="0"/>
    <w:rPr>
      <w:rFonts w:hint="default" w:ascii="方正书宋_GBK" w:hAnsi="方正书宋_GBK" w:eastAsia="方正书宋_GBK" w:cs="方正书宋_GBK"/>
      <w:color w:val="FF0000"/>
      <w:sz w:val="20"/>
      <w:szCs w:val="20"/>
      <w:u w:val="none"/>
    </w:rPr>
  </w:style>
  <w:style w:type="character" w:customStyle="1" w:styleId="76">
    <w:name w:val="font11"/>
    <w:basedOn w:val="25"/>
    <w:qFormat/>
    <w:uiPriority w:val="0"/>
    <w:rPr>
      <w:rFonts w:hint="eastAsia" w:ascii="宋体" w:hAnsi="宋体" w:eastAsia="宋体" w:cs="宋体"/>
      <w:color w:val="000000"/>
      <w:sz w:val="24"/>
      <w:szCs w:val="24"/>
      <w:u w:val="none"/>
    </w:rPr>
  </w:style>
  <w:style w:type="character" w:customStyle="1" w:styleId="77">
    <w:name w:val="font21"/>
    <w:basedOn w:val="25"/>
    <w:qFormat/>
    <w:uiPriority w:val="0"/>
    <w:rPr>
      <w:rFonts w:ascii="方正书宋_GBK" w:hAnsi="方正书宋_GBK" w:eastAsia="方正书宋_GBK" w:cs="方正书宋_GBK"/>
      <w:color w:val="000000"/>
      <w:sz w:val="20"/>
      <w:szCs w:val="20"/>
      <w:u w:val="none"/>
    </w:rPr>
  </w:style>
  <w:style w:type="character" w:customStyle="1" w:styleId="78">
    <w:name w:val="hover1"/>
    <w:basedOn w:val="25"/>
    <w:qFormat/>
    <w:uiPriority w:val="0"/>
    <w:rPr>
      <w:color w:val="2590EB"/>
    </w:rPr>
  </w:style>
  <w:style w:type="character" w:customStyle="1" w:styleId="79">
    <w:name w:val="hover2"/>
    <w:basedOn w:val="25"/>
    <w:qFormat/>
    <w:uiPriority w:val="0"/>
    <w:rPr>
      <w:color w:val="2590EB"/>
    </w:rPr>
  </w:style>
  <w:style w:type="character" w:customStyle="1" w:styleId="80">
    <w:name w:val="hover3"/>
    <w:basedOn w:val="25"/>
    <w:qFormat/>
    <w:uiPriority w:val="0"/>
  </w:style>
  <w:style w:type="character" w:customStyle="1" w:styleId="81">
    <w:name w:val="hover4"/>
    <w:basedOn w:val="25"/>
    <w:qFormat/>
    <w:uiPriority w:val="0"/>
    <w:rPr>
      <w:color w:val="2590EB"/>
      <w:shd w:val="clear" w:color="010000" w:fill="E9F4FD"/>
    </w:rPr>
  </w:style>
  <w:style w:type="character" w:customStyle="1" w:styleId="82">
    <w:name w:val="hover"/>
    <w:basedOn w:val="25"/>
    <w:qFormat/>
    <w:uiPriority w:val="0"/>
    <w:rPr>
      <w:color w:val="2590EB"/>
    </w:rPr>
  </w:style>
  <w:style w:type="table" w:customStyle="1" w:styleId="83">
    <w:name w:val="网格表 1 浅色1"/>
    <w:basedOn w:val="2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4">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77</Pages>
  <Words>15603</Words>
  <Characters>16806</Characters>
  <Lines>1</Lines>
  <Paragraphs>1</Paragraphs>
  <TotalTime>84</TotalTime>
  <ScaleCrop>false</ScaleCrop>
  <LinksUpToDate>false</LinksUpToDate>
  <CharactersWithSpaces>17024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这不科学</cp:lastModifiedBy>
  <cp:lastPrinted>2025-06-27T00:32:00Z</cp:lastPrinted>
  <dcterms:modified xsi:type="dcterms:W3CDTF">2025-07-21T03:34:57Z</dcterms:modified>
  <dc:title>安徽省政府采购项目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5F4382E16BEE4AA09687E8D2A882A7A8_13</vt:lpwstr>
  </property>
  <property fmtid="{D5CDD505-2E9C-101B-9397-08002B2CF9AE}" pid="4" name="KSOTemplateDocerSaveRecord">
    <vt:lpwstr>eyJoZGlkIjoiZmI5ZDY5ZDNjMmE2ZDcxYTFkMDY0Zjg5Mjg3YTE0YTgiLCJ1c2VySWQiOiI1MDM3MjkwOTMifQ==</vt:lpwstr>
  </property>
</Properties>
</file>