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D55AE">
      <w:pPr>
        <w:tabs>
          <w:tab w:val="left" w:pos="315"/>
          <w:tab w:val="left" w:pos="8820"/>
        </w:tabs>
        <w:spacing w:before="312" w:beforeLines="100" w:after="156" w:afterLines="50" w:line="500" w:lineRule="exact"/>
        <w:ind w:right="267" w:rightChars="127"/>
        <w:jc w:val="center"/>
        <w:rPr>
          <w:rFonts w:hint="default" w:ascii="宋体" w:hAnsi="宋体" w:eastAsia="宋体"/>
          <w:b/>
          <w:bCs/>
          <w:color w:val="auto"/>
          <w:sz w:val="52"/>
          <w:szCs w:val="52"/>
          <w:highlight w:val="none"/>
          <w:lang w:val="en-US" w:eastAsia="zh-CN"/>
        </w:rPr>
      </w:pPr>
    </w:p>
    <w:p w14:paraId="3E3C921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FA6A41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79E083D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2AF24AD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2026年版</w:t>
      </w:r>
      <w:r>
        <w:rPr>
          <w:rFonts w:hint="eastAsia" w:ascii="宋体" w:hAnsi="宋体" w:eastAsia="宋体"/>
          <w:b/>
          <w:bCs/>
          <w:color w:val="auto"/>
          <w:sz w:val="52"/>
          <w:szCs w:val="52"/>
          <w:highlight w:val="none"/>
          <w:lang w:eastAsia="zh-CN"/>
        </w:rPr>
        <w:t>）</w:t>
      </w:r>
    </w:p>
    <w:p w14:paraId="4418C7B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1F5F7B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1B62ED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2E7AA3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FF62D5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F8D943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val="en-US" w:eastAsia="zh-CN"/>
        </w:rPr>
        <w:t>《滁州日报》印刷服务</w:t>
      </w:r>
      <w:r>
        <w:rPr>
          <w:rFonts w:hint="eastAsia" w:ascii="宋体" w:hAnsi="宋体" w:eastAsia="宋体"/>
          <w:b/>
          <w:color w:val="auto"/>
          <w:spacing w:val="20"/>
          <w:kern w:val="0"/>
          <w:sz w:val="32"/>
          <w:szCs w:val="32"/>
          <w:highlight w:val="none"/>
          <w:u w:val="single"/>
          <w:lang w:val="en-US" w:eastAsia="zh-CN"/>
        </w:rPr>
        <w:t xml:space="preserve"> </w:t>
      </w:r>
    </w:p>
    <w:p w14:paraId="21D2F692">
      <w:pPr>
        <w:tabs>
          <w:tab w:val="left" w:pos="2410"/>
        </w:tabs>
        <w:autoSpaceDE w:val="0"/>
        <w:autoSpaceDN w:val="0"/>
        <w:adjustRightInd w:val="0"/>
        <w:snapToGrid w:val="0"/>
        <w:spacing w:line="360" w:lineRule="auto"/>
        <w:ind w:firstLine="723" w:firstLineChars="200"/>
        <w:rPr>
          <w:rFonts w:hint="default" w:ascii="宋体" w:hAnsi="宋体" w:eastAsia="宋体" w:cs="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lang w:val="en-US" w:eastAsia="zh-CN"/>
        </w:rPr>
        <w:t>czsjcg202607-006</w:t>
      </w:r>
    </w:p>
    <w:p w14:paraId="716428E7">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lang w:val="en-US" w:eastAsia="zh-CN"/>
        </w:rPr>
        <w:t>滁州日报社</w:t>
      </w:r>
      <w:r>
        <w:rPr>
          <w:rFonts w:hint="eastAsia" w:ascii="宋体" w:hAnsi="宋体" w:eastAsia="宋体"/>
          <w:b/>
          <w:color w:val="auto"/>
          <w:spacing w:val="20"/>
          <w:kern w:val="0"/>
          <w:sz w:val="32"/>
          <w:szCs w:val="32"/>
          <w:highlight w:val="none"/>
          <w:u w:val="single"/>
          <w:lang w:val="en-US" w:eastAsia="zh-CN"/>
        </w:rPr>
        <w:t xml:space="preserve">  </w:t>
      </w:r>
    </w:p>
    <w:p w14:paraId="7E22BA37">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lang w:eastAsia="zh-CN"/>
        </w:rPr>
        <w:t>滁州市政府采购中心</w:t>
      </w:r>
      <w:r>
        <w:rPr>
          <w:rFonts w:hint="eastAsia" w:ascii="宋体" w:hAnsi="宋体" w:eastAsia="宋体"/>
          <w:b/>
          <w:color w:val="auto"/>
          <w:spacing w:val="20"/>
          <w:kern w:val="0"/>
          <w:sz w:val="32"/>
          <w:szCs w:val="32"/>
          <w:highlight w:val="none"/>
          <w:u w:val="single"/>
          <w:lang w:val="en-US" w:eastAsia="zh-CN"/>
        </w:rPr>
        <w:t xml:space="preserve"> </w:t>
      </w:r>
    </w:p>
    <w:p w14:paraId="528EC12B">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6BEC08B">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7</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45ADF1E7">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767AAE4C">
      <w:pPr>
        <w:pStyle w:val="18"/>
        <w:tabs>
          <w:tab w:val="right" w:leader="dot" w:pos="8306"/>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_Toc32331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asciiTheme="minorEastAsia" w:hAnsiTheme="minorEastAsia" w:eastAsiaTheme="minorEastAsia"/>
          <w:color w:val="auto"/>
          <w:highlight w:val="none"/>
        </w:rPr>
        <w:t xml:space="preserve"> 投标邀请</w:t>
      </w:r>
      <w:r>
        <w:rPr>
          <w:color w:val="auto"/>
          <w:highlight w:val="none"/>
        </w:rPr>
        <w:tab/>
      </w:r>
      <w:r>
        <w:rPr>
          <w:color w:val="auto"/>
          <w:highlight w:val="none"/>
        </w:rPr>
        <w:fldChar w:fldCharType="begin"/>
      </w:r>
      <w:r>
        <w:rPr>
          <w:color w:val="auto"/>
          <w:highlight w:val="none"/>
        </w:rPr>
        <w:instrText xml:space="preserve"> PAGEREF _Toc32331 \h </w:instrText>
      </w:r>
      <w:r>
        <w:rPr>
          <w:color w:val="auto"/>
          <w:highlight w:val="none"/>
        </w:rPr>
        <w:fldChar w:fldCharType="separate"/>
      </w:r>
      <w:r>
        <w:rPr>
          <w:color w:val="auto"/>
          <w:highlight w:val="none"/>
        </w:rPr>
        <w:t>3</w:t>
      </w:r>
      <w:r>
        <w:rPr>
          <w:color w:val="auto"/>
          <w:highlight w:val="none"/>
        </w:rPr>
        <w:fldChar w:fldCharType="end"/>
      </w:r>
      <w:r>
        <w:rPr>
          <w:rFonts w:asciiTheme="minorEastAsia" w:hAnsiTheme="minorEastAsia" w:eastAsiaTheme="minorEastAsia"/>
          <w:color w:val="auto"/>
          <w:szCs w:val="24"/>
          <w:highlight w:val="none"/>
        </w:rPr>
        <w:fldChar w:fldCharType="end"/>
      </w:r>
    </w:p>
    <w:p w14:paraId="17220D1B">
      <w:pPr>
        <w:pStyle w:val="18"/>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_Toc8888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w:t>
      </w:r>
      <w:r>
        <w:rPr>
          <w:rFonts w:asciiTheme="minorEastAsia" w:hAnsiTheme="minorEastAsia" w:eastAsiaTheme="minorEastAsia"/>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_Toc8888 \h </w:instrText>
      </w:r>
      <w:r>
        <w:rPr>
          <w:color w:val="auto"/>
          <w:highlight w:val="none"/>
        </w:rPr>
        <w:fldChar w:fldCharType="separate"/>
      </w:r>
      <w:r>
        <w:rPr>
          <w:color w:val="auto"/>
          <w:highlight w:val="none"/>
        </w:rPr>
        <w:t>8</w:t>
      </w:r>
      <w:r>
        <w:rPr>
          <w:color w:val="auto"/>
          <w:highlight w:val="none"/>
        </w:rPr>
        <w:fldChar w:fldCharType="end"/>
      </w:r>
      <w:r>
        <w:rPr>
          <w:rFonts w:asciiTheme="minorEastAsia" w:hAnsiTheme="minorEastAsia" w:eastAsiaTheme="minorEastAsia"/>
          <w:color w:val="auto"/>
          <w:szCs w:val="24"/>
          <w:highlight w:val="none"/>
        </w:rPr>
        <w:fldChar w:fldCharType="end"/>
      </w:r>
    </w:p>
    <w:p w14:paraId="00BDD068">
      <w:pPr>
        <w:pStyle w:val="18"/>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_Toc22605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lang w:eastAsia="zh-CN"/>
        </w:rPr>
        <w:t xml:space="preserve">第三章 </w:t>
      </w:r>
      <w:r>
        <w:rPr>
          <w:rFonts w:hint="eastAsia" w:asciiTheme="minorEastAsia" w:hAnsiTheme="minorEastAsia"/>
          <w:color w:val="auto"/>
          <w:highlight w:val="none"/>
          <w:lang w:val="en-US" w:eastAsia="zh-CN"/>
        </w:rPr>
        <w:t xml:space="preserve"> </w:t>
      </w:r>
      <w:r>
        <w:rPr>
          <w:rFonts w:hint="eastAsia" w:asciiTheme="minorEastAsia" w:hAnsiTheme="minorEastAsia" w:eastAsiaTheme="minorEastAsia"/>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_Toc22605 \h </w:instrText>
      </w:r>
      <w:r>
        <w:rPr>
          <w:color w:val="auto"/>
          <w:highlight w:val="none"/>
        </w:rPr>
        <w:fldChar w:fldCharType="separate"/>
      </w:r>
      <w:r>
        <w:rPr>
          <w:color w:val="auto"/>
          <w:highlight w:val="none"/>
        </w:rPr>
        <w:t>28</w:t>
      </w:r>
      <w:r>
        <w:rPr>
          <w:color w:val="auto"/>
          <w:highlight w:val="none"/>
        </w:rPr>
        <w:fldChar w:fldCharType="end"/>
      </w:r>
      <w:r>
        <w:rPr>
          <w:rFonts w:asciiTheme="minorEastAsia" w:hAnsiTheme="minorEastAsia" w:eastAsiaTheme="minorEastAsia"/>
          <w:color w:val="auto"/>
          <w:szCs w:val="24"/>
          <w:highlight w:val="none"/>
        </w:rPr>
        <w:fldChar w:fldCharType="end"/>
      </w:r>
    </w:p>
    <w:p w14:paraId="714F2A27">
      <w:pPr>
        <w:pStyle w:val="18"/>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_Toc30824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第四章  评标方法和标准（综合评分法）</w:t>
      </w:r>
      <w:r>
        <w:rPr>
          <w:color w:val="auto"/>
          <w:highlight w:val="none"/>
        </w:rPr>
        <w:tab/>
      </w:r>
      <w:r>
        <w:rPr>
          <w:color w:val="auto"/>
          <w:highlight w:val="none"/>
        </w:rPr>
        <w:fldChar w:fldCharType="begin"/>
      </w:r>
      <w:r>
        <w:rPr>
          <w:color w:val="auto"/>
          <w:highlight w:val="none"/>
        </w:rPr>
        <w:instrText xml:space="preserve"> PAGEREF _Toc30824 \h </w:instrText>
      </w:r>
      <w:r>
        <w:rPr>
          <w:color w:val="auto"/>
          <w:highlight w:val="none"/>
        </w:rPr>
        <w:fldChar w:fldCharType="separate"/>
      </w:r>
      <w:r>
        <w:rPr>
          <w:color w:val="auto"/>
          <w:highlight w:val="none"/>
        </w:rPr>
        <w:t>32</w:t>
      </w:r>
      <w:r>
        <w:rPr>
          <w:color w:val="auto"/>
          <w:highlight w:val="none"/>
        </w:rPr>
        <w:fldChar w:fldCharType="end"/>
      </w:r>
      <w:r>
        <w:rPr>
          <w:rFonts w:asciiTheme="minorEastAsia" w:hAnsiTheme="minorEastAsia" w:eastAsiaTheme="minorEastAsia"/>
          <w:color w:val="auto"/>
          <w:szCs w:val="24"/>
          <w:highlight w:val="none"/>
        </w:rPr>
        <w:fldChar w:fldCharType="end"/>
      </w:r>
    </w:p>
    <w:p w14:paraId="66B74C3F">
      <w:pPr>
        <w:pStyle w:val="18"/>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_Toc20405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 xml:space="preserve">第五章  </w:t>
      </w:r>
      <w:r>
        <w:rPr>
          <w:rFonts w:asciiTheme="minorEastAsia" w:hAnsiTheme="minorEastAsia" w:eastAsiaTheme="minorEastAsia"/>
          <w:color w:val="auto"/>
          <w:highlight w:val="none"/>
        </w:rPr>
        <w:t>政府采购合同</w:t>
      </w:r>
      <w:r>
        <w:rPr>
          <w:color w:val="auto"/>
          <w:highlight w:val="none"/>
        </w:rPr>
        <w:tab/>
      </w:r>
      <w:r>
        <w:rPr>
          <w:color w:val="auto"/>
          <w:highlight w:val="none"/>
        </w:rPr>
        <w:fldChar w:fldCharType="begin"/>
      </w:r>
      <w:r>
        <w:rPr>
          <w:color w:val="auto"/>
          <w:highlight w:val="none"/>
        </w:rPr>
        <w:instrText xml:space="preserve"> PAGEREF _Toc20405 \h </w:instrText>
      </w:r>
      <w:r>
        <w:rPr>
          <w:color w:val="auto"/>
          <w:highlight w:val="none"/>
        </w:rPr>
        <w:fldChar w:fldCharType="separate"/>
      </w:r>
      <w:r>
        <w:rPr>
          <w:color w:val="auto"/>
          <w:highlight w:val="none"/>
        </w:rPr>
        <w:t>42</w:t>
      </w:r>
      <w:r>
        <w:rPr>
          <w:color w:val="auto"/>
          <w:highlight w:val="none"/>
        </w:rPr>
        <w:fldChar w:fldCharType="end"/>
      </w:r>
      <w:r>
        <w:rPr>
          <w:rFonts w:asciiTheme="minorEastAsia" w:hAnsiTheme="minorEastAsia" w:eastAsiaTheme="minorEastAsia"/>
          <w:color w:val="auto"/>
          <w:szCs w:val="24"/>
          <w:highlight w:val="none"/>
        </w:rPr>
        <w:fldChar w:fldCharType="end"/>
      </w:r>
    </w:p>
    <w:p w14:paraId="675A88DC">
      <w:pPr>
        <w:pStyle w:val="18"/>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_Toc13555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_Toc13555 \h </w:instrText>
      </w:r>
      <w:r>
        <w:rPr>
          <w:color w:val="auto"/>
          <w:highlight w:val="none"/>
        </w:rPr>
        <w:fldChar w:fldCharType="separate"/>
      </w:r>
      <w:r>
        <w:rPr>
          <w:color w:val="auto"/>
          <w:highlight w:val="none"/>
        </w:rPr>
        <w:t>51</w:t>
      </w:r>
      <w:r>
        <w:rPr>
          <w:color w:val="auto"/>
          <w:highlight w:val="none"/>
        </w:rPr>
        <w:fldChar w:fldCharType="end"/>
      </w:r>
      <w:r>
        <w:rPr>
          <w:rFonts w:asciiTheme="minorEastAsia" w:hAnsiTheme="minorEastAsia" w:eastAsiaTheme="minorEastAsia"/>
          <w:color w:val="auto"/>
          <w:szCs w:val="24"/>
          <w:highlight w:val="none"/>
        </w:rPr>
        <w:fldChar w:fldCharType="end"/>
      </w:r>
    </w:p>
    <w:p w14:paraId="7F099B56">
      <w:pPr>
        <w:pStyle w:val="18"/>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_Toc20819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w:t>
      </w:r>
      <w:r>
        <w:rPr>
          <w:rFonts w:hint="eastAsia" w:asciiTheme="minorEastAsia" w:hAnsiTheme="minorEastAsia" w:eastAsiaTheme="minorEastAsia"/>
          <w:color w:val="auto"/>
          <w:highlight w:val="none"/>
          <w:lang w:val="en-US" w:eastAsia="zh-CN"/>
        </w:rPr>
        <w:t>七</w:t>
      </w:r>
      <w:r>
        <w:rPr>
          <w:rFonts w:hint="eastAsia" w:asciiTheme="minorEastAsia" w:hAnsiTheme="minorEastAsia" w:eastAsiaTheme="minorEastAsia"/>
          <w:color w:val="auto"/>
          <w:highlight w:val="none"/>
        </w:rPr>
        <w:t>章</w:t>
      </w:r>
      <w:r>
        <w:rPr>
          <w:rFonts w:hint="eastAsia" w:ascii="宋体" w:hAnsi="宋体" w:eastAsia="宋体"/>
          <w:bCs/>
          <w:color w:val="auto"/>
          <w:highlight w:val="none"/>
        </w:rPr>
        <w:t xml:space="preserve">  政府采购</w:t>
      </w:r>
      <w:r>
        <w:rPr>
          <w:rFonts w:hint="eastAsia" w:asciiTheme="minorEastAsia" w:hAnsiTheme="minorEastAsia" w:eastAsia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color w:val="auto"/>
          <w:highlight w:val="none"/>
        </w:rPr>
        <w:fldChar w:fldCharType="begin"/>
      </w:r>
      <w:r>
        <w:rPr>
          <w:color w:val="auto"/>
          <w:highlight w:val="none"/>
        </w:rPr>
        <w:instrText xml:space="preserve"> PAGEREF _Toc20819 \h </w:instrText>
      </w:r>
      <w:r>
        <w:rPr>
          <w:color w:val="auto"/>
          <w:highlight w:val="none"/>
        </w:rPr>
        <w:fldChar w:fldCharType="separate"/>
      </w:r>
      <w:r>
        <w:rPr>
          <w:color w:val="auto"/>
          <w:highlight w:val="none"/>
        </w:rPr>
        <w:t>67</w:t>
      </w:r>
      <w:r>
        <w:rPr>
          <w:color w:val="auto"/>
          <w:highlight w:val="none"/>
        </w:rPr>
        <w:fldChar w:fldCharType="end"/>
      </w:r>
      <w:r>
        <w:rPr>
          <w:rFonts w:asciiTheme="minorEastAsia" w:hAnsiTheme="minorEastAsia" w:eastAsiaTheme="minorEastAsia"/>
          <w:color w:val="auto"/>
          <w:szCs w:val="24"/>
          <w:highlight w:val="none"/>
        </w:rPr>
        <w:fldChar w:fldCharType="end"/>
      </w:r>
    </w:p>
    <w:p w14:paraId="30989348">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30563B08">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6" w:h="16838"/>
          <w:pgMar w:top="1440" w:right="1486" w:bottom="1440" w:left="1800" w:header="851" w:footer="992" w:gutter="0"/>
          <w:cols w:space="425" w:num="1"/>
          <w:docGrid w:type="lines" w:linePitch="312" w:charSpace="0"/>
        </w:sectPr>
      </w:pPr>
    </w:p>
    <w:p w14:paraId="1D8F8FCB">
      <w:pPr>
        <w:spacing w:line="360" w:lineRule="auto"/>
        <w:jc w:val="center"/>
        <w:outlineLvl w:val="0"/>
        <w:rPr>
          <w:rFonts w:asciiTheme="minorEastAsia" w:hAnsiTheme="minorEastAsia" w:eastAsiaTheme="minorEastAsia"/>
          <w:b/>
          <w:color w:val="auto"/>
          <w:sz w:val="28"/>
          <w:highlight w:val="none"/>
        </w:rPr>
      </w:pPr>
      <w:bookmarkStart w:id="1" w:name="_Toc3233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50B96C00">
      <w:pPr>
        <w:keepNext/>
        <w:keepLines/>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bookmarkStart w:id="2" w:name="_Hlk24379207"/>
      <w:bookmarkStart w:id="3" w:name="_Toc1215"/>
      <w:r>
        <w:rPr>
          <w:rFonts w:hint="eastAsia" w:ascii="宋体" w:hAnsi="宋体" w:eastAsia="宋体" w:cs="宋体"/>
          <w:color w:val="auto"/>
          <w:sz w:val="28"/>
          <w:szCs w:val="28"/>
          <w:highlight w:val="none"/>
        </w:rPr>
        <w:t>项目概况</w:t>
      </w:r>
    </w:p>
    <w:p w14:paraId="55EF0F6D">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val="en-US" w:eastAsia="zh-CN"/>
        </w:rPr>
        <w:t>《滁州日报》印刷服务</w:t>
      </w:r>
      <w:r>
        <w:rPr>
          <w:rFonts w:hint="eastAsia" w:ascii="宋体" w:hAnsi="宋体" w:eastAsia="宋体" w:cs="宋体"/>
          <w:color w:val="auto"/>
          <w:sz w:val="28"/>
          <w:szCs w:val="28"/>
          <w:highlight w:val="none"/>
        </w:rPr>
        <w:t>的潜在投标人应在</w:t>
      </w:r>
      <w:r>
        <w:rPr>
          <w:rFonts w:hint="eastAsia" w:ascii="宋体" w:hAnsi="宋体" w:eastAsia="宋体" w:cs="宋体"/>
          <w:color w:val="auto"/>
          <w:sz w:val="28"/>
          <w:szCs w:val="28"/>
          <w:highlight w:val="none"/>
          <w:u w:val="single"/>
        </w:rPr>
        <w:t>滁州市公共资源交易中心网（http：//ggzy.chuzhou.gov.cn/）</w:t>
      </w:r>
      <w:r>
        <w:rPr>
          <w:rFonts w:hint="eastAsia" w:ascii="宋体" w:hAnsi="宋体" w:eastAsia="宋体" w:cs="宋体"/>
          <w:color w:val="auto"/>
          <w:sz w:val="28"/>
          <w:szCs w:val="28"/>
          <w:highlight w:val="none"/>
        </w:rPr>
        <w:t>获取招标文件，并于</w:t>
      </w:r>
      <w:r>
        <w:rPr>
          <w:rFonts w:hint="eastAsia" w:ascii="宋体" w:hAnsi="宋体" w:eastAsia="宋体" w:cs="宋体"/>
          <w:color w:val="auto"/>
          <w:sz w:val="28"/>
          <w:szCs w:val="28"/>
          <w:highlight w:val="none"/>
          <w:u w:val="single"/>
        </w:rPr>
        <w:t>202</w:t>
      </w:r>
      <w:r>
        <w:rPr>
          <w:rFonts w:hint="eastAsia" w:ascii="宋体" w:hAnsi="宋体" w:eastAsia="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rPr>
        <w:t>年</w:t>
      </w:r>
      <w:r>
        <w:rPr>
          <w:rFonts w:hint="eastAsia" w:ascii="宋体" w:hAnsi="宋体" w:eastAsia="宋体" w:cs="宋体"/>
          <w:color w:val="auto"/>
          <w:sz w:val="28"/>
          <w:szCs w:val="28"/>
          <w:highlight w:val="none"/>
          <w:u w:val="single"/>
          <w:lang w:val="en-US" w:eastAsia="zh-CN"/>
        </w:rPr>
        <w:t>7月24日9点10分</w:t>
      </w:r>
      <w:r>
        <w:rPr>
          <w:rFonts w:hint="eastAsia" w:ascii="宋体" w:hAnsi="宋体" w:eastAsia="宋体" w:cs="宋体"/>
          <w:color w:val="auto"/>
          <w:sz w:val="28"/>
          <w:szCs w:val="28"/>
          <w:highlight w:val="none"/>
        </w:rPr>
        <w:t>（北京时间）前递交投标文件。</w:t>
      </w:r>
    </w:p>
    <w:bookmarkEnd w:id="2"/>
    <w:p w14:paraId="41D545D9">
      <w:pPr>
        <w:keepNext/>
        <w:keepLines/>
        <w:pageBreakBefore w:val="0"/>
        <w:widowControl w:val="0"/>
        <w:kinsoku/>
        <w:overflowPunct/>
        <w:topLinePunct w:val="0"/>
        <w:autoSpaceDE/>
        <w:autoSpaceDN/>
        <w:bidi w:val="0"/>
        <w:adjustRightInd/>
        <w:snapToGrid/>
        <w:spacing w:before="260" w:after="260"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一、项目基本情况</w:t>
      </w:r>
    </w:p>
    <w:p w14:paraId="31DBF7F7">
      <w:pPr>
        <w:pageBreakBefore w:val="0"/>
        <w:widowControl w:val="0"/>
        <w:kinsoku/>
        <w:overflowPunct/>
        <w:topLinePunct w:val="0"/>
        <w:autoSpaceDE/>
        <w:autoSpaceDN/>
        <w:bidi w:val="0"/>
        <w:adjustRightInd/>
        <w:snapToGrid/>
        <w:spacing w:line="360" w:lineRule="auto"/>
        <w:ind w:right="-420" w:rightChars="-200" w:firstLine="560" w:firstLineChars="200"/>
        <w:jc w:val="left"/>
        <w:textAlignment w:val="auto"/>
        <w:rPr>
          <w:rFonts w:hint="eastAsia" w:ascii="宋体" w:hAnsi="宋体" w:eastAsia="宋体" w:cs="宋体"/>
          <w:color w:val="auto"/>
          <w:sz w:val="28"/>
          <w:szCs w:val="28"/>
          <w:highlight w:val="none"/>
          <w:lang w:val="en-US" w:eastAsia="zh-CN"/>
        </w:rPr>
      </w:pPr>
      <w:bookmarkStart w:id="4" w:name="_Toc35393622"/>
      <w:bookmarkEnd w:id="4"/>
      <w:bookmarkStart w:id="5" w:name="_Toc28359003"/>
      <w:bookmarkEnd w:id="5"/>
      <w:bookmarkStart w:id="6" w:name="_Toc58430306"/>
      <w:bookmarkEnd w:id="6"/>
      <w:bookmarkStart w:id="7" w:name="_Toc35393791"/>
      <w:bookmarkEnd w:id="7"/>
      <w:bookmarkStart w:id="8" w:name="_Toc28359080"/>
      <w:r>
        <w:rPr>
          <w:rFonts w:hint="eastAsia" w:ascii="宋体" w:hAnsi="宋体" w:eastAsia="宋体" w:cs="宋体"/>
          <w:color w:val="auto"/>
          <w:sz w:val="28"/>
          <w:szCs w:val="28"/>
          <w:highlight w:val="none"/>
        </w:rPr>
        <w:t>项目编</w:t>
      </w:r>
      <w:r>
        <w:rPr>
          <w:rFonts w:hint="eastAsia" w:ascii="宋体" w:hAnsi="宋体" w:eastAsia="宋体" w:cs="宋体"/>
          <w:color w:val="auto"/>
          <w:sz w:val="28"/>
          <w:szCs w:val="28"/>
          <w:highlight w:val="none"/>
          <w:lang w:eastAsia="zh-CN"/>
        </w:rPr>
        <w:t>号：czsjcg202607-006</w:t>
      </w:r>
      <w:r>
        <w:rPr>
          <w:rFonts w:hint="eastAsia" w:ascii="宋体" w:hAnsi="宋体" w:eastAsia="宋体" w:cs="宋体"/>
          <w:color w:val="auto"/>
          <w:sz w:val="28"/>
          <w:szCs w:val="28"/>
          <w:highlight w:val="none"/>
          <w:lang w:val="en-US" w:eastAsia="zh-CN"/>
        </w:rPr>
        <w:t xml:space="preserve"> </w:t>
      </w:r>
    </w:p>
    <w:p w14:paraId="291168B1">
      <w:pPr>
        <w:pageBreakBefore w:val="0"/>
        <w:widowControl w:val="0"/>
        <w:kinsoku/>
        <w:overflowPunct/>
        <w:topLinePunct w:val="0"/>
        <w:autoSpaceDE/>
        <w:autoSpaceDN/>
        <w:bidi w:val="0"/>
        <w:adjustRightInd/>
        <w:snapToGrid/>
        <w:spacing w:line="360" w:lineRule="auto"/>
        <w:ind w:right="-420" w:rightChars="-200"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lang w:eastAsia="zh-CN"/>
        </w:rPr>
        <w:t>《滁州日报》印刷服务</w:t>
      </w:r>
    </w:p>
    <w:p w14:paraId="45B28E5F">
      <w:pPr>
        <w:pageBreakBefore w:val="0"/>
        <w:widowControl w:val="0"/>
        <w:kinsoku/>
        <w:overflowPunct/>
        <w:topLinePunct w:val="0"/>
        <w:autoSpaceDE/>
        <w:autoSpaceDN/>
        <w:bidi w:val="0"/>
        <w:adjustRightInd/>
        <w:snapToGrid/>
        <w:spacing w:line="360" w:lineRule="auto"/>
        <w:ind w:right="-420" w:rightChars="-200" w:firstLine="560" w:firstLineChars="200"/>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预算金额：按现印量预算，410万元/年，1230万元/三年</w:t>
      </w:r>
    </w:p>
    <w:p w14:paraId="2072CA72">
      <w:pPr>
        <w:pageBreakBefore w:val="0"/>
        <w:widowControl w:val="0"/>
        <w:kinsoku/>
        <w:overflowPunct/>
        <w:topLinePunct w:val="0"/>
        <w:autoSpaceDE/>
        <w:autoSpaceDN/>
        <w:bidi w:val="0"/>
        <w:adjustRightInd/>
        <w:snapToGrid/>
        <w:spacing w:line="360" w:lineRule="auto"/>
        <w:ind w:right="-420" w:rightChars="-200" w:firstLine="560" w:firstLineChars="200"/>
        <w:jc w:val="left"/>
        <w:textAlignment w:val="auto"/>
        <w:rPr>
          <w:color w:val="auto"/>
          <w:highlight w:val="none"/>
        </w:rPr>
      </w:pPr>
      <w:r>
        <w:rPr>
          <w:rFonts w:hint="eastAsia" w:ascii="宋体" w:hAnsi="宋体" w:eastAsia="宋体" w:cs="宋体"/>
          <w:color w:val="auto"/>
          <w:sz w:val="28"/>
          <w:szCs w:val="28"/>
          <w:highlight w:val="none"/>
          <w:lang w:val="en-US" w:eastAsia="zh-CN"/>
        </w:rPr>
        <w:t>最高限价：单价最高限价0.210元/印张，投标报价不得高于单价最高限价，否则按无效投标处理。</w:t>
      </w:r>
    </w:p>
    <w:p w14:paraId="056E5C66">
      <w:pPr>
        <w:pageBreakBefore w:val="0"/>
        <w:widowControl w:val="0"/>
        <w:kinsoku/>
        <w:overflowPunct/>
        <w:topLinePunct w:val="0"/>
        <w:autoSpaceDE/>
        <w:autoSpaceDN/>
        <w:bidi w:val="0"/>
        <w:adjustRightInd/>
        <w:snapToGrid/>
        <w:spacing w:line="360" w:lineRule="auto"/>
        <w:ind w:right="-420" w:rightChars="-20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采购需求：《滁州日报》印刷服务。</w:t>
      </w:r>
    </w:p>
    <w:p w14:paraId="2374CD64">
      <w:pPr>
        <w:pageBreakBefore w:val="0"/>
        <w:widowControl w:val="0"/>
        <w:kinsoku/>
        <w:overflowPunct/>
        <w:topLinePunct w:val="0"/>
        <w:autoSpaceDE/>
        <w:autoSpaceDN/>
        <w:bidi w:val="0"/>
        <w:adjustRightInd/>
        <w:snapToGrid/>
        <w:spacing w:line="360" w:lineRule="auto"/>
        <w:ind w:right="-420" w:rightChars="-20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合同履行期限:三年，合同一签三年。</w:t>
      </w:r>
    </w:p>
    <w:p w14:paraId="3901A1E0">
      <w:pPr>
        <w:pageBreakBefore w:val="0"/>
        <w:widowControl w:val="0"/>
        <w:kinsoku/>
        <w:overflowPunct/>
        <w:topLinePunct w:val="0"/>
        <w:autoSpaceDE/>
        <w:autoSpaceDN/>
        <w:bidi w:val="0"/>
        <w:adjustRightInd/>
        <w:snapToGrid/>
        <w:spacing w:line="360" w:lineRule="auto"/>
        <w:ind w:firstLine="560" w:firstLineChars="200"/>
        <w:jc w:val="left"/>
        <w:textAlignment w:val="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本项目不接受联合体投标。</w:t>
      </w:r>
    </w:p>
    <w:bookmarkEnd w:id="8"/>
    <w:p w14:paraId="032A9E8A">
      <w:pPr>
        <w:keepNext/>
        <w:keepLines/>
        <w:pageBreakBefore w:val="0"/>
        <w:widowControl w:val="0"/>
        <w:kinsoku/>
        <w:overflowPunct/>
        <w:topLinePunct w:val="0"/>
        <w:autoSpaceDE/>
        <w:autoSpaceDN/>
        <w:bidi w:val="0"/>
        <w:adjustRightInd/>
        <w:snapToGrid/>
        <w:spacing w:before="260" w:after="260"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二、申请人的资格要求</w:t>
      </w:r>
    </w:p>
    <w:p w14:paraId="16B771C1">
      <w:pPr>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bookmarkStart w:id="9" w:name="_Toc35393792"/>
      <w:bookmarkEnd w:id="9"/>
      <w:bookmarkStart w:id="10" w:name="_Toc35393623"/>
      <w:bookmarkEnd w:id="10"/>
      <w:bookmarkStart w:id="11" w:name="_Toc58430307"/>
      <w:r>
        <w:rPr>
          <w:rFonts w:hint="eastAsia" w:ascii="宋体" w:hAnsi="宋体" w:eastAsia="宋体" w:cs="宋体"/>
          <w:color w:val="auto"/>
          <w:sz w:val="28"/>
          <w:szCs w:val="28"/>
          <w:highlight w:val="none"/>
          <w:lang w:val="en-US" w:eastAsia="zh-CN"/>
        </w:rPr>
        <w:t>1.满足《中华人民共和国政府采购法》第二十二条规定；</w:t>
      </w:r>
    </w:p>
    <w:p w14:paraId="58FD7D6C">
      <w:pPr>
        <w:pStyle w:val="20"/>
        <w:keepNext w:val="0"/>
        <w:keepLines w:val="0"/>
        <w:widowControl/>
        <w:suppressLineNumbers w:val="0"/>
        <w:spacing w:before="0" w:beforeAutospacing="0" w:after="0" w:afterAutospacing="0" w:line="450" w:lineRule="atLeast"/>
        <w:ind w:left="0" w:right="0" w:firstLine="56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2.落实政府采</w:t>
      </w:r>
      <w:r>
        <w:rPr>
          <w:rFonts w:hint="eastAsia" w:ascii="宋体" w:hAnsi="宋体" w:eastAsia="宋体" w:cs="宋体"/>
          <w:color w:val="auto"/>
          <w:kern w:val="2"/>
          <w:sz w:val="28"/>
          <w:szCs w:val="28"/>
          <w:highlight w:val="none"/>
          <w:lang w:val="en-US" w:eastAsia="zh-CN" w:bidi="ar-SA"/>
        </w:rPr>
        <w:t>购政策需满足的资格要求：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76F1788E">
      <w:pPr>
        <w:keepNext w:val="0"/>
        <w:keepLines w:val="0"/>
        <w:widowControl/>
        <w:suppressLineNumbers w:val="0"/>
        <w:ind w:firstLine="560" w:firstLineChars="20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3.本项目的特定资格要求：供应商具有印刷经营许可证。</w:t>
      </w:r>
    </w:p>
    <w:p w14:paraId="044A5CF8">
      <w:pPr>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4.信誉要求：投标人不得存在以下情形：</w:t>
      </w:r>
    </w:p>
    <w:p w14:paraId="179245ED">
      <w:pPr>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①被列入“信用中国”网站“失信被执行人”的；</w:t>
      </w:r>
    </w:p>
    <w:p w14:paraId="35100A15">
      <w:pPr>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②被列入“信用中国”网站“重大税收违法失信主体”的；</w:t>
      </w:r>
    </w:p>
    <w:p w14:paraId="5DF118E6">
      <w:pPr>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③被列入“信用中国”网站“严重失信主体名单”的；</w:t>
      </w:r>
    </w:p>
    <w:p w14:paraId="18EBE653">
      <w:pPr>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④在</w:t>
      </w:r>
      <w:bookmarkStart w:id="12" w:name="OLE_LINK129"/>
      <w:bookmarkStart w:id="13" w:name="OLE_LINK127"/>
      <w:bookmarkStart w:id="14" w:name="OLE_LINK128"/>
      <w:r>
        <w:rPr>
          <w:rFonts w:hint="eastAsia" w:ascii="宋体" w:hAnsi="宋体" w:eastAsia="宋体" w:cs="宋体"/>
          <w:color w:val="auto"/>
          <w:sz w:val="28"/>
          <w:szCs w:val="28"/>
          <w:highlight w:val="none"/>
          <w:lang w:val="en-US" w:eastAsia="zh-CN"/>
        </w:rPr>
        <w:t>“信用中国”网站</w:t>
      </w:r>
      <w:bookmarkEnd w:id="12"/>
      <w:bookmarkEnd w:id="13"/>
      <w:bookmarkEnd w:id="14"/>
      <w:r>
        <w:rPr>
          <w:rFonts w:hint="eastAsia" w:ascii="宋体" w:hAnsi="宋体" w:eastAsia="宋体" w:cs="宋体"/>
          <w:color w:val="auto"/>
          <w:sz w:val="28"/>
          <w:szCs w:val="28"/>
          <w:highlight w:val="none"/>
          <w:lang w:val="en-US" w:eastAsia="zh-CN"/>
        </w:rPr>
        <w:t>上披露的仍在公示期的严重失信行为(具体行为类别及判定依据见“信用中国”查询的严重失信行为类别及判定依据)的。</w:t>
      </w:r>
    </w:p>
    <w:p w14:paraId="1B1C9971">
      <w:pPr>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⑤被列入国家企业信用信息公示系统网站“经营异常名录”或者“严重违法失信名单”的。</w:t>
      </w:r>
    </w:p>
    <w:p w14:paraId="59DE2A1B">
      <w:pPr>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bookmarkStart w:id="15" w:name="OLE_LINK114"/>
      <w:bookmarkStart w:id="16" w:name="OLE_LINK113"/>
      <w:r>
        <w:rPr>
          <w:rFonts w:hint="eastAsia" w:ascii="宋体" w:hAnsi="宋体" w:eastAsia="宋体" w:cs="宋体"/>
          <w:color w:val="auto"/>
          <w:sz w:val="28"/>
          <w:szCs w:val="28"/>
          <w:highlight w:val="none"/>
          <w:lang w:val="en-US" w:eastAsia="zh-CN"/>
        </w:rPr>
        <w:t>⑥</w:t>
      </w:r>
      <w:bookmarkEnd w:id="15"/>
      <w:bookmarkEnd w:id="16"/>
      <w:r>
        <w:rPr>
          <w:rFonts w:hint="eastAsia" w:ascii="宋体" w:hAnsi="宋体" w:eastAsia="宋体" w:cs="宋体"/>
          <w:color w:val="auto"/>
          <w:sz w:val="28"/>
          <w:szCs w:val="28"/>
          <w:highlight w:val="none"/>
          <w:lang w:val="en-US" w:eastAsia="zh-CN"/>
        </w:rPr>
        <w:t>被列入中国政府采购网站“政府采购严重违法失信行为信息记录”的。</w:t>
      </w:r>
    </w:p>
    <w:p w14:paraId="07971A43">
      <w:pPr>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⑦前三年有行贿犯罪行为的单位和个人。</w:t>
      </w:r>
    </w:p>
    <w:p w14:paraId="293B83B7">
      <w:pPr>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5.投标人所属分公司、办事处等分支机构存在第4款信誉要求①-⑦项情形之一的，接受投标人参加本项目。</w:t>
      </w:r>
    </w:p>
    <w:p w14:paraId="067AB05B">
      <w:pPr>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备注：第4、5条按照“关于联合惩戒失信行为加强信用查询管理的通知”查询或承诺。</w:t>
      </w:r>
    </w:p>
    <w:bookmarkEnd w:id="11"/>
    <w:p w14:paraId="1E3F504D">
      <w:pPr>
        <w:keepNext/>
        <w:keepLines/>
        <w:pageBreakBefore w:val="0"/>
        <w:widowControl w:val="0"/>
        <w:kinsoku/>
        <w:overflowPunct/>
        <w:topLinePunct w:val="0"/>
        <w:autoSpaceDE/>
        <w:autoSpaceDN/>
        <w:bidi w:val="0"/>
        <w:adjustRightInd/>
        <w:snapToGrid/>
        <w:spacing w:before="260" w:after="260"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三、获取招标文件</w:t>
      </w:r>
    </w:p>
    <w:p w14:paraId="7BEA9933">
      <w:pPr>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u w:val="single"/>
        </w:rPr>
      </w:pPr>
      <w:bookmarkStart w:id="17" w:name="_Toc35393793"/>
      <w:bookmarkEnd w:id="17"/>
      <w:bookmarkStart w:id="18" w:name="_Toc35393624"/>
      <w:bookmarkEnd w:id="18"/>
      <w:bookmarkStart w:id="19" w:name="_Toc28359005"/>
      <w:bookmarkEnd w:id="19"/>
      <w:bookmarkStart w:id="20" w:name="_Toc28359082"/>
      <w:bookmarkEnd w:id="20"/>
      <w:bookmarkStart w:id="21" w:name="_Toc58430308"/>
      <w:r>
        <w:rPr>
          <w:rFonts w:hint="eastAsia" w:ascii="宋体" w:hAnsi="宋体" w:eastAsia="宋体" w:cs="宋体"/>
          <w:color w:val="auto"/>
          <w:sz w:val="28"/>
          <w:szCs w:val="28"/>
          <w:highlight w:val="none"/>
        </w:rPr>
        <w:t>时间：</w:t>
      </w:r>
      <w:r>
        <w:rPr>
          <w:rFonts w:hint="eastAsia" w:ascii="宋体" w:hAnsi="宋体" w:eastAsia="宋体" w:cs="宋体"/>
          <w:color w:val="auto"/>
          <w:sz w:val="28"/>
          <w:szCs w:val="28"/>
          <w:highlight w:val="none"/>
          <w:u w:val="single"/>
        </w:rPr>
        <w:t>202</w:t>
      </w:r>
      <w:r>
        <w:rPr>
          <w:rFonts w:hint="eastAsia" w:ascii="宋体" w:hAnsi="宋体" w:eastAsia="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rPr>
        <w:t>年</w:t>
      </w:r>
      <w:r>
        <w:rPr>
          <w:rFonts w:hint="eastAsia" w:ascii="宋体" w:hAnsi="宋体" w:eastAsia="宋体" w:cs="宋体"/>
          <w:color w:val="auto"/>
          <w:sz w:val="28"/>
          <w:szCs w:val="28"/>
          <w:highlight w:val="none"/>
          <w:u w:val="single"/>
          <w:lang w:val="en-US" w:eastAsia="zh-CN"/>
        </w:rPr>
        <w:t>7</w:t>
      </w:r>
      <w:r>
        <w:rPr>
          <w:rFonts w:hint="eastAsia" w:ascii="宋体" w:hAnsi="宋体" w:eastAsia="宋体" w:cs="宋体"/>
          <w:color w:val="auto"/>
          <w:sz w:val="28"/>
          <w:szCs w:val="28"/>
          <w:highlight w:val="none"/>
          <w:u w:val="single"/>
        </w:rPr>
        <w:t>月</w:t>
      </w:r>
      <w:r>
        <w:rPr>
          <w:rFonts w:hint="eastAsia" w:ascii="宋体" w:hAnsi="宋体" w:eastAsia="宋体" w:cs="宋体"/>
          <w:color w:val="auto"/>
          <w:sz w:val="28"/>
          <w:szCs w:val="28"/>
          <w:highlight w:val="none"/>
          <w:u w:val="single"/>
          <w:lang w:val="en-US" w:eastAsia="zh-CN"/>
        </w:rPr>
        <w:t>3</w:t>
      </w:r>
      <w:r>
        <w:rPr>
          <w:rFonts w:hint="eastAsia" w:ascii="宋体" w:hAnsi="宋体" w:eastAsia="宋体" w:cs="宋体"/>
          <w:color w:val="auto"/>
          <w:sz w:val="28"/>
          <w:szCs w:val="28"/>
          <w:highlight w:val="none"/>
          <w:u w:val="single"/>
        </w:rPr>
        <w:t>日</w:t>
      </w:r>
      <w:r>
        <w:rPr>
          <w:rFonts w:hint="eastAsia" w:ascii="宋体" w:hAnsi="宋体" w:eastAsia="宋体" w:cs="宋体"/>
          <w:color w:val="auto"/>
          <w:sz w:val="28"/>
          <w:szCs w:val="28"/>
          <w:highlight w:val="none"/>
        </w:rPr>
        <w:t>至</w:t>
      </w:r>
      <w:r>
        <w:rPr>
          <w:rFonts w:hint="eastAsia" w:ascii="宋体" w:hAnsi="宋体" w:eastAsia="宋体" w:cs="宋体"/>
          <w:color w:val="auto"/>
          <w:sz w:val="28"/>
          <w:szCs w:val="28"/>
          <w:highlight w:val="none"/>
          <w:u w:val="single"/>
        </w:rPr>
        <w:t>202</w:t>
      </w:r>
      <w:r>
        <w:rPr>
          <w:rFonts w:hint="eastAsia" w:ascii="宋体" w:hAnsi="宋体" w:eastAsia="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rPr>
        <w:t>年</w:t>
      </w:r>
      <w:r>
        <w:rPr>
          <w:rFonts w:hint="eastAsia" w:ascii="宋体" w:hAnsi="宋体" w:eastAsia="宋体" w:cs="宋体"/>
          <w:color w:val="auto"/>
          <w:sz w:val="28"/>
          <w:szCs w:val="28"/>
          <w:highlight w:val="none"/>
          <w:u w:val="single"/>
          <w:lang w:val="en-US" w:eastAsia="zh-CN"/>
        </w:rPr>
        <w:t>7月24日</w:t>
      </w:r>
    </w:p>
    <w:p w14:paraId="4DD20224">
      <w:pPr>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地点：滁州市公共资源交易中心网</w:t>
      </w:r>
    </w:p>
    <w:p w14:paraId="4B0AF6C9">
      <w:pPr>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方式：网上下载</w:t>
      </w:r>
    </w:p>
    <w:p w14:paraId="31EE8EAB">
      <w:pPr>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售价：0元</w:t>
      </w:r>
    </w:p>
    <w:bookmarkEnd w:id="21"/>
    <w:p w14:paraId="52648580">
      <w:pPr>
        <w:keepNext/>
        <w:keepLines/>
        <w:pageBreakBefore w:val="0"/>
        <w:widowControl w:val="0"/>
        <w:kinsoku/>
        <w:overflowPunct/>
        <w:topLinePunct w:val="0"/>
        <w:autoSpaceDE/>
        <w:autoSpaceDN/>
        <w:bidi w:val="0"/>
        <w:adjustRightInd/>
        <w:snapToGrid/>
        <w:spacing w:before="260" w:after="260"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四、提交投标文件截止时间、开标时间和地点</w:t>
      </w:r>
    </w:p>
    <w:p w14:paraId="37CA63A8">
      <w:pPr>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202</w:t>
      </w:r>
      <w:r>
        <w:rPr>
          <w:rFonts w:hint="eastAsia" w:ascii="宋体" w:hAnsi="宋体" w:eastAsia="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rPr>
        <w:t>年</w:t>
      </w:r>
      <w:r>
        <w:rPr>
          <w:rFonts w:hint="eastAsia" w:ascii="宋体" w:hAnsi="宋体" w:eastAsia="宋体" w:cs="宋体"/>
          <w:color w:val="auto"/>
          <w:sz w:val="28"/>
          <w:szCs w:val="28"/>
          <w:highlight w:val="none"/>
          <w:u w:val="single"/>
          <w:lang w:val="en-US" w:eastAsia="zh-CN"/>
        </w:rPr>
        <w:t>7月24日9</w:t>
      </w:r>
      <w:r>
        <w:rPr>
          <w:rFonts w:hint="eastAsia" w:ascii="宋体" w:hAnsi="宋体" w:eastAsia="宋体" w:cs="宋体"/>
          <w:color w:val="auto"/>
          <w:sz w:val="28"/>
          <w:szCs w:val="28"/>
          <w:highlight w:val="none"/>
          <w:u w:val="single"/>
        </w:rPr>
        <w:t>点</w:t>
      </w:r>
      <w:r>
        <w:rPr>
          <w:rFonts w:hint="eastAsia" w:ascii="宋体" w:hAnsi="宋体" w:eastAsia="宋体" w:cs="宋体"/>
          <w:color w:val="auto"/>
          <w:sz w:val="28"/>
          <w:szCs w:val="28"/>
          <w:highlight w:val="none"/>
          <w:u w:val="single"/>
          <w:lang w:val="en-US" w:eastAsia="zh-CN"/>
        </w:rPr>
        <w:t>10</w:t>
      </w:r>
      <w:r>
        <w:rPr>
          <w:rFonts w:hint="eastAsia" w:ascii="宋体" w:hAnsi="宋体" w:eastAsia="宋体" w:cs="宋体"/>
          <w:color w:val="auto"/>
          <w:sz w:val="28"/>
          <w:szCs w:val="28"/>
          <w:highlight w:val="none"/>
          <w:u w:val="single"/>
        </w:rPr>
        <w:t>分</w:t>
      </w:r>
      <w:r>
        <w:rPr>
          <w:rFonts w:hint="eastAsia" w:ascii="宋体" w:hAnsi="宋体" w:eastAsia="宋体" w:cs="宋体"/>
          <w:color w:val="auto"/>
          <w:sz w:val="28"/>
          <w:szCs w:val="28"/>
          <w:highlight w:val="none"/>
        </w:rPr>
        <w:t>（北京时间）</w:t>
      </w:r>
    </w:p>
    <w:p w14:paraId="335D5874">
      <w:pPr>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8"/>
          <w:szCs w:val="28"/>
          <w:highlight w:val="none"/>
        </w:rPr>
        <w:t>地点：</w:t>
      </w:r>
      <w:r>
        <w:rPr>
          <w:rFonts w:hint="eastAsia" w:ascii="宋体" w:hAnsi="宋体" w:eastAsia="宋体" w:cs="宋体"/>
          <w:color w:val="auto"/>
          <w:sz w:val="28"/>
          <w:szCs w:val="28"/>
          <w:highlight w:val="none"/>
          <w:lang w:val="en-US" w:eastAsia="zh-CN"/>
        </w:rPr>
        <w:t>滁州市公共资源交易平台电子交易系统</w:t>
      </w:r>
    </w:p>
    <w:p w14:paraId="295B4984">
      <w:pPr>
        <w:keepNext/>
        <w:keepLines/>
        <w:pageBreakBefore w:val="0"/>
        <w:widowControl w:val="0"/>
        <w:kinsoku/>
        <w:overflowPunct/>
        <w:topLinePunct w:val="0"/>
        <w:autoSpaceDE/>
        <w:autoSpaceDN/>
        <w:bidi w:val="0"/>
        <w:adjustRightInd/>
        <w:snapToGrid/>
        <w:spacing w:before="260" w:after="260" w:line="360" w:lineRule="auto"/>
        <w:jc w:val="left"/>
        <w:textAlignment w:val="auto"/>
        <w:rPr>
          <w:rFonts w:hint="eastAsia" w:ascii="宋体" w:hAnsi="宋体" w:eastAsia="宋体" w:cs="宋体"/>
          <w:color w:val="auto"/>
          <w:sz w:val="28"/>
          <w:szCs w:val="28"/>
          <w:highlight w:val="none"/>
        </w:rPr>
      </w:pPr>
      <w:bookmarkStart w:id="22" w:name="_Toc35393794"/>
      <w:bookmarkEnd w:id="22"/>
      <w:bookmarkStart w:id="23" w:name="_Toc35393625"/>
      <w:bookmarkEnd w:id="23"/>
      <w:bookmarkStart w:id="24" w:name="_Toc28359007"/>
      <w:bookmarkEnd w:id="24"/>
      <w:bookmarkStart w:id="25" w:name="_Toc58430309"/>
      <w:bookmarkEnd w:id="25"/>
      <w:r>
        <w:rPr>
          <w:rFonts w:hint="eastAsia" w:ascii="宋体" w:hAnsi="宋体" w:eastAsia="宋体" w:cs="宋体"/>
          <w:color w:val="auto"/>
          <w:sz w:val="28"/>
          <w:szCs w:val="28"/>
          <w:highlight w:val="none"/>
        </w:rPr>
        <w:t>五、公告期限</w:t>
      </w:r>
    </w:p>
    <w:p w14:paraId="0FBCADF7">
      <w:pPr>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bookmarkStart w:id="26" w:name="_Toc58430310"/>
      <w:bookmarkEnd w:id="26"/>
      <w:r>
        <w:rPr>
          <w:rFonts w:hint="eastAsia" w:ascii="宋体" w:hAnsi="宋体" w:eastAsia="宋体" w:cs="宋体"/>
          <w:color w:val="auto"/>
          <w:sz w:val="28"/>
          <w:szCs w:val="28"/>
          <w:highlight w:val="none"/>
        </w:rPr>
        <w:t>自本公告发布之日起5个工作日。</w:t>
      </w:r>
    </w:p>
    <w:p w14:paraId="795E22B7">
      <w:pPr>
        <w:keepNext/>
        <w:keepLines/>
        <w:pageBreakBefore w:val="0"/>
        <w:widowControl w:val="0"/>
        <w:kinsoku/>
        <w:overflowPunct/>
        <w:topLinePunct w:val="0"/>
        <w:autoSpaceDE/>
        <w:autoSpaceDN/>
        <w:bidi w:val="0"/>
        <w:adjustRightInd/>
        <w:snapToGrid/>
        <w:spacing w:before="260" w:after="260" w:line="360" w:lineRule="auto"/>
        <w:jc w:val="left"/>
        <w:textAlignment w:val="auto"/>
        <w:rPr>
          <w:rFonts w:hint="eastAsia" w:ascii="宋体" w:hAnsi="宋体" w:eastAsia="宋体" w:cs="宋体"/>
          <w:color w:val="auto"/>
          <w:sz w:val="28"/>
          <w:szCs w:val="28"/>
          <w:highlight w:val="none"/>
          <w:lang w:val="en-US" w:eastAsia="zh-CN"/>
        </w:rPr>
      </w:pPr>
      <w:bookmarkStart w:id="27" w:name="_Toc31539"/>
      <w:bookmarkStart w:id="28" w:name="_Toc35393795"/>
      <w:bookmarkStart w:id="29" w:name="_Toc35393626"/>
      <w:r>
        <w:rPr>
          <w:rFonts w:hint="eastAsia" w:ascii="宋体" w:hAnsi="宋体" w:eastAsia="宋体" w:cs="宋体"/>
          <w:color w:val="auto"/>
          <w:sz w:val="28"/>
          <w:szCs w:val="28"/>
          <w:highlight w:val="none"/>
        </w:rPr>
        <w:t>六、</w:t>
      </w:r>
      <w:bookmarkEnd w:id="27"/>
      <w:r>
        <w:rPr>
          <w:rFonts w:hint="eastAsia" w:ascii="宋体" w:hAnsi="宋体" w:eastAsia="宋体" w:cs="宋体"/>
          <w:color w:val="auto"/>
          <w:sz w:val="28"/>
          <w:szCs w:val="28"/>
          <w:highlight w:val="none"/>
          <w:lang w:val="en-US" w:eastAsia="zh-CN"/>
        </w:rPr>
        <w:t>投标保证金金额及缴纳账户</w:t>
      </w:r>
    </w:p>
    <w:p w14:paraId="23AD854F">
      <w:pPr>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是否要求投标人提交投标保证金：不要求。</w:t>
      </w:r>
    </w:p>
    <w:p w14:paraId="6AE95CC0">
      <w:pPr>
        <w:keepNext/>
        <w:keepLines/>
        <w:pageBreakBefore w:val="0"/>
        <w:widowControl w:val="0"/>
        <w:kinsoku/>
        <w:overflowPunct/>
        <w:topLinePunct w:val="0"/>
        <w:autoSpaceDE/>
        <w:autoSpaceDN/>
        <w:bidi w:val="0"/>
        <w:adjustRightInd/>
        <w:snapToGrid/>
        <w:spacing w:before="260" w:after="260"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rPr>
        <w:t>、其他补充事宜</w:t>
      </w:r>
      <w:bookmarkEnd w:id="28"/>
      <w:bookmarkEnd w:id="29"/>
    </w:p>
    <w:p w14:paraId="019F90BF">
      <w:pPr>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2.CA数字证书有关问题：安徽CA客服400-880-4959、0550-3019013（工作日），CFCA客服025-66085508、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47AED813">
      <w:pPr>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733674A3">
      <w:pPr>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本项目采用不见面开标（远程解密)方式，开标时投标人无须至开标现场进行解密，开标采取远程解密方式解密投标文件，解密方式为：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w:t>
      </w:r>
    </w:p>
    <w:p w14:paraId="51F72D52">
      <w:pPr>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8"/>
          <w:szCs w:val="28"/>
          <w:highlight w:val="none"/>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bookmarkEnd w:id="3"/>
    <w:p w14:paraId="1487F4B0">
      <w:pPr>
        <w:keepNext/>
        <w:keepLines/>
        <w:pageBreakBefore w:val="0"/>
        <w:widowControl w:val="0"/>
        <w:kinsoku/>
        <w:overflowPunct/>
        <w:topLinePunct w:val="0"/>
        <w:autoSpaceDE/>
        <w:autoSpaceDN/>
        <w:bidi w:val="0"/>
        <w:adjustRightInd/>
        <w:snapToGrid/>
        <w:spacing w:before="260" w:after="260" w:line="360" w:lineRule="auto"/>
        <w:textAlignment w:val="auto"/>
        <w:rPr>
          <w:rFonts w:hint="eastAsia" w:ascii="宋体" w:hAnsi="宋体" w:eastAsia="宋体" w:cs="宋体"/>
          <w:color w:val="auto"/>
          <w:sz w:val="28"/>
          <w:szCs w:val="28"/>
          <w:highlight w:val="none"/>
        </w:rPr>
      </w:pPr>
      <w:bookmarkStart w:id="30" w:name="_Toc7265"/>
      <w:bookmarkStart w:id="31" w:name="_Toc3854"/>
      <w:r>
        <w:rPr>
          <w:rFonts w:hint="eastAsia" w:ascii="宋体" w:hAnsi="宋体" w:eastAsia="宋体" w:cs="宋体"/>
          <w:color w:val="auto"/>
          <w:sz w:val="28"/>
          <w:szCs w:val="28"/>
          <w:highlight w:val="none"/>
          <w:lang w:val="en-US" w:eastAsia="zh-CN"/>
        </w:rPr>
        <w:t>八</w:t>
      </w:r>
      <w:r>
        <w:rPr>
          <w:rFonts w:hint="eastAsia" w:ascii="宋体" w:hAnsi="宋体" w:eastAsia="宋体" w:cs="宋体"/>
          <w:color w:val="auto"/>
          <w:sz w:val="28"/>
          <w:szCs w:val="28"/>
          <w:highlight w:val="none"/>
        </w:rPr>
        <w:t>、</w:t>
      </w:r>
      <w:bookmarkEnd w:id="30"/>
      <w:bookmarkEnd w:id="31"/>
      <w:r>
        <w:rPr>
          <w:rFonts w:hint="eastAsia" w:ascii="宋体" w:hAnsi="宋体" w:eastAsia="宋体" w:cs="宋体"/>
          <w:color w:val="auto"/>
          <w:sz w:val="28"/>
          <w:szCs w:val="28"/>
          <w:highlight w:val="none"/>
        </w:rPr>
        <w:t>对本次招标提出询问，请按以下方式联系</w:t>
      </w:r>
    </w:p>
    <w:p w14:paraId="531C6EEC">
      <w:pPr>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1.采购人信息</w:t>
      </w:r>
    </w:p>
    <w:p w14:paraId="2EC42456">
      <w:pPr>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名称：</w:t>
      </w:r>
      <w:r>
        <w:rPr>
          <w:rFonts w:hint="eastAsia" w:ascii="宋体" w:hAnsi="宋体" w:eastAsia="宋体" w:cs="宋体"/>
          <w:color w:val="auto"/>
          <w:sz w:val="28"/>
          <w:szCs w:val="28"/>
          <w:highlight w:val="none"/>
          <w:u w:val="single"/>
          <w:lang w:val="en-US" w:eastAsia="zh-CN"/>
        </w:rPr>
        <w:t>滁州日报社</w:t>
      </w:r>
    </w:p>
    <w:p w14:paraId="32EBB4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560" w:firstLineChars="200"/>
        <w:jc w:val="left"/>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地址：</w:t>
      </w:r>
      <w:r>
        <w:rPr>
          <w:rFonts w:hint="default" w:ascii="宋体" w:hAnsi="宋体" w:eastAsia="宋体" w:cs="宋体"/>
          <w:color w:val="auto"/>
          <w:sz w:val="28"/>
          <w:szCs w:val="28"/>
          <w:highlight w:val="none"/>
          <w:u w:val="single"/>
          <w:lang w:val="en-US" w:eastAsia="zh-CN"/>
        </w:rPr>
        <w:t>滁州市会峰西路555号</w:t>
      </w:r>
    </w:p>
    <w:p w14:paraId="713C9DFE">
      <w:pPr>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u w:val="single"/>
          <w:lang w:val="en-US" w:eastAsia="zh-CN"/>
        </w:rPr>
        <w:t>熊玉刚</w:t>
      </w:r>
    </w:p>
    <w:p w14:paraId="3265A7F0">
      <w:pPr>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u w:val="single"/>
          <w:lang w:val="en-US" w:eastAsia="zh-CN"/>
        </w:rPr>
        <w:t>15955007675</w:t>
      </w:r>
    </w:p>
    <w:p w14:paraId="00E74E22">
      <w:pPr>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2.采购代理机构信息</w:t>
      </w:r>
    </w:p>
    <w:p w14:paraId="0C597498">
      <w:pPr>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w:t>
      </w:r>
      <w:r>
        <w:rPr>
          <w:rFonts w:hint="eastAsia" w:ascii="宋体" w:hAnsi="宋体" w:eastAsia="宋体" w:cs="宋体"/>
          <w:color w:val="auto"/>
          <w:sz w:val="28"/>
          <w:szCs w:val="28"/>
          <w:highlight w:val="none"/>
          <w:u w:val="single"/>
          <w:lang w:eastAsia="zh-CN"/>
        </w:rPr>
        <w:t>滁州市政府采购中心</w:t>
      </w:r>
      <w:r>
        <w:rPr>
          <w:rFonts w:hint="eastAsia" w:ascii="宋体" w:hAnsi="宋体" w:eastAsia="宋体" w:cs="宋体"/>
          <w:color w:val="auto"/>
          <w:sz w:val="28"/>
          <w:szCs w:val="28"/>
          <w:highlight w:val="none"/>
        </w:rPr>
        <w:t>　</w:t>
      </w:r>
    </w:p>
    <w:p w14:paraId="2CD569B8">
      <w:pPr>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rPr>
        <w:t>滁州市龙蟠大道109号房产大厦</w:t>
      </w:r>
      <w:r>
        <w:rPr>
          <w:rFonts w:hint="eastAsia" w:ascii="宋体" w:hAnsi="宋体" w:eastAsia="宋体" w:cs="宋体"/>
          <w:color w:val="auto"/>
          <w:sz w:val="28"/>
          <w:szCs w:val="28"/>
          <w:highlight w:val="none"/>
          <w:u w:val="single"/>
          <w:lang w:val="en-US" w:eastAsia="zh-CN"/>
        </w:rPr>
        <w:t>2楼</w:t>
      </w:r>
    </w:p>
    <w:p w14:paraId="29162931">
      <w:pPr>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u w:val="single"/>
          <w:lang w:val="en-US" w:eastAsia="zh-CN"/>
        </w:rPr>
        <w:t>王芳</w:t>
      </w:r>
    </w:p>
    <w:p w14:paraId="185066D0">
      <w:pPr>
        <w:pageBreakBefore w:val="0"/>
        <w:widowControl w:val="0"/>
        <w:kinsoku/>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u w:val="single"/>
          <w:lang w:eastAsia="zh-CN"/>
        </w:rPr>
        <w:t>0550-35195</w:t>
      </w:r>
      <w:r>
        <w:rPr>
          <w:rFonts w:hint="eastAsia" w:ascii="宋体" w:hAnsi="宋体" w:eastAsia="宋体" w:cs="宋体"/>
          <w:color w:val="auto"/>
          <w:sz w:val="28"/>
          <w:szCs w:val="28"/>
          <w:highlight w:val="none"/>
          <w:u w:val="single"/>
          <w:lang w:val="en-US" w:eastAsia="zh-CN"/>
        </w:rPr>
        <w:t>19、18955055067</w:t>
      </w:r>
    </w:p>
    <w:p w14:paraId="2F9CBA4F">
      <w:pPr>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3.政府采购监督管理部门信息</w:t>
      </w:r>
    </w:p>
    <w:p w14:paraId="596ACDF8">
      <w:pPr>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名称：</w:t>
      </w:r>
      <w:r>
        <w:rPr>
          <w:rFonts w:hint="eastAsia" w:ascii="宋体" w:hAnsi="宋体" w:eastAsia="宋体" w:cs="宋体"/>
          <w:color w:val="auto"/>
          <w:sz w:val="28"/>
          <w:szCs w:val="28"/>
          <w:highlight w:val="none"/>
          <w:u w:val="single"/>
          <w:lang w:val="en-US" w:eastAsia="zh-CN"/>
        </w:rPr>
        <w:t>滁州市公共资源交易监督管理局</w:t>
      </w:r>
    </w:p>
    <w:p w14:paraId="78800F2C">
      <w:pPr>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lang w:eastAsia="zh-CN"/>
        </w:rPr>
        <w:t>滁州市龙蟠大道109号房产大厦</w:t>
      </w:r>
      <w:r>
        <w:rPr>
          <w:rFonts w:hint="eastAsia" w:ascii="宋体" w:hAnsi="宋体" w:eastAsia="宋体" w:cs="宋体"/>
          <w:color w:val="auto"/>
          <w:sz w:val="28"/>
          <w:szCs w:val="28"/>
          <w:highlight w:val="none"/>
          <w:u w:val="single"/>
          <w:lang w:val="en-US" w:eastAsia="zh-CN"/>
        </w:rPr>
        <w:t>3</w:t>
      </w:r>
      <w:r>
        <w:rPr>
          <w:rFonts w:hint="eastAsia" w:ascii="宋体" w:hAnsi="宋体" w:eastAsia="宋体" w:cs="宋体"/>
          <w:color w:val="auto"/>
          <w:sz w:val="28"/>
          <w:szCs w:val="28"/>
          <w:highlight w:val="none"/>
          <w:u w:val="single"/>
          <w:lang w:eastAsia="zh-CN"/>
        </w:rPr>
        <w:t>楼</w:t>
      </w:r>
    </w:p>
    <w:p w14:paraId="07DB42EE">
      <w:pPr>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u w:val="single"/>
        </w:rPr>
        <w:t>0550-3801656</w:t>
      </w:r>
    </w:p>
    <w:p w14:paraId="466F1E9B">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6C0D93D1">
      <w:pPr>
        <w:spacing w:line="360" w:lineRule="auto"/>
        <w:jc w:val="center"/>
        <w:outlineLvl w:val="0"/>
        <w:rPr>
          <w:rFonts w:asciiTheme="minorEastAsia" w:hAnsiTheme="minorEastAsia" w:eastAsiaTheme="minorEastAsia"/>
          <w:b/>
          <w:color w:val="auto"/>
          <w:sz w:val="28"/>
          <w:highlight w:val="none"/>
        </w:rPr>
      </w:pPr>
      <w:bookmarkStart w:id="32" w:name="_Toc8888"/>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2"/>
    </w:p>
    <w:p w14:paraId="01CD8525">
      <w:pPr>
        <w:spacing w:line="360" w:lineRule="auto"/>
        <w:jc w:val="center"/>
        <w:outlineLvl w:val="1"/>
        <w:rPr>
          <w:rFonts w:asciiTheme="minorEastAsia" w:hAnsiTheme="minorEastAsia" w:eastAsiaTheme="minorEastAsia"/>
          <w:b/>
          <w:color w:val="auto"/>
          <w:sz w:val="24"/>
          <w:highlight w:val="none"/>
        </w:rPr>
      </w:pPr>
      <w:bookmarkStart w:id="33" w:name="_Toc13589"/>
      <w:bookmarkStart w:id="34"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3"/>
      <w:bookmarkEnd w:id="34"/>
    </w:p>
    <w:p w14:paraId="7C98F457">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5"/>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2BD0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0BEA4FD">
            <w:pPr>
              <w:pStyle w:val="4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CD9BA72">
            <w:pPr>
              <w:pStyle w:val="4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26474E84">
            <w:pPr>
              <w:pStyle w:val="4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619E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E6DD2D6">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7201BED8">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244" w:type="pct"/>
            <w:vAlign w:val="center"/>
          </w:tcPr>
          <w:p w14:paraId="787C2EE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Cs/>
                <w:color w:val="auto"/>
                <w:sz w:val="24"/>
                <w:highlight w:val="none"/>
                <w:lang w:val="en-US" w:eastAsia="zh-CN"/>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5538208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Cs/>
                <w:color w:val="auto"/>
                <w:sz w:val="24"/>
                <w:highlight w:val="none"/>
                <w:lang w:val="en-US"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5D60B83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75597B1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2BB1830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71961A89">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10AD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617ED0">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23D9F55D">
            <w:pPr>
              <w:pStyle w:val="43"/>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73C6F000">
            <w:pPr>
              <w:pStyle w:val="43"/>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年</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7</w:t>
            </w:r>
            <w:r>
              <w:rPr>
                <w:rFonts w:ascii="宋体" w:hAnsi="宋体" w:eastAsia="宋体"/>
                <w:b w:val="0"/>
                <w:color w:val="auto"/>
                <w:sz w:val="24"/>
                <w:highlight w:val="none"/>
              </w:rPr>
              <w:t>月</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10 </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30</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4361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813A64">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33B57292">
            <w:pPr>
              <w:pStyle w:val="43"/>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6D33CB9C">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lang w:val="en-US" w:eastAsia="zh-CN"/>
              </w:rPr>
              <w:t>/</w:t>
            </w:r>
            <w:r>
              <w:rPr>
                <w:rFonts w:ascii="宋体" w:hAnsi="宋体" w:eastAsia="宋体"/>
                <w:b w:val="0"/>
                <w:color w:val="auto"/>
                <w:sz w:val="24"/>
                <w:highlight w:val="none"/>
              </w:rPr>
              <w:t>个包</w:t>
            </w:r>
          </w:p>
          <w:p w14:paraId="0E03C3B1">
            <w:pPr>
              <w:pStyle w:val="43"/>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eastAsia" w:ascii="宋体" w:hAnsi="宋体" w:eastAsia="宋体"/>
                <w:b w:val="0"/>
                <w:bCs w:val="0"/>
                <w:color w:val="auto"/>
                <w:sz w:val="24"/>
                <w:szCs w:val="18"/>
                <w:highlight w:val="none"/>
                <w:u w:val="single"/>
                <w:lang w:val="en-US" w:eastAsia="zh-CN"/>
              </w:rPr>
              <w:t>/</w:t>
            </w:r>
            <w:r>
              <w:rPr>
                <w:rFonts w:ascii="宋体" w:hAnsi="宋体" w:eastAsia="宋体"/>
                <w:b w:val="0"/>
                <w:bCs w:val="0"/>
                <w:color w:val="auto"/>
                <w:sz w:val="24"/>
                <w:szCs w:val="18"/>
                <w:highlight w:val="none"/>
                <w:u w:val="single"/>
              </w:rPr>
              <w:t xml:space="preserve">  </w:t>
            </w:r>
          </w:p>
        </w:tc>
      </w:tr>
      <w:tr w14:paraId="6ACE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81" w:type="pct"/>
            <w:vAlign w:val="center"/>
          </w:tcPr>
          <w:p w14:paraId="76F73E85">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6207F513">
            <w:pPr>
              <w:pStyle w:val="4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520281DF">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0DC2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F5DBCD4">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2D69C8F0">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522B0461">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90 </w:t>
            </w:r>
            <w:r>
              <w:rPr>
                <w:rFonts w:hint="eastAsia" w:ascii="宋体" w:hAnsi="宋体" w:eastAsia="宋体"/>
                <w:b w:val="0"/>
                <w:color w:val="auto"/>
                <w:sz w:val="24"/>
                <w:highlight w:val="none"/>
              </w:rPr>
              <w:t>日历日</w:t>
            </w:r>
          </w:p>
        </w:tc>
      </w:tr>
      <w:tr w14:paraId="4380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9BFE1F3">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14:paraId="510CB0A1">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385FD855">
            <w:pPr>
              <w:pStyle w:val="43"/>
              <w:widowControl w:val="0"/>
              <w:spacing w:before="0" w:beforeAutospacing="0" w:after="0" w:afterAutospacing="0" w:line="360" w:lineRule="auto"/>
              <w:jc w:val="both"/>
              <w:rPr>
                <w:rFonts w:hint="eastAsia"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 xml:space="preserve">  60  </w:t>
            </w:r>
            <w:r>
              <w:rPr>
                <w:rFonts w:hint="eastAsia" w:ascii="宋体" w:hAnsi="宋体" w:eastAsia="宋体"/>
                <w:b w:val="0"/>
                <w:color w:val="auto"/>
                <w:sz w:val="24"/>
                <w:highlight w:val="none"/>
                <w:u w:val="none"/>
              </w:rPr>
              <w:t>分钟内</w:t>
            </w:r>
            <w:r>
              <w:rPr>
                <w:rFonts w:hint="eastAsia" w:ascii="宋体" w:hAnsi="宋体" w:eastAsia="宋体" w:cs="宋体"/>
                <w:b w:val="0"/>
                <w:color w:val="auto"/>
                <w:sz w:val="24"/>
                <w:szCs w:val="24"/>
                <w:highlight w:val="none"/>
              </w:rPr>
              <w:t>（以本项目网上招投标系统解密倒计时为准）</w:t>
            </w:r>
          </w:p>
        </w:tc>
      </w:tr>
      <w:tr w14:paraId="6747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7C644A">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2B44367D">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221DE1A4">
            <w:pPr>
              <w:pStyle w:val="43"/>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4E8FB0E4">
            <w:pPr>
              <w:pStyle w:val="43"/>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70E1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7B47843">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1BEDD8B2">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3D28E686">
            <w:pPr>
              <w:pStyle w:val="43"/>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color w:val="auto"/>
                <w:sz w:val="24"/>
                <w:highlight w:val="none"/>
                <w:u w:val="none"/>
              </w:rPr>
              <w:t>最低评标价法</w:t>
            </w:r>
          </w:p>
          <w:p w14:paraId="0F10826A">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color w:val="auto"/>
                <w:sz w:val="24"/>
                <w:highlight w:val="none"/>
                <w:u w:val="none"/>
              </w:rPr>
              <w:t>综合评分法</w:t>
            </w:r>
          </w:p>
        </w:tc>
      </w:tr>
      <w:tr w14:paraId="61BB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CCE6468">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14:paraId="77E99FD8">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032DC138">
            <w:pPr>
              <w:pStyle w:val="43"/>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val="0"/>
                <w:iCs/>
                <w:color w:val="auto"/>
                <w:sz w:val="24"/>
                <w:highlight w:val="none"/>
              </w:rPr>
              <w:t>（非专门面向中小企业采购项目适用）</w:t>
            </w:r>
          </w:p>
        </w:tc>
        <w:tc>
          <w:tcPr>
            <w:tcW w:w="3244" w:type="pct"/>
            <w:vAlign w:val="center"/>
          </w:tcPr>
          <w:p w14:paraId="5786DA7C">
            <w:pPr>
              <w:keepNext w:val="0"/>
              <w:keepLines w:val="0"/>
              <w:widowControl/>
              <w:suppressLineNumbers w:val="0"/>
              <w:jc w:val="left"/>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对小型和微型企业的价格给予 10%的扣除后参与评审；其评审价=最终响应报价*（90%）</w:t>
            </w:r>
            <w:r>
              <w:rPr>
                <w:rFonts w:hint="eastAsia" w:ascii="宋体" w:hAnsi="宋体" w:eastAsia="宋体"/>
                <w:b w:val="0"/>
                <w:color w:val="auto"/>
                <w:sz w:val="24"/>
                <w:highlight w:val="none"/>
                <w:u w:val="none"/>
                <w:lang w:val="en-US" w:eastAsia="zh-CN"/>
              </w:rPr>
              <w:t>。</w:t>
            </w:r>
          </w:p>
          <w:p w14:paraId="69DED8F6">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683D57B4">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2BACCFB">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0C483FE8">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tc>
      </w:tr>
      <w:tr w14:paraId="28E7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6CF4DEB">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17.4</w:t>
            </w:r>
          </w:p>
        </w:tc>
        <w:tc>
          <w:tcPr>
            <w:tcW w:w="1174" w:type="pct"/>
            <w:vAlign w:val="center"/>
          </w:tcPr>
          <w:p w14:paraId="3D29FA5E">
            <w:pPr>
              <w:spacing w:line="360" w:lineRule="auto"/>
              <w:rPr>
                <w:rFonts w:hint="eastAsia" w:ascii="宋体" w:hAnsi="宋体" w:eastAsia="宋体"/>
                <w:b w:val="0"/>
                <w:i/>
                <w:color w:val="auto"/>
                <w:sz w:val="24"/>
                <w:highlight w:val="none"/>
              </w:rPr>
            </w:pPr>
            <w:r>
              <w:rPr>
                <w:rFonts w:hint="eastAsia" w:ascii="宋体" w:hAnsi="宋体" w:eastAsia="宋体"/>
                <w:b w:val="0"/>
                <w:i w:val="0"/>
                <w:iCs w:val="0"/>
                <w:color w:val="auto"/>
                <w:sz w:val="24"/>
                <w:highlight w:val="none"/>
                <w:lang w:val="en-US" w:eastAsia="zh-CN"/>
              </w:rPr>
              <w:t>本国产品价格扣除</w:t>
            </w:r>
            <w:r>
              <w:rPr>
                <w:rFonts w:hint="eastAsia" w:ascii="宋体" w:hAnsi="宋体" w:eastAsia="宋体" w:cs="Times New Roman"/>
                <w:i w:val="0"/>
                <w:iCs w:val="0"/>
                <w:color w:val="auto"/>
                <w:sz w:val="24"/>
                <w:highlight w:val="none"/>
                <w:lang w:val="en-US" w:eastAsia="zh-CN"/>
              </w:rPr>
              <w:t>（</w:t>
            </w:r>
            <w:r>
              <w:rPr>
                <w:rFonts w:hint="eastAsia" w:ascii="宋体" w:hAnsi="宋体" w:eastAsia="宋体" w:cs="Times New Roman"/>
                <w:b w:val="0"/>
                <w:bCs w:val="0"/>
                <w:i w:val="0"/>
                <w:iCs w:val="0"/>
                <w:color w:val="auto"/>
                <w:sz w:val="24"/>
                <w:highlight w:val="none"/>
                <w:lang w:val="en-US" w:eastAsia="zh-CN"/>
              </w:rPr>
              <w:t>适用于</w:t>
            </w: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服务项目中涉及的既有本国产品又有非本国产品参与竞争</w:t>
            </w: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lang w:val="en-US" w:eastAsia="zh-CN"/>
              </w:rPr>
              <w:t>的</w:t>
            </w: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货物</w:t>
            </w:r>
            <w:r>
              <w:rPr>
                <w:rFonts w:hint="eastAsia" w:ascii="宋体" w:hAnsi="宋体" w:eastAsia="宋体" w:cs="Times New Roman"/>
                <w:b w:val="0"/>
                <w:bCs w:val="0"/>
                <w:i w:val="0"/>
                <w:iCs w:val="0"/>
                <w:color w:val="auto"/>
                <w:sz w:val="24"/>
                <w:highlight w:val="none"/>
                <w:lang w:val="en-US" w:eastAsia="zh-CN"/>
              </w:rPr>
              <w:t>）</w:t>
            </w:r>
          </w:p>
        </w:tc>
        <w:tc>
          <w:tcPr>
            <w:tcW w:w="3244" w:type="pct"/>
            <w:vAlign w:val="center"/>
          </w:tcPr>
          <w:p w14:paraId="099EDD3F">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color w:val="auto"/>
                <w:sz w:val="24"/>
                <w:highlight w:val="none"/>
                <w:lang w:val="en-US" w:eastAsia="zh-CN"/>
              </w:rPr>
            </w:pPr>
            <w:r>
              <w:rPr>
                <w:rFonts w:hint="eastAsia" w:ascii="宋体" w:hAnsi="宋体" w:eastAsia="宋体"/>
                <w:b w:val="0"/>
                <w:i w:val="0"/>
                <w:iCs w:val="0"/>
                <w:color w:val="auto"/>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lang w:val="en-US" w:eastAsia="zh-CN"/>
              </w:rPr>
              <w:t>。</w:t>
            </w:r>
          </w:p>
          <w:p w14:paraId="3509C6F6">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color w:val="auto"/>
                <w:sz w:val="24"/>
                <w:highlight w:val="none"/>
                <w:lang w:val="en-US" w:eastAsia="zh-CN"/>
              </w:rPr>
              <w:t>（2）项目或者采购包中含有多种产品的，符合本国产品标准的产品成本之和占该投标人提供的全部产品成本之和的比例≥80%，所有产品价格扣除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u w:val="none"/>
                <w:lang w:val="en-US" w:eastAsia="zh-CN"/>
              </w:rPr>
              <w:t>。</w:t>
            </w:r>
          </w:p>
        </w:tc>
      </w:tr>
      <w:tr w14:paraId="1A26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CEEF6A3">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0AAFE4F6">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45E51C21">
            <w:pPr>
              <w:pStyle w:val="4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cs="宋体"/>
                <w:b w:val="0"/>
                <w:color w:val="auto"/>
                <w:sz w:val="24"/>
                <w:szCs w:val="24"/>
                <w:highlight w:val="none"/>
              </w:rPr>
              <w:t>评标委员会推荐3名中标候选人</w:t>
            </w:r>
          </w:p>
        </w:tc>
      </w:tr>
      <w:tr w14:paraId="7EF4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7AF1DF1">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62C6F207">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601A7770">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A8"/>
            </w:r>
            <w:r>
              <w:rPr>
                <w:rFonts w:hint="eastAsia" w:asciiTheme="minorEastAsia" w:hAnsiTheme="minorEastAsia" w:eastAsiaTheme="minorEastAsia"/>
                <w:color w:val="auto"/>
                <w:kern w:val="0"/>
                <w:sz w:val="24"/>
                <w:szCs w:val="24"/>
                <w:highlight w:val="none"/>
              </w:rPr>
              <w:t>采购人委托评标委员会确定</w:t>
            </w:r>
          </w:p>
          <w:p w14:paraId="5A4428D0">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14:paraId="2252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E5749C8">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3FEDA853">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5F062076">
            <w:pPr>
              <w:pStyle w:val="43"/>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p>
          <w:p w14:paraId="747147DC">
            <w:pPr>
              <w:pStyle w:val="43"/>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val="0"/>
                <w:iCs w:val="0"/>
                <w:color w:val="auto"/>
                <w:sz w:val="24"/>
                <w:highlight w:val="none"/>
                <w:u w:val="none"/>
              </w:rPr>
              <w:t>（如有）</w:t>
            </w:r>
          </w:p>
          <w:p w14:paraId="793D1649">
            <w:pPr>
              <w:pStyle w:val="43"/>
              <w:widowControl w:val="0"/>
              <w:spacing w:before="0" w:beforeAutospacing="0" w:after="0" w:afterAutospacing="0" w:line="360" w:lineRule="auto"/>
              <w:jc w:val="both"/>
              <w:rPr>
                <w:rFonts w:hint="eastAsia" w:ascii="宋体" w:hAnsi="宋体" w:eastAsia="宋体"/>
                <w:b w:val="0"/>
                <w:i/>
                <w:iCs/>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p w14:paraId="18289587">
            <w:pPr>
              <w:pStyle w:val="43"/>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color w:val="auto"/>
                <w:sz w:val="24"/>
                <w:szCs w:val="20"/>
                <w:highlight w:val="none"/>
                <w:u w:val="none"/>
              </w:rPr>
              <w:t>符合本国产品标准的声明函</w:t>
            </w:r>
            <w:r>
              <w:rPr>
                <w:rFonts w:hint="eastAsia" w:ascii="宋体" w:hAnsi="宋体" w:eastAsia="宋体" w:cs="@仿宋_GB2312"/>
                <w:b w:val="0"/>
                <w:bCs w:val="0"/>
                <w:color w:val="auto"/>
                <w:sz w:val="24"/>
                <w:szCs w:val="20"/>
                <w:highlight w:val="none"/>
                <w:u w:val="none"/>
                <w:lang w:eastAsia="zh-CN"/>
              </w:rPr>
              <w:t>；</w:t>
            </w:r>
            <w:r>
              <w:rPr>
                <w:rFonts w:hint="eastAsia" w:ascii="宋体" w:hAnsi="宋体" w:eastAsia="宋体" w:cs="@仿宋_GB2312"/>
                <w:b w:val="0"/>
                <w:bCs w:val="0"/>
                <w:i w:val="0"/>
                <w:iCs w:val="0"/>
                <w:color w:val="auto"/>
                <w:sz w:val="24"/>
                <w:szCs w:val="20"/>
                <w:highlight w:val="none"/>
                <w:u w:val="none"/>
                <w:lang w:eastAsia="zh-CN"/>
              </w:rPr>
              <w:t>（</w:t>
            </w:r>
            <w:r>
              <w:rPr>
                <w:rFonts w:hint="eastAsia" w:ascii="宋体" w:hAnsi="宋体" w:eastAsia="宋体" w:cs="@仿宋_GB2312"/>
                <w:b w:val="0"/>
                <w:bCs w:val="0"/>
                <w:i w:val="0"/>
                <w:iCs w:val="0"/>
                <w:color w:val="auto"/>
                <w:sz w:val="24"/>
                <w:szCs w:val="20"/>
                <w:highlight w:val="none"/>
                <w:u w:val="none"/>
                <w:lang w:val="en-US" w:eastAsia="zh-CN"/>
              </w:rPr>
              <w:t>如有</w:t>
            </w:r>
            <w:r>
              <w:rPr>
                <w:rFonts w:hint="eastAsia" w:ascii="宋体" w:hAnsi="宋体" w:eastAsia="宋体" w:cs="@仿宋_GB2312"/>
                <w:b w:val="0"/>
                <w:bCs w:val="0"/>
                <w:i w:val="0"/>
                <w:iCs w:val="0"/>
                <w:color w:val="auto"/>
                <w:sz w:val="24"/>
                <w:szCs w:val="20"/>
                <w:highlight w:val="none"/>
                <w:u w:val="none"/>
                <w:lang w:eastAsia="zh-CN"/>
              </w:rPr>
              <w:t>）</w:t>
            </w:r>
          </w:p>
        </w:tc>
      </w:tr>
      <w:tr w14:paraId="5512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DE9DD48">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0C3BDEB3">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11B63DA8">
            <w:pPr>
              <w:pStyle w:val="43"/>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506D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B0589CB">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581DC840">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3615FA12">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20A3A332">
            <w:pPr>
              <w:pStyle w:val="43"/>
              <w:widowControl w:val="0"/>
              <w:spacing w:before="0" w:beforeAutospacing="0" w:after="0" w:afterAutospacing="0" w:line="360" w:lineRule="auto"/>
              <w:jc w:val="both"/>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59AD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581" w:type="pct"/>
            <w:vAlign w:val="center"/>
          </w:tcPr>
          <w:p w14:paraId="407870D8">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7FAEFF69">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4D8905F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23439748">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637BAE17">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u w:val="single"/>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0F4438EE">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u w:val="single"/>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31AFB7B1">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14855786">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7DB9ED5E">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u w:val="single"/>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2B09311F">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u w:val="single"/>
              </w:rPr>
              <w:t>/</w:t>
            </w:r>
            <w:r>
              <w:rPr>
                <w:rFonts w:hint="eastAsia" w:ascii="宋体" w:hAnsi="宋体" w:eastAsia="宋体"/>
                <w:bCs/>
                <w:color w:val="auto"/>
                <w:kern w:val="0"/>
                <w:sz w:val="24"/>
                <w:szCs w:val="28"/>
                <w:highlight w:val="none"/>
                <w:u w:val="single"/>
              </w:rPr>
              <w:t xml:space="preserve">        </w:t>
            </w:r>
          </w:p>
          <w:p w14:paraId="00EEFF76">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u w:val="single"/>
              </w:rPr>
              <w:t>/</w:t>
            </w:r>
            <w:r>
              <w:rPr>
                <w:rFonts w:hint="eastAsia" w:ascii="宋体" w:hAnsi="宋体" w:eastAsia="宋体"/>
                <w:bCs/>
                <w:color w:val="auto"/>
                <w:kern w:val="0"/>
                <w:sz w:val="24"/>
                <w:szCs w:val="28"/>
                <w:highlight w:val="none"/>
                <w:u w:val="single"/>
              </w:rPr>
              <w:t xml:space="preserve">       </w:t>
            </w:r>
          </w:p>
          <w:p w14:paraId="24082C05">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48AB73A2">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0067F3C">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4BBE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7D9D1502">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7B2FA7B2">
            <w:pPr>
              <w:pStyle w:val="43"/>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04418340">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（1）采购人与中标人应当自发出中标通知书之日起7个工作日内签订合同，采购合同签订之日起2个工作日内完成政府采购合同公开。</w:t>
            </w:r>
          </w:p>
          <w:p w14:paraId="4BC2ADB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b/>
                <w:bCs/>
                <w:color w:val="auto"/>
                <w:kern w:val="0"/>
                <w:sz w:val="24"/>
                <w:szCs w:val="24"/>
                <w:highlight w:val="none"/>
                <w:lang w:val="en-US"/>
              </w:rPr>
            </w:pPr>
            <w:r>
              <w:rPr>
                <w:rFonts w:ascii="宋体" w:hAnsi="宋体" w:eastAsia="宋体" w:cs="宋体"/>
                <w:color w:val="auto"/>
                <w:sz w:val="24"/>
                <w:szCs w:val="24"/>
                <w:highlight w:val="none"/>
              </w:rPr>
              <w:t>（2）采购人与中标人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28F9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1D20366">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2D4A2288">
            <w:pPr>
              <w:pStyle w:val="43"/>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shd w:val="clear" w:color="auto" w:fill="auto"/>
            <w:vAlign w:val="center"/>
          </w:tcPr>
          <w:p w14:paraId="32E43D6D">
            <w:pPr>
              <w:spacing w:before="39" w:line="360" w:lineRule="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中标人</w:t>
            </w:r>
          </w:p>
          <w:p w14:paraId="7A1E24AC">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银行转账</w:t>
            </w:r>
          </w:p>
          <w:p w14:paraId="43C149E7">
            <w:pPr>
              <w:pStyle w:val="43"/>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cs="宋体"/>
                <w:b w:val="0"/>
                <w:bCs w:val="0"/>
                <w:color w:val="auto"/>
                <w:kern w:val="2"/>
                <w:sz w:val="24"/>
                <w:szCs w:val="24"/>
                <w:highlight w:val="none"/>
                <w:u w:val="single"/>
              </w:rPr>
              <w:t>按照《滁州市公共资源交易代理机构及从业人员管理办法》(滁公管〔2025〕1 号)执行</w:t>
            </w:r>
          </w:p>
        </w:tc>
      </w:tr>
      <w:tr w14:paraId="5064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EB2154D">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7E28CF03">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7F18C01F">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Cs/>
                <w:color w:val="auto"/>
                <w:kern w:val="0"/>
                <w:sz w:val="24"/>
                <w:szCs w:val="28"/>
                <w:highlight w:val="none"/>
                <w:u w:val="single"/>
              </w:rPr>
              <w:t xml:space="preserve"> </w:t>
            </w:r>
            <w:r>
              <w:rPr>
                <w:rFonts w:hint="eastAsia" w:ascii="宋体" w:hAnsi="宋体" w:eastAsia="宋体" w:cs="宋体"/>
                <w:color w:val="auto"/>
                <w:sz w:val="24"/>
                <w:highlight w:val="none"/>
                <w:u w:val="single"/>
              </w:rPr>
              <w:t>投标人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r>
              <w:rPr>
                <w:rFonts w:hint="eastAsia" w:ascii="宋体" w:hAnsi="宋体" w:eastAsia="宋体"/>
                <w:bCs/>
                <w:color w:val="auto"/>
                <w:kern w:val="0"/>
                <w:sz w:val="24"/>
                <w:szCs w:val="28"/>
                <w:highlight w:val="none"/>
                <w:u w:val="single"/>
              </w:rPr>
              <w:t xml:space="preserve"> </w:t>
            </w:r>
          </w:p>
          <w:p w14:paraId="62C78049">
            <w:pPr>
              <w:pStyle w:val="43"/>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cs="宋体"/>
                <w:color w:val="auto"/>
                <w:sz w:val="24"/>
                <w:highlight w:val="none"/>
                <w:u w:val="single"/>
                <w:lang w:eastAsia="zh-CN"/>
              </w:rPr>
              <w:t>滁州日报社、滁州市政府采购中心</w:t>
            </w:r>
            <w:r>
              <w:rPr>
                <w:rFonts w:hint="eastAsia" w:ascii="宋体" w:hAnsi="宋体" w:eastAsia="宋体" w:cs="宋体"/>
                <w:color w:val="auto"/>
                <w:sz w:val="24"/>
                <w:highlight w:val="none"/>
                <w:u w:val="single"/>
              </w:rPr>
              <w:t>；</w:t>
            </w:r>
          </w:p>
          <w:p w14:paraId="2AFE0F76">
            <w:pPr>
              <w:pStyle w:val="43"/>
              <w:widowControl w:val="0"/>
              <w:spacing w:before="0" w:beforeAutospacing="0" w:after="0" w:afterAutospacing="0" w:line="500" w:lineRule="exact"/>
              <w:jc w:val="both"/>
              <w:rPr>
                <w:rFonts w:hint="eastAsia" w:ascii="宋体" w:hAnsi="宋体" w:eastAsia="宋体" w:cs="宋体"/>
                <w:color w:val="auto"/>
                <w:sz w:val="24"/>
                <w:highlight w:val="none"/>
                <w:u w:val="single"/>
              </w:rPr>
            </w:pPr>
            <w:r>
              <w:rPr>
                <w:rFonts w:hint="eastAsia" w:ascii="宋体" w:hAnsi="宋体" w:eastAsia="宋体" w:cs="宋体"/>
                <w:b w:val="0"/>
                <w:color w:val="auto"/>
                <w:sz w:val="24"/>
                <w:highlight w:val="none"/>
              </w:rPr>
              <w:t>联系电话：</w:t>
            </w:r>
            <w:r>
              <w:rPr>
                <w:rFonts w:hint="eastAsia" w:ascii="宋体" w:hAnsi="宋体" w:eastAsia="宋体" w:cs="宋体"/>
                <w:b/>
                <w:bCs w:val="0"/>
                <w:color w:val="auto"/>
                <w:sz w:val="24"/>
                <w:highlight w:val="none"/>
                <w:u w:val="single"/>
                <w:lang w:eastAsia="zh-CN"/>
              </w:rPr>
              <w:t>15955007675</w:t>
            </w:r>
            <w:r>
              <w:rPr>
                <w:rFonts w:hint="eastAsia" w:ascii="宋体" w:hAnsi="宋体" w:eastAsia="宋体" w:cs="宋体"/>
                <w:b/>
                <w:bCs w:val="0"/>
                <w:color w:val="auto"/>
                <w:sz w:val="24"/>
                <w:highlight w:val="none"/>
                <w:u w:val="single"/>
              </w:rPr>
              <w:t>、</w:t>
            </w:r>
            <w:r>
              <w:rPr>
                <w:rFonts w:hint="eastAsia" w:ascii="宋体" w:hAnsi="宋体" w:eastAsia="宋体" w:cs="宋体"/>
                <w:color w:val="auto"/>
                <w:sz w:val="24"/>
                <w:highlight w:val="none"/>
                <w:u w:val="single"/>
                <w:lang w:eastAsia="zh-CN"/>
              </w:rPr>
              <w:t>0550-3519519</w:t>
            </w:r>
            <w:r>
              <w:rPr>
                <w:rFonts w:hint="eastAsia" w:ascii="宋体" w:hAnsi="宋体" w:eastAsia="宋体" w:cs="宋体"/>
                <w:color w:val="auto"/>
                <w:sz w:val="24"/>
                <w:highlight w:val="none"/>
                <w:u w:val="single"/>
              </w:rPr>
              <w:t>；</w:t>
            </w:r>
          </w:p>
          <w:p w14:paraId="64DDEE25">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color w:val="auto"/>
                <w:sz w:val="24"/>
                <w:highlight w:val="none"/>
                <w:u w:val="single"/>
                <w:lang w:eastAsia="zh-CN"/>
              </w:rPr>
              <w:t>滁州市会峰西路555号、滁州</w:t>
            </w:r>
            <w:r>
              <w:rPr>
                <w:rFonts w:hint="eastAsia" w:ascii="宋体" w:hAnsi="宋体" w:eastAsia="宋体" w:cs="宋体"/>
                <w:color w:val="auto"/>
                <w:sz w:val="24"/>
                <w:highlight w:val="none"/>
                <w:u w:val="single"/>
              </w:rPr>
              <w:t>市龙蟠大道109号房产大厦</w:t>
            </w:r>
            <w:r>
              <w:rPr>
                <w:rFonts w:hint="eastAsia" w:ascii="宋体" w:hAnsi="宋体" w:eastAsia="宋体" w:cs="宋体"/>
                <w:color w:val="auto"/>
                <w:sz w:val="24"/>
                <w:highlight w:val="none"/>
                <w:u w:val="single"/>
                <w:lang w:val="en-US" w:eastAsia="zh-CN"/>
              </w:rPr>
              <w:t>2</w:t>
            </w:r>
            <w:r>
              <w:rPr>
                <w:rFonts w:hint="eastAsia" w:ascii="宋体" w:hAnsi="宋体" w:eastAsia="宋体" w:cs="宋体"/>
                <w:color w:val="auto"/>
                <w:sz w:val="24"/>
                <w:highlight w:val="none"/>
                <w:u w:val="single"/>
              </w:rPr>
              <w:t>楼。</w:t>
            </w:r>
          </w:p>
        </w:tc>
      </w:tr>
      <w:tr w14:paraId="076B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CEC15E4">
            <w:pPr>
              <w:pStyle w:val="44"/>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434193E1">
            <w:pPr>
              <w:pStyle w:val="43"/>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399DCF97">
            <w:pPr>
              <w:pStyle w:val="43"/>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1582DF06">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09C69CB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3F3D5476">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69BFA36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278A93A6">
            <w:pPr>
              <w:pStyle w:val="43"/>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432A3E64">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0412EB9B">
            <w:pPr>
              <w:pStyle w:val="43"/>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p w14:paraId="416365C7">
            <w:pPr>
              <w:pStyle w:val="43"/>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4.部分可提供线下政采贷的金融机构：</w:t>
            </w:r>
          </w:p>
          <w:p w14:paraId="66EB7558">
            <w:pPr>
              <w:pStyle w:val="43"/>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市本级</w:t>
            </w:r>
          </w:p>
          <w:p w14:paraId="68725A5E">
            <w:pPr>
              <w:pStyle w:val="43"/>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金融机构名称：兴业银行滁州分行</w:t>
            </w:r>
          </w:p>
          <w:p w14:paraId="4D39951E">
            <w:pPr>
              <w:pStyle w:val="43"/>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安徽省滁州市琅琊区丰乐大道1090号</w:t>
            </w:r>
          </w:p>
          <w:p w14:paraId="38D6ED45">
            <w:pPr>
              <w:pStyle w:val="43"/>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伏庚：17755080811</w:t>
            </w:r>
          </w:p>
          <w:p w14:paraId="6FBD9112">
            <w:pPr>
              <w:pStyle w:val="43"/>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5.特别提示：</w:t>
            </w:r>
          </w:p>
          <w:p w14:paraId="16664925">
            <w:pPr>
              <w:pStyle w:val="43"/>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33DD0B73">
            <w:pPr>
              <w:pStyle w:val="43"/>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634E0799">
            <w:pPr>
              <w:pStyle w:val="43"/>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3A3DEF4E">
            <w:pPr>
              <w:pStyle w:val="43"/>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668D1E7B">
            <w:pPr>
              <w:pStyle w:val="43"/>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lang w:eastAsia="zh-CN"/>
              </w:rPr>
            </w:pPr>
            <w:r>
              <w:rPr>
                <w:rFonts w:hint="eastAsia" w:ascii="宋体" w:hAnsi="宋体" w:eastAsia="宋体" w:cs="宋体"/>
                <w:b w:val="0"/>
                <w:color w:val="auto"/>
                <w:kern w:val="2"/>
                <w:sz w:val="24"/>
                <w:szCs w:val="24"/>
                <w:highlight w:val="none"/>
              </w:rPr>
              <w:t>（4）投标人应当用本单位CA数字证书制作投标文件，制作成功后进行投标文件上传。</w:t>
            </w:r>
          </w:p>
          <w:p w14:paraId="3F2BE689">
            <w:pPr>
              <w:pStyle w:val="43"/>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0FC872A0">
            <w:pPr>
              <w:pStyle w:val="43"/>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0325E215">
            <w:pPr>
              <w:pStyle w:val="43"/>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25769215">
            <w:pPr>
              <w:pStyle w:val="43"/>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4D2508DA">
            <w:pPr>
              <w:pStyle w:val="43"/>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092F1A50">
            <w:pPr>
              <w:pStyle w:val="43"/>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2B346528">
            <w:pPr>
              <w:pStyle w:val="43"/>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6.评标过程中的澄清、说明或补正：</w:t>
            </w:r>
          </w:p>
          <w:p w14:paraId="7FE6CC33">
            <w:pPr>
              <w:pStyle w:val="43"/>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7D8736A9">
            <w:pPr>
              <w:pStyle w:val="43"/>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03E49DE0">
            <w:pPr>
              <w:pStyle w:val="43"/>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7.同义词语：</w:t>
            </w:r>
          </w:p>
          <w:p w14:paraId="04685538">
            <w:pPr>
              <w:pStyle w:val="43"/>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招标文件第六章投标文件格式、附件1“关于联合惩戒失信行为加强信用查询管理的通知”等章节中“招标人”、“供应商”，等同于“采购人”、“投标人”。</w:t>
            </w:r>
          </w:p>
          <w:p w14:paraId="2C1A88D1">
            <w:pPr>
              <w:pStyle w:val="43"/>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8.</w:t>
            </w:r>
            <w:r>
              <w:rPr>
                <w:rFonts w:hint="eastAsia" w:ascii="宋体" w:hAnsi="宋体" w:eastAsia="宋体" w:cs="宋体"/>
                <w:b w:val="0"/>
                <w:color w:val="auto"/>
                <w:kern w:val="2"/>
                <w:sz w:val="24"/>
                <w:szCs w:val="24"/>
                <w:highlight w:val="none"/>
              </w:rPr>
              <w:t>落实政府采购支持节能产品、环境标志产品政策。</w:t>
            </w:r>
          </w:p>
          <w:p w14:paraId="2A2F2642">
            <w:pPr>
              <w:pStyle w:val="43"/>
              <w:widowControl w:val="0"/>
              <w:spacing w:before="0" w:beforeAutospacing="0" w:after="0" w:afterAutospacing="0" w:line="500" w:lineRule="exact"/>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rPr>
              <w:t>9.</w:t>
            </w:r>
            <w:r>
              <w:rPr>
                <w:rFonts w:hint="eastAsia" w:ascii="宋体" w:hAnsi="宋体" w:eastAsia="宋体" w:cs="宋体"/>
                <w:b w:val="0"/>
                <w:color w:val="auto"/>
                <w:kern w:val="2"/>
                <w:sz w:val="24"/>
                <w:szCs w:val="24"/>
                <w:highlight w:val="none"/>
              </w:rPr>
              <w:t>系统中提供的表格与采购文件中不一致时，以采购文件中提供的表格格式为准。</w:t>
            </w:r>
          </w:p>
        </w:tc>
      </w:tr>
    </w:tbl>
    <w:p w14:paraId="447D020C">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35" w:name="_Toc9427"/>
      <w:bookmarkStart w:id="36" w:name="_Toc24882"/>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35"/>
      <w:bookmarkEnd w:id="36"/>
    </w:p>
    <w:p w14:paraId="487646C4">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0D6B5A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01E88A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7EB9E9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43E0C0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23D13D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BD1DD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2D1EDD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68DE7F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424B2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4408BEA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40CFCD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5E0240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47EFF7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09D82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2AFB2F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548A91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F1F4BA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7B36260B">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4B5DD7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05D2B63">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570F4D3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6E22376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49E2859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w:t>
      </w:r>
      <w:r>
        <w:rPr>
          <w:rFonts w:hint="eastAsia" w:ascii="宋体" w:hAnsi="宋体" w:eastAsia="宋体"/>
          <w:color w:val="auto"/>
          <w:sz w:val="24"/>
          <w:szCs w:val="22"/>
          <w:highlight w:val="none"/>
          <w:lang w:val="en-US" w:eastAsia="zh-CN"/>
        </w:rPr>
        <w:t>及</w:t>
      </w:r>
      <w:r>
        <w:rPr>
          <w:rFonts w:hint="eastAsia" w:ascii="宋体" w:hAnsi="宋体" w:eastAsia="宋体"/>
          <w:color w:val="auto"/>
          <w:sz w:val="24"/>
          <w:szCs w:val="22"/>
          <w:highlight w:val="none"/>
        </w:rPr>
        <w:t>本项目本级和上级财政部门、政府采购监督管理部门的政府采购有关规定的约束，其权利受到上述法律法规的保护。</w:t>
      </w:r>
    </w:p>
    <w:p w14:paraId="0F4059E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.招标文件构成</w:t>
      </w:r>
    </w:p>
    <w:p w14:paraId="5AB9EF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94EA3EA">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09BF273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7CEE7D6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348D6CF5">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008049A6">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402C599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392C629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BD833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6D10DD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投标人应认真阅读招标文件所有的事项、格式、条款和技术规范等。</w:t>
      </w:r>
    </w:p>
    <w:p w14:paraId="30D87AB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73551C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4CFC92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4EF96C5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3EAA4DD3">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4A699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0DC84A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05B107B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A3D1926">
      <w:pPr>
        <w:spacing w:line="360" w:lineRule="auto"/>
        <w:ind w:firstLine="435"/>
        <w:rPr>
          <w:rFonts w:asciiTheme="minorEastAsia" w:hAnsiTheme="minorEastAsia" w:eastAsiaTheme="minorEastAsia"/>
          <w:color w:val="auto"/>
          <w:sz w:val="24"/>
          <w:highlight w:val="none"/>
        </w:rPr>
      </w:pPr>
      <w:bookmarkStart w:id="37"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及</w:t>
      </w:r>
      <w:r>
        <w:rPr>
          <w:rFonts w:hint="eastAsia" w:asciiTheme="minorEastAsia" w:hAnsiTheme="minorEastAsia" w:eastAsiaTheme="minorEastAsia"/>
          <w:color w:val="auto"/>
          <w:sz w:val="24"/>
          <w:highlight w:val="none"/>
        </w:rPr>
        <w:t>工程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i w:val="0"/>
          <w:iCs w:val="0"/>
          <w:color w:val="auto"/>
          <w:sz w:val="24"/>
          <w:highlight w:val="none"/>
          <w:u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均应符合国家强制性标准。</w:t>
      </w:r>
    </w:p>
    <w:bookmarkEnd w:id="37"/>
    <w:p w14:paraId="296C83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877C9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52B93DF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4E7F6A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7FD55D8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8" w:name="_Hlk11703583"/>
      <w:r>
        <w:rPr>
          <w:rFonts w:hint="eastAsia" w:asciiTheme="minorEastAsia" w:hAnsiTheme="minorEastAsia" w:eastAsiaTheme="minorEastAsia"/>
          <w:color w:val="auto"/>
          <w:sz w:val="24"/>
          <w:highlight w:val="none"/>
          <w:lang w:val="en-US" w:eastAsia="zh-CN"/>
        </w:rPr>
        <w:t>等。</w:t>
      </w:r>
    </w:p>
    <w:bookmarkEnd w:id="38"/>
    <w:p w14:paraId="451C6F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675E38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7C765D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50D4E0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52D8ECA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A328C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0149BCD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4D0349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4E74BDC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7ED664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0176B33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6CE2F5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6BD46B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6379D38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0B0ECA6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5F6056C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CE265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2916EA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2E2468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32509C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7054F89E">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CEA839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52BA6D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088A4EAF">
      <w:pPr>
        <w:spacing w:line="360" w:lineRule="auto"/>
        <w:ind w:firstLine="435"/>
        <w:rPr>
          <w:rFonts w:hint="eastAsia" w:ascii="宋体" w:hAnsi="宋体" w:eastAsia="宋体" w:cs="宋体"/>
          <w:color w:val="auto"/>
          <w:sz w:val="24"/>
          <w:szCs w:val="24"/>
          <w:highlight w:val="none"/>
        </w:rPr>
      </w:pPr>
      <w:bookmarkStart w:id="39"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38ADF3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F831D8E">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9"/>
    <w:p w14:paraId="4839F539">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2B128BF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0AB141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26C7965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7399CD7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w:t>
      </w:r>
      <w:r>
        <w:rPr>
          <w:rFonts w:hint="eastAsia" w:ascii="宋体" w:hAnsi="宋体" w:eastAsia="宋体"/>
          <w:color w:val="auto"/>
          <w:sz w:val="24"/>
          <w:highlight w:val="none"/>
          <w:lang w:val="en-US" w:eastAsia="zh-CN"/>
        </w:rPr>
        <w:t>等</w:t>
      </w:r>
      <w:r>
        <w:rPr>
          <w:rFonts w:ascii="宋体" w:hAnsi="宋体" w:eastAsia="宋体"/>
          <w:color w:val="auto"/>
          <w:sz w:val="24"/>
          <w:highlight w:val="none"/>
        </w:rPr>
        <w:t>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41A4F5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22A298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56771C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7F7306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4CC914C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38A11D5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4CA8D87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4AE8A2F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47C8B0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D3AA14C">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6F260EE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177CC9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129025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0AD3BB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0D84B9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2F807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2E2D2E0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3854F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674CDB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1CB531C5">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26D6C6E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6FECBB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w:t>
      </w:r>
      <w:r>
        <w:rPr>
          <w:rFonts w:hint="eastAsia" w:ascii="宋体" w:hAnsi="宋体" w:eastAsia="宋体" w:cs="Times New Roman"/>
          <w:color w:val="auto"/>
          <w:sz w:val="24"/>
          <w:highlight w:val="none"/>
          <w:lang w:val="en-US" w:eastAsia="zh-CN"/>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7FE8A23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11CEA0E">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6D8099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688F1FD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w:t>
      </w:r>
      <w:r>
        <w:rPr>
          <w:rFonts w:hint="eastAsia" w:ascii="宋体" w:hAnsi="宋体" w:eastAsia="宋体"/>
          <w:color w:val="auto"/>
          <w:sz w:val="24"/>
          <w:highlight w:val="none"/>
          <w:lang w:val="en-US" w:eastAsia="zh-CN"/>
        </w:rPr>
        <w:t>和</w:t>
      </w:r>
      <w:r>
        <w:rPr>
          <w:rFonts w:ascii="宋体" w:hAnsi="宋体" w:eastAsia="宋体"/>
          <w:color w:val="auto"/>
          <w:sz w:val="24"/>
          <w:highlight w:val="none"/>
        </w:rPr>
        <w:t>《财政部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36F7E4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788C85A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9D84708">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color w:val="auto"/>
          <w:highlight w:val="none"/>
        </w:rPr>
      </w:pPr>
      <w:r>
        <w:rPr>
          <w:rFonts w:hint="eastAsia" w:ascii="宋体" w:hAnsi="宋体" w:eastAsia="宋体" w:cs="宋体"/>
          <w:b w:val="0"/>
          <w:i w:val="0"/>
          <w:iCs w:val="0"/>
          <w:color w:val="auto"/>
          <w:sz w:val="24"/>
          <w:szCs w:val="24"/>
          <w:highlight w:val="none"/>
          <w:lang w:val="en-US" w:eastAsia="zh-CN"/>
        </w:rPr>
        <w:t>17.5同时符合17.3和17.4的价格评审优惠时，评标价为投标报价分别扣除促进中小企业发展政策的价格评审优惠和本国产品支持政策的价格评审优惠后的价格。</w:t>
      </w:r>
    </w:p>
    <w:p w14:paraId="1E8B702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23CFDD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3B99799C">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0A0E79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1B020B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99F42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03D78E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3BD434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54F4C7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577C964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C0070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4AC8F8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6AC0D6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4B8DD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14658E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074E44F3">
      <w:pPr>
        <w:spacing w:line="360" w:lineRule="auto"/>
        <w:ind w:firstLine="435"/>
        <w:rPr>
          <w:rFonts w:hint="default" w:eastAsiaTheme="minorEastAsia"/>
          <w:color w:val="auto"/>
          <w:highlight w:val="none"/>
          <w:lang w:val="en-US"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28EBA74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580AA9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74B3F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3BBC15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01087E6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3A75AC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3BC625C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E2898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6C96A09">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w:t>
      </w:r>
      <w:r>
        <w:rPr>
          <w:rFonts w:hint="eastAsia" w:ascii="宋体" w:hAnsi="宋体" w:eastAsia="宋体" w:cs="宋体"/>
          <w:color w:val="auto"/>
          <w:sz w:val="24"/>
          <w:szCs w:val="24"/>
          <w:highlight w:val="none"/>
        </w:rPr>
        <w:t>和滁州市公共资源交易中心网</w:t>
      </w:r>
      <w:r>
        <w:rPr>
          <w:rFonts w:hint="eastAsia" w:ascii="宋体" w:hAnsi="宋体" w:eastAsia="宋体"/>
          <w:color w:val="auto"/>
          <w:sz w:val="24"/>
          <w:szCs w:val="18"/>
          <w:highlight w:val="none"/>
        </w:rPr>
        <w:t>上发布中标结果公告。</w:t>
      </w:r>
    </w:p>
    <w:p w14:paraId="3B4BD23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30E5D14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1FC3E75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7664DF9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718DD09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6BA6D19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7D1129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5C12738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1504A6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75F9861E">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4BC8FF1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3EF8048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6C17B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063512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248670C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658FD914">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6A1079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387DA24B">
      <w:pPr>
        <w:spacing w:line="360" w:lineRule="auto"/>
        <w:ind w:firstLine="437"/>
        <w:outlineLvl w:val="2"/>
        <w:rPr>
          <w:rFonts w:asciiTheme="minorEastAsia" w:hAnsiTheme="minorEastAsia" w:eastAsiaTheme="minorEastAsia"/>
          <w:b/>
          <w:color w:val="auto"/>
          <w:sz w:val="24"/>
          <w:highlight w:val="none"/>
        </w:rPr>
      </w:pPr>
      <w:bookmarkStart w:id="40" w:name="_Toc518923100"/>
      <w:bookmarkStart w:id="41"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40"/>
      <w:bookmarkEnd w:id="41"/>
    </w:p>
    <w:p w14:paraId="4F9EC11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95EDB4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1BCA439D">
      <w:pPr>
        <w:spacing w:line="360" w:lineRule="auto"/>
        <w:ind w:firstLine="437"/>
        <w:outlineLvl w:val="2"/>
        <w:rPr>
          <w:rFonts w:asciiTheme="minorEastAsia" w:hAnsiTheme="minorEastAsia" w:eastAsiaTheme="minorEastAsia"/>
          <w:b/>
          <w:color w:val="auto"/>
          <w:sz w:val="24"/>
          <w:highlight w:val="none"/>
        </w:rPr>
      </w:pPr>
      <w:bookmarkStart w:id="42" w:name="_Toc518923101"/>
      <w:bookmarkStart w:id="43"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42"/>
      <w:bookmarkEnd w:id="43"/>
    </w:p>
    <w:p w14:paraId="078ED923">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7C5F182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4AEF857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18B2B7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88C0B5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0EE63D3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288DB2E5">
      <w:pPr>
        <w:spacing w:line="500" w:lineRule="exact"/>
        <w:ind w:left="-420" w:leftChars="-200" w:firstLine="439" w:firstLineChars="182"/>
        <w:jc w:val="left"/>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32.投诉</w:t>
      </w:r>
    </w:p>
    <w:p w14:paraId="2BE74EEC">
      <w:pPr>
        <w:keepNext w:val="0"/>
        <w:keepLines w:val="0"/>
        <w:pageBreakBefore w:val="0"/>
        <w:widowControl w:val="0"/>
        <w:kinsoku/>
        <w:wordWrap w:val="0"/>
        <w:overflowPunct/>
        <w:topLinePunct w:val="0"/>
        <w:autoSpaceDE/>
        <w:autoSpaceDN/>
        <w:bidi w:val="0"/>
        <w:adjustRightInd/>
        <w:snapToGrid/>
        <w:spacing w:line="500" w:lineRule="exact"/>
        <w:ind w:left="-420" w:leftChars="-200" w:firstLine="436" w:firstLineChars="1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530D06D4">
      <w:pPr>
        <w:spacing w:line="500" w:lineRule="exact"/>
        <w:ind w:left="-420" w:leftChars="-200" w:firstLine="436" w:firstLineChars="1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5C0F938D">
      <w:pPr>
        <w:spacing w:line="500" w:lineRule="exact"/>
        <w:ind w:left="-420" w:leftChars="-200" w:firstLine="436" w:firstLineChars="1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32.3政府采购监督管理部门在处理投诉事项期间，可以视具体情况书面通知采购人暂停采购活动，但暂停时间最长不得超过30日。</w:t>
      </w:r>
    </w:p>
    <w:p w14:paraId="4F5EA90B">
      <w:pPr>
        <w:spacing w:line="500" w:lineRule="exact"/>
        <w:ind w:left="-420" w:leftChars="-200" w:firstLine="439" w:firstLineChars="182"/>
        <w:jc w:val="left"/>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33.需要补充的其他内容</w:t>
      </w:r>
    </w:p>
    <w:p w14:paraId="7EB16618">
      <w:pPr>
        <w:spacing w:line="500" w:lineRule="exact"/>
        <w:ind w:left="-420" w:leftChars="-200" w:firstLine="436" w:firstLineChars="1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14:paraId="77CC4155">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3F56975D">
      <w:pPr>
        <w:numPr>
          <w:ilvl w:val="0"/>
          <w:numId w:val="1"/>
        </w:num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 xml:space="preserve"> </w:t>
      </w:r>
      <w:bookmarkStart w:id="44" w:name="_Toc22605"/>
      <w:r>
        <w:rPr>
          <w:rFonts w:hint="eastAsia" w:asciiTheme="minorEastAsia" w:hAnsiTheme="minorEastAsia" w:eastAsiaTheme="minorEastAsia"/>
          <w:b/>
          <w:color w:val="auto"/>
          <w:sz w:val="28"/>
          <w:highlight w:val="none"/>
        </w:rPr>
        <w:t>采购需求</w:t>
      </w:r>
      <w:bookmarkEnd w:id="44"/>
    </w:p>
    <w:p w14:paraId="6A5DD343">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0553225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可以进行优化，提供满足采购人实际需要的更优（或者性能实质上不低于的）服务方案，且此方案须经评标委员会评审认可。</w:t>
      </w:r>
    </w:p>
    <w:p w14:paraId="1B2FF7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C5786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73011B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8BF27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bCs/>
          <w:color w:val="auto"/>
          <w:sz w:val="24"/>
          <w:szCs w:val="18"/>
          <w:highlight w:val="none"/>
          <w:lang w:val="en-US" w:eastAsia="zh-CN"/>
        </w:rPr>
      </w:pPr>
      <w:r>
        <w:rPr>
          <w:rFonts w:hint="eastAsia" w:ascii="宋体" w:hAnsi="宋体" w:eastAsia="宋体" w:cs="宋体"/>
          <w:color w:val="auto"/>
          <w:sz w:val="24"/>
          <w:szCs w:val="24"/>
          <w:highlight w:val="none"/>
        </w:rPr>
        <w:t>3.如采购人允许采用分包方式履行合同的，应当明确可以分包履行的相关内容</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本项目不允许分包</w:t>
      </w:r>
      <w:r>
        <w:rPr>
          <w:rFonts w:hint="eastAsia" w:ascii="宋体" w:hAnsi="宋体" w:eastAsia="宋体" w:cs="宋体"/>
          <w:color w:val="auto"/>
          <w:sz w:val="24"/>
          <w:szCs w:val="24"/>
          <w:highlight w:val="none"/>
          <w:lang w:val="en-US" w:eastAsia="zh-CN"/>
        </w:rPr>
        <w:t>。</w:t>
      </w:r>
    </w:p>
    <w:p w14:paraId="04C4E16E">
      <w:pPr>
        <w:spacing w:line="360" w:lineRule="auto"/>
        <w:ind w:firstLine="437"/>
        <w:outlineLvl w:val="1"/>
        <w:rPr>
          <w:rFonts w:ascii="宋体" w:hAnsi="宋体" w:eastAsia="宋体"/>
          <w:b/>
          <w:color w:val="auto"/>
          <w:sz w:val="24"/>
          <w:szCs w:val="18"/>
          <w:highlight w:val="none"/>
        </w:rPr>
      </w:pPr>
      <w:bookmarkStart w:id="45" w:name="_Toc21798"/>
      <w:bookmarkStart w:id="46" w:name="_Toc4148"/>
      <w:bookmarkStart w:id="47" w:name="_Hlk23621890"/>
      <w:r>
        <w:rPr>
          <w:rFonts w:hint="eastAsia" w:ascii="宋体" w:hAnsi="宋体" w:eastAsia="宋体"/>
          <w:b/>
          <w:color w:val="auto"/>
          <w:sz w:val="24"/>
          <w:szCs w:val="18"/>
          <w:highlight w:val="none"/>
        </w:rPr>
        <w:t>一、采购需求前附表</w:t>
      </w:r>
      <w:bookmarkEnd w:id="45"/>
      <w:bookmarkEnd w:id="46"/>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D85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5142892">
            <w:pPr>
              <w:pStyle w:val="44"/>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3383168B">
            <w:pPr>
              <w:pStyle w:val="4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58F59389">
            <w:pPr>
              <w:pStyle w:val="4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3323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3BE52A7">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1BFE8AAF">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0" w:firstLineChars="0"/>
              <w:jc w:val="center"/>
              <w:textAlignment w:val="auto"/>
              <w:rPr>
                <w:rFonts w:ascii="宋体" w:hAnsi="宋体" w:eastAsia="宋体"/>
                <w:b w:val="0"/>
                <w:color w:val="auto"/>
                <w:sz w:val="24"/>
                <w:highlight w:val="none"/>
              </w:rPr>
            </w:pPr>
            <w:r>
              <w:rPr>
                <w:rFonts w:hint="eastAsia" w:ascii="宋体" w:hAnsi="宋体" w:eastAsia="宋体" w:cs="宋体"/>
                <w:b w:val="0"/>
                <w:color w:val="auto"/>
                <w:sz w:val="24"/>
                <w:szCs w:val="24"/>
                <w:highlight w:val="none"/>
                <w:lang w:val="en-US" w:eastAsia="zh-CN"/>
              </w:rPr>
              <w:t>付款方式</w:t>
            </w:r>
          </w:p>
        </w:tc>
        <w:tc>
          <w:tcPr>
            <w:tcW w:w="3217" w:type="pct"/>
            <w:vAlign w:val="center"/>
          </w:tcPr>
          <w:p w14:paraId="027EEACF">
            <w:pPr>
              <w:keepNext w:val="0"/>
              <w:keepLines w:val="0"/>
              <w:widowControl/>
              <w:suppressLineNumbers w:val="0"/>
              <w:jc w:val="left"/>
              <w:rPr>
                <w:rFonts w:hint="default" w:ascii="宋体" w:hAnsi="宋体" w:eastAsia="宋体" w:cs="宋体"/>
                <w:b w:val="0"/>
                <w:bCs w:val="0"/>
                <w:color w:val="auto"/>
                <w:kern w:val="0"/>
                <w:sz w:val="24"/>
                <w:szCs w:val="20"/>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按月据实结算，特殊情况适当延期。中标人须提供增税专用发票。</w:t>
            </w:r>
          </w:p>
        </w:tc>
      </w:tr>
      <w:tr w14:paraId="56E5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9EC4161">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1C182C68">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0" w:firstLineChars="0"/>
              <w:textAlignment w:val="auto"/>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服务地点</w:t>
            </w:r>
          </w:p>
        </w:tc>
        <w:tc>
          <w:tcPr>
            <w:tcW w:w="3217" w:type="pct"/>
            <w:vAlign w:val="center"/>
          </w:tcPr>
          <w:p w14:paraId="3F86AE39">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rPr>
                <w:rFonts w:ascii="宋体" w:hAnsi="宋体" w:eastAsia="宋体"/>
                <w:b w:val="0"/>
                <w:color w:val="auto"/>
                <w:sz w:val="24"/>
                <w:highlight w:val="none"/>
              </w:rPr>
            </w:pPr>
            <w:r>
              <w:rPr>
                <w:rFonts w:hint="eastAsia" w:ascii="宋体" w:hAnsi="宋体" w:eastAsia="宋体" w:cs="宋体"/>
                <w:b w:val="0"/>
                <w:bCs w:val="0"/>
                <w:color w:val="auto"/>
                <w:sz w:val="24"/>
                <w:szCs w:val="20"/>
                <w:highlight w:val="none"/>
                <w:lang w:val="en-US" w:eastAsia="zh-CN"/>
              </w:rPr>
              <w:t>滁州市内，</w:t>
            </w:r>
            <w:r>
              <w:rPr>
                <w:rFonts w:hint="eastAsia" w:ascii="宋体" w:hAnsi="宋体" w:eastAsia="宋体" w:cs="宋体"/>
                <w:b w:val="0"/>
                <w:bCs w:val="0"/>
                <w:color w:val="auto"/>
                <w:sz w:val="24"/>
                <w:szCs w:val="20"/>
                <w:highlight w:val="none"/>
              </w:rPr>
              <w:t>采购人指定地点</w:t>
            </w:r>
          </w:p>
        </w:tc>
      </w:tr>
      <w:tr w14:paraId="436C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27C3119">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616F3567">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服务期限</w:t>
            </w:r>
          </w:p>
        </w:tc>
        <w:tc>
          <w:tcPr>
            <w:tcW w:w="3217" w:type="pct"/>
            <w:vAlign w:val="center"/>
          </w:tcPr>
          <w:p w14:paraId="70AF4A40">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三年，合同一签三年。</w:t>
            </w:r>
          </w:p>
        </w:tc>
      </w:tr>
      <w:tr w14:paraId="4FB5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69363AF">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4</w:t>
            </w:r>
          </w:p>
        </w:tc>
        <w:tc>
          <w:tcPr>
            <w:tcW w:w="1192" w:type="pct"/>
            <w:vAlign w:val="center"/>
          </w:tcPr>
          <w:p w14:paraId="51BB34FC">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本项目采购标的名称及所属行业</w:t>
            </w:r>
          </w:p>
        </w:tc>
        <w:tc>
          <w:tcPr>
            <w:tcW w:w="3217" w:type="pct"/>
            <w:vAlign w:val="center"/>
          </w:tcPr>
          <w:p w14:paraId="1AB64BC0">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标的名称：《滁州日报》印刷服务</w:t>
            </w:r>
          </w:p>
          <w:p w14:paraId="7589F084">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所属行业：工业</w:t>
            </w:r>
          </w:p>
        </w:tc>
      </w:tr>
    </w:tbl>
    <w:p w14:paraId="3B515F12">
      <w:pPr>
        <w:spacing w:line="360" w:lineRule="auto"/>
        <w:ind w:firstLine="437"/>
        <w:outlineLvl w:val="1"/>
        <w:rPr>
          <w:rFonts w:hint="eastAsia" w:ascii="宋体" w:hAnsi="宋体" w:eastAsia="宋体"/>
          <w:b/>
          <w:color w:val="auto"/>
          <w:sz w:val="24"/>
          <w:szCs w:val="18"/>
          <w:highlight w:val="none"/>
        </w:rPr>
      </w:pPr>
      <w:bookmarkStart w:id="48" w:name="_Hlk16461016"/>
      <w:bookmarkStart w:id="49" w:name="_Toc16543"/>
      <w:r>
        <w:rPr>
          <w:rFonts w:hint="eastAsia" w:ascii="宋体" w:hAnsi="宋体" w:eastAsia="宋体"/>
          <w:b/>
          <w:color w:val="auto"/>
          <w:sz w:val="24"/>
          <w:szCs w:val="18"/>
          <w:highlight w:val="none"/>
          <w:lang w:val="en-US" w:eastAsia="zh-CN"/>
        </w:rPr>
        <w:t>二、</w:t>
      </w:r>
      <w:r>
        <w:rPr>
          <w:rFonts w:hint="eastAsia" w:ascii="宋体" w:hAnsi="宋体" w:eastAsia="宋体"/>
          <w:b/>
          <w:color w:val="auto"/>
          <w:sz w:val="24"/>
          <w:szCs w:val="18"/>
          <w:highlight w:val="none"/>
        </w:rPr>
        <w:t>服务需求</w:t>
      </w:r>
    </w:p>
    <w:p w14:paraId="34BF5AB8">
      <w:pPr>
        <w:numPr>
          <w:ilvl w:val="0"/>
          <w:numId w:val="0"/>
        </w:numPr>
        <w:spacing w:line="44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本采购需求中提出的服务方案仅为参考，如无明确限制，投标人可以进行优化，提供满足采购人实际需要的更优（或者性能实质上不低于的）服务方案，且此方案须经评标委员会评审认可。 </w:t>
      </w:r>
    </w:p>
    <w:p w14:paraId="6FA5FD96">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印刷质量达到标准要求。如下： </w:t>
      </w:r>
    </w:p>
    <w:p w14:paraId="6D4EBA25">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一、图片 </w:t>
      </w:r>
    </w:p>
    <w:p w14:paraId="3EE9C9E7">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图片要求层次分明，反差适中，无影响图片层次和边缘完整的绝网，整洁，符合自然色调，套印准确。 </w:t>
      </w:r>
    </w:p>
    <w:p w14:paraId="51E175A0">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1．色彩。 </w:t>
      </w:r>
    </w:p>
    <w:p w14:paraId="498D95CC">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要求彩色图片颜色真实、自然、协调，色相纯正，不偏色，不闷暗，达到印刷实地密度要求，并实现印刷品的视觉灰平衡。 </w:t>
      </w:r>
    </w:p>
    <w:p w14:paraId="3E0C3335">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2．层次。 </w:t>
      </w:r>
    </w:p>
    <w:p w14:paraId="7C8FC09A">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网点清晰，无重影、变形。高光层次不丢，暗调层次不糊，高、中、暗调层次分明，3%-90%的网点能够稳定地转移到新闻纸上。 </w:t>
      </w:r>
    </w:p>
    <w:p w14:paraId="4E0E564A">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3．套准。 </w:t>
      </w:r>
    </w:p>
    <w:p w14:paraId="65D1FA16">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套印准确，主要图片或主要色版（强色版）的任意两个色版的图像套印最大位置误差小于 0.15mm；一般图片或次要色版（弱色版）的任意两个色版的图像套印最大位置误差小于0.20mm。 </w:t>
      </w:r>
    </w:p>
    <w:p w14:paraId="46CF5E8E">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4．外观。 </w:t>
      </w:r>
    </w:p>
    <w:p w14:paraId="43FE81BB">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图片外观干净、整洁，网点边缘光洁，网地平实，不出龟纹，无影响图片整体效果和边缘完整的绝网。 </w:t>
      </w:r>
    </w:p>
    <w:p w14:paraId="4920DF88">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二、题字。 </w:t>
      </w:r>
    </w:p>
    <w:p w14:paraId="302F9E61">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题字是指报纸的大小报头、一号字以上的标题，带网图案或实地装饰的标题字。 </w:t>
      </w:r>
    </w:p>
    <w:p w14:paraId="14B367FE">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1．色彩。 </w:t>
      </w:r>
    </w:p>
    <w:p w14:paraId="4D0BA59A">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报头颜色（红色）符合标准色样① </w:t>
      </w:r>
    </w:p>
    <w:p w14:paraId="1B95CF11">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黑色题字密度在 1.10-1. 20 之间（含纸密度）。 </w:t>
      </w:r>
    </w:p>
    <w:p w14:paraId="1CA2F2B5">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彩色题字颜色正确还原，实地密度符合国标 GB/T17934. 3-2003 ②，色差小 5。 </w:t>
      </w:r>
    </w:p>
    <w:p w14:paraId="223EA54F">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2．墨色。 </w:t>
      </w:r>
    </w:p>
    <w:p w14:paraId="58515914">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题字墨色均匀一致。黑白标题同一版面密度差≤0.05，不同版面密度≤0.10；彩色标题同一版面色差≤3，不同版面色差≤5。 </w:t>
      </w:r>
    </w:p>
    <w:p w14:paraId="231B688C">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3．套印。 </w:t>
      </w:r>
    </w:p>
    <w:p w14:paraId="784FA90A">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彩色题字套印准确，强色版（如 CMK）误差小于 0.15mm，弱色版（如 Y 色版）误差小于0.20mm。 </w:t>
      </w:r>
    </w:p>
    <w:p w14:paraId="05816614">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4．外观。 </w:t>
      </w:r>
    </w:p>
    <w:p w14:paraId="7C0CC1E2">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墨色平实，无花白墨皮、水印、残缺、漏色、脏迹堆版、糊版等。 </w:t>
      </w:r>
    </w:p>
    <w:p w14:paraId="7CB430CD">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三、墨色。 </w:t>
      </w:r>
    </w:p>
    <w:p w14:paraId="26327B1A">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墨色主要指（单色）文字墨色，要求墨色均匀一致，同一版面密度差≤0.05，不同版面密度≤0.10;无重影，缺笔断划，糊字等。 </w:t>
      </w:r>
    </w:p>
    <w:p w14:paraId="221C3D6E">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四、外观。 </w:t>
      </w:r>
    </w:p>
    <w:p w14:paraId="7BDEFD8D">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整体外观干净整洁，无重影、脏迹、皱折、透印、破损等，版面平整，版心居中，折叠整齐。 </w:t>
      </w:r>
    </w:p>
    <w:p w14:paraId="00980C1C">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1．天头地脚。天头略大于地脚。 </w:t>
      </w:r>
    </w:p>
    <w:p w14:paraId="247DB32C">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2．折正。一折误差≤2.OOmm;二折误差≤4.OOmm。 </w:t>
      </w:r>
    </w:p>
    <w:p w14:paraId="1ECEF9DB">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3．版心。正背版心套印≤1.50mm，版心偏移&lt;2.OOmm。 </w:t>
      </w:r>
    </w:p>
    <w:p w14:paraId="2D96A674">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4．版面。版面平整。 </w:t>
      </w:r>
    </w:p>
    <w:p w14:paraId="1A3F5815">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5．脏迹。版面脏迹指复制内容以外的一切印迹（片子 印、拼版标记、划痕等）、油 </w:t>
      </w:r>
    </w:p>
    <w:p w14:paraId="0E274AC9">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脏、墨脏、墨皮、墨杠、白杠等。 </w:t>
      </w:r>
    </w:p>
    <w:p w14:paraId="12D0AA42">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6．裁切。载切整齐，无花刀、毛边。 </w:t>
      </w:r>
    </w:p>
    <w:p w14:paraId="272F0FA7">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7．破损。包括纸张破损、叨针眼过大、豁口等。 </w:t>
      </w:r>
    </w:p>
    <w:p w14:paraId="369F7E88">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8．重影。无重影。 </w:t>
      </w:r>
    </w:p>
    <w:p w14:paraId="4616F4A8">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9．皱折。包括死折、活折、折角等。 </w:t>
      </w:r>
    </w:p>
    <w:p w14:paraId="34EC480D">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10．透印。无严重透印 </w:t>
      </w:r>
    </w:p>
    <w:p w14:paraId="270E11A0">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①根据《国标》，报头颜色（大红）的 LAB 值为：52、41、25。 </w:t>
      </w:r>
    </w:p>
    <w:p w14:paraId="5C449F35">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② 根 据 《 国 标 》 ， 新 闻 纸 冷 固 型 油 墨 CMYK 实 地 密 度 值 为 ： CO.85-1.10 ，MO.85-1.10,Y0.80-1.05,KO.95-1.20。 </w:t>
      </w:r>
    </w:p>
    <w:p w14:paraId="2630AEAE">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2.设备保障：性能优良的全彩印刷设备；一次性印刷日报 8 版；能够处理方正畅流（DMS）5.0 系统生成的 </w:t>
      </w:r>
    </w:p>
    <w:p w14:paraId="0EB70787">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送达条件：正常情况下周一至周五凌晨 00：30 前发版，早晨 6：30 前送达滁州市指定地点；如遇重大活动重要会议和其他特殊情况，发版时间和送达时间顺延。 </w:t>
      </w:r>
    </w:p>
    <w:p w14:paraId="34BF1DC0">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目前地址为：滁州邮政公司（清流路与杭州路交叉口伯恩太阳能厂邮政处理中心）；滁州日报社（会峰西路 555 号）。 </w:t>
      </w:r>
    </w:p>
    <w:p w14:paraId="0DDAA66C">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3.本次招标的《滁州日报》印刷服务，服务期为 3 年，全年出刊以实际工作日为准，据实结算。</w:t>
      </w:r>
    </w:p>
    <w:p w14:paraId="2BB55148">
      <w:pPr>
        <w:numPr>
          <w:ilvl w:val="0"/>
          <w:numId w:val="0"/>
        </w:numPr>
        <w:spacing w:line="440" w:lineRule="exact"/>
        <w:ind w:leftChars="0" w:firstLine="482" w:firstLineChars="200"/>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三、报价要求</w:t>
      </w:r>
    </w:p>
    <w:p w14:paraId="0B31D400">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投标单价应含有服务（货物）、利润、税金、政策性文件规定及合同包含的所有风险、责任、义务等，即为完成招标文件要求的服务（货物）内容所包含的一切应有费用。</w:t>
      </w:r>
    </w:p>
    <w:p w14:paraId="7E3E17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b/>
          <w:color w:val="auto"/>
          <w:sz w:val="24"/>
          <w:highlight w:val="none"/>
          <w:lang w:val="en-US" w:eastAsia="zh-CN"/>
        </w:rPr>
      </w:pPr>
      <w:bookmarkStart w:id="304" w:name="_GoBack"/>
      <w:bookmarkEnd w:id="304"/>
      <w:r>
        <w:rPr>
          <w:rFonts w:hint="eastAsia" w:asciiTheme="minorEastAsia" w:hAnsiTheme="minorEastAsia" w:eastAsiaTheme="minorEastAsia"/>
          <w:b/>
          <w:color w:val="auto"/>
          <w:sz w:val="24"/>
          <w:highlight w:val="none"/>
          <w:lang w:val="en-US" w:eastAsia="zh-CN"/>
        </w:rPr>
        <w:t>四、其他要求</w:t>
      </w:r>
    </w:p>
    <w:p w14:paraId="401D4C3F">
      <w:pPr>
        <w:spacing w:line="440" w:lineRule="exact"/>
        <w:ind w:firstLine="435"/>
        <w:rPr>
          <w:rFonts w:hint="eastAsia" w:ascii="仿宋_GB2312" w:hAnsi="宋体" w:eastAsia="仿宋_GB2312"/>
          <w:b/>
          <w:color w:val="auto"/>
          <w:sz w:val="32"/>
          <w:szCs w:val="32"/>
          <w:highlight w:val="none"/>
        </w:rPr>
      </w:pPr>
      <w:r>
        <w:rPr>
          <w:rFonts w:hint="eastAsia" w:ascii="宋体" w:hAnsi="宋体" w:eastAsia="宋体"/>
          <w:color w:val="auto"/>
          <w:sz w:val="24"/>
          <w:highlight w:val="none"/>
          <w:lang w:val="en-US" w:eastAsia="zh-CN"/>
        </w:rPr>
        <w:t>采购人不组织现场考察：供应商应根据其实际需求自行安排时间进行现场考察。供应商现场考察的费用自理，为投标报价取得依据。一旦中标，不得以不了解现场情况为理由而提出额外费用。在现场考察过程中，供应商如果发生人身伤亡、财务或其它损失，不论何种原因造成，均由供应商自负。</w:t>
      </w:r>
    </w:p>
    <w:p w14:paraId="3CA6C1B1">
      <w:pPr>
        <w:numPr>
          <w:ilvl w:val="0"/>
          <w:numId w:val="0"/>
        </w:numPr>
        <w:spacing w:line="360" w:lineRule="auto"/>
        <w:outlineLvl w:val="9"/>
        <w:rPr>
          <w:rFonts w:hint="eastAsia" w:ascii="宋体" w:hAnsi="宋体" w:eastAsia="宋体"/>
          <w:b/>
          <w:color w:val="auto"/>
          <w:sz w:val="24"/>
          <w:szCs w:val="18"/>
          <w:highlight w:val="none"/>
          <w:lang w:val="en-US" w:eastAsia="zh-CN"/>
        </w:rPr>
      </w:pPr>
    </w:p>
    <w:bookmarkEnd w:id="47"/>
    <w:bookmarkEnd w:id="48"/>
    <w:bookmarkEnd w:id="49"/>
    <w:p w14:paraId="28954C8C">
      <w:pPr>
        <w:rPr>
          <w:rFonts w:hint="eastAsia" w:asciiTheme="minorEastAsia" w:hAnsiTheme="minorEastAsia" w:eastAsiaTheme="minorEastAsia"/>
          <w:b/>
          <w:color w:val="auto"/>
          <w:sz w:val="28"/>
          <w:highlight w:val="none"/>
        </w:rPr>
      </w:pPr>
      <w:bookmarkStart w:id="50" w:name="_Toc30824"/>
      <w:r>
        <w:rPr>
          <w:rFonts w:hint="eastAsia" w:asciiTheme="minorEastAsia" w:hAnsiTheme="minorEastAsia" w:eastAsiaTheme="minorEastAsia"/>
          <w:b/>
          <w:color w:val="auto"/>
          <w:sz w:val="28"/>
          <w:highlight w:val="none"/>
        </w:rPr>
        <w:br w:type="page"/>
      </w:r>
    </w:p>
    <w:p w14:paraId="32912B33">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评标方法和标准（综合评分法）</w:t>
      </w:r>
      <w:bookmarkEnd w:id="50"/>
    </w:p>
    <w:p w14:paraId="6F292D88">
      <w:pPr>
        <w:spacing w:line="360" w:lineRule="auto"/>
        <w:ind w:firstLine="437"/>
        <w:outlineLvl w:val="1"/>
        <w:rPr>
          <w:rFonts w:asciiTheme="minorEastAsia" w:hAnsiTheme="minorEastAsia" w:eastAsiaTheme="minorEastAsia"/>
          <w:b/>
          <w:color w:val="auto"/>
          <w:sz w:val="24"/>
          <w:highlight w:val="none"/>
        </w:rPr>
      </w:pPr>
      <w:bookmarkStart w:id="51" w:name="_Toc11823"/>
      <w:bookmarkStart w:id="52" w:name="_Toc4705"/>
      <w:r>
        <w:rPr>
          <w:rFonts w:hint="eastAsia" w:asciiTheme="minorEastAsia" w:hAnsiTheme="minorEastAsia" w:eastAsiaTheme="minorEastAsia"/>
          <w:b/>
          <w:color w:val="auto"/>
          <w:sz w:val="24"/>
          <w:highlight w:val="none"/>
        </w:rPr>
        <w:t>一、总则</w:t>
      </w:r>
      <w:bookmarkEnd w:id="51"/>
      <w:bookmarkEnd w:id="52"/>
    </w:p>
    <w:p w14:paraId="0A2DEA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140BC5EA">
      <w:pPr>
        <w:spacing w:line="360" w:lineRule="auto"/>
        <w:ind w:firstLine="437"/>
        <w:outlineLvl w:val="1"/>
        <w:rPr>
          <w:rFonts w:asciiTheme="minorEastAsia" w:hAnsiTheme="minorEastAsia" w:eastAsiaTheme="minorEastAsia"/>
          <w:b/>
          <w:color w:val="auto"/>
          <w:sz w:val="24"/>
          <w:highlight w:val="none"/>
        </w:rPr>
      </w:pPr>
      <w:bookmarkStart w:id="53" w:name="_Toc32410"/>
      <w:bookmarkStart w:id="54" w:name="_Toc31871"/>
      <w:r>
        <w:rPr>
          <w:rFonts w:hint="eastAsia" w:asciiTheme="minorEastAsia" w:hAnsiTheme="minorEastAsia" w:eastAsiaTheme="minorEastAsia"/>
          <w:b/>
          <w:color w:val="auto"/>
          <w:sz w:val="24"/>
          <w:highlight w:val="none"/>
        </w:rPr>
        <w:t>二、评标方法</w:t>
      </w:r>
      <w:bookmarkEnd w:id="53"/>
      <w:bookmarkEnd w:id="54"/>
    </w:p>
    <w:p w14:paraId="15D4321C">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5"/>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651"/>
        <w:gridCol w:w="4557"/>
        <w:gridCol w:w="1891"/>
      </w:tblGrid>
      <w:tr w14:paraId="1DF1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961FC0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1740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14EDEBC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46C30534">
            <w:pPr>
              <w:pStyle w:val="44"/>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1" w:type="pct"/>
            <w:tcBorders>
              <w:bottom w:val="single" w:color="auto" w:sz="4" w:space="0"/>
            </w:tcBorders>
            <w:vAlign w:val="center"/>
          </w:tcPr>
          <w:p w14:paraId="4C6094A6">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7" w:type="pct"/>
            <w:tcBorders>
              <w:bottom w:val="single" w:color="auto" w:sz="4" w:space="0"/>
            </w:tcBorders>
            <w:vAlign w:val="center"/>
          </w:tcPr>
          <w:p w14:paraId="7560C3A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199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8" w:type="pct"/>
            <w:tcBorders>
              <w:bottom w:val="single" w:color="auto" w:sz="4" w:space="0"/>
            </w:tcBorders>
            <w:vAlign w:val="center"/>
          </w:tcPr>
          <w:p w14:paraId="5A66417A">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1C0E28A2">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01" w:type="pct"/>
            <w:tcBorders>
              <w:bottom w:val="single" w:color="auto" w:sz="4" w:space="0"/>
            </w:tcBorders>
            <w:vAlign w:val="center"/>
          </w:tcPr>
          <w:p w14:paraId="3C9C784C">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7FE6D17A">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01360060">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66F86D0E">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2630CED9">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p>
        </w:tc>
        <w:tc>
          <w:tcPr>
            <w:tcW w:w="1077" w:type="pct"/>
            <w:vAlign w:val="center"/>
          </w:tcPr>
          <w:p w14:paraId="6C6976A6">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3BDB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8" w:type="pct"/>
            <w:tcBorders>
              <w:bottom w:val="single" w:color="auto" w:sz="4" w:space="0"/>
            </w:tcBorders>
            <w:vAlign w:val="center"/>
          </w:tcPr>
          <w:p w14:paraId="68DC919F">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2ECEA40D">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1" w:type="pct"/>
            <w:tcBorders>
              <w:bottom w:val="single" w:color="auto" w:sz="4" w:space="0"/>
            </w:tcBorders>
            <w:vAlign w:val="center"/>
          </w:tcPr>
          <w:p w14:paraId="3EC75B94">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077" w:type="pct"/>
            <w:vAlign w:val="center"/>
          </w:tcPr>
          <w:p w14:paraId="6D5AF799">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0ED8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2C18EACA">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02EC126A">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1" w:type="pct"/>
            <w:tcBorders>
              <w:bottom w:val="single" w:color="auto" w:sz="4" w:space="0"/>
            </w:tcBorders>
            <w:vAlign w:val="center"/>
          </w:tcPr>
          <w:p w14:paraId="245BDA32">
            <w:pPr>
              <w:spacing w:after="50" w:line="360" w:lineRule="auto"/>
              <w:ind w:right="-10" w:rightChars="0"/>
              <w:jc w:val="left"/>
              <w:rPr>
                <w:color w:val="auto"/>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color w:val="auto"/>
                <w:sz w:val="24"/>
                <w:szCs w:val="24"/>
                <w:highlight w:val="none"/>
                <w:lang w:val="en-US" w:eastAsia="zh-CN"/>
              </w:rPr>
              <w:t>投标邀请第4条信誉要求和</w:t>
            </w:r>
            <w:r>
              <w:rPr>
                <w:rFonts w:hint="eastAsia" w:ascii="宋体" w:hAnsi="宋体" w:eastAsia="宋体" w:cs="宋体"/>
                <w:color w:val="auto"/>
                <w:sz w:val="24"/>
                <w:szCs w:val="24"/>
                <w:highlight w:val="none"/>
                <w:lang w:val="zh-CN"/>
              </w:rPr>
              <w:t>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条中的不良信用记录情形</w:t>
            </w:r>
          </w:p>
        </w:tc>
        <w:tc>
          <w:tcPr>
            <w:tcW w:w="1077" w:type="pct"/>
            <w:tcBorders>
              <w:bottom w:val="single" w:color="auto" w:sz="4" w:space="0"/>
            </w:tcBorders>
            <w:vAlign w:val="center"/>
          </w:tcPr>
          <w:p w14:paraId="625C587A">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rPr>
              <w:t>无须投标人</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供，由采购人或采购代理机构查询。</w:t>
            </w:r>
          </w:p>
        </w:tc>
      </w:tr>
      <w:tr w14:paraId="1B44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65512F4E">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2" w:type="pct"/>
            <w:tcBorders>
              <w:bottom w:val="single" w:color="auto" w:sz="4" w:space="0"/>
            </w:tcBorders>
            <w:vAlign w:val="center"/>
          </w:tcPr>
          <w:p w14:paraId="67A7921F">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p>
        </w:tc>
        <w:tc>
          <w:tcPr>
            <w:tcW w:w="2601" w:type="pct"/>
            <w:tcBorders>
              <w:bottom w:val="single" w:color="auto" w:sz="4" w:space="0"/>
            </w:tcBorders>
            <w:vAlign w:val="top"/>
          </w:tcPr>
          <w:p w14:paraId="5EE93E49">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44C825CD">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p w14:paraId="7193C8D9">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77" w:type="pct"/>
            <w:tcBorders>
              <w:bottom w:val="single" w:color="auto" w:sz="4" w:space="0"/>
            </w:tcBorders>
            <w:vAlign w:val="center"/>
          </w:tcPr>
          <w:p w14:paraId="56A772AC">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5B8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3382D073">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942" w:type="pct"/>
            <w:tcBorders>
              <w:bottom w:val="single" w:color="auto" w:sz="4" w:space="0"/>
            </w:tcBorders>
            <w:vAlign w:val="center"/>
          </w:tcPr>
          <w:p w14:paraId="737684E3">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color w:val="auto"/>
                <w:spacing w:val="10"/>
                <w:sz w:val="24"/>
                <w:szCs w:val="24"/>
                <w:highlight w:val="none"/>
              </w:rPr>
              <w:t>其它落实政府采</w:t>
            </w:r>
            <w:r>
              <w:rPr>
                <w:rFonts w:ascii="宋体" w:hAnsi="宋体" w:eastAsia="宋体" w:cs="宋体"/>
                <w:color w:val="auto"/>
                <w:spacing w:val="11"/>
                <w:sz w:val="24"/>
                <w:szCs w:val="24"/>
                <w:highlight w:val="none"/>
              </w:rPr>
              <w:t>购政策的资格要</w:t>
            </w:r>
            <w:r>
              <w:rPr>
                <w:rFonts w:ascii="宋体" w:hAnsi="宋体" w:eastAsia="宋体" w:cs="宋体"/>
                <w:color w:val="auto"/>
                <w:sz w:val="24"/>
                <w:szCs w:val="24"/>
                <w:highlight w:val="none"/>
              </w:rPr>
              <w:t>求</w:t>
            </w:r>
          </w:p>
        </w:tc>
        <w:tc>
          <w:tcPr>
            <w:tcW w:w="2601" w:type="pct"/>
            <w:tcBorders>
              <w:bottom w:val="single" w:color="auto" w:sz="4" w:space="0"/>
            </w:tcBorders>
            <w:vAlign w:val="center"/>
          </w:tcPr>
          <w:p w14:paraId="62DE5B97">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color w:val="auto"/>
                <w:spacing w:val="-2"/>
                <w:sz w:val="24"/>
                <w:szCs w:val="24"/>
                <w:highlight w:val="none"/>
              </w:rPr>
              <w:t>如有，见第一章《投标邀请》</w:t>
            </w:r>
          </w:p>
        </w:tc>
        <w:tc>
          <w:tcPr>
            <w:tcW w:w="1077" w:type="pct"/>
            <w:tcBorders>
              <w:bottom w:val="single" w:color="auto" w:sz="4" w:space="0"/>
            </w:tcBorders>
            <w:vAlign w:val="center"/>
          </w:tcPr>
          <w:p w14:paraId="63A9DEA5">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6D3B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23C3E5D3">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6</w:t>
            </w:r>
          </w:p>
        </w:tc>
        <w:tc>
          <w:tcPr>
            <w:tcW w:w="942" w:type="pct"/>
            <w:vAlign w:val="center"/>
          </w:tcPr>
          <w:p w14:paraId="437DE5C7">
            <w:pPr>
              <w:spacing w:after="50" w:line="360" w:lineRule="auto"/>
              <w:ind w:right="-10"/>
              <w:jc w:val="both"/>
              <w:rPr>
                <w:rFonts w:ascii="宋体" w:hAnsi="宋体" w:eastAsia="宋体" w:cs="宋体"/>
                <w:color w:val="auto"/>
                <w:spacing w:val="10"/>
                <w:sz w:val="24"/>
                <w:szCs w:val="24"/>
                <w:highlight w:val="none"/>
                <w:lang w:val="en-US" w:eastAsia="zh-CN"/>
              </w:rPr>
            </w:pPr>
            <w:r>
              <w:rPr>
                <w:rFonts w:ascii="宋体" w:hAnsi="宋体" w:eastAsia="宋体" w:cs="宋体"/>
                <w:color w:val="auto"/>
                <w:spacing w:val="10"/>
                <w:sz w:val="24"/>
                <w:szCs w:val="24"/>
                <w:highlight w:val="none"/>
              </w:rPr>
              <w:t>本项目的特定资格要求</w:t>
            </w:r>
          </w:p>
        </w:tc>
        <w:tc>
          <w:tcPr>
            <w:tcW w:w="2601" w:type="pct"/>
            <w:vAlign w:val="center"/>
          </w:tcPr>
          <w:p w14:paraId="5249B1D4">
            <w:pPr>
              <w:spacing w:after="50" w:line="360" w:lineRule="auto"/>
              <w:ind w:right="-10"/>
              <w:jc w:val="both"/>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如有，见第一章《投标邀请》</w:t>
            </w:r>
          </w:p>
        </w:tc>
        <w:tc>
          <w:tcPr>
            <w:tcW w:w="1077" w:type="pct"/>
            <w:vAlign w:val="center"/>
          </w:tcPr>
          <w:p w14:paraId="173EFCE9">
            <w:pPr>
              <w:spacing w:after="50" w:line="360" w:lineRule="auto"/>
              <w:ind w:right="-10"/>
              <w:jc w:val="both"/>
              <w:rPr>
                <w:rFonts w:ascii="宋体" w:hAnsi="宋体" w:eastAsia="宋体" w:cs="宋体"/>
                <w:color w:val="auto"/>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78298EAB">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14965C88">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0AEB819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546C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26D9A606">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2058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218FE02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598A1F98">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63F3C5DB">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08C5435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9B0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266C664">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108D396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3A148AA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14AC44D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FC6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5DC5528">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703FA45B">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4314824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0324921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18F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C050BF5">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616B655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344ADE6B">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050607CA">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04C0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D9706F5">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51FDEEB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564ACA8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78FF8201">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976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0DB71F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2A62F3B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3430" w:type="dxa"/>
            <w:vAlign w:val="center"/>
          </w:tcPr>
          <w:p w14:paraId="50D05A99">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地点、</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期限</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6357BD7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696E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A12DD74">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14:paraId="66652925">
            <w:pPr>
              <w:spacing w:line="360" w:lineRule="auto"/>
              <w:ind w:firstLine="240" w:firstLineChars="100"/>
              <w:outlineLvl w:val="2"/>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技术</w:t>
            </w:r>
            <w:r>
              <w:rPr>
                <w:rFonts w:hint="eastAsia" w:asciiTheme="minorEastAsia" w:hAnsiTheme="minorEastAsia" w:eastAsiaTheme="minorEastAsia"/>
                <w:color w:val="auto"/>
                <w:sz w:val="24"/>
                <w:szCs w:val="28"/>
                <w:highlight w:val="none"/>
              </w:rPr>
              <w:t>响应情况</w:t>
            </w:r>
          </w:p>
        </w:tc>
        <w:tc>
          <w:tcPr>
            <w:tcW w:w="3430" w:type="dxa"/>
            <w:vAlign w:val="center"/>
          </w:tcPr>
          <w:p w14:paraId="102544F4">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5E07602E">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15A5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95E1251">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05CB970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430" w:type="dxa"/>
            <w:vAlign w:val="center"/>
          </w:tcPr>
          <w:p w14:paraId="26BCFB2B">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472" w:type="pct"/>
            <w:vAlign w:val="center"/>
          </w:tcPr>
          <w:p w14:paraId="0C11AC9E">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0051F4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6312E16C">
      <w:pPr>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2.3</w:t>
      </w:r>
      <w:r>
        <w:rPr>
          <w:rFonts w:hint="eastAsia" w:asciiTheme="minorEastAsia" w:hAnsiTheme="minorEastAsia" w:eastAsiaTheme="minorEastAsia"/>
          <w:color w:val="auto"/>
          <w:sz w:val="24"/>
          <w:highlight w:val="none"/>
        </w:rPr>
        <w:t>异常低价</w:t>
      </w:r>
      <w:r>
        <w:rPr>
          <w:rFonts w:hint="eastAsia" w:asciiTheme="minorEastAsia" w:hAnsiTheme="minorEastAsia" w:eastAsiaTheme="minorEastAsia"/>
          <w:color w:val="auto"/>
          <w:sz w:val="24"/>
          <w:highlight w:val="none"/>
          <w:lang w:val="en-US" w:eastAsia="zh-CN"/>
        </w:rPr>
        <w:t>投标</w:t>
      </w:r>
      <w:r>
        <w:rPr>
          <w:rFonts w:hint="eastAsia" w:asciiTheme="minorEastAsia" w:hAnsiTheme="minorEastAsia" w:eastAsiaTheme="minorEastAsia"/>
          <w:color w:val="auto"/>
          <w:sz w:val="24"/>
          <w:highlight w:val="none"/>
        </w:rPr>
        <w:t>审查</w:t>
      </w:r>
    </w:p>
    <w:tbl>
      <w:tblPr>
        <w:tblStyle w:val="25"/>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1807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6C26CE6E">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异常低价投标审查表</w:t>
            </w:r>
          </w:p>
        </w:tc>
      </w:tr>
      <w:tr w14:paraId="2C8A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7DD1D4F7">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1D98DCD4">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5805031B">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4904B639">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7D1A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1888CC3C">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5A551FEC">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异常低价投标审查</w:t>
            </w:r>
          </w:p>
        </w:tc>
        <w:tc>
          <w:tcPr>
            <w:tcW w:w="4439" w:type="dxa"/>
            <w:tcBorders>
              <w:bottom w:val="single" w:color="auto" w:sz="4" w:space="0"/>
            </w:tcBorders>
            <w:vAlign w:val="center"/>
          </w:tcPr>
          <w:p w14:paraId="252C5F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0DC8D4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1497B7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（3）投标报价＜采购项目最高限价（</w:t>
            </w:r>
            <w:r>
              <w:rPr>
                <w:rFonts w:hint="eastAsia" w:ascii="宋体" w:hAnsi="宋体" w:eastAsia="宋体" w:cs="宋体"/>
                <w:b w:val="0"/>
                <w:bCs w:val="0"/>
                <w:color w:val="auto"/>
                <w:sz w:val="24"/>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4BDBCBCD">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（4）评标委员会基于专业判断，认为投标人报价过低，有可能影响产品质量或者不能诚信履约的其他情形。</w:t>
            </w:r>
          </w:p>
          <w:p w14:paraId="119D4227">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提醒：</w:t>
            </w:r>
          </w:p>
          <w:p w14:paraId="36CBB9BF">
            <w:pPr>
              <w:spacing w:line="360" w:lineRule="auto"/>
              <w:ind w:firstLine="240" w:firstLineChars="100"/>
              <w:rPr>
                <w:rFonts w:hint="eastAsia" w:ascii="宋体" w:hAnsi="宋体" w:eastAsia="宋体"/>
                <w:color w:val="auto"/>
                <w:sz w:val="24"/>
                <w:highlight w:val="none"/>
                <w:lang w:val="en-US" w:eastAsia="zh-CN"/>
              </w:rPr>
            </w:pPr>
            <w:r>
              <w:rPr>
                <w:rFonts w:hint="eastAsia" w:ascii="宋体" w:hAnsi="宋体" w:eastAsia="宋体" w:cs="宋体"/>
                <w:color w:val="auto"/>
                <w:sz w:val="24"/>
                <w:highlight w:val="none"/>
                <w:lang w:val="en-US" w:eastAsia="zh-CN"/>
              </w:rPr>
              <w:t>上述</w:t>
            </w:r>
            <w:r>
              <w:rPr>
                <w:rFonts w:hint="eastAsia" w:ascii="宋体" w:hAnsi="宋体" w:eastAsia="宋体" w:cs="Arial"/>
                <w:color w:val="auto"/>
                <w:sz w:val="24"/>
                <w:highlight w:val="none"/>
                <w:lang w:val="en-US" w:eastAsia="zh-CN"/>
              </w:rPr>
              <w:t>第（1）项数值计算：涉及总价的</w:t>
            </w:r>
            <w:r>
              <w:rPr>
                <w:rFonts w:hint="eastAsia" w:ascii="宋体" w:hAnsi="宋体" w:eastAsia="宋体"/>
                <w:color w:val="auto"/>
                <w:sz w:val="24"/>
                <w:highlight w:val="none"/>
                <w:lang w:val="en-US" w:eastAsia="zh-CN"/>
              </w:rPr>
              <w:t>精确到小数点后两位，第三位四舍五入（例：如平均值为123.456元，即为123.46元）。</w:t>
            </w:r>
          </w:p>
          <w:p w14:paraId="61978507">
            <w:pPr>
              <w:spacing w:line="360" w:lineRule="auto"/>
              <w:ind w:firstLine="240" w:firstLineChars="100"/>
              <w:rPr>
                <w:rFonts w:hint="default" w:ascii="宋体" w:hAnsi="宋体" w:eastAsia="宋体" w:cs="宋体"/>
                <w:color w:val="auto"/>
                <w:sz w:val="24"/>
                <w:highlight w:val="none"/>
                <w:lang w:val="en-US" w:eastAsia="zh-CN"/>
              </w:rPr>
            </w:pPr>
            <w:r>
              <w:rPr>
                <w:rFonts w:hint="eastAsia" w:ascii="宋体" w:hAnsi="宋体" w:eastAsia="宋体" w:cs="Arial"/>
                <w:color w:val="auto"/>
                <w:sz w:val="24"/>
                <w:highlight w:val="none"/>
                <w:lang w:val="en-US" w:eastAsia="zh-CN"/>
              </w:rPr>
              <w:t>涉及单价的</w:t>
            </w:r>
            <w:r>
              <w:rPr>
                <w:rFonts w:hint="eastAsia" w:ascii="宋体" w:hAnsi="宋体" w:eastAsia="宋体"/>
                <w:color w:val="auto"/>
                <w:sz w:val="24"/>
                <w:highlight w:val="none"/>
                <w:lang w:val="en-US" w:eastAsia="zh-CN"/>
              </w:rPr>
              <w:t>精确到小数点后三位，第四位四舍五入（例：如平均值为1.4561元，即为1.456元）。</w:t>
            </w:r>
          </w:p>
        </w:tc>
        <w:tc>
          <w:tcPr>
            <w:tcW w:w="2260" w:type="dxa"/>
            <w:vAlign w:val="center"/>
          </w:tcPr>
          <w:p w14:paraId="31E0CE9D">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611CA94C">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6767E3B1">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关于推动解决政府采购异常低价问题的通知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5862A9E9">
      <w:pPr>
        <w:spacing w:line="360" w:lineRule="auto"/>
        <w:ind w:firstLine="480" w:firstLineChars="200"/>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color w:val="auto"/>
          <w:sz w:val="24"/>
          <w:highlight w:val="none"/>
          <w:lang w:val="en-US" w:eastAsia="zh-CN"/>
        </w:rPr>
        <w:t>（3）</w:t>
      </w:r>
      <w:r>
        <w:rPr>
          <w:rFonts w:hint="eastAsia" w:ascii="宋体" w:hAnsi="宋体" w:eastAsia="宋体" w:cs="Arial"/>
          <w:color w:val="auto"/>
          <w:sz w:val="24"/>
          <w:highlight w:val="none"/>
          <w:lang w:val="en-US" w:eastAsia="zh-CN"/>
        </w:rPr>
        <w:t>项情形，投标人已随投标文件一并提交相关书面说明及必要的证明材料的，在评审现场可不再重复提交。</w:t>
      </w:r>
    </w:p>
    <w:p w14:paraId="2A9D02EB">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color w:val="auto"/>
          <w:sz w:val="24"/>
          <w:highlight w:val="none"/>
          <w:lang w:val="en-US" w:eastAsia="zh-CN"/>
        </w:rPr>
        <w:t>无效投标</w:t>
      </w:r>
      <w:r>
        <w:rPr>
          <w:rFonts w:hint="eastAsia" w:ascii="宋体" w:hAnsi="宋体" w:eastAsia="宋体" w:cs="Arial"/>
          <w:color w:val="auto"/>
          <w:sz w:val="24"/>
          <w:highlight w:val="none"/>
          <w:lang w:val="en-US" w:eastAsia="zh-CN"/>
        </w:rPr>
        <w:t>处理。</w:t>
      </w:r>
    </w:p>
    <w:p w14:paraId="10486E93">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借助互联网等渠道查询相关信息的，应当严格遵守评审工作纪律，不得实施影响评审公正的行为</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异常低价响应审查的启动原因、审查意见和审查结果应当在评审报告中记录，并随</w:t>
      </w:r>
      <w:r>
        <w:rPr>
          <w:rFonts w:hint="eastAsia" w:ascii="宋体" w:hAnsi="宋体" w:eastAsia="宋体"/>
          <w:color w:val="auto"/>
          <w:sz w:val="24"/>
          <w:highlight w:val="none"/>
          <w:lang w:val="en-US" w:eastAsia="zh-CN"/>
        </w:rPr>
        <w:t>投标人</w:t>
      </w:r>
      <w:r>
        <w:rPr>
          <w:rFonts w:hint="eastAsia" w:ascii="宋体" w:hAnsi="宋体" w:eastAsia="宋体"/>
          <w:color w:val="auto"/>
          <w:sz w:val="24"/>
          <w:highlight w:val="none"/>
        </w:rPr>
        <w:t>提供的相关书面说明及证明材料，以及</w:t>
      </w: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有关互联网浏览、查询历史一并归档。</w:t>
      </w:r>
    </w:p>
    <w:p w14:paraId="7293DEB0">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详细审查</w:t>
      </w:r>
    </w:p>
    <w:p w14:paraId="2EBB40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3AD5BC60">
      <w:pPr>
        <w:spacing w:line="440" w:lineRule="exact"/>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本项目综合评分满分为100分，其</w:t>
      </w:r>
      <w:r>
        <w:rPr>
          <w:rFonts w:hint="eastAsia" w:asciiTheme="minorEastAsia" w:hAnsiTheme="minorEastAsia" w:eastAsiaTheme="minorEastAsia"/>
          <w:color w:val="auto"/>
          <w:sz w:val="24"/>
          <w:highlight w:val="none"/>
          <w:lang w:val="en-US" w:eastAsia="zh-CN"/>
        </w:rPr>
        <w:t>中：资信分值占总分值的权重为14%，技术分值占总分值的权重为10%，价格分值占总分值的权重为76%。具体评分细则如下：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2105"/>
        <w:gridCol w:w="4129"/>
        <w:gridCol w:w="1202"/>
      </w:tblGrid>
      <w:tr w14:paraId="6E13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8CCBF17">
            <w:pPr>
              <w:spacing w:line="360" w:lineRule="auto"/>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类别</w:t>
            </w:r>
          </w:p>
        </w:tc>
        <w:tc>
          <w:tcPr>
            <w:tcW w:w="2105" w:type="dxa"/>
            <w:tcBorders>
              <w:top w:val="single" w:color="auto" w:sz="4" w:space="0"/>
              <w:left w:val="single" w:color="auto" w:sz="4" w:space="0"/>
              <w:bottom w:val="single" w:color="auto" w:sz="4" w:space="0"/>
              <w:right w:val="single" w:color="auto" w:sz="4" w:space="0"/>
            </w:tcBorders>
            <w:vAlign w:val="center"/>
          </w:tcPr>
          <w:p w14:paraId="2A6A9FB7">
            <w:pPr>
              <w:spacing w:line="360" w:lineRule="auto"/>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评分内容</w:t>
            </w:r>
          </w:p>
        </w:tc>
        <w:tc>
          <w:tcPr>
            <w:tcW w:w="4129" w:type="dxa"/>
            <w:tcBorders>
              <w:top w:val="single" w:color="auto" w:sz="4" w:space="0"/>
              <w:left w:val="single" w:color="auto" w:sz="4" w:space="0"/>
              <w:bottom w:val="single" w:color="auto" w:sz="4" w:space="0"/>
              <w:right w:val="single" w:color="auto" w:sz="4" w:space="0"/>
            </w:tcBorders>
            <w:vAlign w:val="center"/>
          </w:tcPr>
          <w:p w14:paraId="62C64CFC">
            <w:pPr>
              <w:spacing w:line="360" w:lineRule="auto"/>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评分标准</w:t>
            </w:r>
          </w:p>
        </w:tc>
        <w:tc>
          <w:tcPr>
            <w:tcW w:w="1202" w:type="dxa"/>
            <w:tcBorders>
              <w:top w:val="single" w:color="auto" w:sz="4" w:space="0"/>
              <w:left w:val="single" w:color="auto" w:sz="4" w:space="0"/>
              <w:bottom w:val="single" w:color="auto" w:sz="4" w:space="0"/>
              <w:right w:val="single" w:color="auto" w:sz="4" w:space="0"/>
            </w:tcBorders>
            <w:vAlign w:val="center"/>
          </w:tcPr>
          <w:p w14:paraId="3F0331A6">
            <w:pPr>
              <w:spacing w:line="360" w:lineRule="auto"/>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分值范围</w:t>
            </w:r>
          </w:p>
        </w:tc>
      </w:tr>
      <w:tr w14:paraId="17B3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Merge w:val="restart"/>
            <w:tcBorders>
              <w:left w:val="single" w:color="auto" w:sz="4" w:space="0"/>
              <w:right w:val="single" w:color="auto" w:sz="4" w:space="0"/>
            </w:tcBorders>
            <w:vAlign w:val="center"/>
          </w:tcPr>
          <w:p w14:paraId="0302B89B">
            <w:pPr>
              <w:spacing w:line="360"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资信</w:t>
            </w:r>
            <w:r>
              <w:rPr>
                <w:rFonts w:hint="eastAsia" w:asciiTheme="minorEastAsia" w:hAnsiTheme="minorEastAsia" w:eastAsiaTheme="minorEastAsia"/>
                <w:color w:val="auto"/>
                <w:sz w:val="24"/>
                <w:szCs w:val="24"/>
                <w:highlight w:val="none"/>
              </w:rPr>
              <w:t>分</w:t>
            </w:r>
          </w:p>
          <w:p w14:paraId="19D389B9">
            <w:pPr>
              <w:spacing w:line="360"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u w:val="single"/>
                <w:lang w:val="en-US" w:eastAsia="zh-CN"/>
              </w:rPr>
              <w:t>14</w:t>
            </w:r>
            <w:r>
              <w:rPr>
                <w:rFonts w:hint="eastAsia" w:asciiTheme="minorEastAsia" w:hAnsiTheme="minorEastAsia" w:eastAsiaTheme="minorEastAsia"/>
                <w:color w:val="auto"/>
                <w:sz w:val="24"/>
                <w:szCs w:val="24"/>
                <w:highlight w:val="none"/>
              </w:rPr>
              <w:t>分）</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18670D70">
            <w:pPr>
              <w:spacing w:line="360" w:lineRule="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eastAsia="zh-CN"/>
              </w:rPr>
              <w:t>供应商</w:t>
            </w:r>
            <w:r>
              <w:rPr>
                <w:rFonts w:hint="eastAsia" w:asciiTheme="minorEastAsia" w:hAnsiTheme="minorEastAsia" w:eastAsiaTheme="minorEastAsia"/>
                <w:color w:val="auto"/>
                <w:sz w:val="24"/>
                <w:szCs w:val="24"/>
                <w:highlight w:val="none"/>
              </w:rPr>
              <w:t>业绩</w:t>
            </w:r>
          </w:p>
        </w:tc>
        <w:tc>
          <w:tcPr>
            <w:tcW w:w="4129" w:type="dxa"/>
            <w:tcBorders>
              <w:top w:val="single" w:color="auto" w:sz="4" w:space="0"/>
              <w:left w:val="single" w:color="auto" w:sz="4" w:space="0"/>
              <w:bottom w:val="single" w:color="auto" w:sz="4" w:space="0"/>
              <w:right w:val="single" w:color="auto" w:sz="4" w:space="0"/>
            </w:tcBorders>
            <w:shd w:val="clear" w:color="auto" w:fill="auto"/>
            <w:vAlign w:val="center"/>
          </w:tcPr>
          <w:p w14:paraId="28930D09">
            <w:pPr>
              <w:spacing w:line="360" w:lineRule="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zh-CN" w:eastAsia="zh-CN"/>
              </w:rPr>
              <w:t>自20</w:t>
            </w:r>
            <w:r>
              <w:rPr>
                <w:rFonts w:hint="eastAsia" w:asciiTheme="minorEastAsia" w:hAnsiTheme="minorEastAsia" w:eastAsiaTheme="minorEastAsia"/>
                <w:color w:val="auto"/>
                <w:sz w:val="24"/>
                <w:szCs w:val="24"/>
                <w:highlight w:val="none"/>
                <w:lang w:val="en-US" w:eastAsia="zh-CN"/>
              </w:rPr>
              <w:t>21</w:t>
            </w:r>
            <w:r>
              <w:rPr>
                <w:rFonts w:hint="eastAsia" w:asciiTheme="minorEastAsia" w:hAnsiTheme="minorEastAsia" w:eastAsiaTheme="minorEastAsia"/>
                <w:color w:val="auto"/>
                <w:sz w:val="24"/>
                <w:szCs w:val="24"/>
                <w:highlight w:val="none"/>
                <w:lang w:val="zh-CN" w:eastAsia="zh-CN"/>
              </w:rPr>
              <w:t>年</w:t>
            </w: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lang w:val="zh-CN" w:eastAsia="zh-CN"/>
              </w:rPr>
              <w:t>月</w:t>
            </w: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lang w:val="zh-CN" w:eastAsia="zh-CN"/>
              </w:rPr>
              <w:t>日</w:t>
            </w:r>
            <w:r>
              <w:rPr>
                <w:rFonts w:hint="eastAsia" w:asciiTheme="minorEastAsia" w:hAnsiTheme="minorEastAsia" w:eastAsiaTheme="minorEastAsia"/>
                <w:color w:val="auto"/>
                <w:sz w:val="24"/>
                <w:szCs w:val="24"/>
                <w:highlight w:val="none"/>
                <w:lang w:val="en-US" w:eastAsia="zh-CN"/>
              </w:rPr>
              <w:t>至投标截止日</w:t>
            </w:r>
            <w:r>
              <w:rPr>
                <w:rFonts w:hint="eastAsia" w:asciiTheme="minorEastAsia" w:hAnsiTheme="minorEastAsia" w:eastAsiaTheme="minorEastAsia"/>
                <w:color w:val="auto"/>
                <w:sz w:val="24"/>
                <w:szCs w:val="24"/>
                <w:highlight w:val="none"/>
                <w:lang w:val="zh-CN" w:eastAsia="zh-CN"/>
              </w:rPr>
              <w:t>（以合同签订时间为准），供应商</w:t>
            </w:r>
            <w:r>
              <w:rPr>
                <w:rFonts w:hint="eastAsia" w:asciiTheme="minorEastAsia" w:hAnsiTheme="minorEastAsia" w:eastAsiaTheme="minorEastAsia"/>
                <w:color w:val="auto"/>
                <w:sz w:val="24"/>
                <w:szCs w:val="24"/>
                <w:highlight w:val="none"/>
                <w:lang w:val="en-US" w:eastAsia="zh-CN"/>
              </w:rPr>
              <w:t>具有公开发行的报纸印刷合同业绩的</w:t>
            </w:r>
            <w:r>
              <w:rPr>
                <w:rFonts w:hint="eastAsia" w:asciiTheme="minorEastAsia" w:hAnsiTheme="minorEastAsia" w:eastAsiaTheme="minorEastAsia"/>
                <w:color w:val="auto"/>
                <w:sz w:val="24"/>
                <w:szCs w:val="24"/>
                <w:highlight w:val="none"/>
                <w:lang w:val="zh-CN" w:eastAsia="zh-CN"/>
              </w:rPr>
              <w:t>，每提供一个得2分，</w:t>
            </w:r>
            <w:r>
              <w:rPr>
                <w:rFonts w:hint="eastAsia" w:asciiTheme="minorEastAsia" w:hAnsiTheme="minorEastAsia" w:eastAsiaTheme="minorEastAsia"/>
                <w:color w:val="auto"/>
                <w:sz w:val="24"/>
                <w:szCs w:val="24"/>
                <w:highlight w:val="none"/>
                <w:lang w:val="en-US" w:eastAsia="zh-CN"/>
              </w:rPr>
              <w:t>其他的不得分，</w:t>
            </w:r>
            <w:r>
              <w:rPr>
                <w:rFonts w:hint="eastAsia" w:asciiTheme="minorEastAsia" w:hAnsiTheme="minorEastAsia" w:eastAsiaTheme="minorEastAsia"/>
                <w:color w:val="auto"/>
                <w:sz w:val="24"/>
                <w:szCs w:val="24"/>
                <w:highlight w:val="none"/>
                <w:lang w:val="zh-CN" w:eastAsia="zh-CN"/>
              </w:rPr>
              <w:t>最高得</w:t>
            </w:r>
            <w:r>
              <w:rPr>
                <w:rFonts w:hint="eastAsia" w:asciiTheme="minorEastAsia" w:hAnsiTheme="minorEastAsia" w:eastAsia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lang w:val="zh-CN" w:eastAsia="zh-CN"/>
              </w:rPr>
              <w:t>分。</w:t>
            </w:r>
          </w:p>
          <w:p w14:paraId="0EF71A47">
            <w:pPr>
              <w:spacing w:line="360" w:lineRule="auto"/>
              <w:rPr>
                <w:rFonts w:hint="eastAsia" w:asciiTheme="minorEastAsia" w:hAnsiTheme="minorEastAsia" w:eastAsiaTheme="minorEastAsia"/>
                <w:color w:val="auto"/>
                <w:sz w:val="24"/>
                <w:szCs w:val="24"/>
                <w:highlight w:val="none"/>
                <w:lang w:val="zh-CN" w:eastAsia="zh-CN"/>
              </w:rPr>
            </w:pPr>
            <w:r>
              <w:rPr>
                <w:rFonts w:hint="eastAsia" w:asciiTheme="minorEastAsia" w:hAnsiTheme="minorEastAsia" w:eastAsiaTheme="minorEastAsia"/>
                <w:color w:val="auto"/>
                <w:sz w:val="24"/>
                <w:szCs w:val="24"/>
                <w:highlight w:val="none"/>
              </w:rPr>
              <w:t>注：①</w:t>
            </w:r>
            <w:r>
              <w:rPr>
                <w:rFonts w:hint="eastAsia" w:asciiTheme="minorEastAsia" w:hAnsiTheme="minorEastAsia" w:eastAsiaTheme="minorEastAsia"/>
                <w:color w:val="auto"/>
                <w:sz w:val="24"/>
                <w:szCs w:val="24"/>
                <w:highlight w:val="none"/>
                <w:lang w:val="zh-CN"/>
              </w:rPr>
              <w:t>投标文件中提供业绩合同扫描件，时间以合同签订时间为准；若合同材料中无法体现签订时间、</w:t>
            </w:r>
            <w:r>
              <w:rPr>
                <w:rFonts w:hint="eastAsia" w:asciiTheme="minorEastAsia" w:hAnsiTheme="minorEastAsia" w:eastAsiaTheme="minorEastAsia"/>
                <w:color w:val="auto"/>
                <w:sz w:val="24"/>
                <w:szCs w:val="24"/>
                <w:highlight w:val="none"/>
                <w:lang w:val="en-US" w:eastAsia="zh-CN"/>
              </w:rPr>
              <w:t>业绩</w:t>
            </w:r>
            <w:r>
              <w:rPr>
                <w:rFonts w:hint="eastAsia" w:asciiTheme="minorEastAsia" w:hAnsiTheme="minorEastAsia" w:eastAsiaTheme="minorEastAsia"/>
                <w:color w:val="auto"/>
                <w:sz w:val="24"/>
                <w:szCs w:val="24"/>
                <w:highlight w:val="none"/>
                <w:lang w:val="zh-CN"/>
              </w:rPr>
              <w:t>内容等关键评</w:t>
            </w:r>
            <w:r>
              <w:rPr>
                <w:rFonts w:hint="eastAsia" w:asciiTheme="minorEastAsia" w:hAnsiTheme="minorEastAsia" w:eastAsiaTheme="minorEastAsia"/>
                <w:color w:val="auto"/>
                <w:sz w:val="24"/>
                <w:szCs w:val="24"/>
                <w:highlight w:val="none"/>
                <w:lang w:val="zh-CN" w:eastAsia="zh-CN"/>
              </w:rPr>
              <w:t>审因素的，须另</w:t>
            </w:r>
            <w:r>
              <w:rPr>
                <w:rFonts w:hint="eastAsia" w:asciiTheme="minorEastAsia" w:hAnsiTheme="minorEastAsia" w:eastAsiaTheme="minorEastAsia"/>
                <w:color w:val="auto"/>
                <w:sz w:val="24"/>
                <w:szCs w:val="24"/>
                <w:highlight w:val="none"/>
                <w:lang w:val="en-US" w:eastAsia="zh-CN"/>
              </w:rPr>
              <w:t>外提供</w:t>
            </w:r>
            <w:r>
              <w:rPr>
                <w:rFonts w:hint="eastAsia" w:asciiTheme="minorEastAsia" w:hAnsiTheme="minorEastAsia" w:eastAsiaTheme="minorEastAsia"/>
                <w:color w:val="auto"/>
                <w:sz w:val="24"/>
                <w:szCs w:val="24"/>
                <w:highlight w:val="none"/>
                <w:lang w:val="zh-CN" w:eastAsia="zh-CN"/>
              </w:rPr>
              <w:t>业主（合同甲方）出具的</w:t>
            </w:r>
            <w:r>
              <w:rPr>
                <w:rFonts w:hint="eastAsia" w:asciiTheme="minorEastAsia" w:hAnsiTheme="minorEastAsia" w:eastAsiaTheme="minorEastAsia"/>
                <w:color w:val="auto"/>
                <w:sz w:val="24"/>
                <w:szCs w:val="24"/>
                <w:highlight w:val="none"/>
                <w:lang w:val="en-US" w:eastAsia="zh-CN"/>
              </w:rPr>
              <w:t>盖章证明材料扫描件</w:t>
            </w:r>
            <w:r>
              <w:rPr>
                <w:rFonts w:hint="eastAsia" w:asciiTheme="minorEastAsia" w:hAnsiTheme="minorEastAsia" w:eastAsiaTheme="minorEastAsia"/>
                <w:color w:val="auto"/>
                <w:sz w:val="24"/>
                <w:szCs w:val="24"/>
                <w:highlight w:val="none"/>
                <w:lang w:val="zh-CN" w:eastAsia="zh-CN"/>
              </w:rPr>
              <w:t>。</w:t>
            </w:r>
          </w:p>
          <w:p w14:paraId="0B029489">
            <w:pPr>
              <w:spacing w:line="360" w:lineRule="auto"/>
              <w:rPr>
                <w:rFonts w:hint="eastAsia" w:asciiTheme="minorEastAsia" w:hAnsiTheme="minorEastAsia" w:eastAsiaTheme="minorEastAsia"/>
                <w:color w:val="auto"/>
                <w:sz w:val="24"/>
                <w:szCs w:val="24"/>
                <w:highlight w:val="none"/>
                <w:lang w:val="zh-CN" w:eastAsia="zh-CN"/>
              </w:rPr>
            </w:pPr>
            <w:r>
              <w:rPr>
                <w:rFonts w:hint="eastAsia" w:asciiTheme="minorEastAsia" w:hAnsiTheme="minorEastAsia" w:eastAsiaTheme="minorEastAsia"/>
                <w:color w:val="auto"/>
                <w:sz w:val="24"/>
                <w:szCs w:val="24"/>
                <w:highlight w:val="none"/>
                <w:lang w:val="zh-CN"/>
              </w:rPr>
              <w:t>②供应商只需提供2个评审业绩，若供应商提供业绩个数超过2个，则按照排列顺序从首个业绩开始评审至对应数量（2个），超出部分业绩不进行评审。对应数量（2个）业绩不符合</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lang w:val="zh-CN"/>
              </w:rPr>
              <w:t>文件要求不得分的，不再补充评审超出部分业绩。如：提供2个业绩即得满分的，按照响应文件排序评审第一、第二项业绩，其余超出部分不再评审。</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5DA1D6CA">
            <w:pPr>
              <w:spacing w:line="360" w:lineRule="auto"/>
              <w:jc w:val="center"/>
              <w:rPr>
                <w:rFonts w:hint="eastAsia" w:cs="@仿宋_GB2312" w:asciiTheme="minorEastAsia" w:hAnsiTheme="minorEastAsia" w:eastAsiaTheme="minorEastAsia"/>
                <w:b/>
                <w:bCs/>
                <w:color w:val="auto"/>
                <w:kern w:val="2"/>
                <w:sz w:val="24"/>
                <w:szCs w:val="24"/>
                <w:highlight w:val="none"/>
                <w:lang w:val="en-US" w:eastAsia="zh-CN" w:bidi="ar-SA"/>
              </w:rPr>
            </w:pPr>
            <w:r>
              <w:rPr>
                <w:rFonts w:hint="eastAsia" w:asciiTheme="minorEastAsia" w:hAnsiTheme="minorEastAsia" w:eastAsiaTheme="minorEastAsia"/>
                <w:color w:val="auto"/>
                <w:sz w:val="24"/>
                <w:szCs w:val="24"/>
                <w:highlight w:val="none"/>
              </w:rPr>
              <w:t>0-</w:t>
            </w:r>
            <w:r>
              <w:rPr>
                <w:rFonts w:hint="eastAsia" w:asciiTheme="minorEastAsia" w:hAnsiTheme="minorEastAsia" w:eastAsia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rPr>
              <w:t>分</w:t>
            </w:r>
          </w:p>
        </w:tc>
      </w:tr>
      <w:tr w14:paraId="7460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Merge w:val="continue"/>
            <w:tcBorders>
              <w:left w:val="single" w:color="auto" w:sz="4" w:space="0"/>
              <w:right w:val="single" w:color="auto" w:sz="4" w:space="0"/>
            </w:tcBorders>
            <w:vAlign w:val="center"/>
          </w:tcPr>
          <w:p w14:paraId="197C2C52">
            <w:pPr>
              <w:spacing w:line="360" w:lineRule="auto"/>
              <w:jc w:val="center"/>
              <w:rPr>
                <w:rFonts w:hint="eastAsia" w:asciiTheme="minorEastAsia" w:hAnsiTheme="minorEastAsia" w:eastAsiaTheme="minorEastAsia"/>
                <w:color w:val="auto"/>
                <w:sz w:val="24"/>
                <w:szCs w:val="24"/>
                <w:highlight w:val="none"/>
              </w:rPr>
            </w:pP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228153FE">
            <w:pPr>
              <w:spacing w:line="360" w:lineRule="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设备保障</w:t>
            </w:r>
          </w:p>
        </w:tc>
        <w:tc>
          <w:tcPr>
            <w:tcW w:w="4129" w:type="dxa"/>
            <w:tcBorders>
              <w:top w:val="single" w:color="auto" w:sz="4" w:space="0"/>
              <w:left w:val="single" w:color="auto" w:sz="4" w:space="0"/>
              <w:bottom w:val="single" w:color="auto" w:sz="4" w:space="0"/>
              <w:right w:val="single" w:color="auto" w:sz="4" w:space="0"/>
            </w:tcBorders>
            <w:shd w:val="clear" w:color="auto" w:fill="auto"/>
            <w:vAlign w:val="center"/>
          </w:tcPr>
          <w:p w14:paraId="182830AE">
            <w:pPr>
              <w:spacing w:line="360" w:lineRule="auto"/>
              <w:rPr>
                <w:rFonts w:hint="eastAsia"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szCs w:val="24"/>
                <w:highlight w:val="none"/>
                <w:lang w:val="en-US" w:eastAsia="zh-CN"/>
              </w:rPr>
              <w:t xml:space="preserve">1.对印刷所需印前、印中、印后等相关印刷设备拥有的数量、运行情况、印能情况、供电保障等进行评比。 </w:t>
            </w:r>
          </w:p>
          <w:p w14:paraId="51928869">
            <w:pPr>
              <w:spacing w:line="360" w:lineRule="auto"/>
              <w:rPr>
                <w:rFonts w:hint="eastAsia"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szCs w:val="24"/>
                <w:highlight w:val="none"/>
                <w:lang w:val="en-US" w:eastAsia="zh-CN"/>
              </w:rPr>
              <w:t>①一次性成叠印刷对开 8 版，得 1 分；一次性成叠印刷对开 12 版，得 2 分；满分 2分。</w:t>
            </w:r>
          </w:p>
          <w:p w14:paraId="3E5DE740">
            <w:pPr>
              <w:spacing w:line="360" w:lineRule="auto"/>
              <w:rPr>
                <w:rFonts w:hint="eastAsia"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szCs w:val="24"/>
                <w:highlight w:val="none"/>
                <w:lang w:val="en-US" w:eastAsia="zh-CN"/>
              </w:rPr>
              <w:t xml:space="preserve">②每小时印能在3万份（含3万）-4万份（不含4万）的，得 1分；每小时印能达到4万份及以上，得 2 分；满分 2分。 </w:t>
            </w:r>
          </w:p>
          <w:p w14:paraId="3275FF70">
            <w:pPr>
              <w:spacing w:line="360" w:lineRule="auto"/>
              <w:rPr>
                <w:rFonts w:hint="eastAsia"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szCs w:val="24"/>
                <w:highlight w:val="none"/>
                <w:lang w:val="en-US" w:eastAsia="zh-CN"/>
              </w:rPr>
              <w:t xml:space="preserve">③提供双回路供电证明一份或自备发电机组证明一份；得分 2分。 </w:t>
            </w:r>
          </w:p>
          <w:p w14:paraId="1655AF39">
            <w:pPr>
              <w:spacing w:line="360" w:lineRule="auto"/>
              <w:rPr>
                <w:rFonts w:hint="eastAsia"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szCs w:val="24"/>
                <w:highlight w:val="none"/>
                <w:lang w:val="en-US" w:eastAsia="zh-CN"/>
              </w:rPr>
              <w:t xml:space="preserve">备注：供应商须提供印刷设备清单，包括品牌型号、出厂时间、印能情况、使用情况等，提供的证明材料必须能体现打分条件中对应的得分要求，否则不予得分。 </w:t>
            </w:r>
          </w:p>
          <w:p w14:paraId="379C0A88">
            <w:pPr>
              <w:spacing w:line="360" w:lineRule="auto"/>
              <w:rPr>
                <w:rFonts w:hint="eastAsia"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szCs w:val="24"/>
                <w:highlight w:val="none"/>
                <w:lang w:val="en-US" w:eastAsia="zh-CN"/>
              </w:rPr>
              <w:t xml:space="preserve">2.报纸印刷生产线，每提供一条得 1 分，本项最高得 2 分。（需提供齐全所有设备的发票或租赁合同扫描件）。 </w:t>
            </w:r>
          </w:p>
          <w:p w14:paraId="21851016">
            <w:pPr>
              <w:spacing w:line="360" w:lineRule="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3.计算机直接制版机，每提供一台得 1 分，本项最高得 2 分。（需提供齐全所有设备的发票或租赁合同扫描件）。</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304A3771">
            <w:pPr>
              <w:spacing w:line="360" w:lineRule="auto"/>
              <w:jc w:val="center"/>
              <w:rPr>
                <w:rFonts w:hint="eastAsia" w:cs="@仿宋_GB2312" w:asciiTheme="minorEastAsia" w:hAnsiTheme="minorEastAsia" w:eastAsiaTheme="minorEastAsia"/>
                <w:b/>
                <w:bCs/>
                <w:color w:val="auto"/>
                <w:kern w:val="2"/>
                <w:sz w:val="24"/>
                <w:szCs w:val="24"/>
                <w:highlight w:val="none"/>
                <w:lang w:val="en-US" w:eastAsia="zh-CN" w:bidi="ar-SA"/>
              </w:rPr>
            </w:pPr>
            <w:r>
              <w:rPr>
                <w:rFonts w:hint="eastAsia" w:asciiTheme="minorEastAsia" w:hAnsiTheme="minorEastAsia" w:eastAsiaTheme="minorEastAsia"/>
                <w:color w:val="auto"/>
                <w:sz w:val="24"/>
                <w:szCs w:val="24"/>
                <w:highlight w:val="none"/>
              </w:rPr>
              <w:t>0-</w:t>
            </w:r>
            <w:r>
              <w:rPr>
                <w:rFonts w:hint="eastAsia" w:asciiTheme="minorEastAsia" w:hAnsiTheme="minorEastAsia" w:eastAsiaTheme="minorEastAsia"/>
                <w:color w:val="auto"/>
                <w:sz w:val="24"/>
                <w:szCs w:val="24"/>
                <w:highlight w:val="none"/>
                <w:lang w:val="en-US" w:eastAsia="zh-CN"/>
              </w:rPr>
              <w:t>10</w:t>
            </w:r>
            <w:r>
              <w:rPr>
                <w:rFonts w:hint="eastAsia" w:asciiTheme="minorEastAsia" w:hAnsiTheme="minorEastAsia" w:eastAsiaTheme="minorEastAsia"/>
                <w:color w:val="auto"/>
                <w:sz w:val="24"/>
                <w:szCs w:val="24"/>
                <w:highlight w:val="none"/>
              </w:rPr>
              <w:t>分</w:t>
            </w:r>
          </w:p>
        </w:tc>
      </w:tr>
      <w:tr w14:paraId="59D2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Merge w:val="restart"/>
            <w:tcBorders>
              <w:left w:val="single" w:color="auto" w:sz="4" w:space="0"/>
              <w:right w:val="single" w:color="auto" w:sz="4" w:space="0"/>
            </w:tcBorders>
            <w:vAlign w:val="center"/>
          </w:tcPr>
          <w:p w14:paraId="288F2EC5">
            <w:pPr>
              <w:spacing w:line="360"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技术</w:t>
            </w:r>
            <w:r>
              <w:rPr>
                <w:rFonts w:hint="eastAsia" w:asciiTheme="minorEastAsia" w:hAnsiTheme="minorEastAsia" w:eastAsiaTheme="minorEastAsia"/>
                <w:color w:val="auto"/>
                <w:sz w:val="24"/>
                <w:szCs w:val="24"/>
                <w:highlight w:val="none"/>
              </w:rPr>
              <w:t>分</w:t>
            </w:r>
          </w:p>
          <w:p w14:paraId="73C2234C">
            <w:pPr>
              <w:spacing w:line="360" w:lineRule="auto"/>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u w:val="single"/>
                <w:lang w:val="en-US" w:eastAsia="zh-CN"/>
              </w:rPr>
              <w:t>10</w:t>
            </w:r>
            <w:r>
              <w:rPr>
                <w:rFonts w:hint="eastAsia" w:asciiTheme="minorEastAsia" w:hAnsiTheme="minorEastAsia" w:eastAsiaTheme="minorEastAsia"/>
                <w:color w:val="auto"/>
                <w:sz w:val="24"/>
                <w:szCs w:val="24"/>
                <w:highlight w:val="none"/>
              </w:rPr>
              <w:t>分）</w:t>
            </w:r>
          </w:p>
        </w:tc>
        <w:tc>
          <w:tcPr>
            <w:tcW w:w="2105" w:type="dxa"/>
            <w:tcBorders>
              <w:top w:val="single" w:color="auto" w:sz="4" w:space="0"/>
              <w:left w:val="single" w:color="auto" w:sz="4" w:space="0"/>
              <w:bottom w:val="single" w:color="auto" w:sz="4" w:space="0"/>
              <w:right w:val="single" w:color="auto" w:sz="4" w:space="0"/>
            </w:tcBorders>
            <w:vAlign w:val="center"/>
          </w:tcPr>
          <w:p w14:paraId="3D049A26">
            <w:pPr>
              <w:spacing w:line="360" w:lineRule="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印刷、运输服务方案</w:t>
            </w:r>
          </w:p>
          <w:p w14:paraId="265C11C6">
            <w:pPr>
              <w:spacing w:line="360" w:lineRule="auto"/>
              <w:rPr>
                <w:rFonts w:hint="default" w:asciiTheme="minorEastAsia" w:hAnsiTheme="minorEastAsia" w:eastAsiaTheme="minorEastAsia"/>
                <w:color w:val="auto"/>
                <w:sz w:val="24"/>
                <w:szCs w:val="24"/>
                <w:highlight w:val="none"/>
                <w:lang w:val="en-US" w:eastAsia="zh-CN"/>
              </w:rPr>
            </w:pPr>
          </w:p>
        </w:tc>
        <w:tc>
          <w:tcPr>
            <w:tcW w:w="4129" w:type="dxa"/>
            <w:tcBorders>
              <w:top w:val="single" w:color="auto" w:sz="4" w:space="0"/>
              <w:left w:val="single" w:color="auto" w:sz="4" w:space="0"/>
              <w:bottom w:val="single" w:color="auto" w:sz="4" w:space="0"/>
              <w:right w:val="single" w:color="auto" w:sz="4" w:space="0"/>
            </w:tcBorders>
            <w:vAlign w:val="center"/>
          </w:tcPr>
          <w:p w14:paraId="3A993ED3">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Theme="minorEastAsia" w:hAnsiTheme="minorEastAsia" w:eastAsiaTheme="minorEastAsia"/>
                <w:color w:val="auto"/>
                <w:sz w:val="24"/>
                <w:szCs w:val="24"/>
                <w:highlight w:val="none"/>
                <w:lang w:val="en-US" w:eastAsia="zh-CN"/>
              </w:rPr>
              <w:t>印刷、运输方案</w:t>
            </w:r>
            <w:r>
              <w:rPr>
                <w:rFonts w:hint="eastAsia" w:ascii="宋体" w:hAnsi="宋体" w:eastAsia="宋体" w:cs="宋体"/>
                <w:b w:val="0"/>
                <w:bCs w:val="0"/>
                <w:color w:val="auto"/>
                <w:sz w:val="24"/>
                <w:szCs w:val="24"/>
                <w:highlight w:val="none"/>
                <w:lang w:val="en-US" w:eastAsia="zh-CN"/>
              </w:rPr>
              <w:t>清晰完整，内容详细、切实可行的，针对性、实用性高，优于本项目采购需求，得5分；</w:t>
            </w:r>
          </w:p>
          <w:p w14:paraId="3E42BBCB">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Theme="minorEastAsia" w:hAnsiTheme="minorEastAsia" w:eastAsiaTheme="minorEastAsia"/>
                <w:color w:val="auto"/>
                <w:sz w:val="24"/>
                <w:szCs w:val="24"/>
                <w:highlight w:val="none"/>
                <w:lang w:val="en-US" w:eastAsia="zh-CN"/>
              </w:rPr>
              <w:t>印刷、运输方案</w:t>
            </w:r>
            <w:r>
              <w:rPr>
                <w:rFonts w:hint="eastAsia" w:ascii="宋体" w:hAnsi="宋体" w:eastAsia="宋体" w:cs="宋体"/>
                <w:b w:val="0"/>
                <w:bCs w:val="0"/>
                <w:color w:val="auto"/>
                <w:sz w:val="24"/>
                <w:szCs w:val="24"/>
                <w:highlight w:val="none"/>
                <w:lang w:val="en-US" w:eastAsia="zh-CN"/>
              </w:rPr>
              <w:t>内容完整、具有可行性，具有针对性，适合本项目采购需求，得3分；</w:t>
            </w:r>
          </w:p>
          <w:p w14:paraId="022CF939">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Theme="minorEastAsia" w:hAnsiTheme="minorEastAsia" w:eastAsiaTheme="minorEastAsia"/>
                <w:color w:val="auto"/>
                <w:sz w:val="24"/>
                <w:szCs w:val="24"/>
                <w:highlight w:val="none"/>
                <w:lang w:val="en-US" w:eastAsia="zh-CN"/>
              </w:rPr>
              <w:t>印刷、运输方案</w:t>
            </w:r>
            <w:r>
              <w:rPr>
                <w:rFonts w:hint="eastAsia" w:ascii="宋体" w:hAnsi="宋体" w:eastAsia="宋体" w:cs="宋体"/>
                <w:b w:val="0"/>
                <w:bCs w:val="0"/>
                <w:color w:val="auto"/>
                <w:sz w:val="24"/>
                <w:szCs w:val="24"/>
                <w:highlight w:val="none"/>
                <w:lang w:val="en-US" w:eastAsia="zh-CN"/>
              </w:rPr>
              <w:t>内容简单，表述逻辑不清，针对性存在不足，有待提高，得1分；</w:t>
            </w:r>
          </w:p>
          <w:p w14:paraId="5AE414B2">
            <w:pPr>
              <w:spacing w:line="360" w:lineRule="auto"/>
              <w:rPr>
                <w:rFonts w:hint="default" w:asciiTheme="minorEastAsia" w:hAnsiTheme="minorEastAsia" w:eastAsiaTheme="minorEastAsia"/>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asciiTheme="minorEastAsia" w:hAnsiTheme="minorEastAsia" w:eastAsiaTheme="minorEastAsia"/>
                <w:color w:val="auto"/>
                <w:sz w:val="24"/>
                <w:szCs w:val="24"/>
                <w:highlight w:val="none"/>
                <w:lang w:val="en-US" w:eastAsia="zh-CN"/>
              </w:rPr>
              <w:t xml:space="preserve">未提供印刷、运输服务方案或提供的印刷、运输服务方案不符合要求的，得 </w:t>
            </w:r>
            <w:r>
              <w:rPr>
                <w:rFonts w:hint="default" w:asciiTheme="minorEastAsia" w:hAnsiTheme="minorEastAsia" w:eastAsiaTheme="minorEastAsia"/>
                <w:color w:val="auto"/>
                <w:sz w:val="24"/>
                <w:szCs w:val="24"/>
                <w:highlight w:val="none"/>
                <w:lang w:val="en-US" w:eastAsia="zh-CN"/>
              </w:rPr>
              <w:t xml:space="preserve">0 </w:t>
            </w:r>
            <w:r>
              <w:rPr>
                <w:rFonts w:hint="eastAsia" w:asciiTheme="minorEastAsia" w:hAnsiTheme="minorEastAsia" w:eastAsiaTheme="minorEastAsia"/>
                <w:color w:val="auto"/>
                <w:sz w:val="24"/>
                <w:szCs w:val="24"/>
                <w:highlight w:val="none"/>
                <w:lang w:val="en-US" w:eastAsia="zh-CN"/>
              </w:rPr>
              <w:t>分</w:t>
            </w:r>
          </w:p>
        </w:tc>
        <w:tc>
          <w:tcPr>
            <w:tcW w:w="1202" w:type="dxa"/>
            <w:tcBorders>
              <w:top w:val="single" w:color="auto" w:sz="4" w:space="0"/>
              <w:left w:val="single" w:color="auto" w:sz="4" w:space="0"/>
              <w:bottom w:val="single" w:color="auto" w:sz="4" w:space="0"/>
              <w:right w:val="single" w:color="auto" w:sz="4" w:space="0"/>
            </w:tcBorders>
            <w:vAlign w:val="center"/>
          </w:tcPr>
          <w:p w14:paraId="6B1271A1">
            <w:pPr>
              <w:spacing w:line="360" w:lineRule="exact"/>
              <w:jc w:val="center"/>
              <w:rPr>
                <w:rFonts w:hint="eastAsia" w:ascii="宋体" w:hAnsi="宋体" w:cs="宋体"/>
                <w:color w:val="auto"/>
                <w:sz w:val="24"/>
                <w:szCs w:val="24"/>
                <w:highlight w:val="none"/>
              </w:rPr>
            </w:pPr>
            <w:r>
              <w:rPr>
                <w:rFonts w:hint="eastAsia" w:asciiTheme="minorEastAsia" w:hAnsiTheme="minorEastAsia" w:eastAsiaTheme="minorEastAsia"/>
                <w:color w:val="auto"/>
                <w:sz w:val="24"/>
                <w:szCs w:val="24"/>
                <w:highlight w:val="none"/>
              </w:rPr>
              <w:t>0-5分</w:t>
            </w:r>
          </w:p>
        </w:tc>
      </w:tr>
      <w:tr w14:paraId="7102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Merge w:val="continue"/>
            <w:tcBorders>
              <w:left w:val="single" w:color="auto" w:sz="4" w:space="0"/>
              <w:right w:val="single" w:color="auto" w:sz="4" w:space="0"/>
            </w:tcBorders>
            <w:vAlign w:val="center"/>
          </w:tcPr>
          <w:p w14:paraId="4D2F55E4">
            <w:pPr>
              <w:spacing w:line="360" w:lineRule="auto"/>
              <w:jc w:val="center"/>
              <w:rPr>
                <w:rFonts w:hint="eastAsia" w:asciiTheme="minorEastAsia" w:hAnsiTheme="minorEastAsia" w:eastAsiaTheme="minorEastAsia"/>
                <w:color w:val="auto"/>
                <w:sz w:val="24"/>
                <w:szCs w:val="24"/>
                <w:highlight w:val="none"/>
              </w:rPr>
            </w:pP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1B2B5F58">
            <w:pPr>
              <w:spacing w:line="360" w:lineRule="auto"/>
              <w:rPr>
                <w:rFonts w:hint="default"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lang w:val="en-US" w:eastAsia="zh-CN"/>
              </w:rPr>
              <w:t>印刷、运输应急预案</w:t>
            </w:r>
          </w:p>
          <w:p w14:paraId="47F9B87F">
            <w:pPr>
              <w:spacing w:line="360" w:lineRule="auto"/>
              <w:rPr>
                <w:rFonts w:hint="default" w:cs="@仿宋_GB2312" w:asciiTheme="minorEastAsia" w:hAnsiTheme="minorEastAsia" w:eastAsiaTheme="minorEastAsia"/>
                <w:color w:val="auto"/>
                <w:kern w:val="2"/>
                <w:sz w:val="24"/>
                <w:szCs w:val="24"/>
                <w:highlight w:val="none"/>
                <w:lang w:val="en-US" w:eastAsia="zh-CN" w:bidi="ar-SA"/>
              </w:rPr>
            </w:pPr>
          </w:p>
        </w:tc>
        <w:tc>
          <w:tcPr>
            <w:tcW w:w="4129" w:type="dxa"/>
            <w:tcBorders>
              <w:top w:val="single" w:color="auto" w:sz="4" w:space="0"/>
              <w:left w:val="single" w:color="auto" w:sz="4" w:space="0"/>
              <w:bottom w:val="single" w:color="auto" w:sz="4" w:space="0"/>
              <w:right w:val="single" w:color="auto" w:sz="4" w:space="0"/>
            </w:tcBorders>
            <w:shd w:val="clear" w:color="auto" w:fill="auto"/>
            <w:vAlign w:val="center"/>
          </w:tcPr>
          <w:p w14:paraId="605EBDF6">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w:t>
            </w:r>
            <w:r>
              <w:rPr>
                <w:rFonts w:hint="default" w:asciiTheme="minorEastAsia" w:hAnsiTheme="minorEastAsia" w:eastAsia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lang w:val="en-US" w:eastAsia="zh-CN"/>
              </w:rPr>
              <w:t xml:space="preserve">）印刷、运输应急预案完全符合项目实际，有详尽的印刷、运输应急预案，预案周密、方法合理、可行，能指导印刷、运输过程并确保按时、按质送达的得5分； </w:t>
            </w:r>
          </w:p>
          <w:p w14:paraId="6FFA2499">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w:t>
            </w:r>
            <w:r>
              <w:rPr>
                <w:rFonts w:hint="default" w:asciiTheme="minorEastAsia" w:hAnsiTheme="minorEastAsia" w:eastAsia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lang w:val="en-US" w:eastAsia="zh-CN"/>
              </w:rPr>
              <w:t xml:space="preserve">）印刷、运输应急预案符合项目实际，有完整的印刷、运输应急预案，预案、方法可行，能满足印刷、运输并确保按时、按质送达的得3分； </w:t>
            </w:r>
          </w:p>
          <w:p w14:paraId="540B64CA">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w:t>
            </w:r>
            <w:r>
              <w:rPr>
                <w:rFonts w:hint="default"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lang w:val="en-US" w:eastAsia="zh-CN"/>
              </w:rPr>
              <w:t>）印刷、运输应急预案</w:t>
            </w:r>
            <w:r>
              <w:rPr>
                <w:rFonts w:hint="eastAsia" w:asciiTheme="minorEastAsia" w:hAnsiTheme="minorEastAsia" w:eastAsiaTheme="minorEastAsia"/>
                <w:color w:val="auto"/>
                <w:sz w:val="24"/>
                <w:szCs w:val="24"/>
                <w:highlight w:val="none"/>
              </w:rPr>
              <w:t>有待改善</w:t>
            </w:r>
            <w:r>
              <w:rPr>
                <w:rFonts w:hint="eastAsia" w:asciiTheme="minorEastAsia" w:hAnsiTheme="minorEastAsia" w:eastAsiaTheme="minorEastAsia"/>
                <w:color w:val="auto"/>
                <w:sz w:val="24"/>
                <w:szCs w:val="24"/>
                <w:highlight w:val="none"/>
                <w:lang w:val="en-US" w:eastAsia="zh-CN"/>
              </w:rPr>
              <w:t xml:space="preserve">，印刷、运输应急预案内容简单，预案、方法过于简单，勉强能满足印刷、运输要求的得 1分； </w:t>
            </w:r>
          </w:p>
          <w:p w14:paraId="3D864F9E">
            <w:pPr>
              <w:spacing w:line="360" w:lineRule="auto"/>
              <w:rPr>
                <w:rFonts w:hint="eastAsia" w:cs="@仿宋_GB2312"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eastAsiaTheme="minorEastAsia"/>
                <w:color w:val="auto"/>
                <w:sz w:val="24"/>
                <w:szCs w:val="24"/>
                <w:highlight w:val="none"/>
                <w:lang w:val="en-US" w:eastAsia="zh-CN"/>
              </w:rPr>
              <w:t>（</w:t>
            </w:r>
            <w:r>
              <w:rPr>
                <w:rFonts w:hint="default" w:asciiTheme="minorEastAsia" w:hAnsiTheme="minorEastAsia" w:eastAsia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lang w:val="en-US" w:eastAsia="zh-CN"/>
              </w:rPr>
              <w:t xml:space="preserve">）未提供印刷、运输应急预案或提供的印刷、运输应急预案不符合要求的，得 </w:t>
            </w:r>
            <w:r>
              <w:rPr>
                <w:rFonts w:hint="default" w:asciiTheme="minorEastAsia" w:hAnsiTheme="minorEastAsia" w:eastAsiaTheme="minorEastAsia"/>
                <w:color w:val="auto"/>
                <w:sz w:val="24"/>
                <w:szCs w:val="24"/>
                <w:highlight w:val="none"/>
                <w:lang w:val="en-US" w:eastAsia="zh-CN"/>
              </w:rPr>
              <w:t xml:space="preserve">0 </w:t>
            </w:r>
            <w:r>
              <w:rPr>
                <w:rFonts w:hint="eastAsia" w:asciiTheme="minorEastAsia" w:hAnsiTheme="minorEastAsia" w:eastAsiaTheme="minorEastAsia"/>
                <w:color w:val="auto"/>
                <w:sz w:val="24"/>
                <w:szCs w:val="24"/>
                <w:highlight w:val="none"/>
                <w:lang w:val="en-US" w:eastAsia="zh-CN"/>
              </w:rPr>
              <w:t>分。</w:t>
            </w:r>
          </w:p>
        </w:tc>
        <w:tc>
          <w:tcPr>
            <w:tcW w:w="1202" w:type="dxa"/>
            <w:tcBorders>
              <w:top w:val="single" w:color="auto" w:sz="4" w:space="0"/>
              <w:left w:val="single" w:color="auto" w:sz="4" w:space="0"/>
              <w:bottom w:val="single" w:color="auto" w:sz="4" w:space="0"/>
              <w:right w:val="single" w:color="auto" w:sz="4" w:space="0"/>
            </w:tcBorders>
            <w:vAlign w:val="center"/>
          </w:tcPr>
          <w:p w14:paraId="0A34722E">
            <w:pPr>
              <w:spacing w:line="360" w:lineRule="exact"/>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0-5分</w:t>
            </w:r>
          </w:p>
        </w:tc>
      </w:tr>
      <w:tr w14:paraId="4688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tcBorders>
              <w:left w:val="single" w:color="auto" w:sz="4" w:space="0"/>
              <w:right w:val="single" w:color="auto" w:sz="4" w:space="0"/>
            </w:tcBorders>
            <w:vAlign w:val="center"/>
          </w:tcPr>
          <w:p w14:paraId="34C4AB60">
            <w:pPr>
              <w:spacing w:line="360"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价格分</w:t>
            </w:r>
          </w:p>
          <w:p w14:paraId="54FF4461">
            <w:pPr>
              <w:spacing w:line="360" w:lineRule="auto"/>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u w:val="single"/>
                <w:lang w:val="en-US" w:eastAsia="zh-CN"/>
              </w:rPr>
              <w:t>76</w:t>
            </w:r>
            <w:r>
              <w:rPr>
                <w:rFonts w:hint="eastAsia" w:asciiTheme="minorEastAsia" w:hAnsiTheme="minorEastAsia" w:eastAsiaTheme="minorEastAsia"/>
                <w:color w:val="auto"/>
                <w:sz w:val="24"/>
                <w:szCs w:val="24"/>
                <w:highlight w:val="none"/>
              </w:rPr>
              <w:t>分）</w:t>
            </w:r>
          </w:p>
        </w:tc>
        <w:tc>
          <w:tcPr>
            <w:tcW w:w="7436" w:type="dxa"/>
            <w:gridSpan w:val="3"/>
            <w:tcBorders>
              <w:top w:val="single" w:color="auto" w:sz="4" w:space="0"/>
              <w:left w:val="single" w:color="auto" w:sz="4" w:space="0"/>
              <w:bottom w:val="single" w:color="auto" w:sz="4" w:space="0"/>
              <w:right w:val="single" w:color="auto" w:sz="4" w:space="0"/>
            </w:tcBorders>
            <w:vAlign w:val="center"/>
          </w:tcPr>
          <w:p w14:paraId="502D45FC">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szCs w:val="24"/>
                <w:highlight w:val="none"/>
                <w:u w:val="single"/>
                <w:lang w:val="en-US" w:eastAsia="zh-CN"/>
              </w:rPr>
              <w:t>76</w:t>
            </w:r>
            <w:r>
              <w:rPr>
                <w:rFonts w:hint="eastAsia" w:asciiTheme="minorEastAsia" w:hAnsiTheme="minorEastAsia" w:eastAsiaTheme="minorEastAsia"/>
                <w:color w:val="auto"/>
                <w:sz w:val="24"/>
                <w:szCs w:val="24"/>
                <w:highlight w:val="none"/>
              </w:rPr>
              <w:t>分。其他</w:t>
            </w:r>
            <w:r>
              <w:rPr>
                <w:rFonts w:hint="eastAsia" w:asciiTheme="minorEastAsia" w:hAnsiTheme="minorEastAsia" w:eastAsiaTheme="minorEastAsia"/>
                <w:color w:val="auto"/>
                <w:sz w:val="24"/>
                <w:szCs w:val="24"/>
                <w:highlight w:val="none"/>
                <w:lang w:eastAsia="zh-CN"/>
              </w:rPr>
              <w:t>供应商</w:t>
            </w:r>
            <w:r>
              <w:rPr>
                <w:rFonts w:hint="eastAsia" w:asciiTheme="minorEastAsia" w:hAnsiTheme="minorEastAsia" w:eastAsiaTheme="minorEastAsia"/>
                <w:color w:val="auto"/>
                <w:sz w:val="24"/>
                <w:szCs w:val="24"/>
                <w:highlight w:val="none"/>
              </w:rPr>
              <w:t>的价格分统一按照下列公式计算：</w:t>
            </w:r>
          </w:p>
          <w:p w14:paraId="56CB26A1">
            <w:pPr>
              <w:spacing w:line="360" w:lineRule="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color w:val="auto"/>
                <w:sz w:val="24"/>
                <w:szCs w:val="24"/>
                <w:highlight w:val="none"/>
              </w:rPr>
              <w:t>投标报价得分＝（评标基准价/投标报价）×</w:t>
            </w:r>
            <w:r>
              <w:rPr>
                <w:rFonts w:hint="eastAsia" w:asciiTheme="minorEastAsia" w:hAnsiTheme="minorEastAsia" w:eastAsiaTheme="minorEastAsia"/>
                <w:color w:val="auto"/>
                <w:sz w:val="24"/>
                <w:szCs w:val="24"/>
                <w:highlight w:val="none"/>
                <w:u w:val="single"/>
                <w:lang w:val="en-US" w:eastAsia="zh-CN"/>
              </w:rPr>
              <w:t>76</w:t>
            </w:r>
            <w:r>
              <w:rPr>
                <w:rFonts w:hint="eastAsia" w:asciiTheme="minorEastAsia" w:hAnsiTheme="minorEastAsia" w:eastAsiaTheme="minorEastAsia"/>
                <w:color w:val="auto"/>
                <w:sz w:val="24"/>
                <w:szCs w:val="24"/>
                <w:highlight w:val="none"/>
              </w:rPr>
              <w:t>％×100</w:t>
            </w:r>
          </w:p>
        </w:tc>
      </w:tr>
    </w:tbl>
    <w:p w14:paraId="730A4015">
      <w:pPr>
        <w:numPr>
          <w:ilvl w:val="0"/>
          <w:numId w:val="0"/>
        </w:numPr>
        <w:spacing w:line="360" w:lineRule="auto"/>
        <w:ind w:leftChars="0"/>
        <w:rPr>
          <w:rFonts w:hint="eastAsia"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注：投标单价报价</w:t>
      </w:r>
      <w:r>
        <w:rPr>
          <w:rFonts w:hint="eastAsia" w:ascii="宋体" w:hAnsi="宋体" w:eastAsia="宋体"/>
          <w:color w:val="auto"/>
          <w:sz w:val="24"/>
          <w:highlight w:val="none"/>
          <w:lang w:val="en-US" w:eastAsia="zh-CN"/>
        </w:rPr>
        <w:t>精确到小数点后三位，第四位四舍五入（例：1.1261，即为1.126）。</w:t>
      </w:r>
    </w:p>
    <w:p w14:paraId="16608CD7">
      <w:pPr>
        <w:numPr>
          <w:ilvl w:val="0"/>
          <w:numId w:val="0"/>
        </w:numPr>
        <w:spacing w:line="360" w:lineRule="auto"/>
        <w:ind w:leftChars="0"/>
        <w:rPr>
          <w:rFonts w:hint="eastAsia"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投标总价报价</w:t>
      </w:r>
      <w:r>
        <w:rPr>
          <w:rFonts w:hint="eastAsia" w:ascii="宋体" w:hAnsi="宋体" w:eastAsia="宋体"/>
          <w:color w:val="auto"/>
          <w:sz w:val="24"/>
          <w:highlight w:val="none"/>
          <w:lang w:val="en-US" w:eastAsia="zh-CN"/>
        </w:rPr>
        <w:t>精确到小数点后两位，第三位四舍五入（例：1.126，即为1.13）。</w:t>
      </w:r>
    </w:p>
    <w:p w14:paraId="2776C0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4110BC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0D3ED1D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p>
    <w:p w14:paraId="2E45F2B7">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三、无效投标条款</w:t>
      </w:r>
    </w:p>
    <w:p w14:paraId="5EAA6812">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3.1投标文件有下列情形之一的,其投标文件拒收:</w:t>
      </w:r>
    </w:p>
    <w:p w14:paraId="03DC0C63">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(1)未在</w:t>
      </w:r>
      <w:r>
        <w:rPr>
          <w:rFonts w:hint="eastAsia" w:ascii="宋体" w:hAnsi="宋体" w:eastAsia="宋体" w:cs="宋体"/>
          <w:color w:val="auto"/>
          <w:sz w:val="24"/>
          <w:highlight w:val="none"/>
          <w:lang w:val="en-US" w:eastAsia="zh-CN"/>
        </w:rPr>
        <w:t>投</w:t>
      </w:r>
      <w:r>
        <w:rPr>
          <w:rFonts w:hint="eastAsia" w:ascii="宋体" w:hAnsi="宋体" w:eastAsia="宋体" w:cs="宋体"/>
          <w:color w:val="auto"/>
          <w:sz w:val="24"/>
          <w:highlight w:val="none"/>
        </w:rPr>
        <w:t>标截止时间前通过网上招标投标系统递交有效电子投标文件的，开标系统不予接收，投标将被拒绝。</w:t>
      </w:r>
    </w:p>
    <w:p w14:paraId="111AAB82">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763F0B89">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3.2投标人有下列情形之一的,资格审查后其投标作无效投标处理：</w:t>
      </w:r>
    </w:p>
    <w:p w14:paraId="01AFA668">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(1)投标人为本项目提供招标代理服务的；</w:t>
      </w:r>
    </w:p>
    <w:p w14:paraId="0EA20966">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(2)投标人与在本项目代理机构存在相互任职或工作的；</w:t>
      </w:r>
    </w:p>
    <w:p w14:paraId="7C27AF76">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(3)招标公告写明专门面向中小企业采购，投标人提供的货物非中小企业制造的；</w:t>
      </w:r>
    </w:p>
    <w:p w14:paraId="5E478B1C">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(4)要求供应商以联合体形式参加采购活动，投标人非联合体或者联合协议中中小企业合同金额未达到应当达到的比例；</w:t>
      </w:r>
    </w:p>
    <w:p w14:paraId="5E238EDD">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(5)要求获得采购合同的供应商向中小企业分包，投标人未提供分包意向协议或者分包意向协议中中小企业合同金额未达到应当达到的比例；</w:t>
      </w:r>
    </w:p>
    <w:p w14:paraId="6C65EA6F">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(6)评标专家无法查看并检验电子投标文件中相关资料的；</w:t>
      </w:r>
    </w:p>
    <w:p w14:paraId="3C51EE75">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(7)联合体投标未提交联合体协议的；</w:t>
      </w:r>
    </w:p>
    <w:p w14:paraId="6644F361">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(8)责令停产停业的；</w:t>
      </w:r>
    </w:p>
    <w:p w14:paraId="1E19F2B9">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(9)暂停或者取消参与政府采购项目资格的；</w:t>
      </w:r>
    </w:p>
    <w:p w14:paraId="54F4931F">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(10)投标人单位负责人为同一人或者存在（直接）控股、管理关系的不同单位的；</w:t>
      </w:r>
    </w:p>
    <w:p w14:paraId="3867B323">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(11)投标人基本资格条件和特定资格条件中有一项及以上不符合要求的；</w:t>
      </w:r>
    </w:p>
    <w:p w14:paraId="6D167A67">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7969A979">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(13)其它情形，经评标委员会委提出按无效投标处理，并经公共资源交易监督部门核准的；</w:t>
      </w:r>
    </w:p>
    <w:p w14:paraId="748D9D75">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(14)投标人投标MAC地址或投标人联系人或联系电话相同的，由评标委员会否决其投标，并报告监管部门作不良行为处理和进一步调查；</w:t>
      </w:r>
    </w:p>
    <w:p w14:paraId="72E9147F">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(15)投标人单方面出现其他投标人材料的；</w:t>
      </w:r>
    </w:p>
    <w:p w14:paraId="78DA2EE1">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(16)招标公告未写明允许采购进口产品，投标人所投产品为进口产品的；</w:t>
      </w:r>
    </w:p>
    <w:p w14:paraId="358B3883">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(17)招标文件规定的其它无效投标情形。</w:t>
      </w:r>
    </w:p>
    <w:p w14:paraId="01040C49">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3.3投标人有下列情形之一的,符合性审查后其投标按无效投标处理：</w:t>
      </w:r>
    </w:p>
    <w:p w14:paraId="13DF8117">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(1)投标文件签字、盖章不全，经评标委员会一致认定对开评标内容有实质性影响并经公共资源交易监督部门核准的；</w:t>
      </w:r>
    </w:p>
    <w:p w14:paraId="6DF82FD6">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(2)未按规定的格式填写导致实质性内容不全以及实质上不响应，或者关键字迹模糊、无法辨认;经公共资源交易监督部门核准的；</w:t>
      </w:r>
    </w:p>
    <w:p w14:paraId="16404DCD">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(3)同一投标人提交两个以上不同的投标文件或者投标报价，但招标文件规定提交备选方案的除外；</w:t>
      </w:r>
    </w:p>
    <w:p w14:paraId="0FAD6367">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(4)投标文件没有对招标文件的实质性要求和条件作出响应;</w:t>
      </w:r>
    </w:p>
    <w:p w14:paraId="31D6242E">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(5)投标报价超出规定的投标限价或公布的采购预算的或投标人的投标报价各项单价高于招标文件给定的单价最高限价；</w:t>
      </w:r>
    </w:p>
    <w:p w14:paraId="4B7BF5EA">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(6)不按评标委员会要求澄清、说明或补正的，或者评标委员会根据招标文件的规定对投标文件的计算错误进行修正后，投标人不接受修正的投标报价的。</w:t>
      </w:r>
    </w:p>
    <w:p w14:paraId="3329C8CC">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(7)其它情形，经评标委员会委提出按无效投标处理，并经公共资源交易监督部门核准的；</w:t>
      </w:r>
    </w:p>
    <w:p w14:paraId="112C38E7">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(8)投标文件含有采购人不能接受的附加条件的；</w:t>
      </w:r>
    </w:p>
    <w:p w14:paraId="41690F82">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(9)招标文件规定的其它无效投标情形。</w:t>
      </w:r>
    </w:p>
    <w:p w14:paraId="47138DD0">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3.4投标人有下列情形之一的,详细评审后其投标按无效投标处理：</w:t>
      </w:r>
    </w:p>
    <w:p w14:paraId="64132C8F">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(1)投标产品不符合必须强制执行的国家标准的；</w:t>
      </w:r>
    </w:p>
    <w:p w14:paraId="72D0291E">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(2)投标人有串通投标、弄虚作假、行贿等违法行为；</w:t>
      </w:r>
    </w:p>
    <w:p w14:paraId="5F53B1E1">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(3)投标文件含有违反国家法律、法规的内容，或附有采购人不能接受的条件的；</w:t>
      </w:r>
    </w:p>
    <w:p w14:paraId="294226D2">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(4)报价明显低于其他投标人，且不能证明报价合理性的投标无效；</w:t>
      </w:r>
    </w:p>
    <w:p w14:paraId="01561D27">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(5)拒不确认评标委员会评审修正的投标无效；</w:t>
      </w:r>
    </w:p>
    <w:p w14:paraId="672D0CE4">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(6)其它情形，经评标委员会委提出按无效投标处理，并经公共资源交易监督部门核准的；</w:t>
      </w:r>
    </w:p>
    <w:p w14:paraId="14FAE0AF">
      <w:pPr>
        <w:spacing w:line="500" w:lineRule="exact"/>
        <w:ind w:firstLine="437"/>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(7)招标文件规定的其它无效投标情形。</w:t>
      </w:r>
    </w:p>
    <w:p w14:paraId="78F4D45B">
      <w:pPr>
        <w:spacing w:line="500" w:lineRule="exact"/>
        <w:ind w:firstLine="43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(6)其它情形，经评标委员会委提出按无效投标处理，并经公共资源交易监督部门核准的；</w:t>
      </w:r>
    </w:p>
    <w:p w14:paraId="4B5BC3B6">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(7)招标文件规定的其它无效投标情形</w:t>
      </w:r>
      <w:r>
        <w:rPr>
          <w:rFonts w:hint="eastAsia" w:ascii="宋体" w:hAnsi="宋体" w:eastAsia="宋体" w:cs="宋体"/>
          <w:color w:val="auto"/>
          <w:sz w:val="24"/>
          <w:szCs w:val="24"/>
          <w:highlight w:val="none"/>
          <w:lang w:eastAsia="zh-CN"/>
        </w:rPr>
        <w:t>。</w:t>
      </w:r>
      <w:r>
        <w:rPr>
          <w:rFonts w:asciiTheme="minorEastAsia" w:hAnsiTheme="minorEastAsia" w:eastAsiaTheme="minorEastAsia"/>
          <w:color w:val="auto"/>
          <w:sz w:val="24"/>
          <w:highlight w:val="none"/>
        </w:rPr>
        <w:br w:type="page"/>
      </w:r>
    </w:p>
    <w:p w14:paraId="69E22BB8">
      <w:pPr>
        <w:spacing w:line="360" w:lineRule="auto"/>
        <w:jc w:val="center"/>
        <w:outlineLvl w:val="0"/>
        <w:rPr>
          <w:rFonts w:hint="eastAsia" w:asciiTheme="minorEastAsia" w:hAnsiTheme="minorEastAsia" w:eastAsiaTheme="minorEastAsia"/>
          <w:b/>
          <w:color w:val="auto"/>
          <w:sz w:val="28"/>
          <w:highlight w:val="none"/>
          <w:lang w:eastAsia="zh-CN"/>
        </w:rPr>
      </w:pPr>
      <w:bookmarkStart w:id="55" w:name="_Toc20405"/>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5"/>
    </w:p>
    <w:p w14:paraId="3467FE52">
      <w:pPr>
        <w:spacing w:line="480" w:lineRule="auto"/>
        <w:jc w:val="center"/>
        <w:outlineLvl w:val="9"/>
        <w:rPr>
          <w:rFonts w:cs="Times New Roman" w:asciiTheme="minorEastAsia" w:hAnsiTheme="minorEastAsia" w:eastAsiaTheme="minorEastAsia"/>
          <w:b/>
          <w:color w:val="auto"/>
          <w:sz w:val="28"/>
          <w:szCs w:val="28"/>
          <w:highlight w:val="none"/>
        </w:rPr>
      </w:pPr>
      <w:bookmarkStart w:id="56" w:name="_Toc331685784"/>
    </w:p>
    <w:p w14:paraId="3AA1F80E">
      <w:pPr>
        <w:spacing w:line="480" w:lineRule="auto"/>
        <w:jc w:val="center"/>
        <w:outlineLvl w:val="9"/>
        <w:rPr>
          <w:rFonts w:cs="Times New Roman" w:asciiTheme="minorEastAsia" w:hAnsiTheme="minorEastAsia" w:eastAsiaTheme="minorEastAsia"/>
          <w:b/>
          <w:color w:val="auto"/>
          <w:sz w:val="28"/>
          <w:szCs w:val="28"/>
          <w:highlight w:val="none"/>
        </w:rPr>
      </w:pPr>
    </w:p>
    <w:p w14:paraId="136074D2">
      <w:pPr>
        <w:pStyle w:val="8"/>
        <w:rPr>
          <w:color w:val="auto"/>
          <w:highlight w:val="none"/>
        </w:rPr>
      </w:pPr>
    </w:p>
    <w:p w14:paraId="3875F78A">
      <w:pPr>
        <w:spacing w:line="480" w:lineRule="auto"/>
        <w:jc w:val="center"/>
        <w:outlineLvl w:val="1"/>
        <w:rPr>
          <w:rFonts w:cs="Times New Roman" w:asciiTheme="minorEastAsia" w:hAnsiTheme="minorEastAsia" w:eastAsiaTheme="minorEastAsia"/>
          <w:b/>
          <w:color w:val="auto"/>
          <w:sz w:val="28"/>
          <w:szCs w:val="28"/>
          <w:highlight w:val="none"/>
        </w:rPr>
      </w:pPr>
      <w:bookmarkStart w:id="57" w:name="_Toc3714"/>
      <w:r>
        <w:rPr>
          <w:rFonts w:cs="Times New Roman" w:asciiTheme="minorEastAsia" w:hAnsiTheme="minorEastAsia" w:eastAsiaTheme="minorEastAsia"/>
          <w:b/>
          <w:color w:val="auto"/>
          <w:sz w:val="28"/>
          <w:szCs w:val="28"/>
          <w:highlight w:val="none"/>
        </w:rPr>
        <w:t>政府采购合同</w:t>
      </w:r>
      <w:r>
        <w:rPr>
          <w:rFonts w:hint="eastAsia" w:cs="Times New Roman" w:asciiTheme="minorEastAsia" w:hAnsiTheme="minorEastAsia" w:eastAsiaTheme="minorEastAsia"/>
          <w:b/>
          <w:color w:val="auto"/>
          <w:sz w:val="28"/>
          <w:szCs w:val="28"/>
          <w:highlight w:val="none"/>
        </w:rPr>
        <w:t>参考范本</w:t>
      </w:r>
      <w:bookmarkEnd w:id="57"/>
    </w:p>
    <w:p w14:paraId="1C77319F">
      <w:pPr>
        <w:spacing w:line="480" w:lineRule="auto"/>
        <w:jc w:val="center"/>
        <w:outlineLvl w:val="1"/>
        <w:rPr>
          <w:rFonts w:cs="Times New Roman" w:asciiTheme="minorEastAsia" w:hAnsiTheme="minorEastAsia" w:eastAsiaTheme="minorEastAsia"/>
          <w:b/>
          <w:color w:val="auto"/>
          <w:sz w:val="28"/>
          <w:szCs w:val="28"/>
          <w:highlight w:val="none"/>
        </w:rPr>
      </w:pPr>
      <w:bookmarkStart w:id="58" w:name="_Toc8560"/>
      <w:r>
        <w:rPr>
          <w:rFonts w:hint="eastAsia" w:cs="Times New Roman" w:asciiTheme="minorEastAsia" w:hAnsiTheme="minorEastAsia" w:eastAsiaTheme="minorEastAsia"/>
          <w:b/>
          <w:color w:val="auto"/>
          <w:sz w:val="28"/>
          <w:szCs w:val="28"/>
          <w:highlight w:val="none"/>
        </w:rPr>
        <w:t>（服务类）</w:t>
      </w:r>
      <w:bookmarkEnd w:id="58"/>
    </w:p>
    <w:p w14:paraId="466127EF">
      <w:pPr>
        <w:spacing w:line="480" w:lineRule="auto"/>
        <w:jc w:val="center"/>
        <w:rPr>
          <w:rFonts w:cs="Times New Roman" w:asciiTheme="minorEastAsia" w:hAnsiTheme="minorEastAsia" w:eastAsiaTheme="minorEastAsia"/>
          <w:b/>
          <w:color w:val="auto"/>
          <w:sz w:val="24"/>
          <w:szCs w:val="24"/>
          <w:highlight w:val="none"/>
        </w:rPr>
      </w:pPr>
    </w:p>
    <w:p w14:paraId="55BFF498">
      <w:pPr>
        <w:spacing w:line="480" w:lineRule="auto"/>
        <w:jc w:val="center"/>
        <w:rPr>
          <w:rFonts w:cs="Times New Roman" w:asciiTheme="minorEastAsia" w:hAnsiTheme="minorEastAsia" w:eastAsiaTheme="minorEastAsia"/>
          <w:b/>
          <w:color w:val="auto"/>
          <w:sz w:val="24"/>
          <w:szCs w:val="24"/>
          <w:highlight w:val="none"/>
        </w:rPr>
      </w:pPr>
    </w:p>
    <w:p w14:paraId="00CAA0A5">
      <w:pPr>
        <w:spacing w:line="480" w:lineRule="auto"/>
        <w:jc w:val="center"/>
        <w:rPr>
          <w:rFonts w:cs="Times New Roman" w:asciiTheme="minorEastAsia" w:hAnsiTheme="minorEastAsia" w:eastAsiaTheme="minorEastAsia"/>
          <w:b/>
          <w:color w:val="auto"/>
          <w:sz w:val="24"/>
          <w:szCs w:val="24"/>
          <w:highlight w:val="none"/>
        </w:rPr>
      </w:pPr>
    </w:p>
    <w:p w14:paraId="350F0F5D">
      <w:pPr>
        <w:spacing w:line="360" w:lineRule="auto"/>
        <w:jc w:val="center"/>
        <w:outlineLvl w:val="1"/>
        <w:rPr>
          <w:rFonts w:asciiTheme="minorEastAsia" w:hAnsiTheme="minorEastAsia" w:eastAsiaTheme="minorEastAsia"/>
          <w:b/>
          <w:color w:val="auto"/>
          <w:sz w:val="24"/>
          <w:highlight w:val="none"/>
        </w:rPr>
      </w:pPr>
      <w:bookmarkStart w:id="59" w:name="_Toc2449"/>
      <w:r>
        <w:rPr>
          <w:rFonts w:hint="eastAsia" w:asciiTheme="minorEastAsia" w:hAnsiTheme="minorEastAsia" w:eastAsiaTheme="minorEastAsia"/>
          <w:b/>
          <w:color w:val="auto"/>
          <w:sz w:val="24"/>
          <w:highlight w:val="none"/>
        </w:rPr>
        <w:t>第一部分 合同书</w:t>
      </w:r>
      <w:bookmarkEnd w:id="59"/>
    </w:p>
    <w:p w14:paraId="7125BCA4">
      <w:pPr>
        <w:spacing w:line="480" w:lineRule="auto"/>
        <w:jc w:val="center"/>
        <w:rPr>
          <w:rFonts w:cs="Times New Roman" w:asciiTheme="minorEastAsia" w:hAnsiTheme="minorEastAsia" w:eastAsiaTheme="minorEastAsia"/>
          <w:b/>
          <w:color w:val="auto"/>
          <w:sz w:val="24"/>
          <w:szCs w:val="24"/>
          <w:highlight w:val="none"/>
        </w:rPr>
      </w:pPr>
    </w:p>
    <w:p w14:paraId="0450391B">
      <w:pPr>
        <w:spacing w:line="480" w:lineRule="auto"/>
        <w:jc w:val="center"/>
        <w:rPr>
          <w:rFonts w:cs="Times New Roman" w:asciiTheme="minorEastAsia" w:hAnsiTheme="minorEastAsia" w:eastAsiaTheme="minorEastAsia"/>
          <w:b/>
          <w:color w:val="auto"/>
          <w:sz w:val="24"/>
          <w:szCs w:val="24"/>
          <w:highlight w:val="none"/>
        </w:rPr>
      </w:pPr>
    </w:p>
    <w:p w14:paraId="7F8FA7D6">
      <w:pPr>
        <w:pStyle w:val="8"/>
        <w:rPr>
          <w:color w:val="auto"/>
          <w:highlight w:val="none"/>
        </w:rPr>
      </w:pPr>
    </w:p>
    <w:p w14:paraId="6694D951">
      <w:pPr>
        <w:pStyle w:val="8"/>
        <w:rPr>
          <w:color w:val="auto"/>
          <w:highlight w:val="none"/>
        </w:rPr>
      </w:pPr>
    </w:p>
    <w:p w14:paraId="6FFEDF0E">
      <w:pPr>
        <w:spacing w:before="120" w:line="480" w:lineRule="auto"/>
        <w:ind w:left="960"/>
        <w:rPr>
          <w:rFonts w:hint="default" w:cs="Times New Roman" w:asciiTheme="minorEastAsia" w:hAnsiTheme="minorEastAsia" w:eastAsiaTheme="minorEastAsia"/>
          <w:color w:val="auto"/>
          <w:sz w:val="24"/>
          <w:szCs w:val="24"/>
          <w:highlight w:val="none"/>
          <w:u w:val="single"/>
          <w:lang w:val="en-US" w:eastAsia="zh-CN"/>
        </w:rPr>
      </w:pPr>
      <w:r>
        <w:rPr>
          <w:rFonts w:hint="eastAsia" w:cs="Times New Roman" w:asciiTheme="minorEastAsia" w:hAnsiTheme="minorEastAsia" w:eastAsiaTheme="minorEastAsia"/>
          <w:color w:val="auto"/>
          <w:sz w:val="24"/>
          <w:szCs w:val="24"/>
          <w:highlight w:val="none"/>
        </w:rPr>
        <w:t>项目名称：</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eastAsia="zh-CN"/>
        </w:rPr>
        <w:t>《滁州日报》印刷服务</w:t>
      </w:r>
      <w:r>
        <w:rPr>
          <w:rFonts w:hint="eastAsia" w:cs="Times New Roman" w:asciiTheme="minorEastAsia" w:hAnsiTheme="minorEastAsia" w:eastAsiaTheme="minorEastAsia"/>
          <w:color w:val="auto"/>
          <w:sz w:val="24"/>
          <w:szCs w:val="24"/>
          <w:highlight w:val="none"/>
          <w:u w:val="single"/>
          <w:lang w:val="en-US" w:eastAsia="zh-CN"/>
        </w:rPr>
        <w:t xml:space="preserve">  </w:t>
      </w:r>
    </w:p>
    <w:p w14:paraId="026B1F55">
      <w:pPr>
        <w:spacing w:before="120" w:line="480" w:lineRule="auto"/>
        <w:ind w:left="96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项目编号：</w:t>
      </w:r>
      <w:r>
        <w:rPr>
          <w:rFonts w:hint="eastAsia" w:cs="Times New Roman" w:asciiTheme="minorEastAsia" w:hAnsiTheme="minorEastAsia" w:eastAsiaTheme="minorEastAsia"/>
          <w:color w:val="auto"/>
          <w:sz w:val="24"/>
          <w:szCs w:val="24"/>
          <w:highlight w:val="none"/>
          <w:u w:val="single"/>
        </w:rPr>
        <w:t xml:space="preserve">        </w:t>
      </w:r>
    </w:p>
    <w:p w14:paraId="10AEC6D7">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甲方（采购人）：</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eastAsia="zh-CN"/>
        </w:rPr>
        <w:t>滁州日报社</w:t>
      </w:r>
      <w:r>
        <w:rPr>
          <w:rFonts w:hint="eastAsia" w:cs="Times New Roman" w:asciiTheme="minorEastAsia" w:hAnsiTheme="minorEastAsia" w:eastAsiaTheme="minorEastAsia"/>
          <w:color w:val="auto"/>
          <w:sz w:val="24"/>
          <w:szCs w:val="24"/>
          <w:highlight w:val="none"/>
          <w:u w:val="single"/>
        </w:rPr>
        <w:t xml:space="preserve">     </w:t>
      </w:r>
    </w:p>
    <w:p w14:paraId="23E278CD">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p>
    <w:p w14:paraId="6C50A6CB">
      <w:pPr>
        <w:spacing w:before="120" w:line="480" w:lineRule="auto"/>
        <w:ind w:firstLine="960" w:firstLineChars="40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签订地：</w:t>
      </w:r>
      <w:r>
        <w:rPr>
          <w:rFonts w:hint="eastAsia" w:cs="Times New Roman" w:asciiTheme="minorEastAsia" w:hAnsiTheme="minorEastAsia" w:eastAsiaTheme="minorEastAsia"/>
          <w:color w:val="auto"/>
          <w:sz w:val="24"/>
          <w:szCs w:val="24"/>
          <w:highlight w:val="none"/>
          <w:u w:val="single"/>
        </w:rPr>
        <w:t xml:space="preserve">                                     </w:t>
      </w:r>
    </w:p>
    <w:p w14:paraId="36147CE0">
      <w:pPr>
        <w:spacing w:before="120" w:line="480" w:lineRule="auto"/>
        <w:ind w:firstLine="960" w:firstLineChars="4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签订日期：</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年</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月</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日</w:t>
      </w:r>
    </w:p>
    <w:p w14:paraId="6A3DEBBB">
      <w:pPr>
        <w:widowControl/>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7E614C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滁州日报社</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以下简称：甲方</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u w:val="single"/>
          <w:lang w:val="en-US" w:eastAsia="zh-CN"/>
        </w:rPr>
        <w:t>滁州市政府采购中心</w:t>
      </w:r>
      <w:r>
        <w:rPr>
          <w:rFonts w:hint="eastAsia" w:asciiTheme="minorEastAsia" w:hAnsiTheme="minorEastAsia" w:eastAsiaTheme="minorEastAsia"/>
          <w:color w:val="auto"/>
          <w:sz w:val="24"/>
          <w:highlight w:val="none"/>
        </w:rPr>
        <w:t>组织的</w:t>
      </w:r>
      <w:r>
        <w:rPr>
          <w:rFonts w:hint="eastAsia" w:asciiTheme="minorEastAsia" w:hAnsiTheme="minorEastAsia" w:eastAsiaTheme="minorEastAsia"/>
          <w:color w:val="auto"/>
          <w:sz w:val="24"/>
          <w:highlight w:val="none"/>
          <w:u w:val="single"/>
        </w:rPr>
        <w:t>公开招标</w:t>
      </w:r>
      <w:r>
        <w:rPr>
          <w:rFonts w:hint="eastAsia" w:asciiTheme="minorEastAsia" w:hAnsiTheme="minorEastAsia" w:eastAsiaTheme="minorEastAsia"/>
          <w:color w:val="auto"/>
          <w:sz w:val="24"/>
          <w:highlight w:val="none"/>
        </w:rPr>
        <w:t>方式采购活动，经</w:t>
      </w:r>
      <w:r>
        <w:rPr>
          <w:rFonts w:hint="eastAsia" w:asciiTheme="minorEastAsia" w:hAnsiTheme="minorEastAsia" w:eastAsiaTheme="minorEastAsia"/>
          <w:color w:val="auto"/>
          <w:sz w:val="24"/>
          <w:highlight w:val="none"/>
          <w:u w:val="single"/>
        </w:rPr>
        <w:t>评标委员会</w:t>
      </w:r>
      <w:r>
        <w:rPr>
          <w:rFonts w:hint="eastAsia" w:asciiTheme="minorEastAsia" w:hAnsiTheme="minorEastAsia" w:eastAsiaTheme="minorEastAsia"/>
          <w:color w:val="auto"/>
          <w:sz w:val="24"/>
          <w:highlight w:val="none"/>
        </w:rPr>
        <w:t>评定，</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以下简称：乙方</w:t>
      </w:r>
      <w:r>
        <w:rPr>
          <w:rFonts w:hint="eastAsia" w:asciiTheme="minorEastAsia" w:hAnsiTheme="minorEastAsia" w:eastAsiaTheme="minorEastAsia"/>
          <w:color w:val="auto"/>
          <w:sz w:val="24"/>
          <w:highlight w:val="none"/>
        </w:rPr>
        <w:t>）为本项目中标人，现</w:t>
      </w:r>
      <w:r>
        <w:rPr>
          <w:rFonts w:hint="eastAsia" w:cs="Times New Roman" w:asciiTheme="minorEastAsia" w:hAnsiTheme="minorEastAsia" w:eastAsiaTheme="minorEastAsia"/>
          <w:color w:val="auto"/>
          <w:sz w:val="24"/>
          <w:szCs w:val="24"/>
          <w:highlight w:val="none"/>
        </w:rPr>
        <w:t>按照采购文件确定的事项签订本合同。</w:t>
      </w:r>
    </w:p>
    <w:p w14:paraId="77B4257B">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7AFC414D">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0" w:name="_Toc24059"/>
      <w:bookmarkStart w:id="61" w:name="_Toc3029"/>
      <w:bookmarkStart w:id="62" w:name="_Toc2232"/>
      <w:r>
        <w:rPr>
          <w:rFonts w:hint="eastAsia" w:cs="Times New Roman" w:asciiTheme="minorEastAsia" w:hAnsiTheme="minorEastAsia" w:eastAsiaTheme="minorEastAsia"/>
          <w:b/>
          <w:bCs/>
          <w:color w:val="auto"/>
          <w:sz w:val="24"/>
          <w:szCs w:val="24"/>
          <w:highlight w:val="none"/>
          <w:lang w:val="zh-CN"/>
        </w:rPr>
        <w:t>1.1</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合同组成部分</w:t>
      </w:r>
      <w:bookmarkEnd w:id="60"/>
      <w:bookmarkEnd w:id="61"/>
      <w:bookmarkEnd w:id="62"/>
    </w:p>
    <w:p w14:paraId="5D4357B2">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8E2A1BE">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1.1.1本合同及其补充合同、变更协议；</w:t>
      </w:r>
    </w:p>
    <w:p w14:paraId="5E9029B7">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1.1.2中标通知书；</w:t>
      </w:r>
    </w:p>
    <w:p w14:paraId="02365254">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1.1.3投标文件（含澄清或者说明文件）；</w:t>
      </w:r>
    </w:p>
    <w:p w14:paraId="1C06C5CB">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1.1.4招标文件（含澄清或者修改文件）；</w:t>
      </w:r>
    </w:p>
    <w:p w14:paraId="4C40EAD2">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1.1.5其他相关采购文件。</w:t>
      </w:r>
    </w:p>
    <w:p w14:paraId="36A2DD07">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3" w:name="_Toc6311"/>
      <w:bookmarkStart w:id="64" w:name="_Toc6773"/>
      <w:bookmarkStart w:id="65" w:name="_Toc2918"/>
      <w:bookmarkStart w:id="66" w:name="_Toc18585"/>
      <w:bookmarkStart w:id="67" w:name="_Toc22185"/>
      <w:r>
        <w:rPr>
          <w:rFonts w:hint="eastAsia" w:cs="Times New Roman" w:asciiTheme="minorEastAsia" w:hAnsiTheme="minorEastAsia" w:eastAsiaTheme="minorEastAsia"/>
          <w:b/>
          <w:bCs/>
          <w:color w:val="auto"/>
          <w:sz w:val="24"/>
          <w:szCs w:val="24"/>
          <w:highlight w:val="none"/>
          <w:lang w:val="zh-CN"/>
        </w:rPr>
        <w:t xml:space="preserve">1.2 </w:t>
      </w:r>
      <w:bookmarkEnd w:id="63"/>
      <w:bookmarkEnd w:id="64"/>
      <w:bookmarkEnd w:id="65"/>
      <w:bookmarkEnd w:id="66"/>
      <w:bookmarkEnd w:id="67"/>
      <w:r>
        <w:rPr>
          <w:rFonts w:hint="eastAsia" w:cs="Times New Roman" w:asciiTheme="minorEastAsia" w:hAnsiTheme="minorEastAsia" w:eastAsiaTheme="minorEastAsia"/>
          <w:b/>
          <w:bCs/>
          <w:color w:val="auto"/>
          <w:sz w:val="24"/>
          <w:szCs w:val="24"/>
          <w:highlight w:val="none"/>
          <w:lang w:val="zh-CN"/>
        </w:rPr>
        <w:t>服务</w:t>
      </w:r>
    </w:p>
    <w:p w14:paraId="02B08CAD">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1.2.1服务</w:t>
      </w:r>
      <w:r>
        <w:rPr>
          <w:rFonts w:cs="Times New Roman" w:asciiTheme="minorEastAsia" w:hAnsiTheme="minorEastAsia" w:eastAsiaTheme="minorEastAsia"/>
          <w:color w:val="auto"/>
          <w:sz w:val="24"/>
          <w:szCs w:val="24"/>
          <w:highlight w:val="none"/>
        </w:rPr>
        <w:t>名称：</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5C6783E2">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1.2.2服务内容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2EDF0CE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1.2.3服务质量：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2A5BB48D">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8" w:name="_Toc23292"/>
      <w:bookmarkStart w:id="69" w:name="_Toc21551"/>
      <w:bookmarkStart w:id="70" w:name="_Toc21631"/>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3 </w:t>
      </w:r>
      <w:r>
        <w:rPr>
          <w:rFonts w:hint="eastAsia" w:cs="Times New Roman" w:asciiTheme="minorEastAsia" w:hAnsiTheme="minorEastAsia" w:eastAsiaTheme="minorEastAsia"/>
          <w:b/>
          <w:bCs/>
          <w:color w:val="auto"/>
          <w:sz w:val="24"/>
          <w:szCs w:val="24"/>
          <w:highlight w:val="none"/>
          <w:lang w:val="zh-CN"/>
        </w:rPr>
        <w:t>价款</w:t>
      </w:r>
      <w:bookmarkEnd w:id="68"/>
      <w:bookmarkEnd w:id="69"/>
      <w:bookmarkEnd w:id="70"/>
    </w:p>
    <w:p w14:paraId="71FA1749">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本合同总价为</w:t>
      </w:r>
      <w:r>
        <w:rPr>
          <w:rFonts w:hint="eastAsia"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元</w:t>
      </w:r>
      <w:r>
        <w:rPr>
          <w:rFonts w:hint="eastAsia" w:cs="Times New Roman" w:asciiTheme="minorEastAsia" w:hAnsiTheme="minorEastAsia" w:eastAsiaTheme="minorEastAsia"/>
          <w:color w:val="auto"/>
          <w:sz w:val="24"/>
          <w:szCs w:val="24"/>
          <w:highlight w:val="none"/>
        </w:rPr>
        <w:t>（大写：人民币</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元）</w:t>
      </w:r>
      <w:r>
        <w:rPr>
          <w:rFonts w:cs="Times New Roman" w:asciiTheme="minorEastAsia" w:hAnsiTheme="minorEastAsia" w:eastAsiaTheme="minorEastAsia"/>
          <w:color w:val="auto"/>
          <w:sz w:val="24"/>
          <w:szCs w:val="24"/>
          <w:highlight w:val="none"/>
        </w:rPr>
        <w:t>。</w:t>
      </w:r>
    </w:p>
    <w:p w14:paraId="3779207A">
      <w:pPr>
        <w:spacing w:line="360" w:lineRule="auto"/>
        <w:ind w:firstLine="435"/>
        <w:rPr>
          <w:rFonts w:cs="Times New Roman" w:asciiTheme="minorEastAsia" w:hAnsiTheme="minorEastAsia" w:eastAsiaTheme="minorEastAsia"/>
          <w:color w:val="auto"/>
          <w:sz w:val="24"/>
          <w:szCs w:val="24"/>
          <w:highlight w:val="none"/>
          <w:u w:val="single"/>
        </w:rPr>
      </w:pPr>
      <w:r>
        <w:rPr>
          <w:rFonts w:cs="Times New Roman" w:asciiTheme="minorEastAsia" w:hAnsiTheme="minorEastAsia" w:eastAsiaTheme="minorEastAsia"/>
          <w:color w:val="auto"/>
          <w:sz w:val="24"/>
          <w:szCs w:val="24"/>
          <w:highlight w:val="none"/>
        </w:rPr>
        <w:t>分项价格：</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225E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7A079E07">
            <w:pPr>
              <w:jc w:val="center"/>
              <w:rPr>
                <w:rFonts w:cs="Times New Roman" w:asciiTheme="minorEastAsia" w:hAnsiTheme="minorEastAsia" w:eastAsiaTheme="minorEastAsia"/>
                <w:color w:val="auto"/>
                <w:sz w:val="24"/>
                <w:szCs w:val="24"/>
                <w:highlight w:val="none"/>
                <w:lang w:val="zh-CN"/>
              </w:rPr>
            </w:pPr>
            <w:r>
              <w:rPr>
                <w:rFonts w:cs="Times New Roman" w:asciiTheme="minorEastAsia" w:hAnsiTheme="minorEastAsia" w:eastAsiaTheme="minorEastAsia"/>
                <w:color w:val="auto"/>
                <w:sz w:val="24"/>
                <w:szCs w:val="24"/>
                <w:highlight w:val="none"/>
                <w:lang w:val="zh-CN"/>
              </w:rPr>
              <w:t>序号</w:t>
            </w:r>
          </w:p>
        </w:tc>
        <w:tc>
          <w:tcPr>
            <w:tcW w:w="4316" w:type="dxa"/>
            <w:vAlign w:val="center"/>
          </w:tcPr>
          <w:p w14:paraId="6706EFAD">
            <w:pPr>
              <w:ind w:firstLine="200"/>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分项名称</w:t>
            </w:r>
          </w:p>
        </w:tc>
        <w:tc>
          <w:tcPr>
            <w:tcW w:w="3237" w:type="dxa"/>
            <w:gridSpan w:val="2"/>
            <w:vAlign w:val="center"/>
          </w:tcPr>
          <w:p w14:paraId="76A5E49F">
            <w:pPr>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分项价格</w:t>
            </w:r>
          </w:p>
        </w:tc>
      </w:tr>
      <w:tr w14:paraId="32E0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B4B7DAD">
            <w:pPr>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w:t>
            </w:r>
          </w:p>
        </w:tc>
        <w:tc>
          <w:tcPr>
            <w:tcW w:w="4316" w:type="dxa"/>
            <w:vAlign w:val="center"/>
          </w:tcPr>
          <w:p w14:paraId="46C090B7">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45D05B27">
            <w:pPr>
              <w:ind w:firstLine="200"/>
              <w:jc w:val="center"/>
              <w:rPr>
                <w:rFonts w:cs="Times New Roman" w:asciiTheme="minorEastAsia" w:hAnsiTheme="minorEastAsia" w:eastAsiaTheme="minorEastAsia"/>
                <w:color w:val="auto"/>
                <w:sz w:val="24"/>
                <w:szCs w:val="24"/>
                <w:highlight w:val="none"/>
              </w:rPr>
            </w:pPr>
          </w:p>
        </w:tc>
      </w:tr>
      <w:tr w14:paraId="21B1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A2F16C6">
            <w:pPr>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2</w:t>
            </w:r>
          </w:p>
        </w:tc>
        <w:tc>
          <w:tcPr>
            <w:tcW w:w="4316" w:type="dxa"/>
            <w:vAlign w:val="center"/>
          </w:tcPr>
          <w:p w14:paraId="59EC4B84">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06C3AD64">
            <w:pPr>
              <w:ind w:firstLine="200"/>
              <w:jc w:val="center"/>
              <w:rPr>
                <w:rFonts w:cs="Times New Roman" w:asciiTheme="minorEastAsia" w:hAnsiTheme="minorEastAsia" w:eastAsiaTheme="minorEastAsia"/>
                <w:color w:val="auto"/>
                <w:sz w:val="24"/>
                <w:szCs w:val="24"/>
                <w:highlight w:val="none"/>
              </w:rPr>
            </w:pPr>
          </w:p>
        </w:tc>
      </w:tr>
      <w:tr w14:paraId="56B1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063B22D">
            <w:pPr>
              <w:jc w:val="center"/>
              <w:rPr>
                <w:rFonts w:cs="Times New Roman" w:asciiTheme="minorEastAsia" w:hAnsiTheme="minorEastAsia" w:eastAsiaTheme="minorEastAsia"/>
                <w:color w:val="auto"/>
                <w:sz w:val="24"/>
                <w:szCs w:val="24"/>
                <w:highlight w:val="none"/>
                <w:lang w:val="zh-CN"/>
              </w:rPr>
            </w:pPr>
            <w:r>
              <w:rPr>
                <w:rFonts w:cs="Times New Roman" w:asciiTheme="minorEastAsia" w:hAnsiTheme="minorEastAsia" w:eastAsiaTheme="minorEastAsia"/>
                <w:color w:val="auto"/>
                <w:sz w:val="24"/>
                <w:szCs w:val="24"/>
                <w:highlight w:val="none"/>
                <w:lang w:val="zh-CN"/>
              </w:rPr>
              <w:t>3</w:t>
            </w:r>
          </w:p>
        </w:tc>
        <w:tc>
          <w:tcPr>
            <w:tcW w:w="4316" w:type="dxa"/>
            <w:vAlign w:val="center"/>
          </w:tcPr>
          <w:p w14:paraId="176AAF3A">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56F00F28">
            <w:pPr>
              <w:ind w:firstLine="200"/>
              <w:jc w:val="center"/>
              <w:rPr>
                <w:rFonts w:cs="Times New Roman" w:asciiTheme="minorEastAsia" w:hAnsiTheme="minorEastAsia" w:eastAsiaTheme="minorEastAsia"/>
                <w:color w:val="auto"/>
                <w:sz w:val="24"/>
                <w:szCs w:val="24"/>
                <w:highlight w:val="none"/>
              </w:rPr>
            </w:pPr>
          </w:p>
        </w:tc>
      </w:tr>
      <w:tr w14:paraId="7256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7C2407D2">
            <w:pPr>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w:t>
            </w:r>
          </w:p>
        </w:tc>
        <w:tc>
          <w:tcPr>
            <w:tcW w:w="4316" w:type="dxa"/>
            <w:vAlign w:val="center"/>
          </w:tcPr>
          <w:p w14:paraId="6A83FB12">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521AB8C3">
            <w:pPr>
              <w:ind w:firstLine="200"/>
              <w:jc w:val="center"/>
              <w:rPr>
                <w:rFonts w:cs="Times New Roman" w:asciiTheme="minorEastAsia" w:hAnsiTheme="minorEastAsia" w:eastAsiaTheme="minorEastAsia"/>
                <w:color w:val="auto"/>
                <w:sz w:val="24"/>
                <w:szCs w:val="24"/>
                <w:highlight w:val="none"/>
              </w:rPr>
            </w:pPr>
          </w:p>
        </w:tc>
      </w:tr>
      <w:tr w14:paraId="2BBC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483C6285">
            <w:pPr>
              <w:ind w:firstLine="200"/>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总价</w:t>
            </w:r>
          </w:p>
        </w:tc>
        <w:tc>
          <w:tcPr>
            <w:tcW w:w="3237" w:type="dxa"/>
            <w:gridSpan w:val="2"/>
            <w:vAlign w:val="center"/>
          </w:tcPr>
          <w:p w14:paraId="04368E3E">
            <w:pPr>
              <w:ind w:firstLine="200"/>
              <w:jc w:val="center"/>
              <w:rPr>
                <w:rFonts w:cs="Times New Roman" w:asciiTheme="minorEastAsia" w:hAnsiTheme="minorEastAsia" w:eastAsiaTheme="minorEastAsia"/>
                <w:color w:val="auto"/>
                <w:sz w:val="24"/>
                <w:szCs w:val="24"/>
                <w:highlight w:val="none"/>
              </w:rPr>
            </w:pPr>
          </w:p>
        </w:tc>
      </w:tr>
    </w:tbl>
    <w:p w14:paraId="15672FCB">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1" w:name="_Toc22618"/>
      <w:bookmarkStart w:id="72" w:name="_Toc1814"/>
      <w:bookmarkStart w:id="73" w:name="_Toc10340"/>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4 付款方式和发票开具方式</w:t>
      </w:r>
      <w:bookmarkEnd w:id="71"/>
      <w:bookmarkEnd w:id="72"/>
      <w:bookmarkEnd w:id="73"/>
    </w:p>
    <w:p w14:paraId="675BC05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1.4.1</w:t>
      </w:r>
      <w:r>
        <w:rPr>
          <w:rFonts w:cs="Times New Roman" w:asciiTheme="minorEastAsia" w:hAnsiTheme="minorEastAsia" w:eastAsiaTheme="minorEastAsia"/>
          <w:color w:val="auto"/>
          <w:sz w:val="24"/>
          <w:szCs w:val="24"/>
          <w:highlight w:val="none"/>
        </w:rPr>
        <w:t>付款方式：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44744C21">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1.4.2发票开具方式：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596871F3">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4" w:name="_Toc32071"/>
      <w:bookmarkStart w:id="75" w:name="_Toc2846"/>
      <w:bookmarkStart w:id="76" w:name="_Toc19304"/>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5 </w:t>
      </w:r>
      <w:r>
        <w:rPr>
          <w:rFonts w:hint="eastAsia" w:cs="Times New Roman" w:asciiTheme="minorEastAsia" w:hAnsiTheme="minorEastAsia" w:eastAsiaTheme="minorEastAsia"/>
          <w:b/>
          <w:bCs/>
          <w:color w:val="auto"/>
          <w:sz w:val="24"/>
          <w:szCs w:val="24"/>
          <w:highlight w:val="none"/>
          <w:lang w:val="zh-CN"/>
        </w:rPr>
        <w:t>服务</w:t>
      </w:r>
      <w:r>
        <w:rPr>
          <w:rFonts w:cs="Times New Roman" w:asciiTheme="minorEastAsia" w:hAnsiTheme="minorEastAsia" w:eastAsiaTheme="minorEastAsia"/>
          <w:b/>
          <w:bCs/>
          <w:color w:val="auto"/>
          <w:sz w:val="24"/>
          <w:szCs w:val="24"/>
          <w:highlight w:val="none"/>
          <w:lang w:val="zh-CN"/>
        </w:rPr>
        <w:t>期限</w:t>
      </w:r>
      <w:r>
        <w:rPr>
          <w:rFonts w:hint="eastAsia" w:cs="Times New Roman" w:asciiTheme="minorEastAsia" w:hAnsiTheme="minorEastAsia" w:eastAsiaTheme="minorEastAsia"/>
          <w:b/>
          <w:bCs/>
          <w:color w:val="auto"/>
          <w:sz w:val="24"/>
          <w:szCs w:val="24"/>
          <w:highlight w:val="none"/>
          <w:lang w:val="zh-CN"/>
        </w:rPr>
        <w:t>、地点和方式</w:t>
      </w:r>
      <w:bookmarkEnd w:id="74"/>
      <w:bookmarkEnd w:id="75"/>
      <w:bookmarkEnd w:id="76"/>
    </w:p>
    <w:p w14:paraId="4603405B">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1.5.1服务期限</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63BAB21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1.5.2服务地点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581BE40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1.5.3服务方式：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71137BA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7" w:name="_Toc21423"/>
      <w:bookmarkStart w:id="78" w:name="_Toc27250"/>
      <w:bookmarkStart w:id="79" w:name="_Toc19554"/>
      <w:r>
        <w:rPr>
          <w:rFonts w:hint="eastAsia" w:cs="Times New Roman" w:asciiTheme="minorEastAsia" w:hAnsiTheme="minorEastAsia" w:eastAsiaTheme="minorEastAsia"/>
          <w:b/>
          <w:bCs/>
          <w:color w:val="auto"/>
          <w:sz w:val="24"/>
          <w:szCs w:val="24"/>
          <w:highlight w:val="none"/>
          <w:lang w:val="zh-CN"/>
        </w:rPr>
        <w:t>1.6 违约责任</w:t>
      </w:r>
      <w:bookmarkEnd w:id="77"/>
      <w:bookmarkEnd w:id="78"/>
      <w:bookmarkEnd w:id="79"/>
    </w:p>
    <w:p w14:paraId="3E6750A7">
      <w:pPr>
        <w:spacing w:line="440" w:lineRule="exact"/>
        <w:ind w:firstLine="435"/>
        <w:rPr>
          <w:rFonts w:hint="eastAsia" w:cs="Times New Roman" w:asciiTheme="minorEastAsia" w:hAnsiTheme="minorEastAsia" w:eastAsiaTheme="minorEastAsia"/>
          <w:color w:val="auto"/>
          <w:sz w:val="24"/>
          <w:szCs w:val="24"/>
          <w:highlight w:val="none"/>
          <w:lang w:eastAsia="zh-CN"/>
        </w:rPr>
      </w:pPr>
      <w:bookmarkStart w:id="80" w:name="_Toc16021"/>
      <w:bookmarkStart w:id="81" w:name="_Toc28375"/>
      <w:bookmarkStart w:id="82" w:name="_Toc15583"/>
      <w:r>
        <w:rPr>
          <w:rFonts w:hint="eastAsia" w:cs="Times New Roman" w:asciiTheme="minorEastAsia" w:hAnsiTheme="minorEastAsia" w:eastAsiaTheme="minorEastAsia"/>
          <w:color w:val="auto"/>
          <w:sz w:val="24"/>
          <w:szCs w:val="24"/>
          <w:highlight w:val="none"/>
        </w:rPr>
        <w:t>1.6.1</w:t>
      </w:r>
      <w:r>
        <w:rPr>
          <w:rFonts w:hint="eastAsia" w:asciiTheme="minorEastAsia" w:hAnsiTheme="minorEastAsia" w:eastAsiaTheme="minorEastAsia"/>
          <w:color w:val="auto"/>
          <w:sz w:val="24"/>
          <w:highlight w:val="none"/>
        </w:rPr>
        <w:t>除不可抗力外，如果乙方没有按照本合同约定的期限、地点和方式履行，那么甲方可要求乙方支付违约金，违约金按每迟延履行一日的应提供而未提供服务价格的</w:t>
      </w:r>
      <w:r>
        <w:rPr>
          <w:rFonts w:hint="eastAsia" w:asciiTheme="minorEastAsia" w:hAnsiTheme="minorEastAsia" w:eastAsiaTheme="minorEastAsia"/>
          <w:color w:val="auto"/>
          <w:sz w:val="24"/>
          <w:highlight w:val="none"/>
          <w:u w:val="single"/>
        </w:rPr>
        <w:t xml:space="preserve"> 0.1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10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；迟延履行的违约金计算数额达到前述最高限额之日起，甲方有权在要求乙方支付违约金的同时，书面通知乙方解除本合同</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违约金从当季工程进度款中扣除）</w:t>
      </w:r>
      <w:r>
        <w:rPr>
          <w:rFonts w:hint="eastAsia" w:asciiTheme="minorEastAsia" w:hAnsiTheme="minorEastAsia" w:eastAsiaTheme="minorEastAsia"/>
          <w:color w:val="auto"/>
          <w:sz w:val="24"/>
          <w:highlight w:val="none"/>
        </w:rPr>
        <w:t>；</w:t>
      </w:r>
    </w:p>
    <w:p w14:paraId="6E8F2C65">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1.6.2除不可抗力外，如果甲方没有按照本合同约定的付款方式付款，那么乙方可要求甲方支付违约金，违约金按每迟延付款一日的应付而未付款的 0.1 %计算，最高限额为本合同总价的10%；迟延付款的违约金计算数额达到前述最高限额之日起，乙方有权在要求甲方支付违约金的同时，书面通知甲方解除本合同；</w:t>
      </w:r>
    </w:p>
    <w:p w14:paraId="12DA8403">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988094A">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BAE07BD">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F43DCD7">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0A3924FF">
      <w:pPr>
        <w:spacing w:line="440" w:lineRule="exact"/>
        <w:ind w:firstLine="435"/>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1.6.7因甲方未按合同约定支付价款、未按合同约定受领标的物、擅自解除合同</w:t>
      </w:r>
      <w:r>
        <w:rPr>
          <w:rFonts w:hint="eastAsia" w:cs="Times New Roman" w:asciiTheme="minorEastAsia" w:hAnsiTheme="minorEastAsia" w:eastAsiaTheme="minorEastAsia"/>
          <w:color w:val="auto"/>
          <w:sz w:val="24"/>
          <w:szCs w:val="24"/>
          <w:highlight w:val="none"/>
        </w:rPr>
        <w:t>、逾期退还履约保证金</w:t>
      </w:r>
      <w:r>
        <w:rPr>
          <w:rFonts w:cs="Times New Roman" w:asciiTheme="minorEastAsia" w:hAnsiTheme="minorEastAsia" w:eastAsiaTheme="minorEastAsia"/>
          <w:color w:val="auto"/>
          <w:sz w:val="24"/>
          <w:szCs w:val="24"/>
          <w:highlight w:val="none"/>
        </w:rPr>
        <w:t>导致乙方遭受的直接损失，乙方可向甲方申请赔偿，赔偿金额由双方协商一致；</w:t>
      </w:r>
      <w:r>
        <w:rPr>
          <w:rFonts w:hint="eastAsia" w:cs="Times New Roman" w:asciiTheme="minorEastAsia" w:hAnsiTheme="minorEastAsia" w:eastAsiaTheme="minorEastAsia"/>
          <w:color w:val="auto"/>
          <w:sz w:val="24"/>
          <w:szCs w:val="24"/>
          <w:highlight w:val="none"/>
        </w:rPr>
        <w:t>针对因政策变化等原因不能签订合同或解除合同时，造成乙方合法利益受损的情形，可以给予乙方合理补偿，补偿金额不得超过乙方的直接损失。</w:t>
      </w:r>
    </w:p>
    <w:p w14:paraId="41C59444">
      <w:pPr>
        <w:spacing w:line="360" w:lineRule="auto"/>
        <w:ind w:firstLine="437"/>
        <w:outlineLvl w:val="2"/>
        <w:rPr>
          <w:rFonts w:cs="Times New Roman" w:asciiTheme="minorEastAsia" w:hAnsiTheme="minorEastAsia" w:eastAsiaTheme="minorEastAsia"/>
          <w:b/>
          <w:bCs/>
          <w:color w:val="auto"/>
          <w:sz w:val="24"/>
          <w:szCs w:val="24"/>
          <w:highlight w:val="none"/>
          <w:lang w:val="zh-CN"/>
        </w:rPr>
      </w:pPr>
      <w:r>
        <w:rPr>
          <w:rFonts w:hint="eastAsia" w:cs="Times New Roman" w:asciiTheme="minorEastAsia" w:hAnsiTheme="minorEastAsia" w:eastAsiaTheme="minorEastAsia"/>
          <w:b/>
          <w:bCs/>
          <w:color w:val="auto"/>
          <w:sz w:val="24"/>
          <w:szCs w:val="24"/>
          <w:highlight w:val="none"/>
          <w:lang w:val="zh-CN"/>
        </w:rPr>
        <w:t>1.7</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w:t>
      </w:r>
      <w:r>
        <w:rPr>
          <w:rFonts w:cs="Times New Roman" w:asciiTheme="minorEastAsia" w:hAnsiTheme="minorEastAsia" w:eastAsiaTheme="minorEastAsia"/>
          <w:b/>
          <w:bCs/>
          <w:color w:val="auto"/>
          <w:sz w:val="24"/>
          <w:szCs w:val="24"/>
          <w:highlight w:val="none"/>
          <w:lang w:val="zh-CN"/>
        </w:rPr>
        <w:t>争议的解决</w:t>
      </w:r>
      <w:bookmarkEnd w:id="80"/>
      <w:bookmarkEnd w:id="81"/>
      <w:bookmarkEnd w:id="82"/>
    </w:p>
    <w:p w14:paraId="72D9A9E8">
      <w:pPr>
        <w:spacing w:line="440" w:lineRule="exact"/>
        <w:ind w:firstLine="435"/>
        <w:rPr>
          <w:rFonts w:hint="eastAsia" w:cs="Times New Roman" w:asciiTheme="minorEastAsia" w:hAnsiTheme="minorEastAsia" w:eastAsiaTheme="minorEastAsia"/>
          <w:color w:val="auto"/>
          <w:sz w:val="24"/>
          <w:szCs w:val="24"/>
          <w:highlight w:val="none"/>
        </w:rPr>
      </w:pPr>
      <w:bookmarkStart w:id="83" w:name="_Toc7245"/>
      <w:bookmarkStart w:id="84" w:name="_Toc11173"/>
      <w:bookmarkStart w:id="85" w:name="_Toc15322"/>
      <w:r>
        <w:rPr>
          <w:rFonts w:hint="eastAsia" w:cs="Times New Roman" w:asciiTheme="minorEastAsia" w:hAnsiTheme="minorEastAsia" w:eastAsiaTheme="minorEastAsia"/>
          <w:color w:val="auto"/>
          <w:sz w:val="24"/>
          <w:szCs w:val="24"/>
          <w:highlight w:val="none"/>
        </w:rPr>
        <w:t>本合同履行过程中发生的任何争议，双方当事人均可通过和解或者调解解决；不愿和解、调解或者和解、调解不成的，可以选择下列第</w:t>
      </w:r>
      <w:r>
        <w:rPr>
          <w:rFonts w:hint="eastAsia" w:cs="Times New Roman" w:asciiTheme="minorEastAsia" w:hAnsiTheme="minorEastAsia" w:eastAsiaTheme="minorEastAsia"/>
          <w:color w:val="auto"/>
          <w:sz w:val="24"/>
          <w:szCs w:val="24"/>
          <w:highlight w:val="none"/>
          <w:u w:val="single"/>
        </w:rPr>
        <w:t xml:space="preserve">  1  </w:t>
      </w:r>
      <w:r>
        <w:rPr>
          <w:rFonts w:hint="eastAsia" w:cs="Times New Roman" w:asciiTheme="minorEastAsia" w:hAnsiTheme="minorEastAsia" w:eastAsiaTheme="minorEastAsia"/>
          <w:color w:val="auto"/>
          <w:sz w:val="24"/>
          <w:szCs w:val="24"/>
          <w:highlight w:val="none"/>
        </w:rPr>
        <w:t>种方式解决：</w:t>
      </w:r>
    </w:p>
    <w:p w14:paraId="5F951847">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（1）将争议提交</w:t>
      </w:r>
      <w:r>
        <w:rPr>
          <w:rFonts w:hint="eastAsia" w:cs="Times New Roman" w:asciiTheme="minorEastAsia" w:hAnsiTheme="minorEastAsia" w:eastAsiaTheme="minorEastAsia"/>
          <w:color w:val="auto"/>
          <w:sz w:val="24"/>
          <w:szCs w:val="24"/>
          <w:highlight w:val="none"/>
          <w:u w:val="single"/>
        </w:rPr>
        <w:t xml:space="preserve">  滁州    </w:t>
      </w:r>
      <w:r>
        <w:rPr>
          <w:rFonts w:hint="eastAsia" w:cs="Times New Roman" w:asciiTheme="minorEastAsia" w:hAnsiTheme="minorEastAsia" w:eastAsiaTheme="minorEastAsia"/>
          <w:color w:val="auto"/>
          <w:sz w:val="24"/>
          <w:szCs w:val="24"/>
          <w:highlight w:val="none"/>
        </w:rPr>
        <w:t>仲裁委员会依申请仲裁时其现行有效的仲裁规则裁决；</w:t>
      </w:r>
    </w:p>
    <w:p w14:paraId="620FAD63">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（2）向</w:t>
      </w:r>
      <w:r>
        <w:rPr>
          <w:rFonts w:hint="eastAsia" w:cs="Times New Roman" w:asciiTheme="minorEastAsia" w:hAnsiTheme="minorEastAsia" w:eastAsiaTheme="minorEastAsia"/>
          <w:color w:val="auto"/>
          <w:sz w:val="24"/>
          <w:szCs w:val="24"/>
          <w:highlight w:val="none"/>
          <w:u w:val="single"/>
        </w:rPr>
        <w:t xml:space="preserve">  /  </w:t>
      </w:r>
      <w:r>
        <w:rPr>
          <w:rFonts w:hint="eastAsia" w:cs="Times New Roman" w:asciiTheme="minorEastAsia" w:hAnsiTheme="minorEastAsia" w:eastAsiaTheme="minorEastAsia"/>
          <w:color w:val="auto"/>
          <w:sz w:val="24"/>
          <w:szCs w:val="24"/>
          <w:highlight w:val="none"/>
        </w:rPr>
        <w:t>人民法院起诉。</w:t>
      </w:r>
    </w:p>
    <w:p w14:paraId="2407D7F3">
      <w:pPr>
        <w:spacing w:line="360" w:lineRule="auto"/>
        <w:ind w:firstLine="437"/>
        <w:outlineLvl w:val="2"/>
        <w:rPr>
          <w:rFonts w:cs="Times New Roman" w:asciiTheme="minorEastAsia" w:hAnsiTheme="minorEastAsia" w:eastAsiaTheme="minorEastAsia"/>
          <w:b/>
          <w:bCs/>
          <w:color w:val="auto"/>
          <w:sz w:val="24"/>
          <w:szCs w:val="24"/>
          <w:highlight w:val="none"/>
          <w:lang w:val="zh-CN"/>
        </w:rPr>
      </w:pPr>
      <w:r>
        <w:rPr>
          <w:rFonts w:hint="eastAsia" w:cs="Times New Roman" w:asciiTheme="minorEastAsia" w:hAnsiTheme="minorEastAsia" w:eastAsiaTheme="minorEastAsia"/>
          <w:b/>
          <w:bCs/>
          <w:color w:val="auto"/>
          <w:sz w:val="24"/>
          <w:szCs w:val="24"/>
          <w:highlight w:val="none"/>
          <w:lang w:val="zh-CN"/>
        </w:rPr>
        <w:t>1.8</w:t>
      </w:r>
      <w:r>
        <w:rPr>
          <w:rFonts w:cs="Times New Roman" w:asciiTheme="minorEastAsia" w:hAnsiTheme="minorEastAsia" w:eastAsiaTheme="minorEastAsia"/>
          <w:b/>
          <w:bCs/>
          <w:color w:val="auto"/>
          <w:sz w:val="24"/>
          <w:szCs w:val="24"/>
          <w:highlight w:val="none"/>
          <w:lang w:val="zh-CN"/>
        </w:rPr>
        <w:t xml:space="preserve"> 合同生效</w:t>
      </w:r>
      <w:bookmarkEnd w:id="83"/>
      <w:bookmarkEnd w:id="84"/>
      <w:bookmarkEnd w:id="85"/>
    </w:p>
    <w:p w14:paraId="7BCC4997">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本合同自</w:t>
      </w:r>
      <w:r>
        <w:rPr>
          <w:rFonts w:hint="eastAsia" w:cs="Times New Roman" w:asciiTheme="minorEastAsia" w:hAnsiTheme="minorEastAsia" w:eastAsiaTheme="minorEastAsia"/>
          <w:color w:val="auto"/>
          <w:sz w:val="24"/>
          <w:szCs w:val="24"/>
          <w:highlight w:val="none"/>
        </w:rPr>
        <w:t>双方当事人盖章时</w:t>
      </w:r>
      <w:r>
        <w:rPr>
          <w:rFonts w:cs="Times New Roman" w:asciiTheme="minorEastAsia" w:hAnsiTheme="minorEastAsia" w:eastAsiaTheme="minorEastAsia"/>
          <w:color w:val="auto"/>
          <w:sz w:val="24"/>
          <w:szCs w:val="24"/>
          <w:highlight w:val="none"/>
        </w:rPr>
        <w:t>生效。</w:t>
      </w:r>
    </w:p>
    <w:p w14:paraId="018F0032">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13947649">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22058FE1">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68D163CD">
      <w:pPr>
        <w:autoSpaceDE w:val="0"/>
        <w:autoSpaceDN w:val="0"/>
        <w:adjustRightInd w:val="0"/>
        <w:spacing w:line="560" w:lineRule="exact"/>
        <w:rPr>
          <w:rFonts w:cs="Times New Roman" w:asciiTheme="minorEastAsia" w:hAnsiTheme="minorEastAsia" w:eastAsiaTheme="minorEastAsia"/>
          <w:bCs/>
          <w:color w:val="auto"/>
          <w:sz w:val="24"/>
          <w:szCs w:val="24"/>
          <w:highlight w:val="none"/>
          <w:lang w:val="zh-CN"/>
        </w:rPr>
      </w:pPr>
      <w:r>
        <w:rPr>
          <w:rFonts w:hint="eastAsia" w:cs="Times New Roman" w:asciiTheme="minorEastAsia" w:hAnsiTheme="minorEastAsia" w:eastAsiaTheme="minorEastAsia"/>
          <w:bCs/>
          <w:color w:val="auto"/>
          <w:sz w:val="24"/>
          <w:szCs w:val="24"/>
          <w:highlight w:val="none"/>
          <w:lang w:val="zh-CN"/>
        </w:rPr>
        <w:t xml:space="preserve">甲 </w:t>
      </w:r>
      <w:r>
        <w:rPr>
          <w:rFonts w:cs="Times New Roman" w:asciiTheme="minorEastAsia" w:hAnsiTheme="minorEastAsia" w:eastAsiaTheme="minorEastAsia"/>
          <w:bCs/>
          <w:color w:val="auto"/>
          <w:sz w:val="24"/>
          <w:szCs w:val="24"/>
          <w:highlight w:val="none"/>
          <w:lang w:val="zh-CN"/>
        </w:rPr>
        <w:t xml:space="preserve">   </w:t>
      </w:r>
      <w:r>
        <w:rPr>
          <w:rFonts w:hint="eastAsia" w:cs="Times New Roman" w:asciiTheme="minorEastAsia" w:hAnsiTheme="minorEastAsia" w:eastAsiaTheme="minorEastAsia"/>
          <w:bCs/>
          <w:color w:val="auto"/>
          <w:sz w:val="24"/>
          <w:szCs w:val="24"/>
          <w:highlight w:val="none"/>
          <w:lang w:val="zh-CN"/>
        </w:rPr>
        <w:t>方：</w:t>
      </w:r>
      <w:r>
        <w:rPr>
          <w:rFonts w:hint="eastAsia" w:cs="Times New Roman" w:asciiTheme="minorEastAsia" w:hAnsiTheme="minorEastAsia" w:eastAsiaTheme="minorEastAsia"/>
          <w:bCs/>
          <w:color w:val="auto"/>
          <w:sz w:val="24"/>
          <w:szCs w:val="24"/>
          <w:highlight w:val="none"/>
          <w:u w:val="single"/>
          <w:lang w:val="zh-CN"/>
        </w:rPr>
        <w:t xml:space="preserve">    （单位盖章）     </w:t>
      </w:r>
      <w:r>
        <w:rPr>
          <w:rFonts w:hint="eastAsia" w:cs="Times New Roman" w:asciiTheme="minorEastAsia" w:hAnsiTheme="minorEastAsia" w:eastAsiaTheme="minorEastAsia"/>
          <w:bCs/>
          <w:color w:val="auto"/>
          <w:sz w:val="24"/>
          <w:szCs w:val="24"/>
          <w:highlight w:val="none"/>
          <w:lang w:val="zh-CN"/>
        </w:rPr>
        <w:t xml:space="preserve">          乙方：</w:t>
      </w:r>
      <w:r>
        <w:rPr>
          <w:rFonts w:hint="eastAsia" w:cs="Times New Roman" w:asciiTheme="minorEastAsia" w:hAnsiTheme="minorEastAsia" w:eastAsiaTheme="minorEastAsia"/>
          <w:bCs/>
          <w:color w:val="auto"/>
          <w:sz w:val="24"/>
          <w:szCs w:val="24"/>
          <w:highlight w:val="none"/>
          <w:u w:val="single"/>
          <w:lang w:val="zh-CN"/>
        </w:rPr>
        <w:t xml:space="preserve">    （单位盖章）     </w:t>
      </w:r>
    </w:p>
    <w:p w14:paraId="36CB1EF2">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 xml:space="preserve">法定代表人                             </w:t>
      </w:r>
      <w:r>
        <w:rPr>
          <w:rFonts w:cs="Times New Roman" w:asciiTheme="minorEastAsia" w:hAnsiTheme="minorEastAsia" w:eastAsiaTheme="minorEastAsia"/>
          <w:color w:val="auto"/>
          <w:sz w:val="24"/>
          <w:szCs w:val="24"/>
          <w:highlight w:val="none"/>
          <w:lang w:val="zh-CN"/>
        </w:rPr>
        <w:t xml:space="preserve">  </w:t>
      </w:r>
      <w:r>
        <w:rPr>
          <w:rFonts w:hint="eastAsia" w:cs="Times New Roman" w:asciiTheme="minorEastAsia" w:hAnsiTheme="minorEastAsia" w:eastAsiaTheme="minorEastAsia"/>
          <w:color w:val="auto"/>
          <w:sz w:val="24"/>
          <w:szCs w:val="24"/>
          <w:highlight w:val="none"/>
          <w:lang w:val="zh-CN"/>
        </w:rPr>
        <w:t>法定代表人</w:t>
      </w:r>
    </w:p>
    <w:p w14:paraId="4070CA9D">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或授权代表（签字）：                      或授权代表（签字）：</w:t>
      </w:r>
    </w:p>
    <w:p w14:paraId="01CC75B0">
      <w:pPr>
        <w:widowControl/>
        <w:spacing w:line="560" w:lineRule="exact"/>
        <w:jc w:val="left"/>
        <w:rPr>
          <w:rFonts w:cs="Times New Roman" w:asciiTheme="minorEastAsia" w:hAnsiTheme="minorEastAsia" w:eastAsiaTheme="minorEastAsia"/>
          <w:bCs/>
          <w:color w:val="auto"/>
          <w:sz w:val="24"/>
          <w:szCs w:val="24"/>
          <w:highlight w:val="none"/>
        </w:rPr>
      </w:pPr>
      <w:bookmarkStart w:id="86" w:name="_Toc331685783"/>
      <w:r>
        <w:rPr>
          <w:rFonts w:hint="eastAsia" w:cs="Times New Roman" w:asciiTheme="minorEastAsia" w:hAnsiTheme="minorEastAsia" w:eastAsiaTheme="minorEastAsia"/>
          <w:bCs/>
          <w:color w:val="auto"/>
          <w:sz w:val="24"/>
          <w:szCs w:val="24"/>
          <w:highlight w:val="none"/>
        </w:rPr>
        <w:t>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               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w:t>
      </w:r>
    </w:p>
    <w:p w14:paraId="1FC5061F">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bookmarkStart w:id="87" w:name="_Hlk110099149"/>
      <w:r>
        <w:rPr>
          <w:rFonts w:hint="eastAsia" w:ascii="宋体" w:hAnsi="宋体" w:eastAsia="宋体"/>
          <w:color w:val="auto"/>
          <w:sz w:val="24"/>
          <w:szCs w:val="24"/>
          <w:highlight w:val="none"/>
        </w:rPr>
        <w:t>乙方账户信息</w:t>
      </w:r>
    </w:p>
    <w:p w14:paraId="7B7BC559">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户名：</w:t>
      </w:r>
      <w:r>
        <w:rPr>
          <w:rFonts w:hint="eastAsia" w:ascii="宋体" w:hAnsi="宋体" w:eastAsia="宋体"/>
          <w:color w:val="auto"/>
          <w:sz w:val="24"/>
          <w:szCs w:val="24"/>
          <w:highlight w:val="none"/>
          <w:u w:val="single"/>
        </w:rPr>
        <w:t xml:space="preserve">            </w:t>
      </w:r>
    </w:p>
    <w:p w14:paraId="202B0FF0">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账号：</w:t>
      </w:r>
      <w:r>
        <w:rPr>
          <w:rFonts w:hint="eastAsia" w:ascii="宋体" w:hAnsi="宋体" w:eastAsia="宋体"/>
          <w:color w:val="auto"/>
          <w:sz w:val="24"/>
          <w:szCs w:val="24"/>
          <w:highlight w:val="none"/>
          <w:u w:val="single"/>
        </w:rPr>
        <w:t xml:space="preserve">            </w:t>
      </w:r>
    </w:p>
    <w:p w14:paraId="5F312720">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开户银行：</w:t>
      </w:r>
      <w:r>
        <w:rPr>
          <w:rFonts w:hint="eastAsia" w:ascii="宋体" w:hAnsi="宋体" w:eastAsia="宋体"/>
          <w:color w:val="auto"/>
          <w:sz w:val="24"/>
          <w:szCs w:val="24"/>
          <w:highlight w:val="none"/>
          <w:u w:val="single"/>
        </w:rPr>
        <w:t xml:space="preserve">        </w:t>
      </w:r>
    </w:p>
    <w:bookmarkEnd w:id="87"/>
    <w:p w14:paraId="33323D2B">
      <w:pPr>
        <w:widowControl/>
        <w:jc w:val="left"/>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br w:type="page"/>
      </w:r>
    </w:p>
    <w:p w14:paraId="6035A12B">
      <w:pPr>
        <w:spacing w:line="360" w:lineRule="auto"/>
        <w:jc w:val="center"/>
        <w:outlineLvl w:val="1"/>
        <w:rPr>
          <w:rFonts w:asciiTheme="minorEastAsia" w:hAnsiTheme="minorEastAsia" w:eastAsiaTheme="minorEastAsia"/>
          <w:b/>
          <w:color w:val="auto"/>
          <w:sz w:val="24"/>
          <w:highlight w:val="none"/>
        </w:rPr>
      </w:pPr>
      <w:bookmarkStart w:id="88" w:name="_Toc415"/>
      <w:r>
        <w:rPr>
          <w:rFonts w:hint="eastAsia" w:asciiTheme="minorEastAsia" w:hAnsiTheme="minorEastAsia" w:eastAsiaTheme="minorEastAsia"/>
          <w:b/>
          <w:color w:val="auto"/>
          <w:sz w:val="24"/>
          <w:highlight w:val="none"/>
        </w:rPr>
        <w:t>第二部分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合同一般条款</w:t>
      </w:r>
      <w:bookmarkEnd w:id="86"/>
      <w:bookmarkEnd w:id="88"/>
    </w:p>
    <w:p w14:paraId="3E5CCFFF">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89" w:name="_Ref467379195"/>
      <w:bookmarkStart w:id="90" w:name="_Toc279701240"/>
      <w:bookmarkStart w:id="91" w:name="_Ref467379205"/>
      <w:bookmarkStart w:id="92" w:name="_Ref467379094"/>
      <w:bookmarkStart w:id="93" w:name="_Ref467378404"/>
      <w:bookmarkStart w:id="94" w:name="_Toc259093669"/>
      <w:bookmarkStart w:id="95" w:name="_Ref467379109"/>
      <w:bookmarkStart w:id="96" w:name="_Ref467379225"/>
      <w:bookmarkStart w:id="97" w:name="_Ref467379101"/>
      <w:bookmarkStart w:id="98" w:name="_Toc28763"/>
      <w:bookmarkStart w:id="99" w:name="_Toc16917"/>
      <w:bookmarkStart w:id="100" w:name="_Ref467378499"/>
      <w:bookmarkStart w:id="101" w:name="_Toc487900349"/>
      <w:bookmarkStart w:id="102" w:name="_Ref467379214"/>
      <w:bookmarkStart w:id="103" w:name="_Toc19614"/>
      <w:bookmarkStart w:id="104" w:name="_Ref467378463"/>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 xml:space="preserve"> 定义</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28B093C1">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本合同中的下列</w:t>
      </w:r>
      <w:r>
        <w:rPr>
          <w:rFonts w:hint="eastAsia" w:cs="Times New Roman" w:asciiTheme="minorEastAsia" w:hAnsiTheme="minorEastAsia" w:eastAsiaTheme="minorEastAsia"/>
          <w:color w:val="auto"/>
          <w:sz w:val="24"/>
          <w:szCs w:val="24"/>
          <w:highlight w:val="none"/>
        </w:rPr>
        <w:t>词</w:t>
      </w:r>
      <w:r>
        <w:rPr>
          <w:rFonts w:cs="Times New Roman" w:asciiTheme="minorEastAsia" w:hAnsiTheme="minorEastAsia" w:eastAsiaTheme="minorEastAsia"/>
          <w:color w:val="auto"/>
          <w:sz w:val="24"/>
          <w:szCs w:val="24"/>
          <w:highlight w:val="none"/>
        </w:rPr>
        <w:t>语应</w:t>
      </w:r>
      <w:r>
        <w:rPr>
          <w:rFonts w:hint="eastAsia" w:cs="Times New Roman" w:asciiTheme="minorEastAsia" w:hAnsiTheme="minorEastAsia" w:eastAsiaTheme="minorEastAsia"/>
          <w:color w:val="auto"/>
          <w:sz w:val="24"/>
          <w:szCs w:val="24"/>
          <w:highlight w:val="none"/>
        </w:rPr>
        <w:t>按以下内容进行</w:t>
      </w:r>
      <w:r>
        <w:rPr>
          <w:rFonts w:cs="Times New Roman" w:asciiTheme="minorEastAsia" w:hAnsiTheme="minorEastAsia" w:eastAsiaTheme="minorEastAsia"/>
          <w:color w:val="auto"/>
          <w:sz w:val="24"/>
          <w:szCs w:val="24"/>
          <w:highlight w:val="none"/>
        </w:rPr>
        <w:t>解释：</w:t>
      </w:r>
    </w:p>
    <w:p w14:paraId="5630086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.1</w:t>
      </w:r>
      <w:r>
        <w:rPr>
          <w:rFonts w:cs="Times New Roman" w:asciiTheme="minorEastAsia" w:hAnsiTheme="minorEastAsia" w:eastAsiaTheme="minorEastAsia"/>
          <w:color w:val="auto"/>
          <w:sz w:val="24"/>
          <w:szCs w:val="24"/>
          <w:highlight w:val="none"/>
        </w:rPr>
        <w:t>“合同”系指采购人和中标人签订的载明双方当事人所达成的协议，并包括所有的附件、附录和构成合同的其他文件。</w:t>
      </w:r>
    </w:p>
    <w:p w14:paraId="1260D25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1.2“合同价”系指根据合同约定，中标人在完全履行合同义务后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采购人应支付给中标人的价格。</w:t>
      </w:r>
    </w:p>
    <w:p w14:paraId="1BB58EE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1.3“</w:t>
      </w:r>
      <w:r>
        <w:rPr>
          <w:rFonts w:hint="eastAsia" w:cs="Times New Roman" w:asciiTheme="minorEastAsia" w:hAnsiTheme="minorEastAsia" w:eastAsiaTheme="minorEastAsia"/>
          <w:color w:val="auto"/>
          <w:sz w:val="24"/>
          <w:szCs w:val="24"/>
          <w:highlight w:val="none"/>
        </w:rPr>
        <w:t>服务</w:t>
      </w:r>
      <w:r>
        <w:rPr>
          <w:rFonts w:cs="Times New Roman" w:asciiTheme="minorEastAsia" w:hAnsiTheme="minorEastAsia" w:eastAsiaTheme="minorEastAsia"/>
          <w:color w:val="auto"/>
          <w:sz w:val="24"/>
          <w:szCs w:val="24"/>
          <w:highlight w:val="none"/>
        </w:rPr>
        <w:t>”系指</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根据合同约定应向采购人</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w:t>
      </w:r>
      <w:r>
        <w:rPr>
          <w:rFonts w:hint="eastAsia" w:cs="Times New Roman" w:asciiTheme="minorEastAsia" w:hAnsiTheme="minorEastAsia" w:eastAsiaTheme="minorEastAsia"/>
          <w:color w:val="auto"/>
          <w:sz w:val="24"/>
          <w:szCs w:val="24"/>
          <w:highlight w:val="none"/>
        </w:rPr>
        <w:t>除货物和工程以外的其他政府采购对象，包括采购人自身需要的服务和向社会公众提供的公共服务。</w:t>
      </w:r>
    </w:p>
    <w:p w14:paraId="7B877A5A">
      <w:pPr>
        <w:spacing w:line="360" w:lineRule="auto"/>
        <w:ind w:firstLine="435"/>
        <w:rPr>
          <w:rFonts w:cs="Times New Roman" w:asciiTheme="minorEastAsia" w:hAnsiTheme="minorEastAsia" w:eastAsiaTheme="minorEastAsia"/>
          <w:color w:val="auto"/>
          <w:sz w:val="24"/>
          <w:szCs w:val="24"/>
          <w:highlight w:val="none"/>
        </w:rPr>
      </w:pPr>
      <w:bookmarkStart w:id="105" w:name="_Ref46737884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甲方</w:t>
      </w:r>
      <w:r>
        <w:rPr>
          <w:rFonts w:cs="Times New Roman" w:asciiTheme="minorEastAsia" w:hAnsiTheme="minorEastAsia" w:eastAsiaTheme="minorEastAsia"/>
          <w:color w:val="auto"/>
          <w:sz w:val="24"/>
          <w:szCs w:val="24"/>
          <w:highlight w:val="none"/>
        </w:rPr>
        <w:t>”系指与</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签署合同的采购人</w:t>
      </w:r>
      <w:bookmarkEnd w:id="105"/>
      <w:r>
        <w:rPr>
          <w:rFonts w:hint="eastAsia" w:cs="Times New Roman" w:asciiTheme="minorEastAsia" w:hAnsiTheme="minorEastAsia" w:eastAsiaTheme="minorEastAsia"/>
          <w:color w:val="auto"/>
          <w:sz w:val="24"/>
          <w:szCs w:val="24"/>
          <w:highlight w:val="none"/>
        </w:rPr>
        <w:t>；采购人委托采购代理机构代表其与乙方签订合同的，采购人的授权委托书作为合同附件。</w:t>
      </w:r>
    </w:p>
    <w:p w14:paraId="51109731">
      <w:pPr>
        <w:spacing w:line="360" w:lineRule="auto"/>
        <w:ind w:firstLine="435"/>
        <w:rPr>
          <w:rFonts w:cs="Times New Roman" w:asciiTheme="minorEastAsia" w:hAnsiTheme="minorEastAsia" w:eastAsiaTheme="minorEastAsia"/>
          <w:color w:val="auto"/>
          <w:sz w:val="24"/>
          <w:szCs w:val="24"/>
          <w:highlight w:val="none"/>
        </w:rPr>
      </w:pPr>
      <w:bookmarkStart w:id="106" w:name="_Ref46737940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“乙方”系指根据合同约定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的中标人</w:t>
      </w:r>
      <w:bookmarkEnd w:id="106"/>
      <w:r>
        <w:rPr>
          <w:rFonts w:hint="eastAsia" w:cs="Times New Roman" w:asciiTheme="minorEastAsia" w:hAnsiTheme="minorEastAsia" w:eastAsiaTheme="minorEastAsia"/>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FDB9B46">
      <w:pPr>
        <w:spacing w:line="360" w:lineRule="auto"/>
        <w:ind w:firstLine="435"/>
        <w:rPr>
          <w:rFonts w:cs="Times New Roman" w:asciiTheme="minorEastAsia" w:hAnsiTheme="minorEastAsia" w:eastAsiaTheme="minorEastAsia"/>
          <w:color w:val="auto"/>
          <w:sz w:val="24"/>
          <w:szCs w:val="24"/>
          <w:highlight w:val="none"/>
        </w:rPr>
      </w:pPr>
      <w:bookmarkStart w:id="107" w:name="_Ref467379436"/>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6</w:t>
      </w:r>
      <w:r>
        <w:rPr>
          <w:rFonts w:cs="Times New Roman" w:asciiTheme="minorEastAsia" w:hAnsiTheme="minorEastAsia" w:eastAsiaTheme="minorEastAsia"/>
          <w:color w:val="auto"/>
          <w:sz w:val="24"/>
          <w:szCs w:val="24"/>
          <w:highlight w:val="none"/>
        </w:rPr>
        <w:t>“现场”系指合同约定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的地点。</w:t>
      </w:r>
      <w:bookmarkEnd w:id="107"/>
    </w:p>
    <w:p w14:paraId="278CAAF0">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08" w:name="_Toc259093670"/>
      <w:bookmarkStart w:id="109" w:name="_Toc32504"/>
      <w:bookmarkStart w:id="110" w:name="_Toc487900350"/>
      <w:bookmarkStart w:id="111" w:name="_Toc27635"/>
      <w:bookmarkStart w:id="112" w:name="_Toc279701241"/>
      <w:bookmarkStart w:id="113" w:name="_Toc13336"/>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2 技术规范</w:t>
      </w:r>
      <w:bookmarkEnd w:id="108"/>
      <w:bookmarkEnd w:id="109"/>
      <w:bookmarkEnd w:id="110"/>
      <w:bookmarkEnd w:id="111"/>
      <w:bookmarkEnd w:id="112"/>
      <w:bookmarkEnd w:id="113"/>
    </w:p>
    <w:p w14:paraId="300860F2">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如果采购文件中没有技术规范的相应说明，那么应以国家有关部门最新颁布的相应标准</w:t>
      </w:r>
      <w:r>
        <w:rPr>
          <w:rFonts w:hint="eastAsia" w:cs="Times New Roman" w:asciiTheme="minorEastAsia" w:hAnsiTheme="minorEastAsia" w:eastAsiaTheme="minorEastAsia"/>
          <w:color w:val="auto"/>
          <w:sz w:val="24"/>
          <w:szCs w:val="24"/>
          <w:highlight w:val="none"/>
        </w:rPr>
        <w:t>和</w:t>
      </w:r>
      <w:r>
        <w:rPr>
          <w:rFonts w:cs="Times New Roman" w:asciiTheme="minorEastAsia" w:hAnsiTheme="minorEastAsia" w:eastAsiaTheme="minorEastAsia"/>
          <w:color w:val="auto"/>
          <w:sz w:val="24"/>
          <w:szCs w:val="24"/>
          <w:highlight w:val="none"/>
        </w:rPr>
        <w:t>规范为准。</w:t>
      </w:r>
    </w:p>
    <w:p w14:paraId="2F1C1CB7">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14" w:name="_Toc279701242"/>
      <w:bookmarkStart w:id="115" w:name="_Toc27853"/>
      <w:bookmarkStart w:id="116" w:name="_Toc31634"/>
      <w:bookmarkStart w:id="117" w:name="_Toc9829"/>
      <w:bookmarkStart w:id="118" w:name="_Toc259093671"/>
      <w:bookmarkStart w:id="119" w:name="_Toc487900351"/>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3 知识产权</w:t>
      </w:r>
      <w:bookmarkEnd w:id="114"/>
      <w:bookmarkEnd w:id="115"/>
      <w:bookmarkEnd w:id="116"/>
      <w:bookmarkEnd w:id="117"/>
      <w:bookmarkEnd w:id="118"/>
      <w:bookmarkEnd w:id="119"/>
    </w:p>
    <w:p w14:paraId="234AB67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2.3.1乙</w:t>
      </w:r>
      <w:r>
        <w:rPr>
          <w:rFonts w:cs="Times New Roman" w:asciiTheme="minorEastAsia" w:hAnsiTheme="minorEastAsia" w:eastAsiaTheme="minorEastAsia"/>
          <w:color w:val="auto"/>
          <w:sz w:val="24"/>
          <w:szCs w:val="24"/>
          <w:highlight w:val="none"/>
        </w:rPr>
        <w:t>方应保证</w:t>
      </w:r>
      <w:r>
        <w:rPr>
          <w:rFonts w:hint="eastAsia" w:cs="Times New Roman" w:asciiTheme="minorEastAsia" w:hAnsiTheme="minorEastAsia" w:eastAsiaTheme="minorEastAsia"/>
          <w:color w:val="auto"/>
          <w:sz w:val="24"/>
          <w:szCs w:val="24"/>
          <w:highlight w:val="none"/>
        </w:rPr>
        <w:t>其提供的服务</w:t>
      </w:r>
      <w:r>
        <w:rPr>
          <w:rFonts w:cs="Times New Roman" w:asciiTheme="minorEastAsia" w:hAnsiTheme="minorEastAsia" w:eastAsiaTheme="minorEastAsia"/>
          <w:color w:val="auto"/>
          <w:sz w:val="24"/>
          <w:szCs w:val="24"/>
          <w:highlight w:val="none"/>
        </w:rPr>
        <w:t>不受任何第三方提出的侵犯其著作权、商标权、专利权等知识产权方面的起诉</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如果任何第三方提出侵权</w:t>
      </w:r>
      <w:r>
        <w:rPr>
          <w:rFonts w:hint="eastAsia" w:cs="Times New Roman" w:asciiTheme="minorEastAsia" w:hAnsiTheme="minorEastAsia" w:eastAsiaTheme="minorEastAsia"/>
          <w:color w:val="auto"/>
          <w:sz w:val="24"/>
          <w:szCs w:val="24"/>
          <w:highlight w:val="none"/>
        </w:rPr>
        <w:t>指控</w:t>
      </w:r>
      <w:r>
        <w:rPr>
          <w:rFonts w:cs="Times New Roman" w:asciiTheme="minorEastAsia" w:hAnsiTheme="minorEastAsia" w:eastAsiaTheme="minorEastAsia"/>
          <w:color w:val="auto"/>
          <w:sz w:val="24"/>
          <w:szCs w:val="24"/>
          <w:highlight w:val="none"/>
        </w:rPr>
        <w:t>，那么乙方须与该第三方交涉并承担由此发生的一切责任、费用和赔偿</w:t>
      </w:r>
      <w:r>
        <w:rPr>
          <w:rFonts w:hint="eastAsia" w:cs="Times New Roman" w:asciiTheme="minorEastAsia" w:hAnsiTheme="minorEastAsia" w:eastAsiaTheme="minorEastAsia"/>
          <w:color w:val="auto"/>
          <w:sz w:val="24"/>
          <w:szCs w:val="24"/>
          <w:highlight w:val="none"/>
        </w:rPr>
        <w:t>；</w:t>
      </w:r>
    </w:p>
    <w:p w14:paraId="321D5DE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2.3.2具有知识产权的计算机软件等货物的知识产权归属，</w:t>
      </w: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6CD55CDB">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20" w:name="_Toc279701245"/>
      <w:bookmarkStart w:id="121" w:name="_Toc259093674"/>
      <w:bookmarkStart w:id="122" w:name="_Ref467378541"/>
      <w:bookmarkStart w:id="123" w:name="_Ref467379542"/>
      <w:bookmarkStart w:id="124" w:name="_Ref467378591"/>
      <w:bookmarkStart w:id="125" w:name="_Ref467379527"/>
      <w:bookmarkStart w:id="126" w:name="_Toc487900354"/>
      <w:bookmarkStart w:id="127" w:name="_Ref467379536"/>
      <w:bookmarkStart w:id="128" w:name="_Toc30272"/>
      <w:bookmarkStart w:id="129" w:name="_Toc19074"/>
      <w:bookmarkStart w:id="130" w:name="_Toc26182"/>
      <w:r>
        <w:rPr>
          <w:rFonts w:hint="eastAsia" w:cs="Times New Roman" w:asciiTheme="minorEastAsia" w:hAnsiTheme="minorEastAsia" w:eastAsiaTheme="minorEastAsia"/>
          <w:b/>
          <w:bCs/>
          <w:color w:val="auto"/>
          <w:sz w:val="24"/>
          <w:szCs w:val="24"/>
          <w:highlight w:val="none"/>
          <w:lang w:val="zh-CN"/>
        </w:rPr>
        <w:t>2.</w:t>
      </w:r>
      <w:bookmarkEnd w:id="120"/>
      <w:bookmarkEnd w:id="121"/>
      <w:bookmarkEnd w:id="122"/>
      <w:bookmarkEnd w:id="123"/>
      <w:bookmarkEnd w:id="124"/>
      <w:bookmarkEnd w:id="125"/>
      <w:bookmarkEnd w:id="126"/>
      <w:bookmarkEnd w:id="127"/>
      <w:r>
        <w:rPr>
          <w:rFonts w:cs="Times New Roman" w:asciiTheme="minorEastAsia" w:hAnsiTheme="minorEastAsia" w:eastAsiaTheme="minorEastAsia"/>
          <w:b/>
          <w:bCs/>
          <w:color w:val="auto"/>
          <w:sz w:val="24"/>
          <w:szCs w:val="24"/>
          <w:highlight w:val="none"/>
          <w:lang w:val="zh-CN"/>
        </w:rPr>
        <w:t xml:space="preserve">4 </w:t>
      </w:r>
      <w:r>
        <w:rPr>
          <w:rFonts w:hint="eastAsia" w:cs="Times New Roman" w:asciiTheme="minorEastAsia" w:hAnsiTheme="minorEastAsia" w:eastAsiaTheme="minorEastAsia"/>
          <w:b/>
          <w:bCs/>
          <w:color w:val="auto"/>
          <w:sz w:val="24"/>
          <w:szCs w:val="24"/>
          <w:highlight w:val="none"/>
          <w:lang w:val="zh-CN"/>
        </w:rPr>
        <w:t>履约检查和问题反馈</w:t>
      </w:r>
      <w:bookmarkEnd w:id="128"/>
      <w:bookmarkEnd w:id="129"/>
      <w:bookmarkEnd w:id="130"/>
    </w:p>
    <w:p w14:paraId="2FE8FA85">
      <w:pPr>
        <w:spacing w:line="360" w:lineRule="auto"/>
        <w:ind w:firstLine="435"/>
        <w:rPr>
          <w:rFonts w:cs="Times New Roman" w:asciiTheme="minorEastAsia" w:hAnsiTheme="minorEastAsia" w:eastAsiaTheme="minorEastAsia"/>
          <w:color w:val="auto"/>
          <w:sz w:val="24"/>
          <w:szCs w:val="24"/>
          <w:highlight w:val="none"/>
        </w:rPr>
      </w:pPr>
      <w:bookmarkStart w:id="131" w:name="_Toc186431854"/>
      <w:bookmarkStart w:id="132" w:name="_Toc487900357"/>
      <w:bookmarkStart w:id="133" w:name="_Toc259093676"/>
      <w:bookmarkStart w:id="134" w:name="_Toc279701247"/>
      <w:bookmarkStart w:id="135" w:name="_Ref467379793"/>
      <w:bookmarkStart w:id="136" w:name="_Ref467379807"/>
      <w:r>
        <w:rPr>
          <w:rFonts w:hint="eastAsia" w:cs="Times New Roman" w:asciiTheme="minorEastAsia" w:hAnsiTheme="minorEastAsia" w:eastAsiaTheme="minorEastAsia"/>
          <w:color w:val="auto"/>
          <w:sz w:val="24"/>
          <w:szCs w:val="24"/>
          <w:highlight w:val="none"/>
        </w:rPr>
        <w:t>2.4</w:t>
      </w:r>
      <w:r>
        <w:rPr>
          <w:rFonts w:cs="Times New Roman" w:asciiTheme="minorEastAsia" w:hAnsiTheme="minorEastAsia" w:eastAsiaTheme="minorEastAsia"/>
          <w:color w:val="auto"/>
          <w:sz w:val="24"/>
          <w:szCs w:val="24"/>
          <w:highlight w:val="none"/>
        </w:rPr>
        <w:t>.1甲方</w:t>
      </w:r>
      <w:r>
        <w:rPr>
          <w:rFonts w:hint="eastAsia" w:cs="Times New Roman" w:asciiTheme="minorEastAsia" w:hAnsiTheme="minorEastAsia" w:eastAsiaTheme="minorEastAsia"/>
          <w:color w:val="auto"/>
          <w:sz w:val="24"/>
          <w:szCs w:val="24"/>
          <w:highlight w:val="none"/>
        </w:rPr>
        <w:t>有权</w:t>
      </w:r>
      <w:r>
        <w:rPr>
          <w:rFonts w:cs="Times New Roman" w:asciiTheme="minorEastAsia" w:hAnsiTheme="minorEastAsia" w:eastAsiaTheme="minorEastAsia"/>
          <w:color w:val="auto"/>
          <w:sz w:val="24"/>
          <w:szCs w:val="24"/>
          <w:highlight w:val="none"/>
        </w:rPr>
        <w:t>在其认为必要时</w:t>
      </w:r>
      <w:r>
        <w:rPr>
          <w:rFonts w:hint="eastAsia" w:cs="Times New Roman" w:asciiTheme="minorEastAsia" w:hAnsiTheme="minorEastAsia" w:eastAsiaTheme="minorEastAsia"/>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4806AF06">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.2合同履行期间，甲方有权将履行过程中出现的问题反馈给乙方，双方当事人应以书面形式约定需要完善和改进的内容</w:t>
      </w:r>
      <w:bookmarkEnd w:id="131"/>
      <w:bookmarkStart w:id="137" w:name="_Toc186431855"/>
      <w:r>
        <w:rPr>
          <w:rFonts w:hint="eastAsia" w:cs="Times New Roman" w:asciiTheme="minorEastAsia" w:hAnsiTheme="minorEastAsia" w:eastAsiaTheme="minorEastAsia"/>
          <w:color w:val="auto"/>
          <w:sz w:val="24"/>
          <w:szCs w:val="24"/>
          <w:highlight w:val="none"/>
        </w:rPr>
        <w:t>。</w:t>
      </w:r>
    </w:p>
    <w:bookmarkEnd w:id="137"/>
    <w:p w14:paraId="01FB6C6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38" w:name="_Toc19219"/>
      <w:bookmarkStart w:id="139" w:name="_Toc7836"/>
      <w:bookmarkStart w:id="140" w:name="_Toc28451"/>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结算方式和付款条件</w:t>
      </w:r>
      <w:bookmarkEnd w:id="132"/>
      <w:bookmarkEnd w:id="133"/>
      <w:bookmarkEnd w:id="134"/>
      <w:bookmarkEnd w:id="135"/>
      <w:bookmarkEnd w:id="136"/>
      <w:bookmarkEnd w:id="138"/>
      <w:bookmarkEnd w:id="139"/>
      <w:bookmarkEnd w:id="140"/>
    </w:p>
    <w:p w14:paraId="4B7B7229">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452A1C7D">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41" w:name="_Ref467379852"/>
      <w:bookmarkStart w:id="142" w:name="_Toc487900358"/>
      <w:bookmarkStart w:id="143" w:name="_Ref467379863"/>
      <w:bookmarkStart w:id="144" w:name="_Ref467379923"/>
      <w:bookmarkStart w:id="145" w:name="_Toc279701248"/>
      <w:bookmarkStart w:id="146" w:name="_Toc259093677"/>
      <w:bookmarkStart w:id="147" w:name="_Toc16110"/>
      <w:bookmarkStart w:id="148" w:name="_Toc3225"/>
      <w:bookmarkStart w:id="149" w:name="_Toc77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6</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技术资料</w:t>
      </w:r>
      <w:bookmarkEnd w:id="141"/>
      <w:bookmarkEnd w:id="142"/>
      <w:bookmarkEnd w:id="143"/>
      <w:bookmarkEnd w:id="144"/>
      <w:bookmarkEnd w:id="145"/>
      <w:bookmarkEnd w:id="146"/>
      <w:r>
        <w:rPr>
          <w:rFonts w:cs="Times New Roman" w:asciiTheme="minorEastAsia" w:hAnsiTheme="minorEastAsia" w:eastAsiaTheme="minorEastAsia"/>
          <w:b/>
          <w:bCs/>
          <w:color w:val="auto"/>
          <w:sz w:val="24"/>
          <w:szCs w:val="24"/>
          <w:highlight w:val="none"/>
          <w:lang w:val="zh-CN"/>
        </w:rPr>
        <w:t>和保密义务</w:t>
      </w:r>
      <w:bookmarkEnd w:id="147"/>
      <w:bookmarkEnd w:id="148"/>
      <w:bookmarkEnd w:id="149"/>
    </w:p>
    <w:p w14:paraId="0EA7A9C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6.1</w:t>
      </w:r>
      <w:r>
        <w:rPr>
          <w:rFonts w:hint="eastAsia" w:cs="Times New Roman" w:asciiTheme="minorEastAsia" w:hAnsiTheme="minorEastAsia" w:eastAsiaTheme="minorEastAsia"/>
          <w:color w:val="auto"/>
          <w:sz w:val="24"/>
          <w:szCs w:val="24"/>
          <w:highlight w:val="none"/>
        </w:rPr>
        <w:t>乙方有权依据合同约定和项目需要，向甲方了解有关情况，调阅有关资料等，甲方应予积极配合；</w:t>
      </w:r>
    </w:p>
    <w:p w14:paraId="714C69C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.2乙方有义务妥善保管和保护由甲方提供的前款信息和资料等；</w:t>
      </w:r>
    </w:p>
    <w:p w14:paraId="18791F5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auto"/>
          <w:sz w:val="24"/>
          <w:szCs w:val="24"/>
          <w:highlight w:val="none"/>
        </w:rPr>
        <w:t>技术情报</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技术资料</w:t>
      </w:r>
      <w:r>
        <w:rPr>
          <w:rFonts w:hint="eastAsia" w:cs="Times New Roman" w:asciiTheme="minorEastAsia" w:hAnsiTheme="minorEastAsia" w:eastAsiaTheme="minorEastAsia"/>
          <w:color w:val="auto"/>
          <w:sz w:val="24"/>
          <w:szCs w:val="24"/>
          <w:highlight w:val="none"/>
        </w:rPr>
        <w:t>、商业秘密和商业信息等，并采取一切合理和必要措施和方式防止任何第三方接触到对方当事人的上述保密信息和资料。</w:t>
      </w:r>
    </w:p>
    <w:p w14:paraId="06F54DE2">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0" w:name="_Toc7860"/>
      <w:r>
        <w:rPr>
          <w:rFonts w:cs="Times New Roman" w:asciiTheme="minorEastAsia" w:hAnsiTheme="minorEastAsia" w:eastAsiaTheme="minorEastAsia"/>
          <w:b/>
          <w:bCs/>
          <w:color w:val="auto"/>
          <w:sz w:val="24"/>
          <w:szCs w:val="24"/>
          <w:highlight w:val="none"/>
          <w:lang w:val="zh-CN"/>
        </w:rPr>
        <w:t>2.7 质量保证</w:t>
      </w:r>
      <w:bookmarkEnd w:id="150"/>
    </w:p>
    <w:p w14:paraId="045D2CA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.1乙方应建立和完善履行合同的内部质量保证体系，并提供相关内部规章制度给甲方，以便甲方进行监督检查；</w:t>
      </w:r>
    </w:p>
    <w:p w14:paraId="487B096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.2乙方应保证履行合同的人员数量和素质、软件和硬件设备的配置、场地、环境和设施等满足全面履行合同的要求，并应接受甲方的监督检查。</w:t>
      </w:r>
    </w:p>
    <w:p w14:paraId="1E673C10">
      <w:pPr>
        <w:spacing w:line="360" w:lineRule="auto"/>
        <w:ind w:firstLine="437"/>
        <w:outlineLvl w:val="2"/>
        <w:rPr>
          <w:rFonts w:cs="Times New Roman" w:asciiTheme="minorEastAsia" w:hAnsiTheme="minorEastAsia" w:eastAsiaTheme="minorEastAsia"/>
          <w:b/>
          <w:color w:val="auto"/>
          <w:sz w:val="24"/>
          <w:szCs w:val="24"/>
          <w:highlight w:val="none"/>
        </w:rPr>
      </w:pPr>
      <w:bookmarkStart w:id="151" w:name="_Toc22267"/>
      <w:r>
        <w:rPr>
          <w:rFonts w:hint="eastAsia" w:cs="Times New Roman" w:asciiTheme="minorEastAsia" w:hAnsiTheme="minorEastAsia" w:eastAsiaTheme="minorEastAsia"/>
          <w:b/>
          <w:color w:val="auto"/>
          <w:sz w:val="24"/>
          <w:szCs w:val="24"/>
          <w:highlight w:val="none"/>
        </w:rPr>
        <w:t>2.8 延迟履行</w:t>
      </w:r>
      <w:bookmarkEnd w:id="151"/>
    </w:p>
    <w:p w14:paraId="691CDE9B">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在合同履行过程中，如果乙方遇到不能按时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的情况，应及时以书面形式将不能按时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的理由、预期延误时间通知甲方</w:t>
      </w:r>
      <w:r>
        <w:rPr>
          <w:rFonts w:hint="eastAsia" w:cs="Times New Roman" w:asciiTheme="minorEastAsia" w:hAnsiTheme="minorEastAsia" w:eastAsiaTheme="minorEastAsia"/>
          <w:color w:val="auto"/>
          <w:sz w:val="24"/>
          <w:szCs w:val="24"/>
          <w:highlight w:val="none"/>
        </w:rPr>
        <w:t>；甲</w:t>
      </w:r>
      <w:r>
        <w:rPr>
          <w:rFonts w:cs="Times New Roman" w:asciiTheme="minorEastAsia" w:hAnsiTheme="minorEastAsia" w:eastAsiaTheme="minorEastAsia"/>
          <w:color w:val="auto"/>
          <w:sz w:val="24"/>
          <w:szCs w:val="24"/>
          <w:highlight w:val="none"/>
        </w:rPr>
        <w:t>方收到乙方通知后，认为其理由正当的，可以书面形式酌情同意乙方可以延长</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的具体时间。</w:t>
      </w:r>
    </w:p>
    <w:p w14:paraId="5746FED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2" w:name="_Toc7502"/>
      <w:bookmarkStart w:id="153" w:name="_Toc487900364"/>
      <w:bookmarkStart w:id="154" w:name="_Toc279701254"/>
      <w:bookmarkStart w:id="155" w:name="_Toc259093683"/>
      <w:bookmarkStart w:id="156" w:name="_Ref467378121"/>
      <w:r>
        <w:rPr>
          <w:rFonts w:cs="Times New Roman" w:asciiTheme="minorEastAsia" w:hAnsiTheme="minorEastAsia" w:eastAsiaTheme="minorEastAsia"/>
          <w:b/>
          <w:bCs/>
          <w:color w:val="auto"/>
          <w:sz w:val="24"/>
          <w:szCs w:val="24"/>
          <w:highlight w:val="none"/>
          <w:lang w:val="zh-CN"/>
        </w:rPr>
        <w:t>2.9 合同变更</w:t>
      </w:r>
      <w:bookmarkEnd w:id="152"/>
    </w:p>
    <w:p w14:paraId="01ED918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.1双方当事人协商一致，可以签订书面补充合同的形式变更合同，但不得违背采购文件确定的事项；</w:t>
      </w:r>
    </w:p>
    <w:p w14:paraId="5642E3A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57" w:name="_Toc487900369"/>
      <w:bookmarkStart w:id="158" w:name="_Toc259093688"/>
      <w:bookmarkStart w:id="159" w:name="_Toc279701259"/>
    </w:p>
    <w:p w14:paraId="2A0BC8A6">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0" w:name="_Toc22955"/>
      <w:bookmarkStart w:id="161" w:name="_Toc10366"/>
      <w:bookmarkStart w:id="162" w:name="_Toc15237"/>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0</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合同转让</w:t>
      </w:r>
      <w:bookmarkEnd w:id="157"/>
      <w:bookmarkEnd w:id="158"/>
      <w:bookmarkEnd w:id="159"/>
      <w:r>
        <w:rPr>
          <w:rFonts w:cs="Times New Roman" w:asciiTheme="minorEastAsia" w:hAnsiTheme="minorEastAsia" w:eastAsiaTheme="minorEastAsia"/>
          <w:b/>
          <w:bCs/>
          <w:color w:val="auto"/>
          <w:sz w:val="24"/>
          <w:szCs w:val="24"/>
          <w:highlight w:val="none"/>
          <w:lang w:val="zh-CN"/>
        </w:rPr>
        <w:t>和分包</w:t>
      </w:r>
      <w:bookmarkEnd w:id="160"/>
      <w:bookmarkEnd w:id="161"/>
      <w:bookmarkEnd w:id="162"/>
    </w:p>
    <w:p w14:paraId="6A124836">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合同的权利义务依法不</w:t>
      </w:r>
      <w:r>
        <w:rPr>
          <w:rFonts w:hint="eastAsia" w:cs="Times New Roman" w:asciiTheme="minorEastAsia" w:hAnsiTheme="minorEastAsia" w:eastAsiaTheme="minorEastAsia"/>
          <w:color w:val="auto"/>
          <w:sz w:val="24"/>
          <w:szCs w:val="24"/>
          <w:highlight w:val="none"/>
        </w:rPr>
        <w:t>得</w:t>
      </w:r>
      <w:r>
        <w:rPr>
          <w:rFonts w:cs="Times New Roman" w:asciiTheme="minorEastAsia" w:hAnsiTheme="minorEastAsia" w:eastAsiaTheme="minorEastAsia"/>
          <w:color w:val="auto"/>
          <w:sz w:val="24"/>
          <w:szCs w:val="24"/>
          <w:highlight w:val="none"/>
        </w:rPr>
        <w:t>转让</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但经甲方</w:t>
      </w:r>
      <w:r>
        <w:rPr>
          <w:rFonts w:hint="eastAsia" w:cs="Times New Roman" w:asciiTheme="minorEastAsia" w:hAnsiTheme="minorEastAsia" w:eastAsiaTheme="minorEastAsia"/>
          <w:color w:val="auto"/>
          <w:sz w:val="24"/>
          <w:szCs w:val="24"/>
          <w:highlight w:val="none"/>
        </w:rPr>
        <w:t>同意，乙方可以依法采取分包方式履行合同，即：依法可以</w:t>
      </w:r>
      <w:r>
        <w:rPr>
          <w:rFonts w:cs="Times New Roman" w:asciiTheme="minorEastAsia" w:hAnsiTheme="minorEastAsia" w:eastAsiaTheme="minorEastAsia"/>
          <w:color w:val="auto"/>
          <w:sz w:val="24"/>
          <w:szCs w:val="24"/>
          <w:highlight w:val="none"/>
        </w:rPr>
        <w:t>将合同项下的部分非主体、非关键性工作分包给他人完成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接受分包的人应当具备相应的资格条件，并不得再次分包</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且乙方应就分包项目向甲方负责</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并</w:t>
      </w:r>
      <w:r>
        <w:rPr>
          <w:rFonts w:hint="eastAsia" w:cs="Times New Roman" w:asciiTheme="minorEastAsia" w:hAnsiTheme="minorEastAsia" w:eastAsiaTheme="minorEastAsia"/>
          <w:color w:val="auto"/>
          <w:sz w:val="24"/>
          <w:szCs w:val="24"/>
          <w:highlight w:val="none"/>
        </w:rPr>
        <w:t>与分包供应商就分包项目向甲方承担连带责任。</w:t>
      </w:r>
    </w:p>
    <w:p w14:paraId="043172C2">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3" w:name="_Toc16508"/>
      <w:bookmarkStart w:id="164" w:name="_Toc13566"/>
      <w:bookmarkStart w:id="165" w:name="_Toc14066"/>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1 不可抗力</w:t>
      </w:r>
      <w:bookmarkEnd w:id="163"/>
      <w:bookmarkEnd w:id="164"/>
      <w:bookmarkEnd w:id="165"/>
    </w:p>
    <w:p w14:paraId="2E132A8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auto"/>
          <w:sz w:val="24"/>
          <w:szCs w:val="24"/>
          <w:highlight w:val="none"/>
        </w:rPr>
        <w:t>；</w:t>
      </w:r>
    </w:p>
    <w:p w14:paraId="666A3C4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.2因不可抗力致使不能实现合同目的的，当事人可以解除合同；</w:t>
      </w:r>
    </w:p>
    <w:p w14:paraId="12C1F67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.3因</w:t>
      </w:r>
      <w:r>
        <w:rPr>
          <w:rFonts w:cs="Times New Roman" w:asciiTheme="minorEastAsia" w:hAnsiTheme="minorEastAsia" w:eastAsiaTheme="minorEastAsia"/>
          <w:color w:val="auto"/>
          <w:sz w:val="24"/>
          <w:szCs w:val="24"/>
          <w:highlight w:val="none"/>
        </w:rPr>
        <w:t>不可抗力致使合同有变更必要的，双方当事人应在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约定时间内以书面形式变更合同</w:t>
      </w:r>
      <w:r>
        <w:rPr>
          <w:rFonts w:hint="eastAsia" w:cs="Times New Roman" w:asciiTheme="minorEastAsia" w:hAnsiTheme="minorEastAsia" w:eastAsiaTheme="minorEastAsia"/>
          <w:color w:val="auto"/>
          <w:sz w:val="24"/>
          <w:szCs w:val="24"/>
          <w:highlight w:val="none"/>
        </w:rPr>
        <w:t>；</w:t>
      </w:r>
    </w:p>
    <w:p w14:paraId="1ABB8EC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受</w:t>
      </w:r>
      <w:r>
        <w:rPr>
          <w:rFonts w:hint="eastAsia" w:cs="Times New Roman" w:asciiTheme="minorEastAsia" w:hAnsiTheme="minorEastAsia" w:eastAsiaTheme="minorEastAsia"/>
          <w:color w:val="auto"/>
          <w:sz w:val="24"/>
          <w:szCs w:val="24"/>
          <w:highlight w:val="none"/>
        </w:rPr>
        <w:t>不可抗力</w:t>
      </w:r>
      <w:r>
        <w:rPr>
          <w:rFonts w:cs="Times New Roman" w:asciiTheme="minorEastAsia" w:hAnsiTheme="minorEastAsia" w:eastAsiaTheme="minorEastAsia"/>
          <w:color w:val="auto"/>
          <w:sz w:val="24"/>
          <w:szCs w:val="24"/>
          <w:highlight w:val="none"/>
        </w:rPr>
        <w:t>影响的一方在不可抗力发生后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约定时间内以书面形式通知</w:t>
      </w:r>
      <w:r>
        <w:rPr>
          <w:rFonts w:hint="eastAsia" w:cs="Times New Roman" w:asciiTheme="minorEastAsia" w:hAnsiTheme="minorEastAsia" w:eastAsiaTheme="minorEastAsia"/>
          <w:color w:val="auto"/>
          <w:sz w:val="24"/>
          <w:szCs w:val="24"/>
          <w:highlight w:val="none"/>
        </w:rPr>
        <w:t>对</w:t>
      </w:r>
      <w:r>
        <w:rPr>
          <w:rFonts w:cs="Times New Roman" w:asciiTheme="minorEastAsia" w:hAnsiTheme="minorEastAsia" w:eastAsiaTheme="minorEastAsia"/>
          <w:color w:val="auto"/>
          <w:sz w:val="24"/>
          <w:szCs w:val="24"/>
          <w:highlight w:val="none"/>
        </w:rPr>
        <w:t>方当事人，并在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约定时间内，将有关部门出具的证明文件送达</w:t>
      </w:r>
      <w:r>
        <w:rPr>
          <w:rFonts w:hint="eastAsia" w:cs="Times New Roman" w:asciiTheme="minorEastAsia" w:hAnsiTheme="minorEastAsia" w:eastAsiaTheme="minorEastAsia"/>
          <w:color w:val="auto"/>
          <w:sz w:val="24"/>
          <w:szCs w:val="24"/>
          <w:highlight w:val="none"/>
        </w:rPr>
        <w:t>对方当事人</w:t>
      </w:r>
      <w:r>
        <w:rPr>
          <w:rFonts w:cs="Times New Roman" w:asciiTheme="minorEastAsia" w:hAnsiTheme="minorEastAsia" w:eastAsiaTheme="minorEastAsia"/>
          <w:color w:val="auto"/>
          <w:sz w:val="24"/>
          <w:szCs w:val="24"/>
          <w:highlight w:val="none"/>
        </w:rPr>
        <w:t>。</w:t>
      </w:r>
    </w:p>
    <w:p w14:paraId="52CE54F1">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6" w:name="_Toc487900365"/>
      <w:bookmarkStart w:id="167" w:name="_Toc689"/>
      <w:bookmarkStart w:id="168" w:name="_Toc279701255"/>
      <w:bookmarkStart w:id="169" w:name="_Toc259093684"/>
      <w:bookmarkStart w:id="170" w:name="_Toc6969"/>
      <w:bookmarkStart w:id="171" w:name="_Toc30676"/>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12</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税费</w:t>
      </w:r>
      <w:bookmarkEnd w:id="166"/>
      <w:bookmarkEnd w:id="167"/>
      <w:bookmarkEnd w:id="168"/>
      <w:bookmarkEnd w:id="169"/>
      <w:bookmarkEnd w:id="170"/>
      <w:bookmarkEnd w:id="171"/>
    </w:p>
    <w:p w14:paraId="4663EC65">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与合同有关的一切税费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均按照中华人民共和国法律的相关规定</w:t>
      </w:r>
      <w:r>
        <w:rPr>
          <w:rFonts w:hint="eastAsia" w:cs="Times New Roman" w:asciiTheme="minorEastAsia" w:hAnsiTheme="minorEastAsia" w:eastAsiaTheme="minorEastAsia"/>
          <w:color w:val="auto"/>
          <w:sz w:val="24"/>
          <w:szCs w:val="24"/>
          <w:highlight w:val="none"/>
        </w:rPr>
        <w:t>缴纳</w:t>
      </w:r>
      <w:r>
        <w:rPr>
          <w:rFonts w:cs="Times New Roman" w:asciiTheme="minorEastAsia" w:hAnsiTheme="minorEastAsia" w:eastAsiaTheme="minorEastAsia"/>
          <w:color w:val="auto"/>
          <w:sz w:val="24"/>
          <w:szCs w:val="24"/>
          <w:highlight w:val="none"/>
        </w:rPr>
        <w:t>。</w:t>
      </w:r>
    </w:p>
    <w:p w14:paraId="5ADDC854">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72" w:name="_Toc7102"/>
      <w:bookmarkStart w:id="173" w:name="_Toc259093687"/>
      <w:bookmarkStart w:id="174" w:name="_Toc279701258"/>
      <w:bookmarkStart w:id="175" w:name="_Toc8298"/>
      <w:bookmarkStart w:id="176" w:name="_Toc487900368"/>
      <w:bookmarkStart w:id="177" w:name="_Toc16959"/>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13</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乙方破产</w:t>
      </w:r>
      <w:bookmarkEnd w:id="172"/>
      <w:bookmarkEnd w:id="173"/>
      <w:bookmarkEnd w:id="174"/>
      <w:bookmarkEnd w:id="175"/>
      <w:bookmarkEnd w:id="176"/>
      <w:bookmarkEnd w:id="177"/>
    </w:p>
    <w:p w14:paraId="145D0559">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auto"/>
          <w:sz w:val="24"/>
          <w:szCs w:val="24"/>
          <w:highlight w:val="none"/>
        </w:rPr>
        <w:t>，但合同的</w:t>
      </w:r>
      <w:r>
        <w:rPr>
          <w:rFonts w:cs="Times New Roman" w:asciiTheme="minorEastAsia" w:hAnsiTheme="minorEastAsia" w:eastAsiaTheme="minorEastAsia"/>
          <w:color w:val="auto"/>
          <w:sz w:val="24"/>
          <w:szCs w:val="24"/>
          <w:highlight w:val="none"/>
        </w:rPr>
        <w:t>终止不损害或不影响甲方已经采取或将要采取的任何要求乙方支付违约金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赔偿损失等的行动或补救措施的权利</w:t>
      </w:r>
      <w:r>
        <w:rPr>
          <w:rFonts w:hint="eastAsia" w:cs="Times New Roman" w:asciiTheme="minorEastAsia" w:hAnsiTheme="minorEastAsia" w:eastAsiaTheme="minorEastAsia"/>
          <w:color w:val="auto"/>
          <w:sz w:val="24"/>
          <w:szCs w:val="24"/>
          <w:highlight w:val="none"/>
        </w:rPr>
        <w:t>。</w:t>
      </w:r>
    </w:p>
    <w:p w14:paraId="4E27EF93">
      <w:pPr>
        <w:spacing w:line="360" w:lineRule="auto"/>
        <w:ind w:firstLine="437"/>
        <w:outlineLvl w:val="2"/>
        <w:rPr>
          <w:rFonts w:cs="Times New Roman" w:asciiTheme="minorEastAsia" w:hAnsiTheme="minorEastAsia" w:eastAsiaTheme="minorEastAsia"/>
          <w:b/>
          <w:color w:val="auto"/>
          <w:sz w:val="24"/>
          <w:szCs w:val="24"/>
          <w:highlight w:val="none"/>
        </w:rPr>
      </w:pPr>
      <w:bookmarkStart w:id="178" w:name="_Toc29333"/>
      <w:bookmarkStart w:id="179" w:name="_Toc6134"/>
      <w:bookmarkStart w:id="180" w:name="_Toc15387"/>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4</w:t>
      </w:r>
      <w:r>
        <w:rPr>
          <w:rFonts w:hint="eastAsia" w:cs="Times New Roman" w:asciiTheme="minorEastAsia" w:hAnsiTheme="minorEastAsia" w:eastAsiaTheme="minorEastAsia"/>
          <w:b/>
          <w:bCs/>
          <w:color w:val="auto"/>
          <w:sz w:val="24"/>
          <w:szCs w:val="24"/>
          <w:highlight w:val="none"/>
          <w:lang w:val="zh-CN"/>
        </w:rPr>
        <w:t xml:space="preserve"> 合同中止、终止</w:t>
      </w:r>
      <w:bookmarkEnd w:id="178"/>
      <w:bookmarkEnd w:id="179"/>
      <w:bookmarkEnd w:id="180"/>
    </w:p>
    <w:p w14:paraId="04FBC7A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.1双方当事人不得擅自中止或者终止合同；</w:t>
      </w:r>
    </w:p>
    <w:p w14:paraId="450EBE6E">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2F0E3B6C">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81" w:name="_Toc1125"/>
      <w:bookmarkStart w:id="182" w:name="_Toc14563"/>
      <w:bookmarkStart w:id="183" w:name="_Toc6596"/>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检验和验收</w:t>
      </w:r>
      <w:bookmarkEnd w:id="181"/>
      <w:bookmarkEnd w:id="182"/>
      <w:bookmarkEnd w:id="183"/>
    </w:p>
    <w:p w14:paraId="7557D6A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1乙方按照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定期提交服务报告</w:t>
      </w:r>
      <w:r>
        <w:rPr>
          <w:rFonts w:hint="eastAsia" w:cs="Times New Roman" w:asciiTheme="minorEastAsia" w:hAnsiTheme="minorEastAsia" w:eastAsiaTheme="minorEastAsia"/>
          <w:color w:val="auto"/>
          <w:sz w:val="24"/>
          <w:szCs w:val="24"/>
          <w:highlight w:val="none"/>
        </w:rPr>
        <w:t>，甲方按照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的约定进行定期验收</w:t>
      </w:r>
      <w:r>
        <w:rPr>
          <w:rFonts w:hint="eastAsia" w:cs="Times New Roman" w:asciiTheme="minorEastAsia" w:hAnsiTheme="minorEastAsia" w:eastAsiaTheme="minorEastAsia"/>
          <w:color w:val="auto"/>
          <w:sz w:val="24"/>
          <w:szCs w:val="24"/>
          <w:highlight w:val="none"/>
        </w:rPr>
        <w:t>；</w:t>
      </w:r>
    </w:p>
    <w:p w14:paraId="375A0536">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12219E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2.15.3检验和验收标准、程序等具体内容以及前述验收书的效力详见</w:t>
      </w:r>
      <w:r>
        <w:rPr>
          <w:rFonts w:cs="Times New Roman" w:asciiTheme="minorEastAsia" w:hAnsiTheme="minorEastAsia" w:eastAsiaTheme="minorEastAsia"/>
          <w:b/>
          <w:i/>
          <w:color w:val="auto"/>
          <w:sz w:val="24"/>
          <w:szCs w:val="24"/>
          <w:highlight w:val="none"/>
          <w:u w:val="single"/>
        </w:rPr>
        <w:t>合同专用条款</w:t>
      </w:r>
      <w:r>
        <w:rPr>
          <w:rFonts w:hint="eastAsia" w:cs="Times New Roman" w:asciiTheme="minorEastAsia" w:hAnsiTheme="minorEastAsia" w:eastAsiaTheme="minorEastAsia"/>
          <w:i/>
          <w:color w:val="auto"/>
          <w:sz w:val="24"/>
          <w:szCs w:val="24"/>
          <w:highlight w:val="none"/>
        </w:rPr>
        <w:t>。</w:t>
      </w:r>
    </w:p>
    <w:bookmarkEnd w:id="153"/>
    <w:bookmarkEnd w:id="154"/>
    <w:bookmarkEnd w:id="155"/>
    <w:bookmarkEnd w:id="156"/>
    <w:p w14:paraId="1FB70D95">
      <w:pPr>
        <w:spacing w:line="360" w:lineRule="auto"/>
        <w:ind w:firstLine="437"/>
        <w:outlineLvl w:val="2"/>
        <w:rPr>
          <w:rFonts w:cs="Times New Roman" w:asciiTheme="minorEastAsia" w:hAnsiTheme="minorEastAsia" w:eastAsiaTheme="minorEastAsia"/>
          <w:b/>
          <w:bCs/>
          <w:color w:val="auto"/>
          <w:sz w:val="24"/>
          <w:szCs w:val="24"/>
          <w:highlight w:val="none"/>
        </w:rPr>
      </w:pPr>
      <w:bookmarkStart w:id="184" w:name="_Toc12773"/>
      <w:bookmarkStart w:id="185" w:name="_Toc487900373"/>
      <w:bookmarkStart w:id="186" w:name="_Toc279701263"/>
      <w:bookmarkStart w:id="187" w:name="_Toc18567"/>
      <w:bookmarkStart w:id="188" w:name="_Toc259093692"/>
      <w:bookmarkStart w:id="189" w:name="_Toc10330"/>
      <w:r>
        <w:rPr>
          <w:rFonts w:hint="eastAsia" w:cs="Times New Roman" w:asciiTheme="minorEastAsia" w:hAnsiTheme="minorEastAsia" w:eastAsiaTheme="minorEastAsia"/>
          <w:b/>
          <w:bCs/>
          <w:color w:val="auto"/>
          <w:sz w:val="24"/>
          <w:szCs w:val="24"/>
          <w:highlight w:val="none"/>
        </w:rPr>
        <w:t>2.</w:t>
      </w:r>
      <w:r>
        <w:rPr>
          <w:rFonts w:cs="Times New Roman" w:asciiTheme="minorEastAsia" w:hAnsiTheme="minorEastAsia" w:eastAsiaTheme="minorEastAsia"/>
          <w:b/>
          <w:bCs/>
          <w:color w:val="auto"/>
          <w:sz w:val="24"/>
          <w:szCs w:val="24"/>
          <w:highlight w:val="none"/>
        </w:rPr>
        <w:t>16</w:t>
      </w:r>
      <w:r>
        <w:rPr>
          <w:rFonts w:hint="eastAsia" w:cs="Times New Roman" w:asciiTheme="minorEastAsia" w:hAnsiTheme="minorEastAsia" w:eastAsiaTheme="minorEastAsia"/>
          <w:b/>
          <w:bCs/>
          <w:color w:val="auto"/>
          <w:sz w:val="24"/>
          <w:szCs w:val="24"/>
          <w:highlight w:val="none"/>
        </w:rPr>
        <w:t xml:space="preserve"> </w:t>
      </w:r>
      <w:r>
        <w:rPr>
          <w:rFonts w:hint="eastAsia" w:cs="Times New Roman" w:asciiTheme="minorEastAsia" w:hAnsiTheme="minorEastAsia" w:eastAsiaTheme="minorEastAsia"/>
          <w:b/>
          <w:bCs/>
          <w:color w:val="auto"/>
          <w:sz w:val="24"/>
          <w:szCs w:val="24"/>
          <w:highlight w:val="none"/>
          <w:lang w:val="zh-CN"/>
        </w:rPr>
        <w:t>合同使用的文字和</w:t>
      </w:r>
      <w:r>
        <w:rPr>
          <w:rFonts w:cs="Times New Roman" w:asciiTheme="minorEastAsia" w:hAnsiTheme="minorEastAsia" w:eastAsiaTheme="minorEastAsia"/>
          <w:b/>
          <w:bCs/>
          <w:color w:val="auto"/>
          <w:sz w:val="24"/>
          <w:szCs w:val="24"/>
          <w:highlight w:val="none"/>
          <w:lang w:val="zh-CN"/>
        </w:rPr>
        <w:t>适用的法律</w:t>
      </w:r>
      <w:bookmarkEnd w:id="184"/>
      <w:bookmarkEnd w:id="185"/>
      <w:bookmarkEnd w:id="186"/>
      <w:bookmarkEnd w:id="187"/>
      <w:bookmarkEnd w:id="188"/>
      <w:bookmarkEnd w:id="189"/>
    </w:p>
    <w:p w14:paraId="50920A8E">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16.1合同使用汉语书就</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变更和解释</w:t>
      </w:r>
      <w:r>
        <w:rPr>
          <w:rFonts w:hint="eastAsia" w:cs="Times New Roman" w:asciiTheme="minorEastAsia" w:hAnsiTheme="minorEastAsia" w:eastAsiaTheme="minorEastAsia"/>
          <w:color w:val="auto"/>
          <w:sz w:val="24"/>
          <w:szCs w:val="24"/>
          <w:highlight w:val="none"/>
        </w:rPr>
        <w:t>；</w:t>
      </w:r>
    </w:p>
    <w:p w14:paraId="6BFF393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w:t>
      </w:r>
      <w:r>
        <w:rPr>
          <w:rFonts w:hint="eastAsia" w:cs="Times New Roman" w:asciiTheme="minorEastAsia" w:hAnsiTheme="minorEastAsia" w:eastAsiaTheme="minorEastAsia"/>
          <w:color w:val="auto"/>
          <w:sz w:val="24"/>
          <w:szCs w:val="24"/>
          <w:highlight w:val="none"/>
        </w:rPr>
        <w:t>.2合同适用</w:t>
      </w:r>
      <w:r>
        <w:rPr>
          <w:rFonts w:cs="Times New Roman" w:asciiTheme="minorEastAsia" w:hAnsiTheme="minorEastAsia" w:eastAsiaTheme="minorEastAsia"/>
          <w:color w:val="auto"/>
          <w:sz w:val="24"/>
          <w:szCs w:val="24"/>
          <w:highlight w:val="none"/>
        </w:rPr>
        <w:t>中华人民共和国法律。</w:t>
      </w:r>
    </w:p>
    <w:p w14:paraId="7916CEB7">
      <w:pPr>
        <w:spacing w:line="360" w:lineRule="auto"/>
        <w:ind w:firstLine="437"/>
        <w:outlineLvl w:val="2"/>
        <w:rPr>
          <w:rFonts w:cs="Times New Roman" w:asciiTheme="minorEastAsia" w:hAnsiTheme="minorEastAsia" w:eastAsiaTheme="minorEastAsia"/>
          <w:b/>
          <w:color w:val="auto"/>
          <w:sz w:val="24"/>
          <w:szCs w:val="24"/>
          <w:highlight w:val="none"/>
        </w:rPr>
      </w:pPr>
      <w:bookmarkStart w:id="190" w:name="_Toc3148"/>
      <w:bookmarkStart w:id="191" w:name="_Toc259093693"/>
      <w:bookmarkStart w:id="192" w:name="_Toc16673"/>
      <w:bookmarkStart w:id="193" w:name="_Toc279701264"/>
      <w:bookmarkStart w:id="194" w:name="_Toc12004"/>
      <w:bookmarkStart w:id="195" w:name="_Toc48790037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17</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履约保证金</w:t>
      </w:r>
      <w:bookmarkEnd w:id="190"/>
      <w:bookmarkEnd w:id="191"/>
      <w:bookmarkEnd w:id="192"/>
      <w:bookmarkEnd w:id="193"/>
      <w:bookmarkEnd w:id="194"/>
    </w:p>
    <w:p w14:paraId="6A14A3A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.1采购文件要求乙方提交履约保证金的，乙方</w:t>
      </w:r>
      <w:r>
        <w:rPr>
          <w:rFonts w:cs="Times New Roman" w:asciiTheme="minorEastAsia" w:hAnsiTheme="minorEastAsia" w:eastAsiaTheme="minorEastAsia"/>
          <w:color w:val="auto"/>
          <w:sz w:val="24"/>
          <w:szCs w:val="24"/>
          <w:highlight w:val="none"/>
        </w:rPr>
        <w:t>应按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约定的方式</w:t>
      </w:r>
      <w:r>
        <w:rPr>
          <w:rFonts w:hint="eastAsia" w:cs="Times New Roman" w:asciiTheme="minorEastAsia" w:hAnsiTheme="minorEastAsia" w:eastAsiaTheme="minorEastAsia"/>
          <w:color w:val="auto"/>
          <w:sz w:val="24"/>
          <w:szCs w:val="24"/>
          <w:highlight w:val="none"/>
        </w:rPr>
        <w:t>，以支票、汇票、本票或者金融机构、担保机构出具的保函等非现金形式提交；</w:t>
      </w:r>
    </w:p>
    <w:p w14:paraId="5FA0F9C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17.2履约保证金在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约定期间内不予退还或者应完全有效</w:t>
      </w:r>
      <w:r>
        <w:rPr>
          <w:rFonts w:hint="eastAsia" w:cs="Times New Roman" w:asciiTheme="minorEastAsia" w:hAnsiTheme="minorEastAsia" w:eastAsiaTheme="minorEastAsia"/>
          <w:color w:val="auto"/>
          <w:sz w:val="24"/>
          <w:szCs w:val="24"/>
          <w:highlight w:val="none"/>
        </w:rPr>
        <w:t>，前述约定期间届满</w:t>
      </w:r>
      <w:r>
        <w:rPr>
          <w:rFonts w:cs="Times New Roman" w:asciiTheme="minorEastAsia" w:hAnsiTheme="minorEastAsia" w:eastAsiaTheme="minorEastAsia"/>
          <w:color w:val="auto"/>
          <w:sz w:val="24"/>
          <w:szCs w:val="24"/>
          <w:highlight w:val="none"/>
        </w:rPr>
        <w:t>之日起</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lang w:val="en-US" w:eastAsia="zh-CN"/>
        </w:rPr>
        <w:t>甲方</w:t>
      </w:r>
      <w:r>
        <w:rPr>
          <w:rFonts w:hint="eastAsia" w:cs="Times New Roman" w:asciiTheme="minorEastAsia" w:hAnsiTheme="minorEastAsia" w:eastAsiaTheme="minorEastAsia"/>
          <w:color w:val="auto"/>
          <w:sz w:val="24"/>
          <w:szCs w:val="24"/>
          <w:highlight w:val="none"/>
        </w:rPr>
        <w:t>逾期退还履约保证金</w:t>
      </w:r>
      <w:r>
        <w:rPr>
          <w:rFonts w:hint="eastAsia" w:cs="Times New Roman" w:asciiTheme="minorEastAsia" w:hAnsiTheme="minorEastAsia" w:eastAsiaTheme="minorEastAsia"/>
          <w:color w:val="auto"/>
          <w:sz w:val="24"/>
          <w:szCs w:val="24"/>
          <w:highlight w:val="none"/>
          <w:lang w:val="en-US" w:eastAsia="zh-CN"/>
        </w:rPr>
        <w:t>应承担违约责任。</w:t>
      </w:r>
    </w:p>
    <w:p w14:paraId="512E44E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如果乙方不履行合同</w:t>
      </w:r>
      <w:r>
        <w:rPr>
          <w:rFonts w:hint="eastAsia" w:cs="Times New Roman" w:asciiTheme="minorEastAsia" w:hAnsiTheme="minorEastAsia" w:eastAsiaTheme="minorEastAsia"/>
          <w:color w:val="auto"/>
          <w:sz w:val="24"/>
          <w:szCs w:val="24"/>
          <w:highlight w:val="none"/>
        </w:rPr>
        <w:t>，履约保证金不予退还；如果乙方</w:t>
      </w:r>
      <w:r>
        <w:rPr>
          <w:rFonts w:cs="Times New Roman" w:asciiTheme="minorEastAsia" w:hAnsiTheme="minorEastAsia" w:eastAsiaTheme="minorEastAsia"/>
          <w:color w:val="auto"/>
          <w:sz w:val="24"/>
          <w:szCs w:val="24"/>
          <w:highlight w:val="none"/>
        </w:rPr>
        <w:t>未能按合同</w:t>
      </w:r>
      <w:r>
        <w:rPr>
          <w:rFonts w:hint="eastAsia" w:cs="Times New Roman" w:asciiTheme="minorEastAsia" w:hAnsiTheme="minorEastAsia" w:eastAsiaTheme="minorEastAsia"/>
          <w:color w:val="auto"/>
          <w:sz w:val="24"/>
          <w:szCs w:val="24"/>
          <w:highlight w:val="none"/>
        </w:rPr>
        <w:t>约</w:t>
      </w:r>
      <w:r>
        <w:rPr>
          <w:rFonts w:cs="Times New Roman" w:asciiTheme="minorEastAsia" w:hAnsiTheme="minorEastAsia" w:eastAsiaTheme="minorEastAsia"/>
          <w:color w:val="auto"/>
          <w:sz w:val="24"/>
          <w:szCs w:val="24"/>
          <w:highlight w:val="none"/>
        </w:rPr>
        <w:t>定全面履行义务，那么甲方有权从履约保证金中取得补偿或赔偿</w:t>
      </w:r>
      <w:r>
        <w:rPr>
          <w:rFonts w:hint="eastAsia" w:cs="Times New Roman" w:asciiTheme="minorEastAsia" w:hAnsiTheme="minorEastAsia" w:eastAsiaTheme="minorEastAsia"/>
          <w:color w:val="auto"/>
          <w:sz w:val="24"/>
          <w:szCs w:val="24"/>
          <w:highlight w:val="none"/>
        </w:rPr>
        <w:t>，同时不影响甲方要求乙方承担合同约定的超过履约保证金的违约责任的权利。</w:t>
      </w:r>
    </w:p>
    <w:bookmarkEnd w:id="195"/>
    <w:p w14:paraId="1F75F62C">
      <w:pPr>
        <w:spacing w:line="360" w:lineRule="auto"/>
        <w:ind w:firstLine="437"/>
        <w:outlineLvl w:val="2"/>
        <w:rPr>
          <w:rFonts w:cs="Times New Roman" w:asciiTheme="minorEastAsia" w:hAnsiTheme="minorEastAsia" w:eastAsiaTheme="minorEastAsia"/>
          <w:b/>
          <w:color w:val="auto"/>
          <w:sz w:val="24"/>
          <w:szCs w:val="24"/>
          <w:highlight w:val="none"/>
        </w:rPr>
      </w:pPr>
      <w:bookmarkStart w:id="196" w:name="_Toc14001"/>
      <w:bookmarkStart w:id="197" w:name="_Toc19890"/>
      <w:bookmarkStart w:id="198" w:name="_Toc6885"/>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18</w:t>
      </w:r>
      <w:r>
        <w:rPr>
          <w:rFonts w:hint="eastAsia" w:cs="Times New Roman" w:asciiTheme="minorEastAsia" w:hAnsiTheme="minorEastAsia" w:eastAsiaTheme="minorEastAsia"/>
          <w:b/>
          <w:bCs/>
          <w:color w:val="auto"/>
          <w:sz w:val="24"/>
          <w:szCs w:val="24"/>
          <w:highlight w:val="none"/>
          <w:lang w:val="zh-CN"/>
        </w:rPr>
        <w:t xml:space="preserve"> 合同份数</w:t>
      </w:r>
      <w:bookmarkEnd w:id="196"/>
      <w:bookmarkEnd w:id="197"/>
      <w:bookmarkEnd w:id="198"/>
    </w:p>
    <w:p w14:paraId="32BFD32D">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合同份数按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规定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每份均具有同等法律效力</w:t>
      </w:r>
      <w:r>
        <w:rPr>
          <w:rFonts w:hint="eastAsia" w:cs="Times New Roman" w:asciiTheme="minorEastAsia" w:hAnsiTheme="minorEastAsia" w:eastAsiaTheme="minorEastAsia"/>
          <w:color w:val="auto"/>
          <w:sz w:val="24"/>
          <w:szCs w:val="24"/>
          <w:highlight w:val="none"/>
        </w:rPr>
        <w:t>。</w:t>
      </w:r>
    </w:p>
    <w:p w14:paraId="243AB0D3">
      <w:pPr>
        <w:spacing w:line="360" w:lineRule="auto"/>
        <w:jc w:val="center"/>
        <w:outlineLvl w:val="1"/>
        <w:rPr>
          <w:rFonts w:asciiTheme="minorEastAsia" w:hAnsiTheme="minorEastAsia" w:eastAsiaTheme="minorEastAsia"/>
          <w:b/>
          <w:color w:val="auto"/>
          <w:sz w:val="24"/>
          <w:highlight w:val="none"/>
        </w:rPr>
      </w:pPr>
      <w:r>
        <w:rPr>
          <w:rFonts w:cs="Times New Roman" w:asciiTheme="minorEastAsia" w:hAnsiTheme="minorEastAsia" w:eastAsiaTheme="minorEastAsia"/>
          <w:color w:val="auto"/>
          <w:sz w:val="24"/>
          <w:szCs w:val="24"/>
          <w:highlight w:val="none"/>
        </w:rPr>
        <w:br w:type="page"/>
      </w:r>
      <w:bookmarkStart w:id="199" w:name="_Toc3736"/>
      <w:r>
        <w:rPr>
          <w:rFonts w:hint="eastAsia" w:asciiTheme="minorEastAsia" w:hAnsiTheme="minorEastAsia" w:eastAsiaTheme="minorEastAsia"/>
          <w:b/>
          <w:color w:val="auto"/>
          <w:sz w:val="24"/>
          <w:highlight w:val="none"/>
        </w:rPr>
        <w:t>第三部分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199"/>
    </w:p>
    <w:p w14:paraId="2E4C484E">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本部分</w:t>
      </w:r>
      <w:r>
        <w:rPr>
          <w:rFonts w:cs="Times New Roman" w:asciiTheme="minorEastAsia" w:hAnsiTheme="minorEastAsia" w:eastAsiaTheme="minorEastAsia"/>
          <w:color w:val="auto"/>
          <w:sz w:val="24"/>
          <w:szCs w:val="24"/>
          <w:highlight w:val="none"/>
        </w:rPr>
        <w:t>是对</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部分的补充和修改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部分和本部分的约定不一致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应以本部分的约定为准</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本部分的条款号应与</w:t>
      </w:r>
      <w:r>
        <w:rPr>
          <w:rFonts w:hint="eastAsia" w:cs="Times New Roman" w:asciiTheme="minorEastAsia" w:hAnsiTheme="minorEastAsia" w:eastAsiaTheme="minorEastAsia"/>
          <w:color w:val="auto"/>
          <w:sz w:val="24"/>
          <w:szCs w:val="24"/>
          <w:highlight w:val="none"/>
        </w:rPr>
        <w:t>前两部分</w:t>
      </w:r>
      <w:r>
        <w:rPr>
          <w:rFonts w:cs="Times New Roman" w:asciiTheme="minorEastAsia" w:hAnsiTheme="minorEastAsia" w:eastAsiaTheme="minorEastAsia"/>
          <w:color w:val="auto"/>
          <w:sz w:val="24"/>
          <w:szCs w:val="24"/>
          <w:highlight w:val="none"/>
        </w:rPr>
        <w:t>的条款号保持对应</w:t>
      </w:r>
      <w:r>
        <w:rPr>
          <w:rFonts w:hint="eastAsia" w:cs="Times New Roman" w:asciiTheme="minorEastAsia" w:hAnsiTheme="minorEastAsia" w:eastAsiaTheme="minorEastAsia"/>
          <w:color w:val="auto"/>
          <w:sz w:val="24"/>
          <w:szCs w:val="24"/>
          <w:highlight w:val="none"/>
        </w:rPr>
        <w:t>；与前两部分</w:t>
      </w:r>
      <w:r>
        <w:rPr>
          <w:rFonts w:cs="Times New Roman" w:asciiTheme="minorEastAsia" w:hAnsiTheme="minorEastAsia" w:eastAsiaTheme="minorEastAsia"/>
          <w:color w:val="auto"/>
          <w:sz w:val="24"/>
          <w:szCs w:val="24"/>
          <w:highlight w:val="none"/>
        </w:rPr>
        <w:t>无对应关系的内容可另行编制条款号</w:t>
      </w:r>
      <w:r>
        <w:rPr>
          <w:rFonts w:hint="eastAsia" w:cs="Times New Roman" w:asciiTheme="minorEastAsia" w:hAnsiTheme="minorEastAsia" w:eastAsiaTheme="minorEastAsia"/>
          <w:color w:val="auto"/>
          <w:sz w:val="24"/>
          <w:szCs w:val="24"/>
          <w:highlight w:val="none"/>
        </w:rPr>
        <w:t>。</w:t>
      </w:r>
    </w:p>
    <w:tbl>
      <w:tblPr>
        <w:tblStyle w:val="25"/>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580EC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4FCF303F">
            <w:pPr>
              <w:jc w:val="center"/>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条款号</w:t>
            </w:r>
          </w:p>
        </w:tc>
        <w:tc>
          <w:tcPr>
            <w:tcW w:w="7568" w:type="dxa"/>
            <w:vAlign w:val="center"/>
          </w:tcPr>
          <w:p w14:paraId="7DD05B8D">
            <w:pPr>
              <w:jc w:val="center"/>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约定内容</w:t>
            </w:r>
          </w:p>
        </w:tc>
      </w:tr>
      <w:tr w14:paraId="240EE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16B89C38">
            <w:pPr>
              <w:spacing w:line="44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2.11.3</w:t>
            </w:r>
          </w:p>
        </w:tc>
        <w:tc>
          <w:tcPr>
            <w:tcW w:w="7568" w:type="dxa"/>
            <w:vAlign w:val="center"/>
          </w:tcPr>
          <w:p w14:paraId="667AF7AA">
            <w:pPr>
              <w:spacing w:line="44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因不可抗力致使合同有变更必要的，双方当事人应在不可抗力发生的3个工作日内以书面形式变更合同</w:t>
            </w:r>
          </w:p>
        </w:tc>
      </w:tr>
      <w:tr w14:paraId="7CAAF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D5BF526">
            <w:pPr>
              <w:spacing w:line="44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2.11.4</w:t>
            </w:r>
          </w:p>
        </w:tc>
        <w:tc>
          <w:tcPr>
            <w:tcW w:w="7568" w:type="dxa"/>
            <w:vAlign w:val="center"/>
          </w:tcPr>
          <w:p w14:paraId="14E30633">
            <w:pPr>
              <w:spacing w:line="44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受不可抗力影响的一方在不可抗力发生后，应在不可抗力发生的1个工作日内以书面形式通知对方当事人，并在1个工作日内，将有关部门出具的证明文件送达对方当事人</w:t>
            </w:r>
          </w:p>
        </w:tc>
      </w:tr>
      <w:tr w14:paraId="1ACFC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6D1B33F">
            <w:pPr>
              <w:spacing w:line="440" w:lineRule="exact"/>
              <w:jc w:val="center"/>
              <w:rPr>
                <w:rFonts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2.15</w:t>
            </w:r>
          </w:p>
        </w:tc>
        <w:tc>
          <w:tcPr>
            <w:tcW w:w="7568" w:type="dxa"/>
            <w:vAlign w:val="center"/>
          </w:tcPr>
          <w:p w14:paraId="6AE4932F">
            <w:pPr>
              <w:spacing w:line="440" w:lineRule="exact"/>
              <w:rPr>
                <w:rFonts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乙方须接受甲方对项目执行情况、服务质量等的监督、检查和验收，甲方有权查看与项目直接相关的凭证和资料，乙方应予以配合。</w:t>
            </w:r>
          </w:p>
        </w:tc>
      </w:tr>
      <w:tr w14:paraId="265D3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400DA31">
            <w:pPr>
              <w:spacing w:line="560" w:lineRule="exact"/>
              <w:jc w:val="center"/>
              <w:rPr>
                <w:rFonts w:cs="Times New Roman" w:asciiTheme="minorEastAsia" w:hAnsiTheme="minorEastAsia" w:eastAsiaTheme="minorEastAsia"/>
                <w:color w:val="auto"/>
                <w:sz w:val="24"/>
                <w:szCs w:val="24"/>
                <w:highlight w:val="none"/>
              </w:rPr>
            </w:pPr>
            <w:r>
              <w:rPr>
                <w:rFonts w:hint="eastAsia" w:ascii="宋体" w:hAnsi="宋体" w:eastAsia="宋体"/>
                <w:color w:val="auto"/>
                <w:sz w:val="24"/>
                <w:highlight w:val="none"/>
              </w:rPr>
              <w:t>2.17</w:t>
            </w:r>
          </w:p>
        </w:tc>
        <w:tc>
          <w:tcPr>
            <w:tcW w:w="7568" w:type="dxa"/>
            <w:vAlign w:val="center"/>
          </w:tcPr>
          <w:p w14:paraId="1F8D92E5">
            <w:pPr>
              <w:spacing w:line="44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本项目免收</w:t>
            </w:r>
            <w:r>
              <w:rPr>
                <w:rFonts w:hint="eastAsia" w:cs="Times New Roman" w:asciiTheme="minorEastAsia" w:hAnsiTheme="minorEastAsia" w:eastAsiaTheme="minorEastAsia"/>
                <w:color w:val="auto"/>
                <w:sz w:val="24"/>
                <w:szCs w:val="24"/>
                <w:highlight w:val="none"/>
                <w:lang w:val="zh-CN"/>
              </w:rPr>
              <w:t>履约保证金。</w:t>
            </w:r>
          </w:p>
        </w:tc>
      </w:tr>
      <w:tr w14:paraId="0012C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5409FD2">
            <w:pPr>
              <w:spacing w:line="44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2.18</w:t>
            </w:r>
          </w:p>
        </w:tc>
        <w:tc>
          <w:tcPr>
            <w:tcW w:w="7568" w:type="dxa"/>
            <w:vAlign w:val="center"/>
          </w:tcPr>
          <w:p w14:paraId="27889A2F">
            <w:pPr>
              <w:spacing w:line="440" w:lineRule="exact"/>
              <w:rPr>
                <w:rFonts w:cs="Times New Roman" w:asciiTheme="minorEastAsia" w:hAnsiTheme="minorEastAsia" w:eastAsiaTheme="minorEastAsia"/>
                <w:color w:val="auto"/>
                <w:sz w:val="24"/>
                <w:szCs w:val="24"/>
                <w:highlight w:val="none"/>
                <w:u w:val="single"/>
              </w:rPr>
            </w:pPr>
            <w:r>
              <w:rPr>
                <w:rFonts w:hint="eastAsia" w:ascii="宋体" w:hAnsi="宋体" w:eastAsia="宋体" w:cs="宋体"/>
                <w:color w:val="auto"/>
                <w:sz w:val="24"/>
                <w:highlight w:val="none"/>
              </w:rPr>
              <w:t>合同一式陆份，甲乙双方各执叁份。</w:t>
            </w:r>
          </w:p>
        </w:tc>
      </w:tr>
      <w:tr w14:paraId="267E0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5F50D5E">
            <w:pPr>
              <w:spacing w:line="440" w:lineRule="exact"/>
              <w:jc w:val="center"/>
              <w:rPr>
                <w:rFonts w:cs="Times New Roman" w:asciiTheme="minorEastAsia" w:hAnsiTheme="minorEastAsia" w:eastAsiaTheme="minorEastAsia"/>
                <w:color w:val="auto"/>
                <w:sz w:val="24"/>
                <w:szCs w:val="24"/>
                <w:highlight w:val="none"/>
              </w:rPr>
            </w:pPr>
          </w:p>
        </w:tc>
        <w:tc>
          <w:tcPr>
            <w:tcW w:w="7568" w:type="dxa"/>
            <w:vAlign w:val="center"/>
          </w:tcPr>
          <w:p w14:paraId="080F18BF">
            <w:pPr>
              <w:spacing w:line="440" w:lineRule="exact"/>
              <w:rPr>
                <w:rFonts w:cs="Times New Roman" w:asciiTheme="minorEastAsia" w:hAnsiTheme="minorEastAsia" w:eastAsiaTheme="minorEastAsia"/>
                <w:color w:val="auto"/>
                <w:sz w:val="24"/>
                <w:szCs w:val="24"/>
                <w:highlight w:val="none"/>
                <w:u w:val="single"/>
              </w:rPr>
            </w:pPr>
            <w:r>
              <w:rPr>
                <w:rFonts w:hint="eastAsia" w:ascii="宋体" w:hAnsi="宋体" w:eastAsia="宋体" w:cs="宋体"/>
                <w:color w:val="auto"/>
                <w:sz w:val="24"/>
                <w:szCs w:val="24"/>
                <w:highlight w:val="none"/>
              </w:rPr>
              <w:t>（签订合同时可补充）</w:t>
            </w:r>
          </w:p>
        </w:tc>
      </w:tr>
      <w:tr w14:paraId="20C25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45D8132">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0D3A1CD7">
            <w:pPr>
              <w:spacing w:line="560" w:lineRule="exact"/>
              <w:rPr>
                <w:rFonts w:cs="Times New Roman" w:asciiTheme="minorEastAsia" w:hAnsiTheme="minorEastAsia" w:eastAsiaTheme="minorEastAsia"/>
                <w:color w:val="auto"/>
                <w:sz w:val="24"/>
                <w:szCs w:val="24"/>
                <w:highlight w:val="none"/>
              </w:rPr>
            </w:pPr>
          </w:p>
        </w:tc>
      </w:tr>
      <w:tr w14:paraId="15E92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4CFAB04">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7FE4D11B">
            <w:pPr>
              <w:spacing w:line="560" w:lineRule="exact"/>
              <w:rPr>
                <w:rFonts w:cs="Times New Roman" w:asciiTheme="minorEastAsia" w:hAnsiTheme="minorEastAsia" w:eastAsiaTheme="minorEastAsia"/>
                <w:color w:val="auto"/>
                <w:sz w:val="24"/>
                <w:szCs w:val="24"/>
                <w:highlight w:val="none"/>
              </w:rPr>
            </w:pPr>
          </w:p>
        </w:tc>
      </w:tr>
      <w:tr w14:paraId="1BCE2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BE9BD0F">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19A0E7FD">
            <w:pPr>
              <w:spacing w:line="560" w:lineRule="exact"/>
              <w:rPr>
                <w:rFonts w:cs="Times New Roman" w:asciiTheme="minorEastAsia" w:hAnsiTheme="minorEastAsia" w:eastAsiaTheme="minorEastAsia"/>
                <w:color w:val="auto"/>
                <w:sz w:val="24"/>
                <w:szCs w:val="24"/>
                <w:highlight w:val="none"/>
              </w:rPr>
            </w:pPr>
          </w:p>
        </w:tc>
      </w:tr>
      <w:tr w14:paraId="3132A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172DA1C4">
            <w:pPr>
              <w:spacing w:line="560" w:lineRule="exact"/>
              <w:rPr>
                <w:rFonts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7E50AF6B">
            <w:pPr>
              <w:spacing w:line="560" w:lineRule="exact"/>
              <w:rPr>
                <w:rFonts w:cs="Times New Roman" w:asciiTheme="minorEastAsia" w:hAnsiTheme="minorEastAsia" w:eastAsiaTheme="minorEastAsia"/>
                <w:color w:val="auto"/>
                <w:sz w:val="24"/>
                <w:szCs w:val="24"/>
                <w:highlight w:val="none"/>
              </w:rPr>
            </w:pPr>
          </w:p>
        </w:tc>
      </w:tr>
      <w:tr w14:paraId="57CF3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99D3BDB">
            <w:pPr>
              <w:spacing w:line="560" w:lineRule="exact"/>
              <w:rPr>
                <w:rFonts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254EF413">
            <w:pPr>
              <w:spacing w:line="560" w:lineRule="exact"/>
              <w:rPr>
                <w:rFonts w:cs="Times New Roman" w:asciiTheme="minorEastAsia" w:hAnsiTheme="minorEastAsia" w:eastAsiaTheme="minorEastAsia"/>
                <w:color w:val="auto"/>
                <w:sz w:val="24"/>
                <w:szCs w:val="24"/>
                <w:highlight w:val="none"/>
              </w:rPr>
            </w:pPr>
          </w:p>
        </w:tc>
      </w:tr>
    </w:tbl>
    <w:p w14:paraId="1CF3A9FB">
      <w:pPr>
        <w:spacing w:line="360" w:lineRule="auto"/>
        <w:rPr>
          <w:rFonts w:asciiTheme="minorEastAsia" w:hAnsiTheme="minorEastAsia" w:eastAsiaTheme="minorEastAsia"/>
          <w:color w:val="auto"/>
          <w:sz w:val="24"/>
          <w:highlight w:val="none"/>
        </w:rPr>
      </w:pPr>
    </w:p>
    <w:p w14:paraId="4F2C00C8">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56"/>
    <w:p w14:paraId="7CE6F933">
      <w:pPr>
        <w:spacing w:line="360" w:lineRule="auto"/>
        <w:jc w:val="center"/>
        <w:outlineLvl w:val="0"/>
        <w:rPr>
          <w:rFonts w:asciiTheme="minorEastAsia" w:hAnsiTheme="minorEastAsia" w:eastAsiaTheme="minorEastAsia"/>
          <w:b/>
          <w:color w:val="auto"/>
          <w:sz w:val="28"/>
          <w:highlight w:val="none"/>
        </w:rPr>
      </w:pPr>
      <w:bookmarkStart w:id="200" w:name="_Toc13555"/>
      <w:r>
        <w:rPr>
          <w:rFonts w:hint="eastAsia" w:asciiTheme="minorEastAsia" w:hAnsiTheme="minorEastAsia" w:eastAsiaTheme="minorEastAsia"/>
          <w:b/>
          <w:color w:val="auto"/>
          <w:sz w:val="28"/>
          <w:highlight w:val="none"/>
        </w:rPr>
        <w:t>第六章  投标文件格式</w:t>
      </w:r>
      <w:bookmarkEnd w:id="200"/>
    </w:p>
    <w:p w14:paraId="173EBABC">
      <w:pPr>
        <w:spacing w:line="900" w:lineRule="exact"/>
        <w:jc w:val="center"/>
        <w:rPr>
          <w:rFonts w:asciiTheme="minorEastAsia" w:hAnsiTheme="minorEastAsia" w:eastAsiaTheme="minorEastAsia"/>
          <w:b/>
          <w:color w:val="auto"/>
          <w:sz w:val="72"/>
          <w:highlight w:val="none"/>
        </w:rPr>
      </w:pPr>
    </w:p>
    <w:p w14:paraId="646B6E81">
      <w:pPr>
        <w:spacing w:line="900" w:lineRule="exact"/>
        <w:jc w:val="center"/>
        <w:outlineLvl w:val="1"/>
        <w:rPr>
          <w:rFonts w:asciiTheme="minorEastAsia" w:hAnsiTheme="minorEastAsia" w:eastAsiaTheme="minorEastAsia"/>
          <w:b/>
          <w:color w:val="auto"/>
          <w:sz w:val="72"/>
          <w:highlight w:val="none"/>
        </w:rPr>
      </w:pPr>
      <w:bookmarkStart w:id="201" w:name="_Toc5119"/>
      <w:r>
        <w:rPr>
          <w:rFonts w:hint="eastAsia" w:asciiTheme="minorEastAsia" w:hAnsiTheme="minorEastAsia" w:eastAsiaTheme="minorEastAsia"/>
          <w:b/>
          <w:color w:val="auto"/>
          <w:sz w:val="72"/>
          <w:highlight w:val="none"/>
        </w:rPr>
        <w:t>投</w:t>
      </w:r>
      <w:bookmarkEnd w:id="201"/>
    </w:p>
    <w:p w14:paraId="68E228AC">
      <w:pPr>
        <w:spacing w:line="900" w:lineRule="exact"/>
        <w:jc w:val="center"/>
        <w:rPr>
          <w:rFonts w:asciiTheme="minorEastAsia" w:hAnsiTheme="minorEastAsia" w:eastAsiaTheme="minorEastAsia"/>
          <w:b/>
          <w:color w:val="auto"/>
          <w:sz w:val="72"/>
          <w:highlight w:val="none"/>
        </w:rPr>
      </w:pPr>
    </w:p>
    <w:p w14:paraId="6EF30245">
      <w:pPr>
        <w:spacing w:line="900" w:lineRule="exact"/>
        <w:jc w:val="center"/>
        <w:outlineLvl w:val="1"/>
        <w:rPr>
          <w:rFonts w:asciiTheme="minorEastAsia" w:hAnsiTheme="minorEastAsia" w:eastAsiaTheme="minorEastAsia"/>
          <w:b/>
          <w:color w:val="auto"/>
          <w:sz w:val="72"/>
          <w:highlight w:val="none"/>
        </w:rPr>
      </w:pPr>
      <w:bookmarkStart w:id="202" w:name="_Toc4782"/>
      <w:r>
        <w:rPr>
          <w:rFonts w:hint="eastAsia" w:asciiTheme="minorEastAsia" w:hAnsiTheme="minorEastAsia" w:eastAsiaTheme="minorEastAsia"/>
          <w:b/>
          <w:color w:val="auto"/>
          <w:sz w:val="72"/>
          <w:highlight w:val="none"/>
        </w:rPr>
        <w:t>标</w:t>
      </w:r>
      <w:bookmarkEnd w:id="202"/>
    </w:p>
    <w:p w14:paraId="29B2755B">
      <w:pPr>
        <w:spacing w:line="900" w:lineRule="exact"/>
        <w:jc w:val="center"/>
        <w:rPr>
          <w:rFonts w:asciiTheme="minorEastAsia" w:hAnsiTheme="minorEastAsia" w:eastAsiaTheme="minorEastAsia"/>
          <w:b/>
          <w:color w:val="auto"/>
          <w:sz w:val="72"/>
          <w:highlight w:val="none"/>
        </w:rPr>
      </w:pPr>
    </w:p>
    <w:p w14:paraId="2E697DE4">
      <w:pPr>
        <w:spacing w:line="900" w:lineRule="exact"/>
        <w:jc w:val="center"/>
        <w:outlineLvl w:val="1"/>
        <w:rPr>
          <w:rFonts w:asciiTheme="minorEastAsia" w:hAnsiTheme="minorEastAsia" w:eastAsiaTheme="minorEastAsia"/>
          <w:b/>
          <w:color w:val="auto"/>
          <w:sz w:val="72"/>
          <w:highlight w:val="none"/>
        </w:rPr>
      </w:pPr>
      <w:bookmarkStart w:id="203" w:name="_Toc19607"/>
      <w:r>
        <w:rPr>
          <w:rFonts w:hint="eastAsia" w:asciiTheme="minorEastAsia" w:hAnsiTheme="minorEastAsia" w:eastAsiaTheme="minorEastAsia"/>
          <w:b/>
          <w:color w:val="auto"/>
          <w:sz w:val="72"/>
          <w:highlight w:val="none"/>
        </w:rPr>
        <w:t>文</w:t>
      </w:r>
      <w:bookmarkEnd w:id="203"/>
    </w:p>
    <w:p w14:paraId="213C712A">
      <w:pPr>
        <w:spacing w:line="900" w:lineRule="exact"/>
        <w:jc w:val="center"/>
        <w:rPr>
          <w:rFonts w:asciiTheme="minorEastAsia" w:hAnsiTheme="minorEastAsia" w:eastAsiaTheme="minorEastAsia"/>
          <w:b/>
          <w:color w:val="auto"/>
          <w:sz w:val="72"/>
          <w:highlight w:val="none"/>
        </w:rPr>
      </w:pPr>
    </w:p>
    <w:p w14:paraId="410238F9">
      <w:pPr>
        <w:jc w:val="center"/>
        <w:outlineLvl w:val="1"/>
        <w:rPr>
          <w:rFonts w:asciiTheme="minorEastAsia" w:hAnsiTheme="minorEastAsia" w:eastAsiaTheme="minorEastAsia"/>
          <w:b/>
          <w:color w:val="auto"/>
          <w:sz w:val="72"/>
          <w:highlight w:val="none"/>
        </w:rPr>
      </w:pPr>
      <w:bookmarkStart w:id="204" w:name="_Toc8365"/>
      <w:r>
        <w:rPr>
          <w:rFonts w:hint="eastAsia" w:asciiTheme="minorEastAsia" w:hAnsiTheme="minorEastAsia" w:eastAsiaTheme="minorEastAsia"/>
          <w:b/>
          <w:color w:val="auto"/>
          <w:sz w:val="72"/>
          <w:highlight w:val="none"/>
        </w:rPr>
        <w:t>件</w:t>
      </w:r>
      <w:bookmarkEnd w:id="204"/>
    </w:p>
    <w:p w14:paraId="45F4C76E">
      <w:pPr>
        <w:spacing w:before="156" w:beforeLines="50" w:after="156" w:afterLines="50"/>
        <w:jc w:val="center"/>
        <w:outlineLvl w:val="9"/>
        <w:rPr>
          <w:rFonts w:asciiTheme="minorEastAsia" w:hAnsiTheme="minorEastAsia" w:eastAsiaTheme="minorEastAsia"/>
          <w:b/>
          <w:color w:val="auto"/>
          <w:sz w:val="32"/>
          <w:szCs w:val="32"/>
          <w:highlight w:val="none"/>
        </w:rPr>
      </w:pPr>
    </w:p>
    <w:p w14:paraId="334F72E9">
      <w:pPr>
        <w:pStyle w:val="4"/>
        <w:rPr>
          <w:color w:val="auto"/>
          <w:highlight w:val="none"/>
        </w:rPr>
      </w:pPr>
    </w:p>
    <w:p w14:paraId="750B84EA">
      <w:pPr>
        <w:spacing w:after="156" w:afterLines="50" w:line="500" w:lineRule="exact"/>
        <w:jc w:val="center"/>
        <w:rPr>
          <w:rFonts w:asciiTheme="minorEastAsia" w:hAnsiTheme="minorEastAsia" w:eastAsiaTheme="minorEastAsia"/>
          <w:b/>
          <w:color w:val="auto"/>
          <w:sz w:val="28"/>
          <w:szCs w:val="28"/>
          <w:highlight w:val="none"/>
        </w:rPr>
      </w:pPr>
    </w:p>
    <w:p w14:paraId="1F452FC9">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E299201">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DDD9F67">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E137C84">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205" w:name="_Toc19687"/>
      <w:bookmarkStart w:id="206"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205"/>
      <w:bookmarkEnd w:id="206"/>
    </w:p>
    <w:p w14:paraId="08D1157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D4923CA">
      <w:pPr>
        <w:spacing w:line="360" w:lineRule="auto"/>
        <w:jc w:val="center"/>
        <w:outlineLvl w:val="1"/>
        <w:rPr>
          <w:rFonts w:asciiTheme="minorEastAsia" w:hAnsiTheme="minorEastAsia" w:eastAsiaTheme="minorEastAsia"/>
          <w:b/>
          <w:color w:val="auto"/>
          <w:sz w:val="24"/>
          <w:highlight w:val="none"/>
        </w:rPr>
      </w:pPr>
      <w:bookmarkStart w:id="207" w:name="_Toc28960"/>
      <w:bookmarkStart w:id="208" w:name="_Toc17986"/>
      <w:r>
        <w:rPr>
          <w:rFonts w:hint="eastAsia" w:asciiTheme="minorEastAsia" w:hAnsiTheme="minorEastAsia" w:eastAsiaTheme="minorEastAsia"/>
          <w:b/>
          <w:color w:val="auto"/>
          <w:sz w:val="24"/>
          <w:highlight w:val="none"/>
        </w:rPr>
        <w:t>一、开标一览表</w:t>
      </w:r>
      <w:bookmarkEnd w:id="207"/>
      <w:bookmarkEnd w:id="208"/>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3618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3A98483B">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4BD9C6B7">
            <w:pPr>
              <w:spacing w:line="360" w:lineRule="exact"/>
              <w:jc w:val="center"/>
              <w:rPr>
                <w:rFonts w:asciiTheme="minorEastAsia" w:hAnsiTheme="minorEastAsia" w:eastAsiaTheme="minorEastAsia"/>
                <w:bCs/>
                <w:color w:val="auto"/>
                <w:sz w:val="24"/>
                <w:highlight w:val="none"/>
                <w:u w:val="single"/>
              </w:rPr>
            </w:pPr>
          </w:p>
        </w:tc>
      </w:tr>
      <w:tr w14:paraId="71C9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B9281ED">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557B3AB3">
            <w:pPr>
              <w:spacing w:line="360" w:lineRule="auto"/>
              <w:rPr>
                <w:rFonts w:asciiTheme="minorEastAsia" w:hAnsiTheme="minorEastAsia" w:eastAsiaTheme="minorEastAsia"/>
                <w:color w:val="auto"/>
                <w:sz w:val="24"/>
                <w:highlight w:val="none"/>
              </w:rPr>
            </w:pPr>
          </w:p>
        </w:tc>
      </w:tr>
      <w:tr w14:paraId="55BA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2BD4B12">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752AD2DF">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2312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8327A79">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w:t>
            </w:r>
            <w:r>
              <w:rPr>
                <w:rFonts w:hint="eastAsia" w:asciiTheme="minorEastAsia" w:hAnsiTheme="minorEastAsia" w:eastAsiaTheme="minorEastAsia"/>
                <w:b/>
                <w:color w:val="auto"/>
                <w:sz w:val="24"/>
                <w:highlight w:val="none"/>
                <w:lang w:val="en-US" w:eastAsia="zh-CN"/>
              </w:rPr>
              <w:t>单价</w:t>
            </w:r>
            <w:r>
              <w:rPr>
                <w:rFonts w:hint="eastAsia" w:asciiTheme="minorEastAsia" w:hAnsiTheme="minorEastAsia" w:eastAsiaTheme="minorEastAsia"/>
                <w:b/>
                <w:color w:val="auto"/>
                <w:sz w:val="24"/>
                <w:highlight w:val="none"/>
              </w:rPr>
              <w:t>报价</w:t>
            </w:r>
          </w:p>
        </w:tc>
        <w:tc>
          <w:tcPr>
            <w:tcW w:w="3648" w:type="pct"/>
            <w:tcBorders>
              <w:top w:val="nil"/>
            </w:tcBorders>
            <w:vAlign w:val="center"/>
          </w:tcPr>
          <w:p w14:paraId="4D04ABFC">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lang w:val="en-US" w:eastAsia="zh-CN"/>
              </w:rPr>
              <w:t>每印张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none"/>
                <w:lang w:val="en-US" w:eastAsia="zh-CN"/>
              </w:rPr>
              <w:t>元</w:t>
            </w:r>
          </w:p>
          <w:p w14:paraId="0A60EACD">
            <w:pPr>
              <w:keepNext w:val="0"/>
              <w:keepLines w:val="0"/>
              <w:pageBreakBefore w:val="0"/>
              <w:kinsoku/>
              <w:wordWrap/>
              <w:overflowPunct/>
              <w:topLinePunct w:val="0"/>
              <w:autoSpaceDE/>
              <w:autoSpaceDN/>
              <w:bidi w:val="0"/>
              <w:adjustRightInd/>
              <w:spacing w:line="360" w:lineRule="auto"/>
              <w:ind w:right="-670"/>
              <w:textAlignment w:val="auto"/>
              <w:rPr>
                <w:rFonts w:hint="eastAsia" w:eastAsia="宋体" w:asciiTheme="minorEastAsia" w:hAnsiTheme="minorEastAsia"/>
                <w:color w:val="auto"/>
                <w:sz w:val="24"/>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8"/>
                <w:szCs w:val="28"/>
                <w:highlight w:val="none"/>
                <w:lang w:val="en-US" w:eastAsia="zh-CN"/>
              </w:rPr>
              <w:t>元/印张</w:t>
            </w:r>
          </w:p>
        </w:tc>
      </w:tr>
      <w:tr w14:paraId="049E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67A168C">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5D895602">
            <w:pPr>
              <w:spacing w:line="360" w:lineRule="auto"/>
              <w:jc w:val="left"/>
              <w:rPr>
                <w:rFonts w:asciiTheme="minorEastAsia" w:hAnsiTheme="minorEastAsia" w:eastAsiaTheme="minorEastAsia"/>
                <w:color w:val="auto"/>
                <w:sz w:val="24"/>
                <w:szCs w:val="28"/>
                <w:highlight w:val="none"/>
              </w:rPr>
            </w:pPr>
          </w:p>
        </w:tc>
      </w:tr>
    </w:tbl>
    <w:p w14:paraId="4BAA6053">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F3EC433">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2E697A7">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403A17C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2C620D5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011E63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100974E3">
      <w:pPr>
        <w:spacing w:line="360" w:lineRule="auto"/>
        <w:jc w:val="center"/>
        <w:outlineLvl w:val="1"/>
        <w:rPr>
          <w:rFonts w:asciiTheme="minorEastAsia" w:hAnsiTheme="minorEastAsia" w:eastAsiaTheme="minorEastAsia"/>
          <w:b/>
          <w:color w:val="auto"/>
          <w:sz w:val="24"/>
          <w:highlight w:val="none"/>
        </w:rPr>
      </w:pPr>
      <w:bookmarkStart w:id="209" w:name="_Toc6120"/>
      <w:bookmarkStart w:id="210" w:name="_Toc6441"/>
      <w:r>
        <w:rPr>
          <w:rFonts w:hint="eastAsia" w:asciiTheme="minorEastAsia" w:hAnsiTheme="minorEastAsia" w:eastAsiaTheme="minorEastAsia"/>
          <w:b/>
          <w:color w:val="auto"/>
          <w:sz w:val="24"/>
          <w:highlight w:val="none"/>
        </w:rPr>
        <w:t>二、投标函</w:t>
      </w:r>
      <w:bookmarkEnd w:id="209"/>
      <w:bookmarkEnd w:id="210"/>
    </w:p>
    <w:p w14:paraId="2C84E476">
      <w:pPr>
        <w:pStyle w:val="14"/>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4D325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48C10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DB0232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3CE7B2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42D55F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4AB035FC">
      <w:pPr>
        <w:spacing w:line="360" w:lineRule="auto"/>
        <w:ind w:firstLine="4800" w:firstLineChars="2000"/>
        <w:rPr>
          <w:rFonts w:ascii="宋体" w:hAnsi="宋体" w:eastAsia="宋体"/>
          <w:color w:val="auto"/>
          <w:sz w:val="24"/>
          <w:highlight w:val="none"/>
        </w:rPr>
      </w:pPr>
    </w:p>
    <w:p w14:paraId="73B5F41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144CA91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9A79AEE">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2DD5C84E">
      <w:pPr>
        <w:spacing w:line="360" w:lineRule="auto"/>
        <w:jc w:val="center"/>
        <w:outlineLvl w:val="1"/>
        <w:rPr>
          <w:rFonts w:hint="eastAsia" w:asciiTheme="minorEastAsia" w:hAnsiTheme="minorEastAsia" w:eastAsiaTheme="minorEastAsia"/>
          <w:b/>
          <w:color w:val="auto"/>
          <w:sz w:val="24"/>
          <w:highlight w:val="none"/>
        </w:rPr>
      </w:pPr>
      <w:bookmarkStart w:id="211" w:name="_Toc18881"/>
      <w:r>
        <w:rPr>
          <w:rFonts w:hint="eastAsia" w:asciiTheme="minorEastAsia" w:hAnsiTheme="minorEastAsia" w:eastAsiaTheme="minorEastAsia"/>
          <w:b/>
          <w:color w:val="auto"/>
          <w:sz w:val="24"/>
          <w:highlight w:val="none"/>
          <w:lang w:val="en-US" w:eastAsia="zh-CN"/>
        </w:rPr>
        <w:t>三．投标人资格声明书</w:t>
      </w:r>
      <w:bookmarkEnd w:id="211"/>
      <w:r>
        <w:rPr>
          <w:rFonts w:hint="eastAsia" w:asciiTheme="minorEastAsia" w:hAnsiTheme="minorEastAsia" w:eastAsiaTheme="minorEastAsia"/>
          <w:b/>
          <w:color w:val="auto"/>
          <w:sz w:val="24"/>
          <w:highlight w:val="none"/>
          <w:lang w:val="en-US" w:eastAsia="zh-CN"/>
        </w:rPr>
        <w:t xml:space="preserve"> </w:t>
      </w:r>
    </w:p>
    <w:p w14:paraId="1470E986">
      <w:pPr>
        <w:pStyle w:val="14"/>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1778D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在参与本次项目投标中，我单位承诺：</w:t>
      </w:r>
    </w:p>
    <w:p w14:paraId="756892F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4CFA765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13EAB60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3F96C12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0EE3FA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4E0FD48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（六）我单位不存在为采购项目提供整体设计、规范编制或者项目管理、监理、检测等服务后，再参加该采购项目的其他采购活动的情形（单一来源采购项目除外）；</w:t>
      </w:r>
    </w:p>
    <w:p w14:paraId="5A2954F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（七）与我单位存在单位负责人为同一人或者存在直接控股、管理关系的其他法人单位信息如下（如有，不论其是否参加同一合同项下的政府采购活动均须填写）：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7C1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BB063C1">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1419231F">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2CF9630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39E5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3ED3143">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21F34B74">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4050F636">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7CE1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6DADAE2">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3CA36E8A">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751CD7DB">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3E27857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6DF782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AF91427">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993F213">
      <w:pPr>
        <w:rPr>
          <w:rFonts w:hint="eastAsia" w:asciiTheme="minorEastAsia" w:hAnsiTheme="minorEastAsia" w:eastAsiaTheme="minorEastAsia"/>
          <w:b/>
          <w:color w:val="auto"/>
          <w:sz w:val="24"/>
          <w:highlight w:val="none"/>
        </w:rPr>
      </w:pPr>
      <w:bookmarkStart w:id="212" w:name="_Toc11607"/>
      <w:r>
        <w:rPr>
          <w:rFonts w:hint="eastAsia" w:asciiTheme="minorEastAsia" w:hAnsiTheme="minorEastAsia" w:eastAsiaTheme="minorEastAsia"/>
          <w:b/>
          <w:color w:val="auto"/>
          <w:sz w:val="24"/>
          <w:highlight w:val="none"/>
        </w:rPr>
        <w:br w:type="page"/>
      </w:r>
    </w:p>
    <w:p w14:paraId="54A4C2E9">
      <w:pPr>
        <w:spacing w:line="360" w:lineRule="auto"/>
        <w:jc w:val="center"/>
        <w:outlineLvl w:val="1"/>
        <w:rPr>
          <w:rFonts w:asciiTheme="minorEastAsia" w:hAnsiTheme="minorEastAsia" w:eastAsiaTheme="minorEastAsia"/>
          <w:b/>
          <w:color w:val="auto"/>
          <w:sz w:val="24"/>
          <w:highlight w:val="none"/>
        </w:rPr>
      </w:pPr>
      <w:bookmarkStart w:id="213" w:name="_Toc24583"/>
      <w:r>
        <w:rPr>
          <w:rFonts w:hint="eastAsia" w:asciiTheme="minorEastAsia" w:hAnsiTheme="minorEastAsia" w:eastAsiaTheme="minorEastAsia"/>
          <w:b/>
          <w:color w:val="auto"/>
          <w:sz w:val="24"/>
          <w:highlight w:val="none"/>
        </w:rPr>
        <w:t>四、授权书</w:t>
      </w:r>
      <w:bookmarkEnd w:id="212"/>
      <w:bookmarkEnd w:id="213"/>
    </w:p>
    <w:p w14:paraId="79ED74C6">
      <w:pPr>
        <w:pStyle w:val="12"/>
        <w:snapToGrid w:val="0"/>
        <w:spacing w:line="360" w:lineRule="auto"/>
        <w:ind w:firstLine="480" w:firstLineChars="200"/>
        <w:jc w:val="left"/>
        <w:rPr>
          <w:rFonts w:hAnsi="宋体" w:eastAsia="宋体"/>
          <w:color w:val="auto"/>
          <w:sz w:val="24"/>
          <w:szCs w:val="28"/>
          <w:highlight w:val="none"/>
        </w:rPr>
      </w:pPr>
    </w:p>
    <w:p w14:paraId="5F522437">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24553D2">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1AD19E9C">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3FF74B93">
      <w:pPr>
        <w:spacing w:line="360" w:lineRule="auto"/>
        <w:ind w:firstLine="435"/>
        <w:rPr>
          <w:rFonts w:asciiTheme="minorEastAsia" w:hAnsiTheme="minorEastAsia" w:eastAsiaTheme="minorEastAsia"/>
          <w:color w:val="auto"/>
          <w:sz w:val="24"/>
          <w:highlight w:val="none"/>
        </w:rPr>
      </w:pPr>
    </w:p>
    <w:p w14:paraId="0F399850">
      <w:pPr>
        <w:spacing w:line="360" w:lineRule="auto"/>
        <w:ind w:firstLine="435"/>
        <w:rPr>
          <w:rFonts w:asciiTheme="minorEastAsia" w:hAnsiTheme="minorEastAsia" w:eastAsiaTheme="minorEastAsia"/>
          <w:color w:val="auto"/>
          <w:sz w:val="24"/>
          <w:highlight w:val="none"/>
        </w:rPr>
      </w:pPr>
    </w:p>
    <w:p w14:paraId="776598C0">
      <w:pPr>
        <w:spacing w:line="360" w:lineRule="auto"/>
        <w:ind w:firstLine="435"/>
        <w:rPr>
          <w:rFonts w:asciiTheme="minorEastAsia" w:hAnsiTheme="minorEastAsia" w:eastAsiaTheme="minorEastAsia"/>
          <w:color w:val="auto"/>
          <w:sz w:val="24"/>
          <w:highlight w:val="none"/>
        </w:rPr>
      </w:pPr>
    </w:p>
    <w:p w14:paraId="123D485F">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77779EF">
      <w:pPr>
        <w:spacing w:line="360" w:lineRule="auto"/>
        <w:ind w:firstLine="435"/>
        <w:rPr>
          <w:rFonts w:hAnsi="宋体" w:eastAsia="宋体"/>
          <w:color w:val="auto"/>
          <w:sz w:val="24"/>
          <w:szCs w:val="28"/>
          <w:highlight w:val="none"/>
          <w:lang w:val="zh-CN"/>
        </w:rPr>
      </w:pPr>
    </w:p>
    <w:p w14:paraId="4CA7E01C">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4CEAB8C5">
      <w:pPr>
        <w:spacing w:line="360" w:lineRule="auto"/>
        <w:rPr>
          <w:rFonts w:ascii="宋体" w:hAnsi="宋体" w:eastAsia="宋体"/>
          <w:color w:val="auto"/>
          <w:sz w:val="24"/>
          <w:szCs w:val="28"/>
          <w:highlight w:val="none"/>
        </w:rPr>
      </w:pPr>
    </w:p>
    <w:p w14:paraId="503C7A1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54D925B">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3752C2DD">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77E46E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7F490E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654C1F90">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D4AAF3B">
      <w:pPr>
        <w:spacing w:line="360" w:lineRule="auto"/>
        <w:jc w:val="center"/>
        <w:outlineLvl w:val="1"/>
        <w:rPr>
          <w:rFonts w:hint="eastAsia" w:ascii="宋体" w:hAnsi="宋体" w:eastAsia="宋体" w:cs="宋体"/>
          <w:b/>
          <w:color w:val="auto"/>
          <w:sz w:val="24"/>
          <w:highlight w:val="none"/>
        </w:rPr>
      </w:pPr>
      <w:bookmarkStart w:id="214" w:name="_Toc31027"/>
      <w:bookmarkStart w:id="215" w:name="_Toc32226"/>
      <w:r>
        <w:rPr>
          <w:rFonts w:hint="eastAsia" w:asciiTheme="minorEastAsia" w:hAnsiTheme="minorEastAsia" w:eastAsiaTheme="minorEastAsia"/>
          <w:b/>
          <w:color w:val="auto"/>
          <w:sz w:val="24"/>
          <w:highlight w:val="none"/>
        </w:rPr>
        <w:t>五、</w:t>
      </w:r>
      <w:r>
        <w:rPr>
          <w:rFonts w:hint="eastAsia" w:ascii="宋体" w:hAnsi="宋体" w:eastAsia="宋体" w:cs="宋体"/>
          <w:b/>
          <w:color w:val="auto"/>
          <w:sz w:val="24"/>
          <w:highlight w:val="none"/>
        </w:rPr>
        <w:t>诚信投标承诺书</w:t>
      </w:r>
    </w:p>
    <w:p w14:paraId="25B89C88">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本人以企业法定代表人的身份郑重承诺：</w:t>
      </w:r>
    </w:p>
    <w:p w14:paraId="471FB144">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一、将遵循公开、公正和诚实信用的原则自愿参加项目的投标，所提供的一切材料都是真实、有效、合法的；</w:t>
      </w:r>
    </w:p>
    <w:p w14:paraId="716308F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170E27A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14:paraId="2BA6A371">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四、不与其他投标人相互串通投标报价，不排挤其他投标人的公平竞争、损害招标人的合法权益；</w:t>
      </w:r>
    </w:p>
    <w:p w14:paraId="4F3E7BE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五、不与招标人、招标代理机构或其他投标人串通投标，损害国家利益、社会公共利益或者他人的合法权益；</w:t>
      </w:r>
    </w:p>
    <w:p w14:paraId="4537889B">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color w:val="auto"/>
          <w:kern w:val="2"/>
          <w:sz w:val="21"/>
          <w:szCs w:val="21"/>
          <w:highlight w:val="none"/>
          <w:u w:val="single"/>
          <w:lang w:val="en-US" w:eastAsia="zh-CN" w:bidi="ar"/>
        </w:rPr>
        <w:t>（企业名称）</w:t>
      </w:r>
      <w:r>
        <w:rPr>
          <w:rFonts w:hint="eastAsia" w:ascii="宋体" w:hAnsi="宋体" w:eastAsia="宋体" w:cs="宋体"/>
          <w:color w:val="auto"/>
          <w:kern w:val="2"/>
          <w:sz w:val="21"/>
          <w:szCs w:val="21"/>
          <w:highlight w:val="none"/>
          <w:lang w:val="en-US" w:eastAsia="zh-CN" w:bidi="ar"/>
        </w:rPr>
        <w:t>或</w:t>
      </w:r>
      <w:r>
        <w:rPr>
          <w:rFonts w:hint="eastAsia" w:ascii="宋体" w:hAnsi="宋体" w:eastAsia="宋体" w:cs="宋体"/>
          <w:color w:val="auto"/>
          <w:kern w:val="2"/>
          <w:sz w:val="21"/>
          <w:szCs w:val="21"/>
          <w:highlight w:val="none"/>
          <w:u w:val="single"/>
          <w:lang w:val="en-US" w:eastAsia="zh-CN" w:bidi="ar"/>
        </w:rPr>
        <w:t>（企业名称）</w:t>
      </w:r>
      <w:r>
        <w:rPr>
          <w:rFonts w:hint="eastAsia" w:ascii="宋体" w:hAnsi="宋体" w:eastAsia="宋体" w:cs="宋体"/>
          <w:color w:val="auto"/>
          <w:kern w:val="2"/>
          <w:sz w:val="21"/>
          <w:szCs w:val="21"/>
          <w:highlight w:val="none"/>
          <w:lang w:val="en-US" w:eastAsia="zh-CN" w:bidi="ar"/>
        </w:rPr>
        <w:t>法定代表人或拟派项目经理（负责人）没有下列情形：①被列入“信用中国”网站“失信被执行人”的；②被列入“信用中国”网站“重大税收违法失信主体”的；③被列入“信用中国”网站“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58D5EDD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、严格遵守开标现场纪律，服从监管人员管理；</w:t>
      </w:r>
    </w:p>
    <w:p w14:paraId="74E441B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、保证中标后不转包，若有分包征得招标人同意；</w:t>
      </w:r>
    </w:p>
    <w:p w14:paraId="5A85D41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、保证中标之后，按照投标文件要求提供相关后续服务；</w:t>
      </w:r>
    </w:p>
    <w:p w14:paraId="27DF9932">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十、保证企业及所属相关人员在本次投标中无行贿等犯罪行为；</w:t>
      </w:r>
    </w:p>
    <w:p w14:paraId="5B4BCFBE">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5BC9A9F">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14:paraId="1A33A824">
      <w:pPr>
        <w:spacing w:line="500" w:lineRule="exact"/>
        <w:ind w:firstLine="420" w:firstLineChars="200"/>
        <w:rPr>
          <w:rFonts w:hint="eastAsia" w:ascii="宋体" w:hAnsi="宋体" w:eastAsia="宋体" w:cs="宋体"/>
          <w:color w:val="auto"/>
          <w:szCs w:val="21"/>
          <w:highlight w:val="none"/>
          <w:lang w:eastAsia="zh-CN"/>
        </w:rPr>
      </w:pPr>
    </w:p>
    <w:p w14:paraId="719B214E">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开户银行：基本账户：</w:t>
      </w:r>
    </w:p>
    <w:p w14:paraId="46BBC7CE">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投标单位（签章）：法定代表人（签章）：</w:t>
      </w:r>
    </w:p>
    <w:p w14:paraId="606FD9D0">
      <w:pPr>
        <w:spacing w:line="500" w:lineRule="exact"/>
        <w:ind w:firstLine="420" w:firstLineChars="200"/>
        <w:rPr>
          <w:rFonts w:hint="eastAsia" w:ascii="宋体" w:hAnsi="宋体" w:eastAsia="宋体" w:cs="宋体"/>
          <w:color w:val="auto"/>
          <w:szCs w:val="21"/>
          <w:highlight w:val="none"/>
          <w:lang w:eastAsia="zh-CN"/>
        </w:rPr>
      </w:pPr>
    </w:p>
    <w:p w14:paraId="7E8E98CC">
      <w:pPr>
        <w:widowControl/>
        <w:jc w:val="right"/>
        <w:rPr>
          <w:rFonts w:hint="eastAsia" w:ascii="宋体" w:hAnsi="宋体" w:eastAsia="宋体" w:cs="宋体"/>
          <w:b/>
          <w:color w:val="auto"/>
          <w:sz w:val="28"/>
          <w:highlight w:val="none"/>
          <w:lang w:val="en-US" w:eastAsia="zh-CN"/>
        </w:rPr>
      </w:pPr>
      <w:r>
        <w:rPr>
          <w:rFonts w:hint="eastAsia" w:ascii="宋体" w:hAnsi="宋体" w:eastAsia="宋体" w:cs="宋体"/>
          <w:color w:val="auto"/>
          <w:szCs w:val="21"/>
          <w:highlight w:val="none"/>
        </w:rPr>
        <w:t>日期：年月</w:t>
      </w:r>
      <w:r>
        <w:rPr>
          <w:rFonts w:hint="eastAsia" w:ascii="宋体" w:hAnsi="宋体" w:eastAsia="宋体" w:cs="宋体"/>
          <w:color w:val="auto"/>
          <w:szCs w:val="21"/>
          <w:highlight w:val="none"/>
          <w:lang w:val="en-US" w:eastAsia="zh-CN"/>
        </w:rPr>
        <w:t>日</w:t>
      </w:r>
    </w:p>
    <w:p w14:paraId="199F23E7">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2CEF4DF8">
      <w:pPr>
        <w:spacing w:line="360" w:lineRule="auto"/>
        <w:jc w:val="center"/>
        <w:outlineLvl w:val="1"/>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六、</w:t>
      </w:r>
      <w:r>
        <w:rPr>
          <w:rFonts w:hint="eastAsia" w:asciiTheme="minorEastAsia" w:hAnsiTheme="minorEastAsia" w:eastAsiaTheme="minorEastAsia"/>
          <w:b/>
          <w:color w:val="auto"/>
          <w:sz w:val="24"/>
          <w:highlight w:val="none"/>
        </w:rPr>
        <w:t>投标分项报价表</w:t>
      </w:r>
      <w:bookmarkEnd w:id="214"/>
      <w:bookmarkEnd w:id="215"/>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本项目不采用</w:t>
      </w:r>
      <w:r>
        <w:rPr>
          <w:rFonts w:hint="eastAsia" w:asciiTheme="minorEastAsia" w:hAnsiTheme="minorEastAsia" w:eastAsiaTheme="minorEastAsia"/>
          <w:b/>
          <w:color w:val="auto"/>
          <w:sz w:val="24"/>
          <w:highlight w:val="none"/>
          <w:lang w:eastAsia="zh-CN"/>
        </w:rPr>
        <w:t>）</w:t>
      </w:r>
    </w:p>
    <w:p w14:paraId="7BFA8A4B">
      <w:pPr>
        <w:pStyle w:val="51"/>
        <w:jc w:val="left"/>
        <w:rPr>
          <w:rFonts w:hint="default" w:ascii="宋体" w:hAnsi="宋体" w:eastAsia="宋体"/>
          <w:b/>
          <w:bCs/>
          <w:color w:val="auto"/>
          <w:highlight w:val="none"/>
          <w:lang w:val="en-US" w:eastAsia="zh-CN"/>
        </w:rPr>
      </w:pPr>
      <w:r>
        <w:rPr>
          <w:rFonts w:hint="eastAsia" w:ascii="宋体" w:hAnsi="宋体" w:eastAsia="宋体"/>
          <w:b/>
          <w:bCs/>
          <w:color w:val="auto"/>
          <w:highlight w:val="none"/>
          <w:lang w:val="en-US" w:eastAsia="zh-CN"/>
        </w:rPr>
        <w:t>5-1货物部分</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323"/>
        <w:gridCol w:w="1316"/>
        <w:gridCol w:w="1316"/>
        <w:gridCol w:w="672"/>
        <w:gridCol w:w="672"/>
        <w:gridCol w:w="940"/>
        <w:gridCol w:w="940"/>
        <w:gridCol w:w="670"/>
      </w:tblGrid>
      <w:tr w14:paraId="29F8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02EB3403">
            <w:pPr>
              <w:pStyle w:val="4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6" w:type="pct"/>
            <w:noWrap w:val="0"/>
            <w:vAlign w:val="center"/>
          </w:tcPr>
          <w:p w14:paraId="73FB9F55">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2" w:type="pct"/>
            <w:noWrap w:val="0"/>
            <w:vAlign w:val="center"/>
          </w:tcPr>
          <w:p w14:paraId="74F9288A">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75AB3D77">
            <w:pPr>
              <w:jc w:val="center"/>
              <w:rPr>
                <w:rFonts w:ascii="宋体" w:hAnsi="宋体" w:eastAsia="宋体"/>
                <w:b/>
                <w:color w:val="auto"/>
                <w:sz w:val="24"/>
                <w:highlight w:val="none"/>
              </w:rPr>
            </w:pPr>
            <w:r>
              <w:rPr>
                <w:rFonts w:hint="eastAsia" w:ascii="宋体" w:hAnsi="宋体" w:eastAsia="宋体"/>
                <w:b/>
                <w:color w:val="auto"/>
                <w:sz w:val="24"/>
                <w:highlight w:val="none"/>
              </w:rPr>
              <w:t>号规格</w:t>
            </w:r>
          </w:p>
        </w:tc>
        <w:tc>
          <w:tcPr>
            <w:tcW w:w="772" w:type="pct"/>
            <w:noWrap w:val="0"/>
            <w:vAlign w:val="center"/>
          </w:tcPr>
          <w:p w14:paraId="3FC9B9D4">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69A6F33E">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noWrap w:val="0"/>
            <w:vAlign w:val="center"/>
          </w:tcPr>
          <w:p w14:paraId="5E220F61">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noWrap w:val="0"/>
            <w:vAlign w:val="center"/>
          </w:tcPr>
          <w:p w14:paraId="320CC90F">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noWrap w:val="0"/>
            <w:vAlign w:val="center"/>
          </w:tcPr>
          <w:p w14:paraId="57B37F39">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39894848">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noWrap w:val="0"/>
            <w:vAlign w:val="center"/>
          </w:tcPr>
          <w:p w14:paraId="3425285D">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57010817">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noWrap w:val="0"/>
            <w:vAlign w:val="center"/>
          </w:tcPr>
          <w:p w14:paraId="47A63804">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7492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081E0F3E">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6" w:type="pct"/>
            <w:noWrap w:val="0"/>
            <w:vAlign w:val="top"/>
          </w:tcPr>
          <w:p w14:paraId="7761E195">
            <w:pPr>
              <w:rPr>
                <w:rFonts w:ascii="宋体" w:hAnsi="宋体" w:eastAsia="宋体"/>
                <w:color w:val="auto"/>
                <w:sz w:val="24"/>
                <w:highlight w:val="none"/>
              </w:rPr>
            </w:pPr>
          </w:p>
        </w:tc>
        <w:tc>
          <w:tcPr>
            <w:tcW w:w="772" w:type="pct"/>
            <w:noWrap w:val="0"/>
            <w:vAlign w:val="top"/>
          </w:tcPr>
          <w:p w14:paraId="0375DE1C">
            <w:pPr>
              <w:rPr>
                <w:rFonts w:ascii="宋体" w:hAnsi="宋体" w:eastAsia="宋体"/>
                <w:color w:val="auto"/>
                <w:sz w:val="24"/>
                <w:highlight w:val="none"/>
              </w:rPr>
            </w:pPr>
          </w:p>
        </w:tc>
        <w:tc>
          <w:tcPr>
            <w:tcW w:w="772" w:type="pct"/>
            <w:noWrap w:val="0"/>
            <w:vAlign w:val="top"/>
          </w:tcPr>
          <w:p w14:paraId="52FF1C92">
            <w:pPr>
              <w:rPr>
                <w:rFonts w:ascii="宋体" w:hAnsi="宋体" w:eastAsia="宋体"/>
                <w:color w:val="auto"/>
                <w:sz w:val="24"/>
                <w:highlight w:val="none"/>
              </w:rPr>
            </w:pPr>
          </w:p>
        </w:tc>
        <w:tc>
          <w:tcPr>
            <w:tcW w:w="394" w:type="pct"/>
            <w:noWrap w:val="0"/>
            <w:vAlign w:val="top"/>
          </w:tcPr>
          <w:p w14:paraId="7C01FFE9">
            <w:pPr>
              <w:rPr>
                <w:rFonts w:ascii="宋体" w:hAnsi="宋体" w:eastAsia="宋体"/>
                <w:color w:val="auto"/>
                <w:sz w:val="24"/>
                <w:highlight w:val="none"/>
              </w:rPr>
            </w:pPr>
          </w:p>
        </w:tc>
        <w:tc>
          <w:tcPr>
            <w:tcW w:w="394" w:type="pct"/>
            <w:noWrap w:val="0"/>
            <w:vAlign w:val="top"/>
          </w:tcPr>
          <w:p w14:paraId="4DE5AC10">
            <w:pPr>
              <w:rPr>
                <w:rFonts w:ascii="宋体" w:hAnsi="宋体" w:eastAsia="宋体"/>
                <w:color w:val="auto"/>
                <w:sz w:val="24"/>
                <w:highlight w:val="none"/>
              </w:rPr>
            </w:pPr>
          </w:p>
        </w:tc>
        <w:tc>
          <w:tcPr>
            <w:tcW w:w="551" w:type="pct"/>
            <w:noWrap w:val="0"/>
            <w:vAlign w:val="top"/>
          </w:tcPr>
          <w:p w14:paraId="21DA4597">
            <w:pPr>
              <w:rPr>
                <w:rFonts w:ascii="宋体" w:hAnsi="宋体" w:eastAsia="宋体"/>
                <w:color w:val="auto"/>
                <w:sz w:val="24"/>
                <w:highlight w:val="none"/>
              </w:rPr>
            </w:pPr>
          </w:p>
        </w:tc>
        <w:tc>
          <w:tcPr>
            <w:tcW w:w="551" w:type="pct"/>
            <w:noWrap w:val="0"/>
            <w:vAlign w:val="top"/>
          </w:tcPr>
          <w:p w14:paraId="2A9B41D8">
            <w:pPr>
              <w:rPr>
                <w:rFonts w:ascii="宋体" w:hAnsi="宋体" w:eastAsia="宋体"/>
                <w:color w:val="auto"/>
                <w:sz w:val="24"/>
                <w:highlight w:val="none"/>
              </w:rPr>
            </w:pPr>
          </w:p>
        </w:tc>
        <w:tc>
          <w:tcPr>
            <w:tcW w:w="393" w:type="pct"/>
            <w:noWrap w:val="0"/>
            <w:vAlign w:val="top"/>
          </w:tcPr>
          <w:p w14:paraId="2B68B0FE">
            <w:pPr>
              <w:rPr>
                <w:rFonts w:ascii="宋体" w:hAnsi="宋体" w:eastAsia="宋体"/>
                <w:color w:val="auto"/>
                <w:sz w:val="24"/>
                <w:highlight w:val="none"/>
              </w:rPr>
            </w:pPr>
          </w:p>
        </w:tc>
      </w:tr>
      <w:tr w14:paraId="6C4B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01A75D3A">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6" w:type="pct"/>
            <w:noWrap w:val="0"/>
            <w:vAlign w:val="top"/>
          </w:tcPr>
          <w:p w14:paraId="1C5F27B4">
            <w:pPr>
              <w:rPr>
                <w:rFonts w:ascii="宋体" w:hAnsi="宋体" w:eastAsia="宋体"/>
                <w:color w:val="auto"/>
                <w:sz w:val="24"/>
                <w:highlight w:val="none"/>
              </w:rPr>
            </w:pPr>
          </w:p>
        </w:tc>
        <w:tc>
          <w:tcPr>
            <w:tcW w:w="772" w:type="pct"/>
            <w:noWrap w:val="0"/>
            <w:vAlign w:val="top"/>
          </w:tcPr>
          <w:p w14:paraId="439F3115">
            <w:pPr>
              <w:rPr>
                <w:rFonts w:ascii="宋体" w:hAnsi="宋体" w:eastAsia="宋体"/>
                <w:color w:val="auto"/>
                <w:sz w:val="24"/>
                <w:highlight w:val="none"/>
              </w:rPr>
            </w:pPr>
          </w:p>
        </w:tc>
        <w:tc>
          <w:tcPr>
            <w:tcW w:w="772" w:type="pct"/>
            <w:noWrap w:val="0"/>
            <w:vAlign w:val="top"/>
          </w:tcPr>
          <w:p w14:paraId="0B5EF6A2">
            <w:pPr>
              <w:rPr>
                <w:rFonts w:ascii="宋体" w:hAnsi="宋体" w:eastAsia="宋体"/>
                <w:color w:val="auto"/>
                <w:sz w:val="24"/>
                <w:highlight w:val="none"/>
              </w:rPr>
            </w:pPr>
          </w:p>
        </w:tc>
        <w:tc>
          <w:tcPr>
            <w:tcW w:w="394" w:type="pct"/>
            <w:noWrap w:val="0"/>
            <w:vAlign w:val="top"/>
          </w:tcPr>
          <w:p w14:paraId="66BA4716">
            <w:pPr>
              <w:rPr>
                <w:rFonts w:ascii="宋体" w:hAnsi="宋体" w:eastAsia="宋体"/>
                <w:color w:val="auto"/>
                <w:sz w:val="24"/>
                <w:highlight w:val="none"/>
              </w:rPr>
            </w:pPr>
          </w:p>
        </w:tc>
        <w:tc>
          <w:tcPr>
            <w:tcW w:w="394" w:type="pct"/>
            <w:noWrap w:val="0"/>
            <w:vAlign w:val="top"/>
          </w:tcPr>
          <w:p w14:paraId="4981F119">
            <w:pPr>
              <w:rPr>
                <w:rFonts w:ascii="宋体" w:hAnsi="宋体" w:eastAsia="宋体"/>
                <w:color w:val="auto"/>
                <w:sz w:val="24"/>
                <w:highlight w:val="none"/>
              </w:rPr>
            </w:pPr>
          </w:p>
        </w:tc>
        <w:tc>
          <w:tcPr>
            <w:tcW w:w="551" w:type="pct"/>
            <w:noWrap w:val="0"/>
            <w:vAlign w:val="top"/>
          </w:tcPr>
          <w:p w14:paraId="6A08DEBB">
            <w:pPr>
              <w:rPr>
                <w:rFonts w:ascii="宋体" w:hAnsi="宋体" w:eastAsia="宋体"/>
                <w:color w:val="auto"/>
                <w:sz w:val="24"/>
                <w:highlight w:val="none"/>
              </w:rPr>
            </w:pPr>
          </w:p>
        </w:tc>
        <w:tc>
          <w:tcPr>
            <w:tcW w:w="551" w:type="pct"/>
            <w:noWrap w:val="0"/>
            <w:vAlign w:val="top"/>
          </w:tcPr>
          <w:p w14:paraId="21EA39CE">
            <w:pPr>
              <w:rPr>
                <w:rFonts w:ascii="宋体" w:hAnsi="宋体" w:eastAsia="宋体"/>
                <w:color w:val="auto"/>
                <w:sz w:val="24"/>
                <w:highlight w:val="none"/>
              </w:rPr>
            </w:pPr>
          </w:p>
        </w:tc>
        <w:tc>
          <w:tcPr>
            <w:tcW w:w="393" w:type="pct"/>
            <w:noWrap w:val="0"/>
            <w:vAlign w:val="top"/>
          </w:tcPr>
          <w:p w14:paraId="2599FD7C">
            <w:pPr>
              <w:rPr>
                <w:rFonts w:ascii="宋体" w:hAnsi="宋体" w:eastAsia="宋体"/>
                <w:color w:val="auto"/>
                <w:sz w:val="24"/>
                <w:highlight w:val="none"/>
              </w:rPr>
            </w:pPr>
          </w:p>
        </w:tc>
      </w:tr>
      <w:tr w14:paraId="3B9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3EF7B92A">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776" w:type="pct"/>
            <w:noWrap w:val="0"/>
            <w:vAlign w:val="top"/>
          </w:tcPr>
          <w:p w14:paraId="3F508895">
            <w:pPr>
              <w:rPr>
                <w:rFonts w:ascii="宋体" w:hAnsi="宋体" w:eastAsia="宋体"/>
                <w:color w:val="auto"/>
                <w:sz w:val="24"/>
                <w:highlight w:val="none"/>
              </w:rPr>
            </w:pPr>
          </w:p>
        </w:tc>
        <w:tc>
          <w:tcPr>
            <w:tcW w:w="772" w:type="pct"/>
            <w:noWrap w:val="0"/>
            <w:vAlign w:val="top"/>
          </w:tcPr>
          <w:p w14:paraId="20B310BD">
            <w:pPr>
              <w:rPr>
                <w:rFonts w:ascii="宋体" w:hAnsi="宋体" w:eastAsia="宋体"/>
                <w:color w:val="auto"/>
                <w:sz w:val="24"/>
                <w:highlight w:val="none"/>
              </w:rPr>
            </w:pPr>
          </w:p>
        </w:tc>
        <w:tc>
          <w:tcPr>
            <w:tcW w:w="772" w:type="pct"/>
            <w:noWrap w:val="0"/>
            <w:vAlign w:val="top"/>
          </w:tcPr>
          <w:p w14:paraId="09A7230D">
            <w:pPr>
              <w:rPr>
                <w:rFonts w:ascii="宋体" w:hAnsi="宋体" w:eastAsia="宋体"/>
                <w:color w:val="auto"/>
                <w:sz w:val="24"/>
                <w:highlight w:val="none"/>
              </w:rPr>
            </w:pPr>
          </w:p>
        </w:tc>
        <w:tc>
          <w:tcPr>
            <w:tcW w:w="394" w:type="pct"/>
            <w:noWrap w:val="0"/>
            <w:vAlign w:val="top"/>
          </w:tcPr>
          <w:p w14:paraId="275F91C4">
            <w:pPr>
              <w:rPr>
                <w:rFonts w:ascii="宋体" w:hAnsi="宋体" w:eastAsia="宋体"/>
                <w:color w:val="auto"/>
                <w:sz w:val="24"/>
                <w:highlight w:val="none"/>
              </w:rPr>
            </w:pPr>
          </w:p>
        </w:tc>
        <w:tc>
          <w:tcPr>
            <w:tcW w:w="394" w:type="pct"/>
            <w:noWrap w:val="0"/>
            <w:vAlign w:val="top"/>
          </w:tcPr>
          <w:p w14:paraId="6E9B5D37">
            <w:pPr>
              <w:rPr>
                <w:rFonts w:ascii="宋体" w:hAnsi="宋体" w:eastAsia="宋体"/>
                <w:color w:val="auto"/>
                <w:sz w:val="24"/>
                <w:highlight w:val="none"/>
              </w:rPr>
            </w:pPr>
          </w:p>
        </w:tc>
        <w:tc>
          <w:tcPr>
            <w:tcW w:w="551" w:type="pct"/>
            <w:noWrap w:val="0"/>
            <w:vAlign w:val="top"/>
          </w:tcPr>
          <w:p w14:paraId="7D351FDC">
            <w:pPr>
              <w:rPr>
                <w:rFonts w:ascii="宋体" w:hAnsi="宋体" w:eastAsia="宋体"/>
                <w:color w:val="auto"/>
                <w:sz w:val="24"/>
                <w:highlight w:val="none"/>
              </w:rPr>
            </w:pPr>
          </w:p>
        </w:tc>
        <w:tc>
          <w:tcPr>
            <w:tcW w:w="551" w:type="pct"/>
            <w:noWrap w:val="0"/>
            <w:vAlign w:val="top"/>
          </w:tcPr>
          <w:p w14:paraId="68D6AC0F">
            <w:pPr>
              <w:rPr>
                <w:rFonts w:ascii="宋体" w:hAnsi="宋体" w:eastAsia="宋体"/>
                <w:color w:val="auto"/>
                <w:sz w:val="24"/>
                <w:highlight w:val="none"/>
              </w:rPr>
            </w:pPr>
          </w:p>
        </w:tc>
        <w:tc>
          <w:tcPr>
            <w:tcW w:w="393" w:type="pct"/>
            <w:noWrap w:val="0"/>
            <w:vAlign w:val="top"/>
          </w:tcPr>
          <w:p w14:paraId="2EB92AF3">
            <w:pPr>
              <w:rPr>
                <w:rFonts w:ascii="宋体" w:hAnsi="宋体" w:eastAsia="宋体"/>
                <w:color w:val="auto"/>
                <w:sz w:val="24"/>
                <w:highlight w:val="none"/>
              </w:rPr>
            </w:pPr>
          </w:p>
        </w:tc>
      </w:tr>
      <w:tr w14:paraId="6233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7DD361CA">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776" w:type="pct"/>
            <w:noWrap w:val="0"/>
            <w:vAlign w:val="top"/>
          </w:tcPr>
          <w:p w14:paraId="52FDDD29">
            <w:pPr>
              <w:rPr>
                <w:rFonts w:ascii="宋体" w:hAnsi="宋体" w:eastAsia="宋体"/>
                <w:color w:val="auto"/>
                <w:sz w:val="24"/>
                <w:highlight w:val="none"/>
              </w:rPr>
            </w:pPr>
          </w:p>
        </w:tc>
        <w:tc>
          <w:tcPr>
            <w:tcW w:w="772" w:type="pct"/>
            <w:noWrap w:val="0"/>
            <w:vAlign w:val="top"/>
          </w:tcPr>
          <w:p w14:paraId="0F448206">
            <w:pPr>
              <w:rPr>
                <w:rFonts w:ascii="宋体" w:hAnsi="宋体" w:eastAsia="宋体"/>
                <w:color w:val="auto"/>
                <w:sz w:val="24"/>
                <w:highlight w:val="none"/>
              </w:rPr>
            </w:pPr>
          </w:p>
        </w:tc>
        <w:tc>
          <w:tcPr>
            <w:tcW w:w="772" w:type="pct"/>
            <w:noWrap w:val="0"/>
            <w:vAlign w:val="top"/>
          </w:tcPr>
          <w:p w14:paraId="6F4523F1">
            <w:pPr>
              <w:rPr>
                <w:rFonts w:ascii="宋体" w:hAnsi="宋体" w:eastAsia="宋体"/>
                <w:color w:val="auto"/>
                <w:sz w:val="24"/>
                <w:highlight w:val="none"/>
              </w:rPr>
            </w:pPr>
          </w:p>
        </w:tc>
        <w:tc>
          <w:tcPr>
            <w:tcW w:w="394" w:type="pct"/>
            <w:noWrap w:val="0"/>
            <w:vAlign w:val="top"/>
          </w:tcPr>
          <w:p w14:paraId="5713503A">
            <w:pPr>
              <w:rPr>
                <w:rFonts w:ascii="宋体" w:hAnsi="宋体" w:eastAsia="宋体"/>
                <w:color w:val="auto"/>
                <w:sz w:val="24"/>
                <w:highlight w:val="none"/>
              </w:rPr>
            </w:pPr>
          </w:p>
        </w:tc>
        <w:tc>
          <w:tcPr>
            <w:tcW w:w="394" w:type="pct"/>
            <w:noWrap w:val="0"/>
            <w:vAlign w:val="top"/>
          </w:tcPr>
          <w:p w14:paraId="44B66D33">
            <w:pPr>
              <w:rPr>
                <w:rFonts w:ascii="宋体" w:hAnsi="宋体" w:eastAsia="宋体"/>
                <w:color w:val="auto"/>
                <w:sz w:val="24"/>
                <w:highlight w:val="none"/>
              </w:rPr>
            </w:pPr>
          </w:p>
        </w:tc>
        <w:tc>
          <w:tcPr>
            <w:tcW w:w="551" w:type="pct"/>
            <w:noWrap w:val="0"/>
            <w:vAlign w:val="top"/>
          </w:tcPr>
          <w:p w14:paraId="4D3028A2">
            <w:pPr>
              <w:rPr>
                <w:rFonts w:ascii="宋体" w:hAnsi="宋体" w:eastAsia="宋体"/>
                <w:color w:val="auto"/>
                <w:sz w:val="24"/>
                <w:highlight w:val="none"/>
              </w:rPr>
            </w:pPr>
          </w:p>
        </w:tc>
        <w:tc>
          <w:tcPr>
            <w:tcW w:w="551" w:type="pct"/>
            <w:noWrap w:val="0"/>
            <w:vAlign w:val="top"/>
          </w:tcPr>
          <w:p w14:paraId="1790092E">
            <w:pPr>
              <w:rPr>
                <w:rFonts w:ascii="宋体" w:hAnsi="宋体" w:eastAsia="宋体"/>
                <w:color w:val="auto"/>
                <w:sz w:val="24"/>
                <w:highlight w:val="none"/>
              </w:rPr>
            </w:pPr>
          </w:p>
        </w:tc>
        <w:tc>
          <w:tcPr>
            <w:tcW w:w="393" w:type="pct"/>
            <w:noWrap w:val="0"/>
            <w:vAlign w:val="top"/>
          </w:tcPr>
          <w:p w14:paraId="578F6552">
            <w:pPr>
              <w:rPr>
                <w:rFonts w:ascii="宋体" w:hAnsi="宋体" w:eastAsia="宋体"/>
                <w:color w:val="auto"/>
                <w:sz w:val="24"/>
                <w:highlight w:val="none"/>
              </w:rPr>
            </w:pPr>
          </w:p>
        </w:tc>
      </w:tr>
      <w:tr w14:paraId="388B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4" w:type="pct"/>
            <w:gridSpan w:val="7"/>
            <w:noWrap w:val="0"/>
            <w:vAlign w:val="center"/>
          </w:tcPr>
          <w:p w14:paraId="5461A2A8">
            <w:pPr>
              <w:jc w:val="center"/>
              <w:rPr>
                <w:rFonts w:ascii="宋体" w:hAnsi="宋体" w:eastAsia="宋体"/>
                <w:color w:val="auto"/>
                <w:sz w:val="24"/>
                <w:highlight w:val="none"/>
              </w:rPr>
            </w:pPr>
            <w:r>
              <w:rPr>
                <w:rFonts w:hint="eastAsia" w:ascii="宋体" w:hAnsi="宋体" w:eastAsia="宋体"/>
                <w:b/>
                <w:color w:val="auto"/>
                <w:sz w:val="24"/>
                <w:highlight w:val="none"/>
              </w:rPr>
              <w:t>合计</w:t>
            </w:r>
            <w:r>
              <w:rPr>
                <w:rFonts w:hint="eastAsia" w:ascii="宋体" w:hAnsi="宋体" w:eastAsia="宋体"/>
                <w:b/>
                <w:color w:val="auto"/>
                <w:sz w:val="24"/>
                <w:highlight w:val="none"/>
                <w:lang w:val="en-US" w:eastAsia="zh-CN"/>
              </w:rPr>
              <w:t>金额</w:t>
            </w:r>
            <w:r>
              <w:rPr>
                <w:rFonts w:hint="eastAsia" w:ascii="宋体" w:hAnsi="宋体" w:eastAsia="宋体"/>
                <w:b/>
                <w:color w:val="auto"/>
                <w:sz w:val="24"/>
                <w:highlight w:val="none"/>
              </w:rPr>
              <w:t>（元）</w:t>
            </w:r>
          </w:p>
        </w:tc>
        <w:tc>
          <w:tcPr>
            <w:tcW w:w="945" w:type="pct"/>
            <w:gridSpan w:val="2"/>
            <w:noWrap w:val="0"/>
            <w:vAlign w:val="top"/>
          </w:tcPr>
          <w:p w14:paraId="559957D4">
            <w:pPr>
              <w:rPr>
                <w:rFonts w:ascii="宋体" w:hAnsi="宋体" w:eastAsia="宋体"/>
                <w:color w:val="auto"/>
                <w:sz w:val="24"/>
                <w:highlight w:val="none"/>
              </w:rPr>
            </w:pPr>
          </w:p>
        </w:tc>
      </w:tr>
    </w:tbl>
    <w:p w14:paraId="4C7090A7">
      <w:pPr>
        <w:pStyle w:val="51"/>
        <w:jc w:val="both"/>
        <w:rPr>
          <w:rFonts w:hint="default" w:ascii="宋体" w:hAnsi="宋体" w:eastAsia="宋体"/>
          <w:b/>
          <w:bCs/>
          <w:i/>
          <w:iCs/>
          <w:color w:val="auto"/>
          <w:highlight w:val="none"/>
          <w:lang w:val="en-US" w:eastAsia="zh-CN"/>
        </w:rPr>
      </w:pPr>
      <w:r>
        <w:rPr>
          <w:rFonts w:hint="eastAsia" w:ascii="宋体" w:hAnsi="宋体" w:eastAsia="宋体"/>
          <w:b/>
          <w:bCs/>
          <w:color w:val="auto"/>
          <w:highlight w:val="none"/>
          <w:lang w:val="en-US" w:eastAsia="zh-CN"/>
        </w:rPr>
        <w:t>5-2服务部分</w:t>
      </w:r>
      <w:r>
        <w:rPr>
          <w:rFonts w:hint="eastAsia" w:ascii="宋体" w:hAnsi="宋体" w:eastAsia="宋体"/>
          <w:b/>
          <w:bCs/>
          <w:i/>
          <w:iCs/>
          <w:color w:val="auto"/>
          <w:highlight w:val="none"/>
        </w:rPr>
        <w:t>（仅供参考，投标人可自行制作格式）</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09"/>
        <w:gridCol w:w="1357"/>
        <w:gridCol w:w="1698"/>
        <w:gridCol w:w="1566"/>
      </w:tblGrid>
      <w:tr w14:paraId="4A9E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1CDA59D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序号</w:t>
            </w:r>
          </w:p>
        </w:tc>
        <w:tc>
          <w:tcPr>
            <w:tcW w:w="1824" w:type="pct"/>
            <w:noWrap w:val="0"/>
            <w:vAlign w:val="center"/>
          </w:tcPr>
          <w:p w14:paraId="17CB7DC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服务内容</w:t>
            </w:r>
          </w:p>
        </w:tc>
        <w:tc>
          <w:tcPr>
            <w:tcW w:w="796" w:type="pct"/>
            <w:noWrap w:val="0"/>
            <w:vAlign w:val="center"/>
          </w:tcPr>
          <w:p w14:paraId="69CD1F0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项</w:t>
            </w:r>
          </w:p>
        </w:tc>
        <w:tc>
          <w:tcPr>
            <w:tcW w:w="996" w:type="pct"/>
            <w:noWrap w:val="0"/>
            <w:vAlign w:val="center"/>
          </w:tcPr>
          <w:p w14:paraId="3C73F4D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单价</w:t>
            </w:r>
          </w:p>
        </w:tc>
        <w:tc>
          <w:tcPr>
            <w:tcW w:w="919" w:type="pct"/>
            <w:noWrap w:val="0"/>
            <w:vAlign w:val="center"/>
          </w:tcPr>
          <w:p w14:paraId="18231BF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小计（元）</w:t>
            </w:r>
          </w:p>
        </w:tc>
      </w:tr>
      <w:tr w14:paraId="4603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noWrap w:val="0"/>
            <w:vAlign w:val="center"/>
          </w:tcPr>
          <w:p w14:paraId="3C2A581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1</w:t>
            </w:r>
          </w:p>
        </w:tc>
        <w:tc>
          <w:tcPr>
            <w:tcW w:w="1824" w:type="pct"/>
            <w:noWrap w:val="0"/>
            <w:vAlign w:val="center"/>
          </w:tcPr>
          <w:p w14:paraId="176E8AA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2C5909C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575AA4E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60C54B4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3CDC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1D70D3F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2</w:t>
            </w:r>
          </w:p>
        </w:tc>
        <w:tc>
          <w:tcPr>
            <w:tcW w:w="1824" w:type="pct"/>
            <w:noWrap w:val="0"/>
            <w:vAlign w:val="center"/>
          </w:tcPr>
          <w:p w14:paraId="72BE937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6158F3C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6122CBD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560FF55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00EF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63730EC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3</w:t>
            </w:r>
          </w:p>
        </w:tc>
        <w:tc>
          <w:tcPr>
            <w:tcW w:w="1824" w:type="pct"/>
            <w:noWrap w:val="0"/>
            <w:vAlign w:val="center"/>
          </w:tcPr>
          <w:p w14:paraId="666FC2C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210A863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6D90EEB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2087A30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23B5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7A4BB65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ascii="宋体" w:hAnsi="宋体" w:eastAsia="宋体"/>
                <w:color w:val="auto"/>
                <w:sz w:val="24"/>
                <w:highlight w:val="none"/>
              </w:rPr>
              <w:t>…</w:t>
            </w:r>
          </w:p>
        </w:tc>
        <w:tc>
          <w:tcPr>
            <w:tcW w:w="1824" w:type="pct"/>
            <w:noWrap w:val="0"/>
            <w:vAlign w:val="center"/>
          </w:tcPr>
          <w:p w14:paraId="1508F16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2DA9BCC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3AC8085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7CCB6AB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6C5F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noWrap w:val="0"/>
            <w:vAlign w:val="center"/>
          </w:tcPr>
          <w:p w14:paraId="6FBEAEB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b/>
                <w:color w:val="auto"/>
                <w:sz w:val="24"/>
                <w:highlight w:val="none"/>
              </w:rPr>
              <w:t>合计金额（元）</w:t>
            </w:r>
          </w:p>
        </w:tc>
        <w:tc>
          <w:tcPr>
            <w:tcW w:w="919" w:type="pct"/>
            <w:noWrap w:val="0"/>
            <w:vAlign w:val="center"/>
          </w:tcPr>
          <w:p w14:paraId="5005406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bl>
    <w:p w14:paraId="6AD76037">
      <w:pPr>
        <w:spacing w:line="360" w:lineRule="auto"/>
        <w:ind w:firstLine="435"/>
        <w:jc w:val="right"/>
        <w:rPr>
          <w:rFonts w:hint="eastAsia" w:ascii="宋体" w:hAnsi="宋体" w:eastAsia="宋体"/>
          <w:b/>
          <w:bCs/>
          <w:color w:val="auto"/>
          <w:highlight w:val="none"/>
          <w:lang w:val="en-US" w:eastAsia="zh-CN"/>
        </w:rPr>
      </w:pPr>
      <w:r>
        <w:rPr>
          <w:rFonts w:hint="eastAsia" w:ascii="宋体" w:hAnsi="宋体" w:eastAsia="宋体"/>
          <w:bCs/>
          <w:color w:val="auto"/>
          <w:sz w:val="24"/>
          <w:szCs w:val="28"/>
          <w:highlight w:val="none"/>
          <w:u w:val="single"/>
        </w:rPr>
        <w:t xml:space="preserve">       </w:t>
      </w:r>
    </w:p>
    <w:p w14:paraId="7C354805">
      <w:pPr>
        <w:pStyle w:val="51"/>
        <w:jc w:val="both"/>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5-3 符合本国产品标准的产品成本之和占比</w:t>
      </w:r>
    </w:p>
    <w:tbl>
      <w:tblPr>
        <w:tblStyle w:val="26"/>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7"/>
        <w:gridCol w:w="1732"/>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627" w:type="dxa"/>
            <w:noWrap w:val="0"/>
            <w:vAlign w:val="top"/>
          </w:tcPr>
          <w:p w14:paraId="4DECA2F7">
            <w:pPr>
              <w:spacing w:line="360" w:lineRule="auto"/>
              <w:rPr>
                <w:rFonts w:hint="eastAsia" w:ascii="宋体" w:hAnsi="宋体" w:eastAsia="宋体"/>
                <w:b/>
                <w:bCs/>
                <w:color w:val="auto"/>
                <w:sz w:val="21"/>
                <w:szCs w:val="21"/>
                <w:highlight w:val="none"/>
                <w:vertAlign w:val="baseline"/>
                <w:lang w:eastAsia="zh-CN"/>
              </w:rPr>
            </w:pPr>
            <w:r>
              <w:rPr>
                <w:rFonts w:hint="eastAsia" w:ascii="宋体" w:hAnsi="宋体" w:eastAsia="宋体" w:cs="宋体"/>
                <w:color w:val="auto"/>
                <w:sz w:val="24"/>
                <w:szCs w:val="24"/>
                <w:highlight w:val="none"/>
              </w:rPr>
              <w:t>本公司（单位）提供的符合本国产品标准的产品成本之和占提供的全部产品成本之和的比例</w:t>
            </w:r>
          </w:p>
        </w:tc>
        <w:tc>
          <w:tcPr>
            <w:tcW w:w="1732" w:type="dxa"/>
            <w:noWrap w:val="0"/>
            <w:vAlign w:val="top"/>
          </w:tcPr>
          <w:p w14:paraId="6345AD47">
            <w:pPr>
              <w:spacing w:line="360" w:lineRule="auto"/>
              <w:rPr>
                <w:rFonts w:hint="eastAsia" w:ascii="宋体" w:hAnsi="宋体" w:eastAsia="宋体" w:cs="宋体"/>
                <w:color w:val="auto"/>
                <w:sz w:val="24"/>
                <w:szCs w:val="24"/>
                <w:highlight w:val="none"/>
                <w:u w:val="single"/>
                <w:lang w:val="en-US" w:eastAsia="zh-CN"/>
              </w:rPr>
            </w:pPr>
          </w:p>
          <w:p w14:paraId="218CB0CA">
            <w:pPr>
              <w:spacing w:line="360" w:lineRule="auto"/>
              <w:rPr>
                <w:rFonts w:hint="eastAsia" w:ascii="宋体" w:hAnsi="宋体" w:eastAsia="宋体"/>
                <w:b/>
                <w:bCs/>
                <w:color w:val="auto"/>
                <w:sz w:val="21"/>
                <w:szCs w:val="21"/>
                <w:highlight w:val="none"/>
                <w:vertAlign w:val="baseline"/>
                <w:lang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color w:val="auto"/>
                <w:szCs w:val="24"/>
                <w:highlight w:val="none"/>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9359" w:type="dxa"/>
            <w:gridSpan w:val="2"/>
            <w:noWrap w:val="0"/>
            <w:vAlign w:val="top"/>
          </w:tcPr>
          <w:p w14:paraId="6902F005">
            <w:pPr>
              <w:tabs>
                <w:tab w:val="left" w:pos="4620"/>
              </w:tabs>
              <w:spacing w:line="360" w:lineRule="auto"/>
              <w:jc w:val="left"/>
              <w:rPr>
                <w:rFonts w:hint="eastAsia" w:ascii="宋体" w:hAnsi="宋体" w:eastAsia="宋体" w:cs="Times New Roman"/>
                <w:b/>
                <w:bCs w:val="0"/>
                <w:color w:val="auto"/>
                <w:szCs w:val="24"/>
                <w:highlight w:val="none"/>
                <w:lang w:val="en-US" w:eastAsia="zh-CN"/>
              </w:rPr>
            </w:pPr>
            <w:r>
              <w:rPr>
                <w:rFonts w:hint="eastAsia" w:ascii="宋体" w:hAnsi="宋体" w:eastAsia="宋体" w:cs="Times New Roman"/>
                <w:b/>
                <w:bCs w:val="0"/>
                <w:color w:val="auto"/>
                <w:szCs w:val="24"/>
                <w:highlight w:val="none"/>
                <w:lang w:val="en-US" w:eastAsia="zh-CN"/>
              </w:rPr>
              <w:t>提醒：</w:t>
            </w:r>
          </w:p>
          <w:p w14:paraId="4211CC09">
            <w:pPr>
              <w:tabs>
                <w:tab w:val="left" w:pos="4620"/>
              </w:tabs>
              <w:spacing w:line="360" w:lineRule="auto"/>
              <w:jc w:val="left"/>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22252D7C">
            <w:pPr>
              <w:spacing w:line="360" w:lineRule="auto"/>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12230B6B">
            <w:pPr>
              <w:spacing w:line="360" w:lineRule="auto"/>
              <w:rPr>
                <w:rFonts w:hint="default"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3.</w:t>
            </w:r>
            <w:r>
              <w:rPr>
                <w:rFonts w:hint="eastAsia" w:ascii="宋体" w:hAnsi="宋体" w:eastAsia="宋体" w:cs="宋体"/>
                <w:b w:val="0"/>
                <w:bCs/>
                <w:color w:val="auto"/>
                <w:kern w:val="2"/>
                <w:sz w:val="21"/>
                <w:szCs w:val="21"/>
                <w:highlight w:val="none"/>
                <w:lang w:val="en-US" w:eastAsia="zh-CN" w:bidi="ar"/>
              </w:rPr>
              <w:t>上表中全部产品成本之和是指表5-1和表5-2包含的全部货物、服务产品成本之和。</w:t>
            </w:r>
          </w:p>
        </w:tc>
      </w:tr>
    </w:tbl>
    <w:p w14:paraId="41DF4DBB">
      <w:pPr>
        <w:spacing w:line="360" w:lineRule="auto"/>
        <w:rPr>
          <w:rFonts w:hint="eastAsia" w:ascii="宋体" w:hAnsi="宋体" w:eastAsia="宋体"/>
          <w:b/>
          <w:bCs/>
          <w:color w:val="auto"/>
          <w:sz w:val="21"/>
          <w:szCs w:val="21"/>
          <w:highlight w:val="none"/>
          <w:lang w:eastAsia="zh-CN"/>
        </w:rPr>
      </w:pPr>
    </w:p>
    <w:p w14:paraId="725986D4">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493136">
      <w:pPr>
        <w:tabs>
          <w:tab w:val="left" w:pos="630"/>
        </w:tabs>
        <w:spacing w:line="360" w:lineRule="auto"/>
        <w:ind w:firstLine="4800" w:firstLineChars="2000"/>
        <w:jc w:val="center"/>
        <w:rPr>
          <w:rFonts w:ascii="宋体" w:hAnsi="宋体" w:eastAsia="宋体"/>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90C4559">
      <w:pPr>
        <w:spacing w:line="360" w:lineRule="auto"/>
        <w:rPr>
          <w:rFonts w:hint="eastAsia"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注：</w:t>
      </w:r>
    </w:p>
    <w:p w14:paraId="0FC5F10B">
      <w:pPr>
        <w:spacing w:line="360"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1.表5-1</w:t>
      </w:r>
      <w:r>
        <w:rPr>
          <w:rFonts w:hint="eastAsia" w:ascii="宋体" w:hAnsi="宋体" w:eastAsia="宋体"/>
          <w:color w:val="auto"/>
          <w:sz w:val="21"/>
          <w:szCs w:val="21"/>
          <w:highlight w:val="none"/>
        </w:rPr>
        <w:t>中须明确列出所投产品的货物名称、品牌、型号规格、原产地及生产厂商，否则可能导致</w:t>
      </w:r>
      <w:r>
        <w:rPr>
          <w:rFonts w:hint="eastAsia" w:ascii="宋体" w:hAnsi="宋体" w:eastAsia="宋体"/>
          <w:b/>
          <w:bCs/>
          <w:color w:val="auto"/>
          <w:sz w:val="21"/>
          <w:szCs w:val="21"/>
          <w:highlight w:val="none"/>
        </w:rPr>
        <w:t>投标无效</w:t>
      </w:r>
      <w:r>
        <w:rPr>
          <w:rFonts w:hint="eastAsia" w:ascii="宋体" w:hAnsi="宋体" w:eastAsia="宋体"/>
          <w:b/>
          <w:bCs/>
          <w:color w:val="auto"/>
          <w:sz w:val="21"/>
          <w:szCs w:val="21"/>
          <w:highlight w:val="none"/>
          <w:lang w:eastAsia="zh-CN"/>
        </w:rPr>
        <w:t>。</w:t>
      </w:r>
    </w:p>
    <w:p w14:paraId="6F8C7329">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2.上述报价为投标人完成本项目内容的全部费用（总报价为表5-1和表5-2合计金额之和），</w:t>
      </w:r>
      <w:r>
        <w:rPr>
          <w:rFonts w:hint="eastAsia" w:ascii="宋体" w:hAnsi="宋体" w:eastAsia="宋体"/>
          <w:color w:val="auto"/>
          <w:sz w:val="21"/>
          <w:szCs w:val="21"/>
          <w:highlight w:val="none"/>
        </w:rPr>
        <w:t>如有漏项或缺项，</w:t>
      </w:r>
      <w:r>
        <w:rPr>
          <w:rFonts w:hint="eastAsia" w:ascii="宋体" w:hAnsi="宋体" w:eastAsia="宋体"/>
          <w:color w:val="auto"/>
          <w:sz w:val="21"/>
          <w:szCs w:val="21"/>
          <w:highlight w:val="none"/>
          <w:lang w:val="en-US" w:eastAsia="zh-CN"/>
        </w:rPr>
        <w:t>自行</w:t>
      </w:r>
      <w:r>
        <w:rPr>
          <w:rFonts w:hint="eastAsia" w:ascii="宋体" w:hAnsi="宋体" w:eastAsia="宋体"/>
          <w:color w:val="auto"/>
          <w:sz w:val="21"/>
          <w:szCs w:val="21"/>
          <w:highlight w:val="none"/>
        </w:rPr>
        <w:t>承担全部责任。</w:t>
      </w:r>
    </w:p>
    <w:p w14:paraId="192633EA">
      <w:pPr>
        <w:pStyle w:val="8"/>
        <w:rPr>
          <w:rFonts w:hint="eastAsia" w:asciiTheme="minorEastAsia" w:hAnsiTheme="minorEastAsia" w:eastAsiaTheme="minorEastAsia"/>
          <w:color w:val="auto"/>
          <w:sz w:val="24"/>
          <w:highlight w:val="none"/>
        </w:rPr>
      </w:pPr>
    </w:p>
    <w:p w14:paraId="5393638D">
      <w:pPr>
        <w:rPr>
          <w:rFonts w:hint="eastAsia" w:asciiTheme="minorEastAsia" w:hAnsiTheme="minorEastAsia" w:eastAsiaTheme="minorEastAsia"/>
          <w:b/>
          <w:color w:val="auto"/>
          <w:sz w:val="24"/>
          <w:highlight w:val="none"/>
        </w:rPr>
      </w:pPr>
      <w:bookmarkStart w:id="216" w:name="_Toc20329"/>
      <w:r>
        <w:rPr>
          <w:rFonts w:hint="eastAsia" w:asciiTheme="minorEastAsia" w:hAnsiTheme="minorEastAsia" w:eastAsiaTheme="minorEastAsia"/>
          <w:b/>
          <w:color w:val="auto"/>
          <w:sz w:val="24"/>
          <w:highlight w:val="none"/>
        </w:rPr>
        <w:br w:type="page"/>
      </w:r>
    </w:p>
    <w:p w14:paraId="5DEDB01C">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217" w:name="_Toc15209"/>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、投标响应表</w:t>
      </w:r>
      <w:bookmarkEnd w:id="216"/>
      <w:bookmarkEnd w:id="217"/>
    </w:p>
    <w:p w14:paraId="4D3FEC0F">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20D1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20FAFC0C">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2FA34CBE">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74A19CF6">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6BA3BA1F">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7E68FBD3">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2BE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09F9">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7D50C9E8">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0A2F25C5">
            <w:pPr>
              <w:jc w:val="center"/>
              <w:rPr>
                <w:rFonts w:asciiTheme="minorEastAsia" w:hAnsiTheme="minorEastAsia" w:eastAsiaTheme="minorEastAsia"/>
                <w:color w:val="auto"/>
                <w:sz w:val="24"/>
                <w:highlight w:val="none"/>
              </w:rPr>
            </w:pPr>
          </w:p>
        </w:tc>
        <w:tc>
          <w:tcPr>
            <w:tcW w:w="1510" w:type="pct"/>
            <w:vAlign w:val="center"/>
          </w:tcPr>
          <w:p w14:paraId="4AACB388">
            <w:pPr>
              <w:jc w:val="center"/>
              <w:rPr>
                <w:rFonts w:asciiTheme="minorEastAsia" w:hAnsiTheme="minorEastAsia" w:eastAsiaTheme="minorEastAsia"/>
                <w:color w:val="auto"/>
                <w:sz w:val="24"/>
                <w:highlight w:val="none"/>
              </w:rPr>
            </w:pPr>
          </w:p>
        </w:tc>
        <w:tc>
          <w:tcPr>
            <w:tcW w:w="475" w:type="pct"/>
            <w:vAlign w:val="center"/>
          </w:tcPr>
          <w:p w14:paraId="169FC21D">
            <w:pPr>
              <w:jc w:val="center"/>
              <w:rPr>
                <w:rFonts w:asciiTheme="minorEastAsia" w:hAnsiTheme="minorEastAsia" w:eastAsiaTheme="minorEastAsia"/>
                <w:color w:val="auto"/>
                <w:sz w:val="24"/>
                <w:highlight w:val="none"/>
              </w:rPr>
            </w:pPr>
          </w:p>
        </w:tc>
      </w:tr>
      <w:tr w14:paraId="5647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1F4B9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24201629">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67F4817C">
            <w:pPr>
              <w:jc w:val="center"/>
              <w:rPr>
                <w:rFonts w:asciiTheme="minorEastAsia" w:hAnsiTheme="minorEastAsia" w:eastAsiaTheme="minorEastAsia"/>
                <w:color w:val="auto"/>
                <w:sz w:val="24"/>
                <w:highlight w:val="none"/>
              </w:rPr>
            </w:pPr>
          </w:p>
        </w:tc>
        <w:tc>
          <w:tcPr>
            <w:tcW w:w="1510" w:type="pct"/>
            <w:vAlign w:val="center"/>
          </w:tcPr>
          <w:p w14:paraId="41802496">
            <w:pPr>
              <w:jc w:val="center"/>
              <w:rPr>
                <w:rFonts w:asciiTheme="minorEastAsia" w:hAnsiTheme="minorEastAsia" w:eastAsiaTheme="minorEastAsia"/>
                <w:color w:val="auto"/>
                <w:sz w:val="24"/>
                <w:highlight w:val="none"/>
              </w:rPr>
            </w:pPr>
          </w:p>
        </w:tc>
        <w:tc>
          <w:tcPr>
            <w:tcW w:w="475" w:type="pct"/>
            <w:vAlign w:val="center"/>
          </w:tcPr>
          <w:p w14:paraId="05FCF4B6">
            <w:pPr>
              <w:jc w:val="center"/>
              <w:rPr>
                <w:rFonts w:asciiTheme="minorEastAsia" w:hAnsiTheme="minorEastAsia" w:eastAsiaTheme="minorEastAsia"/>
                <w:color w:val="auto"/>
                <w:sz w:val="24"/>
                <w:highlight w:val="none"/>
              </w:rPr>
            </w:pPr>
          </w:p>
        </w:tc>
      </w:tr>
      <w:tr w14:paraId="19E7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AF782D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23B144F3">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4672209D">
            <w:pPr>
              <w:jc w:val="center"/>
              <w:rPr>
                <w:rFonts w:asciiTheme="minorEastAsia" w:hAnsiTheme="minorEastAsia" w:eastAsiaTheme="minorEastAsia"/>
                <w:color w:val="auto"/>
                <w:sz w:val="24"/>
                <w:highlight w:val="none"/>
              </w:rPr>
            </w:pPr>
          </w:p>
        </w:tc>
        <w:tc>
          <w:tcPr>
            <w:tcW w:w="1510" w:type="pct"/>
            <w:vAlign w:val="center"/>
          </w:tcPr>
          <w:p w14:paraId="0BF28904">
            <w:pPr>
              <w:pStyle w:val="51"/>
              <w:jc w:val="center"/>
              <w:rPr>
                <w:rFonts w:asciiTheme="minorEastAsia" w:hAnsiTheme="minorEastAsia" w:eastAsiaTheme="minorEastAsia"/>
                <w:color w:val="auto"/>
                <w:highlight w:val="none"/>
              </w:rPr>
            </w:pPr>
          </w:p>
        </w:tc>
        <w:tc>
          <w:tcPr>
            <w:tcW w:w="475" w:type="pct"/>
            <w:vAlign w:val="center"/>
          </w:tcPr>
          <w:p w14:paraId="1E58C4A5">
            <w:pPr>
              <w:jc w:val="center"/>
              <w:rPr>
                <w:rFonts w:asciiTheme="minorEastAsia" w:hAnsiTheme="minorEastAsia" w:eastAsiaTheme="minorEastAsia"/>
                <w:color w:val="auto"/>
                <w:sz w:val="24"/>
                <w:highlight w:val="none"/>
              </w:rPr>
            </w:pPr>
          </w:p>
        </w:tc>
      </w:tr>
      <w:tr w14:paraId="1DCF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A202A3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6DD5AF62">
            <w:pPr>
              <w:jc w:val="center"/>
              <w:rPr>
                <w:rFonts w:ascii="宋体" w:hAnsi="宋体" w:eastAsia="宋体"/>
                <w:color w:val="auto"/>
                <w:sz w:val="24"/>
                <w:highlight w:val="none"/>
              </w:rPr>
            </w:pPr>
          </w:p>
        </w:tc>
        <w:tc>
          <w:tcPr>
            <w:tcW w:w="1465" w:type="pct"/>
            <w:vAlign w:val="center"/>
          </w:tcPr>
          <w:p w14:paraId="3A4F9EF9">
            <w:pPr>
              <w:jc w:val="center"/>
              <w:rPr>
                <w:rFonts w:asciiTheme="minorEastAsia" w:hAnsiTheme="minorEastAsia" w:eastAsiaTheme="minorEastAsia"/>
                <w:color w:val="auto"/>
                <w:sz w:val="24"/>
                <w:highlight w:val="none"/>
              </w:rPr>
            </w:pPr>
          </w:p>
        </w:tc>
        <w:tc>
          <w:tcPr>
            <w:tcW w:w="1510" w:type="pct"/>
            <w:vAlign w:val="center"/>
          </w:tcPr>
          <w:p w14:paraId="5B3E2E16">
            <w:pPr>
              <w:jc w:val="center"/>
              <w:rPr>
                <w:rFonts w:asciiTheme="minorEastAsia" w:hAnsiTheme="minorEastAsia" w:eastAsiaTheme="minorEastAsia"/>
                <w:color w:val="auto"/>
                <w:sz w:val="24"/>
                <w:highlight w:val="none"/>
              </w:rPr>
            </w:pPr>
          </w:p>
        </w:tc>
        <w:tc>
          <w:tcPr>
            <w:tcW w:w="475" w:type="pct"/>
            <w:vAlign w:val="center"/>
          </w:tcPr>
          <w:p w14:paraId="37E7B00F">
            <w:pPr>
              <w:jc w:val="center"/>
              <w:rPr>
                <w:rFonts w:asciiTheme="minorEastAsia" w:hAnsiTheme="minorEastAsia" w:eastAsiaTheme="minorEastAsia"/>
                <w:color w:val="auto"/>
                <w:sz w:val="24"/>
                <w:highlight w:val="none"/>
              </w:rPr>
            </w:pPr>
          </w:p>
        </w:tc>
      </w:tr>
    </w:tbl>
    <w:p w14:paraId="4E4AEA8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938353A">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5CD0FD3B">
      <w:pPr>
        <w:pStyle w:val="14"/>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51A8DB9B">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18" w:name="_Toc23068"/>
      <w:r>
        <w:rPr>
          <w:rFonts w:hint="eastAsia" w:asciiTheme="minorEastAsia" w:hAnsiTheme="minorEastAsia" w:eastAsiaTheme="minorEastAsia"/>
          <w:b/>
          <w:color w:val="auto"/>
          <w:sz w:val="24"/>
          <w:highlight w:val="none"/>
          <w:lang w:val="en-US" w:eastAsia="zh-CN"/>
        </w:rPr>
        <w:t>八、中小企业声明函</w:t>
      </w:r>
      <w:bookmarkEnd w:id="218"/>
    </w:p>
    <w:p w14:paraId="22DD704D">
      <w:pPr>
        <w:pStyle w:val="8"/>
        <w:jc w:val="center"/>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095E382C">
      <w:pPr>
        <w:rPr>
          <w:rFonts w:asciiTheme="minorEastAsia" w:hAnsiTheme="minorEastAsia" w:eastAsiaTheme="minorEastAsia"/>
          <w:color w:val="auto"/>
          <w:sz w:val="24"/>
          <w:szCs w:val="24"/>
          <w:highlight w:val="none"/>
        </w:rPr>
      </w:pPr>
    </w:p>
    <w:p w14:paraId="448AE03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331FEF35">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73B1135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18A367B7">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7218096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26908B5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0E5E2B70">
      <w:pPr>
        <w:spacing w:line="360" w:lineRule="auto"/>
        <w:ind w:firstLine="435"/>
        <w:rPr>
          <w:rFonts w:asciiTheme="minorEastAsia" w:hAnsiTheme="minorEastAsia" w:eastAsiaTheme="minorEastAsia"/>
          <w:color w:val="auto"/>
          <w:sz w:val="24"/>
          <w:szCs w:val="24"/>
          <w:highlight w:val="none"/>
        </w:rPr>
      </w:pPr>
    </w:p>
    <w:p w14:paraId="23214991">
      <w:pPr>
        <w:spacing w:line="360" w:lineRule="auto"/>
        <w:ind w:firstLine="435"/>
        <w:rPr>
          <w:rFonts w:asciiTheme="minorEastAsia" w:hAnsiTheme="minorEastAsia" w:eastAsiaTheme="minorEastAsia"/>
          <w:color w:val="auto"/>
          <w:sz w:val="24"/>
          <w:szCs w:val="24"/>
          <w:highlight w:val="none"/>
        </w:rPr>
      </w:pPr>
    </w:p>
    <w:p w14:paraId="6CB239E9">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4F8B5AB1">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5494887">
      <w:pPr>
        <w:tabs>
          <w:tab w:val="left" w:pos="4620"/>
        </w:tabs>
        <w:spacing w:line="360" w:lineRule="auto"/>
        <w:jc w:val="left"/>
        <w:rPr>
          <w:rFonts w:asciiTheme="minorEastAsia" w:hAnsiTheme="minorEastAsia" w:eastAsiaTheme="minorEastAsia"/>
          <w:color w:val="auto"/>
          <w:sz w:val="24"/>
          <w:szCs w:val="24"/>
          <w:highlight w:val="none"/>
        </w:rPr>
      </w:pPr>
    </w:p>
    <w:p w14:paraId="71AA652B">
      <w:pPr>
        <w:tabs>
          <w:tab w:val="left" w:pos="4620"/>
        </w:tabs>
        <w:spacing w:line="360" w:lineRule="auto"/>
        <w:jc w:val="left"/>
        <w:rPr>
          <w:rFonts w:asciiTheme="minorEastAsia" w:hAnsiTheme="minorEastAsia" w:eastAsiaTheme="minorEastAsia"/>
          <w:color w:val="auto"/>
          <w:sz w:val="24"/>
          <w:szCs w:val="24"/>
          <w:highlight w:val="none"/>
        </w:rPr>
      </w:pPr>
    </w:p>
    <w:p w14:paraId="3A54EB8D">
      <w:pPr>
        <w:tabs>
          <w:tab w:val="left" w:pos="4620"/>
        </w:tabs>
        <w:spacing w:line="360" w:lineRule="auto"/>
        <w:jc w:val="left"/>
        <w:rPr>
          <w:rFonts w:asciiTheme="minorEastAsia" w:hAnsiTheme="minorEastAsia" w:eastAsiaTheme="minorEastAsia"/>
          <w:color w:val="auto"/>
          <w:sz w:val="24"/>
          <w:szCs w:val="24"/>
          <w:highlight w:val="none"/>
        </w:rPr>
      </w:pPr>
    </w:p>
    <w:p w14:paraId="7C444092">
      <w:pPr>
        <w:tabs>
          <w:tab w:val="left" w:pos="4620"/>
        </w:tabs>
        <w:spacing w:line="360" w:lineRule="auto"/>
        <w:jc w:val="left"/>
        <w:rPr>
          <w:rFonts w:asciiTheme="minorEastAsia" w:hAnsiTheme="minorEastAsia" w:eastAsiaTheme="minorEastAsia"/>
          <w:color w:val="auto"/>
          <w:sz w:val="24"/>
          <w:szCs w:val="24"/>
          <w:highlight w:val="none"/>
        </w:rPr>
      </w:pPr>
    </w:p>
    <w:p w14:paraId="0EAEBB9F">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18F0C2DB">
      <w:pPr>
        <w:tabs>
          <w:tab w:val="left" w:pos="4620"/>
        </w:tabs>
        <w:spacing w:line="360" w:lineRule="auto"/>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55C6C4B1">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252DCAA8">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69F9680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2285CC67">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5486CDE7">
      <w:pPr>
        <w:pStyle w:val="8"/>
        <w:rPr>
          <w:rFonts w:hint="eastAsia" w:asciiTheme="minorEastAsia" w:hAnsiTheme="minorEastAsia" w:eastAsiaTheme="minorEastAsia"/>
          <w:b/>
          <w:bCs/>
          <w:color w:val="auto"/>
          <w:szCs w:val="24"/>
          <w:highlight w:val="none"/>
        </w:rPr>
      </w:pPr>
    </w:p>
    <w:p w14:paraId="1E5754CC">
      <w:pPr>
        <w:rPr>
          <w:rFonts w:hint="eastAsia" w:asciiTheme="minorEastAsia" w:hAnsiTheme="minorEastAsia" w:eastAsiaTheme="minorEastAsia"/>
          <w:b/>
          <w:color w:val="auto"/>
          <w:sz w:val="24"/>
          <w:highlight w:val="none"/>
        </w:rPr>
      </w:pPr>
      <w:bookmarkStart w:id="219" w:name="_Toc16713"/>
      <w:r>
        <w:rPr>
          <w:rFonts w:hint="eastAsia" w:asciiTheme="minorEastAsia" w:hAnsiTheme="minorEastAsia" w:eastAsiaTheme="minorEastAsia"/>
          <w:b/>
          <w:color w:val="auto"/>
          <w:sz w:val="24"/>
          <w:highlight w:val="none"/>
        </w:rPr>
        <w:br w:type="page"/>
      </w:r>
    </w:p>
    <w:p w14:paraId="23FB3173">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20" w:name="_Toc17315"/>
      <w:r>
        <w:rPr>
          <w:rFonts w:hint="eastAsia" w:asciiTheme="minorEastAsia" w:hAnsiTheme="minorEastAsia" w:eastAsiaTheme="minorEastAsia"/>
          <w:b/>
          <w:color w:val="auto"/>
          <w:sz w:val="24"/>
          <w:highlight w:val="none"/>
          <w:lang w:val="en-US" w:eastAsia="zh-CN"/>
        </w:rPr>
        <w:t>九、残疾人福利性单位声明函</w:t>
      </w:r>
      <w:bookmarkEnd w:id="219"/>
      <w:bookmarkEnd w:id="220"/>
    </w:p>
    <w:p w14:paraId="790FF97C">
      <w:pPr>
        <w:pStyle w:val="8"/>
        <w:jc w:val="center"/>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5C34D28E">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788B783E">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6B6F03E7">
      <w:pPr>
        <w:spacing w:line="360" w:lineRule="auto"/>
        <w:ind w:firstLine="4228" w:firstLineChars="1762"/>
        <w:rPr>
          <w:rFonts w:asciiTheme="minorEastAsia" w:hAnsiTheme="minorEastAsia" w:eastAsiaTheme="minorEastAsia"/>
          <w:color w:val="auto"/>
          <w:sz w:val="24"/>
          <w:szCs w:val="24"/>
          <w:highlight w:val="none"/>
        </w:rPr>
      </w:pPr>
    </w:p>
    <w:p w14:paraId="0641654C">
      <w:pPr>
        <w:spacing w:line="360" w:lineRule="auto"/>
        <w:ind w:firstLine="4228" w:firstLineChars="1762"/>
        <w:rPr>
          <w:rFonts w:asciiTheme="minorEastAsia" w:hAnsiTheme="minorEastAsia" w:eastAsiaTheme="minorEastAsia"/>
          <w:color w:val="auto"/>
          <w:sz w:val="24"/>
          <w:szCs w:val="24"/>
          <w:highlight w:val="none"/>
        </w:rPr>
      </w:pPr>
    </w:p>
    <w:p w14:paraId="32BCD5DE">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1F39CAD4">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7619F1F0">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7D46E0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heme="minorEastAsia" w:hAnsiTheme="minorEastAsia" w:eastAsiaTheme="minorEastAsia"/>
          <w:b/>
          <w:color w:val="auto"/>
          <w:sz w:val="24"/>
          <w:highlight w:val="none"/>
          <w:lang w:val="en-US" w:eastAsia="zh-CN"/>
        </w:rPr>
      </w:pPr>
      <w:bookmarkStart w:id="221" w:name="_Toc457768004"/>
      <w:bookmarkStart w:id="222" w:name="_Toc300210382"/>
      <w:bookmarkStart w:id="223" w:name="_Toc520299348"/>
      <w:bookmarkStart w:id="224" w:name="_Toc26536"/>
      <w:bookmarkStart w:id="225" w:name="_Toc23860"/>
      <w:bookmarkStart w:id="226" w:name="_Hlk11701496"/>
      <w:r>
        <w:rPr>
          <w:rFonts w:hint="eastAsia" w:asciiTheme="minorEastAsia" w:hAnsiTheme="minorEastAsia" w:eastAsiaTheme="minorEastAsia"/>
          <w:b/>
          <w:color w:val="auto"/>
          <w:sz w:val="24"/>
          <w:highlight w:val="none"/>
          <w:lang w:val="en-US" w:eastAsia="zh-CN"/>
        </w:rPr>
        <w:t>十、</w:t>
      </w:r>
      <w:r>
        <w:rPr>
          <w:rFonts w:hint="eastAsia" w:ascii="宋体" w:hAnsi="宋体" w:eastAsia="宋体" w:cs="@仿宋_GB2312"/>
          <w:b/>
          <w:color w:val="auto"/>
          <w:sz w:val="24"/>
          <w:szCs w:val="20"/>
          <w:highlight w:val="none"/>
        </w:rPr>
        <w:t>关于符合本国产品标准的声明函</w:t>
      </w:r>
    </w:p>
    <w:p w14:paraId="71F6D47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6FB7725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344EF7B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1.</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30"/>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30"/>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31ED8C2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1907351">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59B25A0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0DEA17DF">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33233788">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5114D191">
      <w:pPr>
        <w:tabs>
          <w:tab w:val="left" w:pos="4620"/>
        </w:tabs>
        <w:spacing w:line="360" w:lineRule="auto"/>
        <w:jc w:val="left"/>
        <w:rPr>
          <w:rFonts w:hint="eastAsia" w:ascii="宋体" w:hAnsi="宋体" w:eastAsia="宋体"/>
          <w:b w:val="0"/>
          <w:bCs/>
          <w:color w:val="auto"/>
          <w:szCs w:val="24"/>
          <w:highlight w:val="none"/>
          <w:lang w:eastAsia="zh-CN"/>
        </w:rPr>
      </w:pPr>
      <w:r>
        <w:rPr>
          <w:rFonts w:hint="eastAsia" w:ascii="宋体" w:hAnsi="宋体" w:eastAsia="宋体" w:cs="Times New Roman"/>
          <w:b/>
          <w:color w:val="auto"/>
          <w:szCs w:val="24"/>
          <w:highlight w:val="none"/>
          <w:lang w:val="en-US" w:eastAsia="zh-CN"/>
        </w:rPr>
        <w:t>注：</w:t>
      </w:r>
      <w:r>
        <w:rPr>
          <w:rFonts w:hint="eastAsia" w:ascii="宋体" w:hAnsi="宋体" w:eastAsia="宋体"/>
          <w:b w:val="0"/>
          <w:bCs/>
          <w:color w:val="auto"/>
          <w:szCs w:val="24"/>
          <w:highlight w:val="none"/>
          <w:lang w:eastAsia="zh-CN"/>
        </w:rPr>
        <w:t>1.产品如有型号，请在“产品名称”栏一并填写。</w:t>
      </w:r>
    </w:p>
    <w:p w14:paraId="3B3A64A6">
      <w:pPr>
        <w:tabs>
          <w:tab w:val="left" w:pos="4620"/>
        </w:tabs>
        <w:spacing w:line="360" w:lineRule="auto"/>
        <w:jc w:val="left"/>
        <w:rPr>
          <w:rFonts w:hint="eastAsia" w:ascii="宋体" w:hAnsi="宋体" w:eastAsia="宋体"/>
          <w:b w:val="0"/>
          <w:bCs/>
          <w:color w:val="auto"/>
          <w:szCs w:val="24"/>
          <w:highlight w:val="none"/>
          <w:lang w:eastAsia="zh-CN"/>
        </w:rPr>
      </w:pPr>
      <w:r>
        <w:rPr>
          <w:rFonts w:hint="eastAsia" w:ascii="宋体" w:hAnsi="宋体" w:eastAsia="宋体"/>
          <w:b w:val="0"/>
          <w:bCs/>
          <w:color w:val="auto"/>
          <w:szCs w:val="24"/>
          <w:highlight w:val="none"/>
          <w:lang w:eastAsia="zh-CN"/>
        </w:rPr>
        <w:t>2.生产厂名与厂址应与生产厂营业执照载明的相关信息保持一致。</w:t>
      </w:r>
    </w:p>
    <w:p w14:paraId="19816030">
      <w:pPr>
        <w:tabs>
          <w:tab w:val="left" w:pos="4620"/>
        </w:tabs>
        <w:spacing w:line="360" w:lineRule="auto"/>
        <w:jc w:val="left"/>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3.上述声明函中标注</w:t>
      </w:r>
      <w:r>
        <w:rPr>
          <w:rFonts w:hint="eastAsia" w:ascii="宋体" w:hAnsi="宋体" w:eastAsia="宋体" w:cs="Times New Roman"/>
          <w:b w:val="0"/>
          <w:bCs/>
          <w:color w:val="auto"/>
          <w:szCs w:val="24"/>
          <w:highlight w:val="none"/>
          <w:u w:val="single"/>
          <w:lang w:val="en-US" w:eastAsia="zh-CN"/>
        </w:rPr>
        <w:t xml:space="preserve">  /  </w:t>
      </w:r>
      <w:r>
        <w:rPr>
          <w:rFonts w:hint="eastAsia" w:ascii="宋体" w:hAnsi="宋体" w:eastAsia="宋体" w:cs="Times New Roman"/>
          <w:b w:val="0"/>
          <w:bCs/>
          <w:color w:val="auto"/>
          <w:szCs w:val="24"/>
          <w:highlight w:val="none"/>
          <w:lang w:val="en-US" w:eastAsia="zh-CN"/>
        </w:rPr>
        <w:t>的，无需填写。</w:t>
      </w:r>
    </w:p>
    <w:p w14:paraId="2F2A5335">
      <w:pPr>
        <w:tabs>
          <w:tab w:val="left" w:pos="4620"/>
        </w:tabs>
        <w:spacing w:line="360" w:lineRule="auto"/>
        <w:jc w:val="left"/>
        <w:rPr>
          <w:rFonts w:hint="default"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 w:val="21"/>
          <w:szCs w:val="21"/>
          <w:highlight w:val="none"/>
          <w:lang w:val="en-US" w:eastAsia="zh-CN"/>
        </w:rPr>
        <w:t>4.投标人应当结合“五、投标分项报价表-货物部分”相关信息进行填写。</w:t>
      </w:r>
    </w:p>
    <w:p w14:paraId="73A07190">
      <w:pPr>
        <w:spacing w:line="360" w:lineRule="auto"/>
        <w:jc w:val="left"/>
        <w:outlineLvl w:val="9"/>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color w:val="auto"/>
          <w:sz w:val="21"/>
          <w:szCs w:val="21"/>
          <w:highlight w:val="none"/>
          <w:lang w:eastAsia="zh-CN"/>
        </w:rPr>
        <w:t>国办发〔2025〕34号）</w:t>
      </w:r>
      <w:r>
        <w:rPr>
          <w:rFonts w:hint="eastAsia" w:ascii="宋体" w:hAnsi="宋体" w:eastAsia="宋体" w:cs="Times New Roman"/>
          <w:b w:val="0"/>
          <w:bCs/>
          <w:color w:val="auto"/>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color w:val="auto"/>
          <w:sz w:val="21"/>
          <w:szCs w:val="21"/>
          <w:highlight w:val="none"/>
          <w:lang w:eastAsia="zh-CN"/>
        </w:rPr>
        <w:t>中国境内生产</w:t>
      </w:r>
      <w:r>
        <w:rPr>
          <w:rFonts w:hint="eastAsia" w:ascii="宋体" w:hAnsi="宋体" w:eastAsia="宋体" w:cs="Times New Roman"/>
          <w:b w:val="0"/>
          <w:bCs/>
          <w:color w:val="auto"/>
          <w:sz w:val="21"/>
          <w:szCs w:val="21"/>
          <w:highlight w:val="none"/>
          <w:lang w:val="en-US" w:eastAsia="zh-CN"/>
        </w:rPr>
        <w:t>的产品</w:t>
      </w:r>
      <w:r>
        <w:rPr>
          <w:rFonts w:hint="eastAsia" w:ascii="宋体" w:hAnsi="宋体" w:eastAsia="宋体" w:cs="Times New Roman"/>
          <w:b w:val="0"/>
          <w:bCs/>
          <w:color w:val="auto"/>
          <w:sz w:val="21"/>
          <w:szCs w:val="21"/>
          <w:highlight w:val="none"/>
          <w:lang w:eastAsia="zh-CN"/>
        </w:rPr>
        <w:t>，即在中华人民共和国关境内实现从原材料、组件到产品的属性改变。</w:t>
      </w:r>
      <w:r>
        <w:rPr>
          <w:rFonts w:hint="eastAsia" w:ascii="宋体" w:hAnsi="宋体" w:eastAsia="宋体" w:cs="Times New Roman"/>
          <w:b w:val="0"/>
          <w:bCs/>
          <w:color w:val="auto"/>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F337779">
      <w:pPr>
        <w:rPr>
          <w:rFonts w:hint="eastAsia" w:ascii="宋体" w:hAnsi="宋体" w:eastAsia="宋体" w:cs="Times New Roman"/>
          <w:b w:val="0"/>
          <w:bCs/>
          <w:color w:val="auto"/>
          <w:sz w:val="21"/>
          <w:szCs w:val="21"/>
          <w:highlight w:val="none"/>
          <w:lang w:val="en-US" w:eastAsia="zh-CN"/>
        </w:rPr>
      </w:pPr>
    </w:p>
    <w:p w14:paraId="58C53534">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十一、</w:t>
      </w:r>
      <w:bookmarkEnd w:id="221"/>
      <w:bookmarkEnd w:id="222"/>
      <w:bookmarkEnd w:id="223"/>
      <w:r>
        <w:rPr>
          <w:rFonts w:hint="eastAsia" w:asciiTheme="minorEastAsia" w:hAnsiTheme="minorEastAsia" w:eastAsiaTheme="minorEastAsia"/>
          <w:b/>
          <w:color w:val="auto"/>
          <w:sz w:val="24"/>
          <w:highlight w:val="none"/>
          <w:lang w:val="en-US" w:eastAsia="zh-CN"/>
        </w:rPr>
        <w:t>诚信履约承诺函</w:t>
      </w:r>
      <w:bookmarkEnd w:id="224"/>
      <w:bookmarkEnd w:id="225"/>
    </w:p>
    <w:p w14:paraId="5DE995B7">
      <w:pPr>
        <w:spacing w:line="360" w:lineRule="auto"/>
        <w:rPr>
          <w:rFonts w:asciiTheme="minorEastAsia" w:hAnsiTheme="minorEastAsia" w:eastAsiaTheme="minorEastAsia"/>
          <w:b/>
          <w:bCs/>
          <w:color w:val="auto"/>
          <w:sz w:val="24"/>
          <w:highlight w:val="none"/>
        </w:rPr>
      </w:pPr>
    </w:p>
    <w:p w14:paraId="4A7B338F">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07A2449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0DDA297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2AE55E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275D726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0AEFF99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4DFACF0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3538F6A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CC48780">
      <w:pPr>
        <w:spacing w:line="360" w:lineRule="auto"/>
        <w:rPr>
          <w:rFonts w:asciiTheme="minorEastAsia" w:hAnsiTheme="minorEastAsia" w:eastAsiaTheme="minorEastAsia"/>
          <w:bCs/>
          <w:color w:val="auto"/>
          <w:sz w:val="24"/>
          <w:highlight w:val="none"/>
        </w:rPr>
      </w:pPr>
    </w:p>
    <w:p w14:paraId="5C404290">
      <w:pPr>
        <w:spacing w:line="360" w:lineRule="auto"/>
        <w:rPr>
          <w:rFonts w:asciiTheme="minorEastAsia" w:hAnsiTheme="minorEastAsia" w:eastAsiaTheme="minorEastAsia"/>
          <w:bCs/>
          <w:color w:val="auto"/>
          <w:sz w:val="24"/>
          <w:highlight w:val="none"/>
        </w:rPr>
      </w:pPr>
    </w:p>
    <w:p w14:paraId="31FBCB4D">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11BBB82">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7DBB82A2">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226"/>
    <w:p w14:paraId="1B7E2883">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27" w:name="_Toc32633"/>
      <w:bookmarkStart w:id="228" w:name="_Toc31807"/>
      <w:r>
        <w:rPr>
          <w:rFonts w:hint="eastAsia" w:asciiTheme="minorEastAsia" w:hAnsiTheme="minorEastAsia" w:eastAsiaTheme="minorEastAsia"/>
          <w:b/>
          <w:color w:val="auto"/>
          <w:sz w:val="24"/>
          <w:highlight w:val="none"/>
          <w:lang w:val="en-US" w:eastAsia="zh-CN"/>
        </w:rPr>
        <w:t>十二、其他相关证明材料</w:t>
      </w:r>
      <w:bookmarkEnd w:id="227"/>
      <w:bookmarkEnd w:id="228"/>
    </w:p>
    <w:p w14:paraId="75407A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541A62A2">
      <w:pPr>
        <w:spacing w:line="360" w:lineRule="auto"/>
        <w:ind w:firstLine="480" w:firstLineChars="200"/>
        <w:rPr>
          <w:rFonts w:asciiTheme="minorEastAsia" w:hAnsiTheme="minorEastAsia" w:eastAsiaTheme="minorEastAsia"/>
          <w:color w:val="auto"/>
          <w:sz w:val="24"/>
          <w:highlight w:val="none"/>
        </w:rPr>
      </w:pPr>
    </w:p>
    <w:p w14:paraId="20C34398">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1DBF0F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lang w:val="en-US" w:eastAsia="zh-CN"/>
        </w:rPr>
        <w:t>及评审资料</w:t>
      </w:r>
      <w:r>
        <w:rPr>
          <w:rFonts w:hint="eastAsia" w:asciiTheme="minorEastAsia" w:hAnsiTheme="minorEastAsia" w:eastAsiaTheme="minorEastAsia"/>
          <w:color w:val="auto"/>
          <w:sz w:val="24"/>
          <w:highlight w:val="none"/>
        </w:rPr>
        <w:t>，如营业执照、证书</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技术标方案</w:t>
      </w:r>
      <w:r>
        <w:rPr>
          <w:rFonts w:asciiTheme="minorEastAsia" w:hAnsiTheme="minorEastAsia" w:eastAsiaTheme="minorEastAsia"/>
          <w:color w:val="auto"/>
          <w:sz w:val="24"/>
          <w:highlight w:val="none"/>
        </w:rPr>
        <w:t>等，应将上述证明材料制作成扫描件上传。</w:t>
      </w:r>
    </w:p>
    <w:p w14:paraId="5E56F64A">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44CB71BD">
      <w:pPr>
        <w:spacing w:line="360" w:lineRule="auto"/>
        <w:jc w:val="center"/>
        <w:outlineLvl w:val="0"/>
        <w:rPr>
          <w:rFonts w:ascii="宋体" w:hAnsi="宋体" w:eastAsia="宋体"/>
          <w:b/>
          <w:bCs/>
          <w:color w:val="auto"/>
          <w:sz w:val="28"/>
          <w:highlight w:val="none"/>
        </w:rPr>
      </w:pPr>
      <w:bookmarkStart w:id="229" w:name="_Toc20819"/>
      <w:bookmarkStart w:id="230" w:name="_Toc643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29"/>
      <w:bookmarkEnd w:id="230"/>
    </w:p>
    <w:p w14:paraId="2F844E93">
      <w:pPr>
        <w:spacing w:line="360" w:lineRule="auto"/>
        <w:jc w:val="center"/>
        <w:outlineLvl w:val="1"/>
        <w:rPr>
          <w:rFonts w:ascii="仿宋" w:hAnsi="仿宋" w:eastAsia="仿宋" w:cs="仿宋"/>
          <w:b/>
          <w:bCs/>
          <w:color w:val="auto"/>
          <w:sz w:val="32"/>
          <w:szCs w:val="44"/>
          <w:highlight w:val="none"/>
        </w:rPr>
      </w:pPr>
      <w:bookmarkStart w:id="231" w:name="_Toc6955"/>
      <w:bookmarkStart w:id="232" w:name="_Toc27159"/>
      <w:r>
        <w:rPr>
          <w:rFonts w:hint="eastAsia" w:ascii="仿宋" w:hAnsi="仿宋" w:eastAsia="仿宋" w:cs="仿宋"/>
          <w:b/>
          <w:bCs/>
          <w:color w:val="auto"/>
          <w:sz w:val="32"/>
          <w:szCs w:val="44"/>
          <w:highlight w:val="none"/>
        </w:rPr>
        <w:t>询问函范本</w:t>
      </w:r>
      <w:bookmarkEnd w:id="231"/>
      <w:bookmarkEnd w:id="232"/>
    </w:p>
    <w:p w14:paraId="4334B616">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1F4667E4">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7F26864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56A5BAF">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33" w:name="_Toc13899"/>
      <w:r>
        <w:rPr>
          <w:rFonts w:hint="eastAsia" w:cs="仿宋" w:asciiTheme="minorEastAsia" w:hAnsiTheme="minorEastAsia" w:eastAsiaTheme="minorEastAsia"/>
          <w:color w:val="auto"/>
          <w:sz w:val="24"/>
          <w:szCs w:val="24"/>
          <w:highlight w:val="none"/>
        </w:rPr>
        <w:t>一、(事项一)</w:t>
      </w:r>
      <w:bookmarkEnd w:id="233"/>
    </w:p>
    <w:p w14:paraId="348DB46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9F8305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F06D82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6440CE37">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34" w:name="_Toc3352"/>
      <w:r>
        <w:rPr>
          <w:rFonts w:hint="eastAsia" w:cs="仿宋" w:asciiTheme="minorEastAsia" w:hAnsiTheme="minorEastAsia" w:eastAsiaTheme="minorEastAsia"/>
          <w:color w:val="auto"/>
          <w:sz w:val="24"/>
          <w:szCs w:val="24"/>
          <w:highlight w:val="none"/>
        </w:rPr>
        <w:t>二、(事项二)</w:t>
      </w:r>
      <w:bookmarkEnd w:id="234"/>
    </w:p>
    <w:p w14:paraId="571E276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FC44D9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684328C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5D84F24E">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AA6D9EC">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324B498B">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3B35B92B">
      <w:pPr>
        <w:jc w:val="center"/>
        <w:outlineLvl w:val="1"/>
        <w:rPr>
          <w:rFonts w:ascii="仿宋" w:hAnsi="仿宋" w:eastAsia="仿宋" w:cs="仿宋"/>
          <w:b/>
          <w:bCs/>
          <w:color w:val="auto"/>
          <w:sz w:val="32"/>
          <w:szCs w:val="44"/>
          <w:highlight w:val="none"/>
        </w:rPr>
      </w:pPr>
      <w:bookmarkStart w:id="235" w:name="_Toc1575"/>
      <w:bookmarkStart w:id="236" w:name="_Toc857"/>
      <w:r>
        <w:rPr>
          <w:rFonts w:hint="eastAsia" w:ascii="仿宋" w:hAnsi="仿宋" w:eastAsia="仿宋" w:cs="仿宋"/>
          <w:b/>
          <w:bCs/>
          <w:color w:val="auto"/>
          <w:sz w:val="32"/>
          <w:szCs w:val="44"/>
          <w:highlight w:val="none"/>
        </w:rPr>
        <w:t>质疑函范本</w:t>
      </w:r>
      <w:bookmarkEnd w:id="235"/>
      <w:bookmarkEnd w:id="236"/>
    </w:p>
    <w:p w14:paraId="0719FFBD">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237" w:name="_Toc21381"/>
      <w:r>
        <w:rPr>
          <w:rFonts w:hint="eastAsia" w:cs="仿宋" w:asciiTheme="minorEastAsia" w:hAnsiTheme="minorEastAsia" w:eastAsiaTheme="minorEastAsia"/>
          <w:b/>
          <w:bCs/>
          <w:color w:val="auto"/>
          <w:sz w:val="24"/>
          <w:szCs w:val="24"/>
          <w:highlight w:val="none"/>
        </w:rPr>
        <w:t>一、质疑供应商基本信息</w:t>
      </w:r>
      <w:bookmarkEnd w:id="237"/>
    </w:p>
    <w:p w14:paraId="6BFD0B8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010B6F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D406EF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D9B979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1486CBE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64DF0EC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CF354DF">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38" w:name="_Toc28415"/>
      <w:r>
        <w:rPr>
          <w:rFonts w:hint="eastAsia" w:cs="仿宋" w:asciiTheme="minorEastAsia" w:hAnsiTheme="minorEastAsia" w:eastAsiaTheme="minorEastAsia"/>
          <w:b/>
          <w:bCs/>
          <w:color w:val="auto"/>
          <w:sz w:val="24"/>
          <w:szCs w:val="24"/>
          <w:highlight w:val="none"/>
        </w:rPr>
        <w:t>二、质疑项目基本情况</w:t>
      </w:r>
      <w:bookmarkEnd w:id="238"/>
    </w:p>
    <w:p w14:paraId="366688A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16D8313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A9E4E1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1AC8E22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D903C5D">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39" w:name="_Toc19014"/>
      <w:r>
        <w:rPr>
          <w:rFonts w:hint="eastAsia" w:cs="仿宋" w:asciiTheme="minorEastAsia" w:hAnsiTheme="minorEastAsia" w:eastAsiaTheme="minorEastAsia"/>
          <w:b/>
          <w:bCs/>
          <w:color w:val="auto"/>
          <w:sz w:val="24"/>
          <w:szCs w:val="24"/>
          <w:highlight w:val="none"/>
        </w:rPr>
        <w:t>三、质疑事项具体内容</w:t>
      </w:r>
      <w:bookmarkEnd w:id="239"/>
    </w:p>
    <w:p w14:paraId="3FBD369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063668D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1E255E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E51E9A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6EBA81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C6F5FD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78E889A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7583B86">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40" w:name="_Toc17919"/>
      <w:r>
        <w:rPr>
          <w:rFonts w:hint="eastAsia" w:cs="仿宋" w:asciiTheme="minorEastAsia" w:hAnsiTheme="minorEastAsia" w:eastAsiaTheme="minorEastAsia"/>
          <w:b/>
          <w:bCs/>
          <w:color w:val="auto"/>
          <w:sz w:val="24"/>
          <w:szCs w:val="24"/>
          <w:highlight w:val="none"/>
        </w:rPr>
        <w:t>四、与质疑事项相关的质疑请求</w:t>
      </w:r>
      <w:bookmarkEnd w:id="240"/>
    </w:p>
    <w:p w14:paraId="3D63D03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6660B01">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3BA687D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DA8AB48">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888E1CE">
      <w:pPr>
        <w:outlineLvl w:val="0"/>
        <w:rPr>
          <w:rFonts w:asciiTheme="minorEastAsia" w:hAnsiTheme="minorEastAsia" w:eastAsiaTheme="minorEastAsia"/>
          <w:b/>
          <w:color w:val="auto"/>
          <w:sz w:val="28"/>
          <w:szCs w:val="32"/>
          <w:highlight w:val="none"/>
        </w:rPr>
      </w:pPr>
      <w:bookmarkStart w:id="241" w:name="_Toc22239"/>
      <w:bookmarkStart w:id="242" w:name="_Toc9754"/>
      <w:r>
        <w:rPr>
          <w:rFonts w:hint="eastAsia" w:asciiTheme="minorEastAsia" w:hAnsiTheme="minorEastAsia" w:eastAsiaTheme="minorEastAsia"/>
          <w:b/>
          <w:color w:val="auto"/>
          <w:sz w:val="28"/>
          <w:szCs w:val="32"/>
          <w:highlight w:val="none"/>
        </w:rPr>
        <w:t>质疑函制作说明：</w:t>
      </w:r>
      <w:bookmarkEnd w:id="241"/>
      <w:bookmarkEnd w:id="242"/>
    </w:p>
    <w:p w14:paraId="41BC98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D4ACF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662E8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4BA16B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2075F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478821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33A6106C">
      <w:pP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br w:type="page"/>
      </w:r>
    </w:p>
    <w:p w14:paraId="4DD37971">
      <w:pPr>
        <w:keepNext/>
        <w:keepLines/>
        <w:spacing w:before="200" w:after="200" w:line="600" w:lineRule="exact"/>
        <w:outlineLvl w:val="0"/>
        <w:rPr>
          <w:rFonts w:hint="eastAsia" w:ascii="宋体" w:hAnsi="宋体" w:eastAsia="宋体" w:cs="宋体"/>
          <w:b/>
          <w:bCs/>
          <w:color w:val="auto"/>
          <w:kern w:val="44"/>
          <w:sz w:val="28"/>
          <w:szCs w:val="28"/>
          <w:highlight w:val="none"/>
        </w:rPr>
      </w:pPr>
      <w:bookmarkStart w:id="243" w:name="OLE_LINK7"/>
      <w:bookmarkStart w:id="244" w:name="OLE_LINK25"/>
      <w:bookmarkStart w:id="245" w:name="OLE_LINK24"/>
      <w:r>
        <w:rPr>
          <w:rFonts w:hint="eastAsia" w:ascii="宋体" w:hAnsi="宋体" w:eastAsia="宋体" w:cs="宋体"/>
          <w:b/>
          <w:bCs/>
          <w:color w:val="auto"/>
          <w:kern w:val="44"/>
          <w:sz w:val="36"/>
          <w:szCs w:val="28"/>
          <w:highlight w:val="none"/>
        </w:rPr>
        <w:t>附件1关于联合惩戒失信行为加强信用查询管理的通知</w:t>
      </w:r>
    </w:p>
    <w:bookmarkEnd w:id="243"/>
    <w:p w14:paraId="7622E302">
      <w:pPr>
        <w:adjustRightInd w:val="0"/>
        <w:snapToGrid w:val="0"/>
        <w:spacing w:line="5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一、失信行为联合惩戒的范围和查询渠道</w:t>
      </w:r>
    </w:p>
    <w:p w14:paraId="426ECF5D">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在我市公共资源交易活动中对存在下列失信行为的投标人、法定代表人及其项目经理（建造师）实施联合惩戒，禁止参与我市公共资源交易活动。</w:t>
      </w:r>
    </w:p>
    <w:p w14:paraId="4274D998">
      <w:pPr>
        <w:adjustRightInd w:val="0"/>
        <w:snapToGrid w:val="0"/>
        <w:spacing w:line="5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（一）工程建设项目</w:t>
      </w:r>
    </w:p>
    <w:bookmarkEnd w:id="244"/>
    <w:bookmarkEnd w:id="245"/>
    <w:p w14:paraId="7224CB04">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1、“信用中国”网站（www.creditchina.gov.cn）查询</w:t>
      </w:r>
      <w:bookmarkStart w:id="246" w:name="OLE_LINK93"/>
      <w:bookmarkStart w:id="247" w:name="OLE_LINK92"/>
      <w:bookmarkStart w:id="248" w:name="OLE_LINK91"/>
      <w:bookmarkStart w:id="249" w:name="OLE_LINK103"/>
      <w:r>
        <w:rPr>
          <w:rFonts w:hint="eastAsia" w:ascii="宋体" w:hAnsi="宋体" w:eastAsia="宋体" w:cs="宋体"/>
          <w:color w:val="auto"/>
          <w:sz w:val="28"/>
          <w:szCs w:val="28"/>
          <w:highlight w:val="none"/>
        </w:rPr>
        <w:t>投标人、法定代表人及其项目经理(建造师)</w:t>
      </w:r>
      <w:bookmarkEnd w:id="246"/>
      <w:bookmarkEnd w:id="247"/>
      <w:bookmarkEnd w:id="248"/>
      <w:bookmarkEnd w:id="249"/>
      <w:r>
        <w:rPr>
          <w:rFonts w:hint="eastAsia" w:ascii="宋体" w:hAnsi="宋体" w:eastAsia="宋体" w:cs="宋体"/>
          <w:color w:val="auto"/>
          <w:sz w:val="28"/>
          <w:szCs w:val="28"/>
          <w:highlight w:val="none"/>
        </w:rPr>
        <w:t>以下失信行为：</w:t>
      </w:r>
    </w:p>
    <w:p w14:paraId="3FC9234A">
      <w:pPr>
        <w:adjustRightInd w:val="0"/>
        <w:snapToGrid w:val="0"/>
        <w:spacing w:line="560" w:lineRule="exact"/>
        <w:ind w:firstLine="560" w:firstLineChars="200"/>
        <w:rPr>
          <w:rFonts w:hint="eastAsia" w:ascii="宋体" w:hAnsi="宋体" w:eastAsia="宋体" w:cs="宋体"/>
          <w:color w:val="auto"/>
          <w:sz w:val="28"/>
          <w:szCs w:val="28"/>
          <w:highlight w:val="none"/>
        </w:rPr>
      </w:pPr>
      <w:bookmarkStart w:id="250" w:name="OLE_LINK119"/>
      <w:bookmarkStart w:id="251" w:name="OLE_LINK87"/>
      <w:bookmarkStart w:id="252" w:name="OLE_LINK86"/>
      <w:bookmarkStart w:id="253" w:name="OLE_LINK3"/>
      <w:bookmarkStart w:id="254" w:name="OLE_LINK94"/>
      <w:r>
        <w:rPr>
          <w:rFonts w:hint="eastAsia" w:ascii="宋体" w:hAnsi="宋体" w:eastAsia="宋体" w:cs="宋体"/>
          <w:color w:val="auto"/>
          <w:sz w:val="28"/>
          <w:szCs w:val="28"/>
          <w:highlight w:val="none"/>
        </w:rPr>
        <w:t>①被列入“失信被执行人”的;</w:t>
      </w:r>
    </w:p>
    <w:p w14:paraId="394B108B">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②被列入</w:t>
      </w:r>
      <w:bookmarkStart w:id="255" w:name="OLE_LINK117"/>
      <w:bookmarkStart w:id="256" w:name="OLE_LINK115"/>
      <w:bookmarkStart w:id="257" w:name="OLE_LINK118"/>
      <w:bookmarkStart w:id="258" w:name="OLE_LINK116"/>
      <w:r>
        <w:rPr>
          <w:rFonts w:hint="eastAsia" w:ascii="宋体" w:hAnsi="宋体" w:eastAsia="宋体" w:cs="宋体"/>
          <w:color w:val="auto"/>
          <w:sz w:val="28"/>
          <w:szCs w:val="28"/>
          <w:highlight w:val="none"/>
        </w:rPr>
        <w:t>“重大税收违法失信主体”</w:t>
      </w:r>
      <w:bookmarkEnd w:id="255"/>
      <w:bookmarkEnd w:id="256"/>
      <w:bookmarkEnd w:id="257"/>
      <w:bookmarkEnd w:id="258"/>
      <w:r>
        <w:rPr>
          <w:rFonts w:hint="eastAsia" w:ascii="宋体" w:hAnsi="宋体" w:eastAsia="宋体" w:cs="宋体"/>
          <w:color w:val="auto"/>
          <w:sz w:val="28"/>
          <w:szCs w:val="28"/>
          <w:highlight w:val="none"/>
        </w:rPr>
        <w:t>的；</w:t>
      </w:r>
    </w:p>
    <w:p w14:paraId="56273F31">
      <w:pPr>
        <w:adjustRightInd w:val="0"/>
        <w:snapToGrid w:val="0"/>
        <w:spacing w:line="560" w:lineRule="exact"/>
        <w:ind w:firstLine="560" w:firstLineChars="200"/>
        <w:rPr>
          <w:rFonts w:hint="eastAsia" w:ascii="宋体" w:hAnsi="宋体" w:eastAsia="宋体" w:cs="宋体"/>
          <w:color w:val="auto"/>
          <w:sz w:val="28"/>
          <w:szCs w:val="28"/>
          <w:highlight w:val="none"/>
        </w:rPr>
      </w:pPr>
      <w:bookmarkStart w:id="259" w:name="OLE_LINK2"/>
      <w:bookmarkStart w:id="260" w:name="OLE_LINK1"/>
      <w:r>
        <w:rPr>
          <w:rFonts w:hint="eastAsia" w:ascii="宋体" w:hAnsi="宋体" w:eastAsia="宋体" w:cs="宋体"/>
          <w:color w:val="auto"/>
          <w:sz w:val="28"/>
          <w:szCs w:val="28"/>
          <w:highlight w:val="none"/>
        </w:rPr>
        <w:t>③被列入“拖欠</w:t>
      </w:r>
      <w:bookmarkStart w:id="261" w:name="OLE_LINK84"/>
      <w:bookmarkStart w:id="262" w:name="OLE_LINK85"/>
      <w:r>
        <w:rPr>
          <w:rFonts w:hint="eastAsia" w:ascii="宋体" w:hAnsi="宋体" w:eastAsia="宋体" w:cs="宋体"/>
          <w:color w:val="auto"/>
          <w:sz w:val="28"/>
          <w:szCs w:val="28"/>
          <w:highlight w:val="none"/>
        </w:rPr>
        <w:t>农民工工资失信联合惩戒对象</w:t>
      </w:r>
      <w:bookmarkEnd w:id="261"/>
      <w:bookmarkEnd w:id="262"/>
      <w:r>
        <w:rPr>
          <w:rFonts w:hint="eastAsia" w:ascii="宋体" w:hAnsi="宋体" w:eastAsia="宋体" w:cs="宋体"/>
          <w:color w:val="auto"/>
          <w:sz w:val="28"/>
          <w:szCs w:val="28"/>
          <w:highlight w:val="none"/>
        </w:rPr>
        <w:t>名单”的；</w:t>
      </w:r>
      <w:bookmarkEnd w:id="259"/>
      <w:bookmarkEnd w:id="260"/>
    </w:p>
    <w:p w14:paraId="07707928">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④被列入“严重失信主体名单”的；</w:t>
      </w:r>
    </w:p>
    <w:p w14:paraId="3B176D4E">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⑤在“信用中国”网站上披露的仍在公示期的严重失信行为(具体行为类别及判定依据见附件2)的。</w:t>
      </w:r>
    </w:p>
    <w:bookmarkEnd w:id="250"/>
    <w:bookmarkEnd w:id="251"/>
    <w:bookmarkEnd w:id="252"/>
    <w:bookmarkEnd w:id="253"/>
    <w:bookmarkEnd w:id="254"/>
    <w:p w14:paraId="0D8E8407">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bookmarkStart w:id="263" w:name="OLE_LINK130"/>
      <w:r>
        <w:rPr>
          <w:rFonts w:hint="eastAsia" w:ascii="宋体" w:hAnsi="宋体" w:eastAsia="宋体" w:cs="宋体"/>
          <w:color w:val="auto"/>
          <w:sz w:val="28"/>
          <w:szCs w:val="28"/>
          <w:highlight w:val="none"/>
        </w:rPr>
        <w:t>国家企业信用信息公示系统网站</w:t>
      </w:r>
      <w:bookmarkEnd w:id="263"/>
      <w:r>
        <w:rPr>
          <w:rFonts w:hint="eastAsia" w:ascii="宋体" w:hAnsi="宋体" w:eastAsia="宋体" w:cs="宋体"/>
          <w:color w:val="auto"/>
          <w:sz w:val="28"/>
          <w:szCs w:val="28"/>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"http://www.gsxt.gov.cn）查询" </w:instrText>
      </w:r>
      <w:r>
        <w:rPr>
          <w:rFonts w:hint="eastAsia" w:ascii="宋体" w:hAnsi="宋体" w:eastAsia="宋体" w:cs="宋体"/>
          <w:color w:val="auto"/>
          <w:highlight w:val="none"/>
        </w:rPr>
        <w:fldChar w:fldCharType="separate"/>
      </w:r>
      <w:bookmarkStart w:id="264" w:name="OLE_LINK89"/>
      <w:bookmarkStart w:id="265" w:name="OLE_LINK90"/>
      <w:r>
        <w:rPr>
          <w:rStyle w:val="35"/>
          <w:rFonts w:hint="eastAsia" w:ascii="宋体" w:hAnsi="宋体" w:eastAsia="宋体" w:cs="宋体"/>
          <w:color w:val="auto"/>
          <w:sz w:val="28"/>
          <w:szCs w:val="28"/>
          <w:highlight w:val="none"/>
        </w:rPr>
        <w:t>www.gsxt.gov.cn</w:t>
      </w:r>
      <w:bookmarkEnd w:id="264"/>
      <w:bookmarkEnd w:id="265"/>
      <w:r>
        <w:rPr>
          <w:rStyle w:val="35"/>
          <w:rFonts w:hint="eastAsia" w:ascii="宋体" w:hAnsi="宋体" w:eastAsia="宋体" w:cs="宋体"/>
          <w:color w:val="auto"/>
          <w:sz w:val="28"/>
          <w:szCs w:val="28"/>
          <w:highlight w:val="none"/>
        </w:rPr>
        <w:t>）</w:t>
      </w:r>
      <w:r>
        <w:rPr>
          <w:rStyle w:val="35"/>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查询投标人以下失信行为：</w:t>
      </w:r>
    </w:p>
    <w:p w14:paraId="404EC1CC">
      <w:pPr>
        <w:adjustRightInd w:val="0"/>
        <w:snapToGrid w:val="0"/>
        <w:spacing w:line="560" w:lineRule="exact"/>
        <w:ind w:firstLine="560" w:firstLineChars="200"/>
        <w:rPr>
          <w:rFonts w:hint="eastAsia" w:ascii="宋体" w:hAnsi="宋体" w:eastAsia="宋体" w:cs="宋体"/>
          <w:color w:val="auto"/>
          <w:sz w:val="28"/>
          <w:szCs w:val="28"/>
          <w:highlight w:val="none"/>
        </w:rPr>
      </w:pPr>
      <w:bookmarkStart w:id="266" w:name="OLE_LINK121"/>
      <w:bookmarkStart w:id="267" w:name="OLE_LINK120"/>
      <w:bookmarkStart w:id="268" w:name="OLE_LINK122"/>
      <w:r>
        <w:rPr>
          <w:rFonts w:hint="eastAsia" w:ascii="宋体" w:hAnsi="宋体" w:eastAsia="宋体" w:cs="宋体"/>
          <w:color w:val="auto"/>
          <w:sz w:val="28"/>
          <w:szCs w:val="28"/>
          <w:highlight w:val="none"/>
        </w:rPr>
        <w:t>①被列入“经营异常名录”或者“严重违法失信名单”的。</w:t>
      </w:r>
      <w:bookmarkEnd w:id="266"/>
      <w:bookmarkEnd w:id="267"/>
      <w:bookmarkEnd w:id="268"/>
    </w:p>
    <w:p w14:paraId="723A7A3D">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3、由</w:t>
      </w:r>
      <w:r>
        <w:rPr>
          <w:rFonts w:hint="eastAsia" w:ascii="宋体" w:hAnsi="宋体" w:eastAsia="宋体" w:cs="宋体"/>
          <w:color w:val="auto"/>
          <w:kern w:val="0"/>
          <w:sz w:val="28"/>
          <w:szCs w:val="28"/>
          <w:highlight w:val="none"/>
        </w:rPr>
        <w:t>投标人、法定代表人及其项目经理(建造师)</w:t>
      </w:r>
      <w:r>
        <w:rPr>
          <w:rFonts w:hint="eastAsia" w:ascii="宋体" w:hAnsi="宋体" w:eastAsia="宋体" w:cs="宋体"/>
          <w:color w:val="auto"/>
          <w:sz w:val="28"/>
          <w:szCs w:val="28"/>
          <w:highlight w:val="none"/>
        </w:rPr>
        <w:t>进行承诺，不进行现场网上信用查询的失信行为：</w:t>
      </w:r>
    </w:p>
    <w:p w14:paraId="5C98D27D">
      <w:pPr>
        <w:adjustRightInd w:val="0"/>
        <w:snapToGrid w:val="0"/>
        <w:spacing w:line="560" w:lineRule="exact"/>
        <w:ind w:firstLine="560" w:firstLineChars="200"/>
        <w:rPr>
          <w:rFonts w:hint="eastAsia" w:ascii="宋体" w:hAnsi="宋体" w:eastAsia="宋体" w:cs="宋体"/>
          <w:color w:val="auto"/>
          <w:sz w:val="28"/>
          <w:szCs w:val="28"/>
          <w:highlight w:val="none"/>
        </w:rPr>
      </w:pPr>
      <w:bookmarkStart w:id="269" w:name="OLE_LINK124"/>
      <w:bookmarkStart w:id="270" w:name="OLE_LINK123"/>
      <w:r>
        <w:rPr>
          <w:rFonts w:hint="eastAsia" w:ascii="宋体" w:hAnsi="宋体" w:eastAsia="宋体" w:cs="宋体"/>
          <w:color w:val="auto"/>
          <w:sz w:val="28"/>
          <w:szCs w:val="28"/>
          <w:highlight w:val="none"/>
        </w:rPr>
        <w:t>①前三年有行贿犯罪行为的单位和个人；</w:t>
      </w:r>
    </w:p>
    <w:p w14:paraId="60932CC4">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②被滁州市县两级公管部门取消在一定期限内的投标资格且在取消期限内的；</w:t>
      </w:r>
    </w:p>
    <w:p w14:paraId="2120FCD8">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③被滁州市县两级各行业主管部门取消在一定期限内的投标资格且在取消期限内的；</w:t>
      </w:r>
    </w:p>
    <w:p w14:paraId="3E6286D0">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④因拖欠农民工工资被</w:t>
      </w:r>
      <w:bookmarkStart w:id="271" w:name="OLE_LINK107"/>
      <w:bookmarkStart w:id="272" w:name="OLE_LINK108"/>
      <w:r>
        <w:rPr>
          <w:rFonts w:hint="eastAsia" w:ascii="宋体" w:hAnsi="宋体" w:eastAsia="宋体" w:cs="宋体"/>
          <w:color w:val="auto"/>
          <w:sz w:val="28"/>
          <w:szCs w:val="28"/>
          <w:highlight w:val="none"/>
        </w:rPr>
        <w:t>县级及以上有关行政主管部门限制投标资格且在限制期限内的</w:t>
      </w:r>
      <w:bookmarkEnd w:id="271"/>
      <w:bookmarkEnd w:id="272"/>
      <w:r>
        <w:rPr>
          <w:rFonts w:hint="eastAsia" w:ascii="宋体" w:hAnsi="宋体" w:eastAsia="宋体" w:cs="宋体"/>
          <w:color w:val="auto"/>
          <w:sz w:val="28"/>
          <w:szCs w:val="28"/>
          <w:highlight w:val="none"/>
        </w:rPr>
        <w:t>；</w:t>
      </w:r>
    </w:p>
    <w:p w14:paraId="7EA0B080">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69"/>
    <w:bookmarkEnd w:id="270"/>
    <w:p w14:paraId="762AA085">
      <w:pPr>
        <w:adjustRightInd w:val="0"/>
        <w:snapToGrid w:val="0"/>
        <w:spacing w:line="5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（二）政府采购项目</w:t>
      </w:r>
    </w:p>
    <w:p w14:paraId="120192A8">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1、“信用中国”网站（</w:t>
      </w:r>
      <w:r>
        <w:rPr>
          <w:rStyle w:val="35"/>
          <w:rFonts w:hint="eastAsia" w:ascii="宋体" w:hAnsi="宋体" w:eastAsia="宋体" w:cs="宋体"/>
          <w:color w:val="auto"/>
          <w:sz w:val="28"/>
          <w:szCs w:val="28"/>
          <w:highlight w:val="none"/>
        </w:rPr>
        <w:t>www.creditchina.gov.cn</w:t>
      </w:r>
      <w:r>
        <w:rPr>
          <w:rFonts w:hint="eastAsia" w:ascii="宋体" w:hAnsi="宋体" w:eastAsia="宋体" w:cs="宋体"/>
          <w:color w:val="auto"/>
          <w:sz w:val="28"/>
          <w:szCs w:val="28"/>
          <w:highlight w:val="none"/>
        </w:rPr>
        <w:t>）查询供应商、法定代表人及其项目负责人以下失信行为：</w:t>
      </w:r>
    </w:p>
    <w:p w14:paraId="55E348B7">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①被列入“失信被执行人”的;</w:t>
      </w:r>
    </w:p>
    <w:p w14:paraId="494A8632">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②被列入“重大税收违法失信主体”的；</w:t>
      </w:r>
    </w:p>
    <w:p w14:paraId="74A6F169">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③被列入“严重失信主体名单”的；</w:t>
      </w:r>
    </w:p>
    <w:p w14:paraId="6B2A18FF">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④在“信用中国”网站上披露的仍在公示期的严重失信行为(具体行为类别及判定依据见附件2)的；</w:t>
      </w:r>
    </w:p>
    <w:p w14:paraId="2D5CD861">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2、国家企业信用信息公示系统网站（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"http://www.gsxt.gov.cn）查询"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www.gsxt.gov.cn）</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查询供应商以下失信行为：</w:t>
      </w:r>
    </w:p>
    <w:p w14:paraId="4DA3D093">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w:t>
      </w:r>
      <w:bookmarkStart w:id="273" w:name="OLE_LINK102"/>
      <w:bookmarkStart w:id="274" w:name="OLE_LINK101"/>
      <w:bookmarkStart w:id="275" w:name="OLE_LINK100"/>
      <w:r>
        <w:rPr>
          <w:rFonts w:hint="eastAsia" w:ascii="宋体" w:hAnsi="宋体" w:eastAsia="宋体" w:cs="宋体"/>
          <w:color w:val="auto"/>
          <w:sz w:val="28"/>
          <w:szCs w:val="28"/>
          <w:highlight w:val="none"/>
        </w:rPr>
        <w:t>被列入“经营异常名录”或者“严重违法失信名单”的</w:t>
      </w:r>
      <w:bookmarkEnd w:id="273"/>
      <w:bookmarkEnd w:id="274"/>
      <w:bookmarkEnd w:id="275"/>
      <w:r>
        <w:rPr>
          <w:rFonts w:hint="eastAsia" w:ascii="宋体" w:hAnsi="宋体" w:eastAsia="宋体" w:cs="宋体"/>
          <w:color w:val="auto"/>
          <w:sz w:val="28"/>
          <w:szCs w:val="28"/>
          <w:highlight w:val="none"/>
        </w:rPr>
        <w:t>。</w:t>
      </w:r>
    </w:p>
    <w:p w14:paraId="745C2847">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3、中国政府采购网站（</w:t>
      </w:r>
      <w:bookmarkStart w:id="276" w:name="OLE_LINK95"/>
      <w:bookmarkStart w:id="277" w:name="OLE_LINK96"/>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"http://www.ccgp.gov.cn"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www.ccgp.gov.cn</w:t>
      </w:r>
      <w:r>
        <w:rPr>
          <w:rFonts w:hint="eastAsia" w:ascii="宋体" w:hAnsi="宋体" w:eastAsia="宋体" w:cs="宋体"/>
          <w:color w:val="auto"/>
          <w:sz w:val="28"/>
          <w:szCs w:val="28"/>
          <w:highlight w:val="none"/>
        </w:rPr>
        <w:fldChar w:fldCharType="end"/>
      </w:r>
      <w:bookmarkEnd w:id="276"/>
      <w:bookmarkEnd w:id="277"/>
      <w:r>
        <w:rPr>
          <w:rFonts w:hint="eastAsia" w:ascii="宋体" w:hAnsi="宋体" w:eastAsia="宋体" w:cs="宋体"/>
          <w:color w:val="auto"/>
          <w:sz w:val="28"/>
          <w:szCs w:val="28"/>
          <w:highlight w:val="none"/>
        </w:rPr>
        <w:t>）查询以下失信行为：</w:t>
      </w:r>
    </w:p>
    <w:p w14:paraId="57DA266F">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w:t>
      </w:r>
      <w:bookmarkStart w:id="278" w:name="OLE_LINK105"/>
      <w:bookmarkStart w:id="279" w:name="OLE_LINK106"/>
      <w:bookmarkStart w:id="280" w:name="OLE_LINK104"/>
      <w:r>
        <w:rPr>
          <w:rFonts w:hint="eastAsia" w:ascii="宋体" w:hAnsi="宋体" w:eastAsia="宋体" w:cs="宋体"/>
          <w:color w:val="auto"/>
          <w:sz w:val="28"/>
          <w:szCs w:val="28"/>
          <w:highlight w:val="none"/>
        </w:rPr>
        <w:t>被列入“政府采购严重违法失信行为信息记录”的</w:t>
      </w:r>
      <w:bookmarkEnd w:id="278"/>
      <w:bookmarkEnd w:id="279"/>
      <w:bookmarkEnd w:id="280"/>
      <w:r>
        <w:rPr>
          <w:rFonts w:hint="eastAsia" w:ascii="宋体" w:hAnsi="宋体" w:eastAsia="宋体" w:cs="宋体"/>
          <w:color w:val="auto"/>
          <w:sz w:val="28"/>
          <w:szCs w:val="28"/>
          <w:highlight w:val="none"/>
        </w:rPr>
        <w:t>。</w:t>
      </w:r>
    </w:p>
    <w:p w14:paraId="5F3F36C0">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4、由竞争主体进行承诺，不进行现场网上信用查询的失信行为：</w:t>
      </w:r>
    </w:p>
    <w:p w14:paraId="048BD97C">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①前三年有行贿犯罪行为的单位和个人。</w:t>
      </w:r>
    </w:p>
    <w:p w14:paraId="15921C66">
      <w:pPr>
        <w:adjustRightInd w:val="0"/>
        <w:snapToGrid w:val="0"/>
        <w:spacing w:line="5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二、在开评标活动中的查询程序</w:t>
      </w:r>
    </w:p>
    <w:p w14:paraId="433EAA36">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2A7C6957">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6AD57E74">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3、项目单位及其委托的代理机构应当做好信用查询结果截图和记录留存。</w:t>
      </w:r>
    </w:p>
    <w:p w14:paraId="6CD08F08">
      <w:pPr>
        <w:adjustRightInd w:val="0"/>
        <w:snapToGrid w:val="0"/>
        <w:spacing w:line="5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三、相关要求</w:t>
      </w:r>
    </w:p>
    <w:p w14:paraId="706F5442">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55B6F7B3">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2CF15704">
      <w:pPr>
        <w:wordWrap w:val="0"/>
        <w:adjustRightInd w:val="0"/>
        <w:snapToGrid w:val="0"/>
        <w:spacing w:line="560" w:lineRule="exact"/>
        <w:ind w:firstLine="560" w:firstLineChars="200"/>
        <w:rPr>
          <w:rFonts w:hint="eastAsia" w:ascii="宋体" w:hAnsi="宋体" w:eastAsia="宋体" w:cs="宋体"/>
          <w:color w:val="auto"/>
          <w:szCs w:val="24"/>
          <w:highlight w:val="none"/>
        </w:rPr>
      </w:pPr>
      <w:r>
        <w:rPr>
          <w:rFonts w:hint="eastAsia" w:ascii="宋体" w:hAnsi="宋体" w:eastAsia="宋体" w:cs="宋体"/>
          <w:color w:val="auto"/>
          <w:sz w:val="28"/>
          <w:szCs w:val="28"/>
          <w:highlight w:val="none"/>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信用中国(安徽)”网站信用报告核验系统(</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"https://credit.ah.gov.cn/xinyong-fuwu/xvbahv/index.html"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https://credit.ah.gov.cn/xinyong-fuwu/xvbahv/index.html</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623B5B8C">
      <w:pPr>
        <w:adjustRightInd w:val="0"/>
        <w:snapToGrid w:val="0"/>
        <w:spacing w:line="5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2、“信用中国”查询的严重失信行为判定依据为各行业主管部门下发的联合惩戒文件中规定的行为（按附件2执行）。</w:t>
      </w:r>
    </w:p>
    <w:p w14:paraId="6E4EA3B6">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3、资格预审的项目以递交资格预审申请文件截止时间查询为准；资格后审的项目以递交投标文件截止时间查询为准。</w:t>
      </w:r>
    </w:p>
    <w:p w14:paraId="46278AEF">
      <w:pPr>
        <w:ind w:right="960"/>
        <w:rPr>
          <w:rFonts w:hint="eastAsia" w:ascii="宋体" w:hAnsi="宋体" w:eastAsia="宋体" w:cs="宋体"/>
          <w:color w:val="auto"/>
          <w:sz w:val="32"/>
          <w:szCs w:val="32"/>
          <w:highlight w:val="none"/>
        </w:rPr>
      </w:pPr>
    </w:p>
    <w:p w14:paraId="7171715E">
      <w:pPr>
        <w:ind w:right="960"/>
        <w:rPr>
          <w:rFonts w:hint="eastAsia" w:ascii="宋体" w:hAnsi="宋体" w:eastAsia="宋体" w:cs="宋体"/>
          <w:color w:val="auto"/>
          <w:sz w:val="32"/>
          <w:szCs w:val="32"/>
          <w:highlight w:val="none"/>
        </w:rPr>
      </w:pPr>
    </w:p>
    <w:p w14:paraId="536D5AA4">
      <w:pPr>
        <w:ind w:right="960"/>
        <w:rPr>
          <w:rFonts w:hint="eastAsia" w:ascii="宋体" w:hAnsi="宋体" w:eastAsia="宋体" w:cs="宋体"/>
          <w:color w:val="auto"/>
          <w:sz w:val="32"/>
          <w:szCs w:val="32"/>
          <w:highlight w:val="none"/>
        </w:rPr>
      </w:pPr>
    </w:p>
    <w:p w14:paraId="51C52106">
      <w:pPr>
        <w:ind w:right="960"/>
        <w:rPr>
          <w:rFonts w:hint="eastAsia" w:ascii="宋体" w:hAnsi="宋体" w:eastAsia="宋体" w:cs="宋体"/>
          <w:color w:val="auto"/>
          <w:sz w:val="32"/>
          <w:szCs w:val="32"/>
          <w:highlight w:val="none"/>
        </w:rPr>
      </w:pPr>
    </w:p>
    <w:p w14:paraId="6F9A3509">
      <w:pPr>
        <w:ind w:right="960"/>
        <w:rPr>
          <w:rFonts w:hint="eastAsia" w:ascii="宋体" w:hAnsi="宋体" w:eastAsia="宋体" w:cs="宋体"/>
          <w:color w:val="auto"/>
          <w:sz w:val="32"/>
          <w:szCs w:val="32"/>
          <w:highlight w:val="none"/>
        </w:rPr>
      </w:pPr>
    </w:p>
    <w:p w14:paraId="2DCE2639">
      <w:pPr>
        <w:ind w:right="960"/>
        <w:rPr>
          <w:rFonts w:hint="eastAsia" w:ascii="宋体" w:hAnsi="宋体" w:eastAsia="宋体" w:cs="宋体"/>
          <w:color w:val="auto"/>
          <w:sz w:val="32"/>
          <w:szCs w:val="32"/>
          <w:highlight w:val="none"/>
        </w:rPr>
      </w:pPr>
    </w:p>
    <w:p w14:paraId="728BB737">
      <w:pPr>
        <w:ind w:right="960"/>
        <w:rPr>
          <w:rFonts w:hint="eastAsia" w:ascii="宋体" w:hAnsi="宋体" w:eastAsia="宋体" w:cs="宋体"/>
          <w:color w:val="auto"/>
          <w:sz w:val="32"/>
          <w:szCs w:val="32"/>
          <w:highlight w:val="none"/>
        </w:rPr>
      </w:pPr>
    </w:p>
    <w:p w14:paraId="68496F50">
      <w:pPr>
        <w:ind w:right="960"/>
        <w:rPr>
          <w:rFonts w:hint="eastAsia" w:ascii="宋体" w:hAnsi="宋体" w:eastAsia="宋体" w:cs="宋体"/>
          <w:color w:val="auto"/>
          <w:sz w:val="32"/>
          <w:szCs w:val="32"/>
          <w:highlight w:val="none"/>
        </w:rPr>
      </w:pPr>
    </w:p>
    <w:p w14:paraId="6D822132">
      <w:pPr>
        <w:ind w:right="960"/>
        <w:rPr>
          <w:rFonts w:hint="eastAsia" w:ascii="宋体" w:hAnsi="宋体" w:eastAsia="宋体" w:cs="宋体"/>
          <w:color w:val="auto"/>
          <w:sz w:val="32"/>
          <w:szCs w:val="32"/>
          <w:highlight w:val="none"/>
        </w:rPr>
      </w:pPr>
    </w:p>
    <w:p w14:paraId="690963C5">
      <w:pPr>
        <w:keepNext/>
        <w:keepLines/>
        <w:spacing w:before="200" w:after="200" w:line="600" w:lineRule="exact"/>
        <w:outlineLvl w:val="0"/>
        <w:rPr>
          <w:rFonts w:hint="eastAsia" w:ascii="宋体" w:hAnsi="宋体" w:eastAsia="宋体" w:cs="宋体"/>
          <w:b/>
          <w:bCs/>
          <w:color w:val="auto"/>
          <w:kern w:val="44"/>
          <w:sz w:val="36"/>
          <w:szCs w:val="28"/>
          <w:highlight w:val="none"/>
        </w:rPr>
      </w:pPr>
      <w:bookmarkStart w:id="281" w:name="_Toc95223549"/>
      <w:bookmarkStart w:id="282" w:name="OLE_LINK41"/>
      <w:bookmarkStart w:id="283" w:name="OLE_LINK31"/>
      <w:bookmarkStart w:id="284" w:name="OLE_LINK32"/>
      <w:r>
        <w:rPr>
          <w:rFonts w:hint="eastAsia" w:ascii="宋体" w:hAnsi="宋体" w:eastAsia="宋体" w:cs="宋体"/>
          <w:b/>
          <w:bCs/>
          <w:color w:val="auto"/>
          <w:kern w:val="44"/>
          <w:sz w:val="36"/>
          <w:szCs w:val="28"/>
          <w:highlight w:val="none"/>
        </w:rPr>
        <w:br w:type="page"/>
      </w:r>
      <w:r>
        <w:rPr>
          <w:rFonts w:hint="eastAsia" w:ascii="宋体" w:hAnsi="宋体" w:eastAsia="宋体" w:cs="宋体"/>
          <w:b/>
          <w:bCs/>
          <w:color w:val="auto"/>
          <w:kern w:val="44"/>
          <w:sz w:val="36"/>
          <w:szCs w:val="28"/>
          <w:highlight w:val="none"/>
        </w:rPr>
        <w:t>附件2</w:t>
      </w:r>
      <w:bookmarkStart w:id="285" w:name="OLE_LINK74"/>
      <w:bookmarkStart w:id="286" w:name="OLE_LINK75"/>
      <w:r>
        <w:rPr>
          <w:rFonts w:hint="eastAsia" w:ascii="宋体" w:hAnsi="宋体" w:eastAsia="宋体" w:cs="宋体"/>
          <w:b/>
          <w:bCs/>
          <w:color w:val="auto"/>
          <w:kern w:val="44"/>
          <w:sz w:val="36"/>
          <w:szCs w:val="28"/>
          <w:highlight w:val="none"/>
        </w:rPr>
        <w:t>“信用中国”查询的严重失信行为</w:t>
      </w:r>
      <w:bookmarkStart w:id="287" w:name="OLE_LINK40"/>
      <w:bookmarkStart w:id="288" w:name="OLE_LINK39"/>
      <w:bookmarkStart w:id="289" w:name="OLE_LINK38"/>
      <w:bookmarkStart w:id="290" w:name="OLE_LINK76"/>
      <w:r>
        <w:rPr>
          <w:rFonts w:hint="eastAsia" w:ascii="宋体" w:hAnsi="宋体" w:eastAsia="宋体" w:cs="宋体"/>
          <w:b/>
          <w:bCs/>
          <w:color w:val="auto"/>
          <w:kern w:val="44"/>
          <w:sz w:val="36"/>
          <w:szCs w:val="28"/>
          <w:highlight w:val="none"/>
        </w:rPr>
        <w:t>类别及判定依据</w:t>
      </w:r>
      <w:bookmarkEnd w:id="281"/>
      <w:bookmarkEnd w:id="285"/>
      <w:bookmarkEnd w:id="286"/>
      <w:bookmarkEnd w:id="287"/>
      <w:bookmarkEnd w:id="288"/>
      <w:bookmarkEnd w:id="289"/>
      <w:bookmarkEnd w:id="290"/>
    </w:p>
    <w:bookmarkEnd w:id="282"/>
    <w:bookmarkEnd w:id="283"/>
    <w:bookmarkEnd w:id="284"/>
    <w:p w14:paraId="7A91F413">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28"/>
          <w:szCs w:val="28"/>
          <w:highlight w:val="none"/>
        </w:rPr>
        <w:t>信用中国”查询的严重失信行为判定依据为各行业主管部门下发的联合惩戒文件中规定的行为。下面将部分类别的严重失信行为列举如下：</w:t>
      </w:r>
    </w:p>
    <w:p w14:paraId="5E0B8E08">
      <w:pPr>
        <w:adjustRightInd w:val="0"/>
        <w:snapToGrid w:val="0"/>
        <w:spacing w:line="560" w:lineRule="exact"/>
        <w:ind w:firstLine="645"/>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一、安全生产领域严重失信行为：</w:t>
      </w:r>
    </w:p>
    <w:p w14:paraId="18A92E70">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（一）下列发生生产安全事故的生产经营单位及其有关人员应当列入严重失信主体名单：</w:t>
      </w:r>
    </w:p>
    <w:p w14:paraId="389993EF">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1、发生特别重大、重大生产安全事故的生产经营单位及其主要负责人，以及经调查认定对该事故发生负有责任，应当列入名单的其他单位和人员；</w:t>
      </w:r>
    </w:p>
    <w:p w14:paraId="709A7751">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2、12个月内累计发生2起以上较大生产安全事故的生产经营单位及其主要负责人；</w:t>
      </w:r>
    </w:p>
    <w:p w14:paraId="13B77209">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3267CDA6">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4、瞒报、谎报生产安全事故的生产经营单位及其有关责任人员；</w:t>
      </w:r>
    </w:p>
    <w:p w14:paraId="51E03E15">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5、发生生产安全事故后，不立即组织抢救或者在事故调查处理期间擅离职守或者逃匿的生产经营单位主要负责人。</w:t>
      </w:r>
    </w:p>
    <w:p w14:paraId="2FBC8890">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（二）下列未发生生产安全事故，但因安全生产违法行为，受到行政处罚的生产经营单位或者机构及其有关人员，应当列入严重失信主体名单：</w:t>
      </w:r>
    </w:p>
    <w:p w14:paraId="1031181F">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1、未依法取得安全生产相关许可或者许可被暂扣、吊销期间从事相关生产经营活动的生产经营单位及其主要负责人；</w:t>
      </w:r>
    </w:p>
    <w:p w14:paraId="576B50C0">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2、承担安全评价、认证、检测、检验职责的机构及其直接责任人员租借资质、挂靠、出具虚假报告或者证书的；</w:t>
      </w:r>
    </w:p>
    <w:p w14:paraId="3B44C3B6">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3、在应急管理部门作出行政处罚后，有执行能力拒不执行或者逃避执行的生产经营单位及其主要负责人；</w:t>
      </w:r>
    </w:p>
    <w:p w14:paraId="66811EB3">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4、其他违反安全生产法律法规受到行政处罚，且性质恶劣、情节严重的。</w:t>
      </w:r>
    </w:p>
    <w:p w14:paraId="61D4F464">
      <w:pPr>
        <w:adjustRightInd w:val="0"/>
        <w:snapToGrid w:val="0"/>
        <w:spacing w:line="560" w:lineRule="exact"/>
        <w:ind w:firstLine="645"/>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依据：《安全生产严重失信主体名单管理办法》（2023年8月8日应急管理部令第11号）</w:t>
      </w:r>
    </w:p>
    <w:p w14:paraId="686DCCE0">
      <w:pPr>
        <w:adjustRightInd w:val="0"/>
        <w:snapToGrid w:val="0"/>
        <w:spacing w:line="560" w:lineRule="exact"/>
        <w:ind w:firstLine="645"/>
        <w:jc w:val="left"/>
        <w:rPr>
          <w:rFonts w:hint="eastAsia" w:ascii="宋体" w:hAnsi="宋体" w:eastAsia="宋体" w:cs="宋体"/>
          <w:b/>
          <w:color w:val="auto"/>
          <w:sz w:val="28"/>
          <w:szCs w:val="28"/>
          <w:highlight w:val="none"/>
        </w:rPr>
      </w:pPr>
    </w:p>
    <w:p w14:paraId="684322F2">
      <w:pPr>
        <w:adjustRightInd w:val="0"/>
        <w:snapToGrid w:val="0"/>
        <w:spacing w:line="560" w:lineRule="exact"/>
        <w:ind w:firstLine="645"/>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二、环境保护领域严重失信行为：</w:t>
      </w:r>
    </w:p>
    <w:p w14:paraId="60812FD2">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（一）因为环境违法构成</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"https://baike.sogou.com/m/fullLemma?lid=10403954&amp;g_ut=3" \t "https://baike.sogou.com/m/_blank"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环境犯罪</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的；</w:t>
      </w:r>
    </w:p>
    <w:p w14:paraId="37D78C3F">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"https://baike.sogou.com/m/fullLemma?lid=76033123&amp;g_ut=3" \t "https://baike.sogou.com/m/_blank"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建设项目环境影响评价</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文件未按规定通过审批，擅自开工建设的；</w:t>
      </w:r>
    </w:p>
    <w:p w14:paraId="2D165AC5">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（三）建设项目环保设施未建成、环保措施未落实、未通过</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"https://baike.sogou.com/m/fullLemma?lid=6470550&amp;g_ut=3" \t "https://baike.sogou.com/m/_blank"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竣工环保验收</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或者验收不合格，主体工程正式投入生产或者使用的；</w:t>
      </w:r>
    </w:p>
    <w:p w14:paraId="22F1CF6B">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（四）建设项目性质、规模、地点、采用的生产工艺或者防治污染、防止生态破坏的措施发生重大变动，未重新报批环境影响评价文件，擅自投入生产或者使用的；</w:t>
      </w:r>
    </w:p>
    <w:p w14:paraId="54033F1D">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（五）主要污染物排放总量超过控制指标的；</w:t>
      </w:r>
    </w:p>
    <w:p w14:paraId="39E59E6E">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（六）私设暗管或者利用</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"https://baike.sogou.com/m/fullLemma?lid=41657319&amp;g_ut=3" \t "https://baike.sogou.com/m/_blank"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渗井</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、渗坑、裂隙、溶洞等排放、倾倒、处置水污染物，或者通过私设旁路排放</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"https://baike.sogou.com/m/fullLemma?lid=7758328&amp;g_ut=3" \t "https://baike.sogou.com/m/_blank"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大气污染物</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的；</w:t>
      </w:r>
    </w:p>
    <w:p w14:paraId="5DF4552C">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（七）非法排放、倾倒、处置危险废物，或者向无</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"https://baike.sogou.com/m/fullLemma?lid=5923292&amp;g_ut=3" \t "https://baike.sogou.com/m/_blank"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经营许可证</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或者超出经营许可范围的单位或个人提供或者委托其收集、贮存、利用、处置危险废物的；</w:t>
      </w:r>
    </w:p>
    <w:p w14:paraId="6CB4CDD0">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"https://baike.sogou.com/m/fullLemma?lid=167759803&amp;g_ut=3" \t "https://baike.sogou.com/m/_blank"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环境违法行为</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造成集中式生活饮用水水源取水中断的；</w:t>
      </w:r>
    </w:p>
    <w:p w14:paraId="090CE9C7">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（九）环境违法行为对生活饮用水水源保护区、自然保护区、</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"https://baike.sogou.com/m/fullLemma?lid=155199213&amp;g_ut=3" \t "https://baike.sogou.com/m/_blank"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国家重点生态功能区</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、风景名胜区、居住功能区、</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"https://baike.sogou.com/m/fullLemma?lid=7757164&amp;g_ut=3" \t "https://baike.sogou.com/m/_blank"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基本农田保护区</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等环境敏感区造成重大不利影响的；</w:t>
      </w:r>
    </w:p>
    <w:p w14:paraId="43A70C77">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（十）违法从事自然资源开发、交通基础设施建设，以及其他开发建设活动，造成严重生态破坏的；</w:t>
      </w:r>
    </w:p>
    <w:p w14:paraId="694C1D45">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（十一）发生较大及以上突发环境事件的；</w:t>
      </w:r>
    </w:p>
    <w:p w14:paraId="79AFC6F5">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（十二）被环保部门挂牌督办，整改逾期未完成的；</w:t>
      </w:r>
    </w:p>
    <w:p w14:paraId="40A37335">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（十三）以暴力、威胁等方式拒绝、阻挠环保部门工作人员现场检查的；</w:t>
      </w:r>
    </w:p>
    <w:p w14:paraId="6671C235">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（十四）违反重污染天气应急预案有关规定，对重污染天气响应不力的。</w:t>
      </w:r>
    </w:p>
    <w:p w14:paraId="7ADA8ECE">
      <w:pPr>
        <w:adjustRightInd w:val="0"/>
        <w:snapToGrid w:val="0"/>
        <w:spacing w:line="560" w:lineRule="exact"/>
        <w:ind w:firstLine="645"/>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依据：《</w:t>
      </w:r>
      <w:bookmarkStart w:id="291" w:name="OLE_LINK9"/>
      <w:bookmarkStart w:id="292" w:name="OLE_LINK10"/>
      <w:bookmarkStart w:id="293" w:name="OLE_LINK8"/>
      <w:r>
        <w:rPr>
          <w:rFonts w:hint="eastAsia" w:ascii="宋体" w:hAnsi="宋体" w:eastAsia="宋体" w:cs="宋体"/>
          <w:b/>
          <w:color w:val="auto"/>
          <w:sz w:val="28"/>
          <w:szCs w:val="28"/>
          <w:highlight w:val="none"/>
        </w:rPr>
        <w:t>关于对环境保护领域失信生产经营单位及其有关人员开展联合惩戒的合作备忘录</w:t>
      </w:r>
      <w:bookmarkEnd w:id="291"/>
      <w:bookmarkEnd w:id="292"/>
      <w:bookmarkEnd w:id="293"/>
      <w:r>
        <w:rPr>
          <w:rFonts w:hint="eastAsia" w:ascii="宋体" w:hAnsi="宋体" w:eastAsia="宋体" w:cs="宋体"/>
          <w:b/>
          <w:color w:val="auto"/>
          <w:sz w:val="28"/>
          <w:szCs w:val="28"/>
          <w:highlight w:val="none"/>
        </w:rPr>
        <w:t>》、《</w:t>
      </w:r>
      <w:bookmarkStart w:id="294" w:name="OLE_LINK12"/>
      <w:bookmarkStart w:id="295" w:name="OLE_LINK11"/>
      <w:r>
        <w:rPr>
          <w:rFonts w:hint="eastAsia" w:ascii="宋体" w:hAnsi="宋体" w:eastAsia="宋体" w:cs="宋体"/>
          <w:b/>
          <w:color w:val="auto"/>
          <w:sz w:val="28"/>
          <w:szCs w:val="28"/>
          <w:highlight w:val="none"/>
        </w:rPr>
        <w:t>企业环境信用评价办法（试行）</w:t>
      </w:r>
      <w:bookmarkEnd w:id="294"/>
      <w:bookmarkEnd w:id="295"/>
      <w:r>
        <w:rPr>
          <w:rFonts w:hint="eastAsia" w:ascii="宋体" w:hAnsi="宋体" w:eastAsia="宋体" w:cs="宋体"/>
          <w:b/>
          <w:color w:val="auto"/>
          <w:sz w:val="28"/>
          <w:szCs w:val="28"/>
          <w:highlight w:val="none"/>
        </w:rPr>
        <w:t>》（环发〔2013〕150号）</w:t>
      </w:r>
    </w:p>
    <w:p w14:paraId="5CF28E32">
      <w:pPr>
        <w:adjustRightInd w:val="0"/>
        <w:snapToGrid w:val="0"/>
        <w:spacing w:line="560" w:lineRule="exact"/>
        <w:ind w:firstLine="645"/>
        <w:jc w:val="left"/>
        <w:rPr>
          <w:rFonts w:hint="eastAsia" w:ascii="宋体" w:hAnsi="宋体" w:eastAsia="宋体" w:cs="宋体"/>
          <w:b/>
          <w:color w:val="auto"/>
          <w:sz w:val="28"/>
          <w:szCs w:val="28"/>
          <w:highlight w:val="none"/>
        </w:rPr>
      </w:pPr>
    </w:p>
    <w:p w14:paraId="1EAB9396">
      <w:pPr>
        <w:adjustRightInd w:val="0"/>
        <w:snapToGrid w:val="0"/>
        <w:spacing w:line="560" w:lineRule="exact"/>
        <w:ind w:firstLine="645"/>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eastAsia="宋体" w:cs="宋体"/>
          <w:b/>
          <w:bCs/>
          <w:color w:val="auto"/>
          <w:sz w:val="28"/>
          <w:szCs w:val="28"/>
          <w:highlight w:val="none"/>
        </w:rPr>
        <w:t>公共资源交易领域严重失信行为</w:t>
      </w:r>
    </w:p>
    <w:p w14:paraId="1024A0A2">
      <w:pPr>
        <w:adjustRightInd w:val="0"/>
        <w:snapToGrid w:val="0"/>
        <w:spacing w:line="560" w:lineRule="exact"/>
        <w:ind w:firstLine="645"/>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（一）违反法律规定，必须进行招标的项目而不招标的，将必须进行招标的项目化整为零或者以其他任何方式规避招标的；</w:t>
      </w:r>
    </w:p>
    <w:p w14:paraId="64427498">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（二）招标代理机构违反法律规定，泄露应当保密的与招标投标活动有关的情况和资料的，或者与招标人、投标人串通损害国家利益、社会公共利益或者他人合法权益的；</w:t>
      </w:r>
    </w:p>
    <w:p w14:paraId="6C055237">
      <w:pPr>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（三）招标人以不合理的条件限制或者排斥潜在投标人的，对潜在投标人实行歧视待遇的，强制要求投标人组成联合体共同投标的，或者限制投标人之间竞争的；</w:t>
      </w:r>
    </w:p>
    <w:p w14:paraId="4550614F">
      <w:pPr>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（四）依法必须进行招标的项目的招标人向他人透露已获取招标文件的潜在投标人的名称、数量或者可能影响公平竞争的有关招标投标的其他情况的，或者泄露标底的；</w:t>
      </w:r>
    </w:p>
    <w:p w14:paraId="3FA855CC">
      <w:pPr>
        <w:adjustRightInd w:val="0"/>
        <w:snapToGrid w:val="0"/>
        <w:spacing w:line="560" w:lineRule="exact"/>
        <w:ind w:firstLine="560" w:firstLineChars="20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（五）投标人相互串通投标或者与招标人串通投标的，投标人以向招标人或者评标委员会成员行贿的手段谋取中标的；</w:t>
      </w:r>
    </w:p>
    <w:p w14:paraId="30791E25">
      <w:pPr>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（六）投标人以他人名义投标或者以其他方式弄虚作假，骗取中标的；</w:t>
      </w:r>
    </w:p>
    <w:p w14:paraId="201716AC">
      <w:pPr>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（七）依法必须进行招标的项目，招标人违反法律规定，与投标人就投标价格、投标方案等实质性内容进行谈判的；</w:t>
      </w:r>
    </w:p>
    <w:p w14:paraId="75977C9C">
      <w:pPr>
        <w:adjustRightInd w:val="0"/>
        <w:snapToGrid w:val="0"/>
        <w:spacing w:line="560" w:lineRule="exact"/>
        <w:ind w:firstLine="645"/>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（八）评标委员会成员收受投标人的财物或者其他好处的，评标委员会成员或者参加评标的有关工作人员向他人透露对投标文件的评审和比较、中标候选人的推荐以及与评标有关的其他情况的；</w:t>
      </w:r>
    </w:p>
    <w:p w14:paraId="02AD0AC3">
      <w:pPr>
        <w:adjustRightInd w:val="0"/>
        <w:snapToGrid w:val="0"/>
        <w:spacing w:line="560" w:lineRule="exact"/>
        <w:ind w:firstLine="645"/>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（九）招标人在评标委员会依法推荐的中标候选人以外确定中标人的，依法必须进行招标的项目在所有投标被评标委员会否决后自行确定中标人的；</w:t>
      </w:r>
    </w:p>
    <w:p w14:paraId="175C6DB4">
      <w:pPr>
        <w:adjustRightInd w:val="0"/>
        <w:snapToGrid w:val="0"/>
        <w:spacing w:line="560" w:lineRule="exact"/>
        <w:ind w:firstLine="645"/>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（十）中标人将中标项目转让给他人的，将中标项目肢解后分别转让给他人的，违反法律规定将中标项目的部分主体、关键性工作分包给他人的，或者分包人再次分包的；</w:t>
      </w:r>
    </w:p>
    <w:p w14:paraId="191110D2">
      <w:pPr>
        <w:adjustRightInd w:val="0"/>
        <w:snapToGrid w:val="0"/>
        <w:spacing w:line="560" w:lineRule="exact"/>
        <w:ind w:firstLine="645"/>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（十一）招标人与中标人不按照招标文件和中标人的投标文件订立合同的，或者招标人、中标人订立背离合同实质性内容的协议的；</w:t>
      </w:r>
    </w:p>
    <w:p w14:paraId="6A02DF28">
      <w:pPr>
        <w:adjustRightInd w:val="0"/>
        <w:snapToGrid w:val="0"/>
        <w:spacing w:line="560" w:lineRule="exact"/>
        <w:ind w:firstLine="645"/>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（十二）中标人不按照与招标人订立的合同履行义务，情节严重的；</w:t>
      </w:r>
    </w:p>
    <w:p w14:paraId="0EA3AC06">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6C5E5D4C">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7DBB9E2C">
      <w:pPr>
        <w:adjustRightInd w:val="0"/>
        <w:snapToGrid w:val="0"/>
        <w:spacing w:line="560" w:lineRule="exact"/>
        <w:ind w:firstLine="645"/>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（十五）采购人对应当实行集中采购的政府采购项目，不委托集中采购机构实行集中采购的；</w:t>
      </w:r>
    </w:p>
    <w:p w14:paraId="7BF7BB24">
      <w:pPr>
        <w:adjustRightInd w:val="0"/>
        <w:snapToGrid w:val="0"/>
        <w:spacing w:line="560" w:lineRule="exact"/>
        <w:ind w:firstLine="645"/>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（十六）采购人、采购代理机构违反法律规定隐匿、销毁应当保存的采购文件或者伪造、变造采购文件的；</w:t>
      </w:r>
    </w:p>
    <w:p w14:paraId="3261FD4E">
      <w:pPr>
        <w:adjustRightInd w:val="0"/>
        <w:snapToGrid w:val="0"/>
        <w:spacing w:line="560" w:lineRule="exact"/>
        <w:ind w:firstLine="645"/>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w:t>
      </w:r>
    </w:p>
    <w:p w14:paraId="2D5B9AA7">
      <w:pPr>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（十八）疫苗生产企业向县级疾病预防控制机构以外的单位或者个人销售第二类疫苗的；</w:t>
      </w:r>
    </w:p>
    <w:p w14:paraId="3158E3ED">
      <w:pPr>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（十九）存在其他违反公共资源交易法律法规行为的。</w:t>
      </w:r>
    </w:p>
    <w:p w14:paraId="69F8EAA8">
      <w:pPr>
        <w:adjustRightInd w:val="0"/>
        <w:snapToGrid w:val="0"/>
        <w:spacing w:line="560" w:lineRule="exact"/>
        <w:ind w:firstLine="894" w:firstLineChars="318"/>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依据：《</w:t>
      </w:r>
      <w:bookmarkStart w:id="296" w:name="OLE_LINK13"/>
      <w:bookmarkStart w:id="297" w:name="OLE_LINK14"/>
      <w:r>
        <w:rPr>
          <w:rFonts w:hint="eastAsia" w:ascii="宋体" w:hAnsi="宋体" w:eastAsia="宋体" w:cs="宋体"/>
          <w:b/>
          <w:color w:val="auto"/>
          <w:sz w:val="28"/>
          <w:szCs w:val="28"/>
          <w:highlight w:val="none"/>
        </w:rPr>
        <w:t>关于对公共资源交易领域严重失信主体开展联合惩戒的备忘录</w:t>
      </w:r>
      <w:bookmarkEnd w:id="296"/>
      <w:bookmarkEnd w:id="297"/>
      <w:r>
        <w:rPr>
          <w:rFonts w:hint="eastAsia" w:ascii="宋体" w:hAnsi="宋体" w:eastAsia="宋体" w:cs="宋体"/>
          <w:b/>
          <w:color w:val="auto"/>
          <w:sz w:val="28"/>
          <w:szCs w:val="28"/>
          <w:highlight w:val="none"/>
        </w:rPr>
        <w:t>》（发改法规〔2018〕457号）</w:t>
      </w:r>
    </w:p>
    <w:p w14:paraId="00CECBE7">
      <w:pPr>
        <w:adjustRightInd w:val="0"/>
        <w:snapToGrid w:val="0"/>
        <w:spacing w:line="560" w:lineRule="exact"/>
        <w:ind w:firstLine="645"/>
        <w:jc w:val="left"/>
        <w:rPr>
          <w:rFonts w:hint="eastAsia" w:ascii="宋体" w:hAnsi="宋体" w:eastAsia="宋体" w:cs="宋体"/>
          <w:color w:val="auto"/>
          <w:sz w:val="28"/>
          <w:szCs w:val="28"/>
          <w:highlight w:val="none"/>
        </w:rPr>
      </w:pPr>
    </w:p>
    <w:p w14:paraId="61402494">
      <w:pPr>
        <w:adjustRightInd w:val="0"/>
        <w:snapToGrid w:val="0"/>
        <w:spacing w:line="560" w:lineRule="exact"/>
        <w:ind w:firstLine="645"/>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四、</w:t>
      </w:r>
      <w:r>
        <w:rPr>
          <w:rFonts w:hint="eastAsia" w:ascii="宋体" w:hAnsi="宋体" w:eastAsia="宋体" w:cs="宋体"/>
          <w:b/>
          <w:bCs/>
          <w:color w:val="auto"/>
          <w:sz w:val="28"/>
          <w:szCs w:val="28"/>
          <w:highlight w:val="none"/>
        </w:rPr>
        <w:t>社会保险领域严重失信行为</w:t>
      </w:r>
    </w:p>
    <w:p w14:paraId="6DE9E48F">
      <w:pPr>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（一）用人单位未按相关规定参加社会保险且拒不整改的；</w:t>
      </w:r>
    </w:p>
    <w:p w14:paraId="58497E59">
      <w:pPr>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（二）用人单位未如实申报社会保险缴费基数且拒不整改的；</w:t>
      </w:r>
    </w:p>
    <w:p w14:paraId="49500323">
      <w:pPr>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（三）应缴纳社会保险费却拒不缴纳的；</w:t>
      </w:r>
    </w:p>
    <w:p w14:paraId="0747F868">
      <w:pPr>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（四）隐匿、转移、侵占、挪用社会保险费款、基金或者违规投资运营的；</w:t>
      </w:r>
    </w:p>
    <w:p w14:paraId="13110F38">
      <w:pPr>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（五）以欺诈、伪造证明材料或者其他手段参加、申报社会保险和骗取社会保险基金支出或社会保险待遇的；</w:t>
      </w:r>
    </w:p>
    <w:p w14:paraId="58762163">
      <w:pPr>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（六）非法获取、出售或变相交易社会保险个人权益数据的；</w:t>
      </w:r>
    </w:p>
    <w:p w14:paraId="1FDD80B4">
      <w:pPr>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（七）社会保险服务机构违反服务协议或相关规定的；</w:t>
      </w:r>
    </w:p>
    <w:p w14:paraId="11CDE8BD">
      <w:pPr>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（八）拒绝协助社会保险行政部门、经办机构对事故和问题进行调查核实的；拒绝接受或协助税务部门对社会保险实施监督检查，不如实提供与社会保险相关各项资料的；</w:t>
      </w:r>
    </w:p>
    <w:p w14:paraId="778E01E4">
      <w:pPr>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（九）其他违反法律法规规定的。</w:t>
      </w:r>
    </w:p>
    <w:p w14:paraId="7A678442">
      <w:pPr>
        <w:adjustRightInd w:val="0"/>
        <w:snapToGrid w:val="0"/>
        <w:spacing w:line="560" w:lineRule="exact"/>
        <w:ind w:firstLine="551" w:firstLineChars="196"/>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依据：《</w:t>
      </w:r>
      <w:bookmarkStart w:id="298" w:name="OLE_LINK15"/>
      <w:bookmarkStart w:id="299" w:name="OLE_LINK16"/>
      <w:r>
        <w:rPr>
          <w:rFonts w:hint="eastAsia" w:ascii="宋体" w:hAnsi="宋体" w:eastAsia="宋体" w:cs="宋体"/>
          <w:b/>
          <w:color w:val="auto"/>
          <w:sz w:val="28"/>
          <w:szCs w:val="28"/>
          <w:highlight w:val="none"/>
        </w:rPr>
        <w:t>关于对社会保险领域严重失信企业及其有关人员实施联合惩戒的合作备忘录</w:t>
      </w:r>
      <w:bookmarkEnd w:id="298"/>
      <w:bookmarkEnd w:id="299"/>
      <w:r>
        <w:rPr>
          <w:rFonts w:hint="eastAsia" w:ascii="宋体" w:hAnsi="宋体" w:eastAsia="宋体" w:cs="宋体"/>
          <w:b/>
          <w:color w:val="auto"/>
          <w:sz w:val="28"/>
          <w:szCs w:val="28"/>
          <w:highlight w:val="none"/>
        </w:rPr>
        <w:t>》（发改财金〔2018〕1704号）</w:t>
      </w:r>
    </w:p>
    <w:p w14:paraId="053FE111">
      <w:pPr>
        <w:adjustRightInd w:val="0"/>
        <w:snapToGrid w:val="0"/>
        <w:spacing w:line="560" w:lineRule="exact"/>
        <w:jc w:val="left"/>
        <w:rPr>
          <w:rFonts w:hint="eastAsia" w:ascii="宋体" w:hAnsi="宋体" w:eastAsia="宋体" w:cs="宋体"/>
          <w:color w:val="auto"/>
          <w:sz w:val="28"/>
          <w:szCs w:val="28"/>
          <w:highlight w:val="none"/>
          <w:lang w:eastAsia="zh-CN"/>
        </w:rPr>
      </w:pPr>
    </w:p>
    <w:p w14:paraId="0707285E">
      <w:pPr>
        <w:adjustRightInd w:val="0"/>
        <w:snapToGrid w:val="0"/>
        <w:spacing w:line="560" w:lineRule="exact"/>
        <w:ind w:firstLine="562" w:firstLineChars="200"/>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五、建筑市场领域</w:t>
      </w:r>
      <w:r>
        <w:rPr>
          <w:rFonts w:hint="eastAsia" w:ascii="宋体" w:hAnsi="宋体" w:eastAsia="宋体" w:cs="宋体"/>
          <w:b/>
          <w:bCs/>
          <w:color w:val="auto"/>
          <w:sz w:val="28"/>
          <w:szCs w:val="28"/>
          <w:highlight w:val="none"/>
        </w:rPr>
        <w:t>严重失信行为</w:t>
      </w:r>
    </w:p>
    <w:p w14:paraId="022F0950">
      <w:pPr>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（一）利用虚假材料、以欺骗手段取得企业资质的；</w:t>
      </w:r>
    </w:p>
    <w:p w14:paraId="0310A88D">
      <w:pPr>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（二）发生转包、出借资质，受到行政处罚的；</w:t>
      </w:r>
    </w:p>
    <w:p w14:paraId="704720CD">
      <w:pPr>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53776F7B">
      <w:pPr>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（四）经法院判决或仲裁机构裁决，认定为拖欠工程款,且拒不履行生效法律文书确定的义务的。</w:t>
      </w:r>
    </w:p>
    <w:p w14:paraId="4AA19464">
      <w:pPr>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766F2E07">
      <w:pPr>
        <w:ind w:firstLine="562" w:firstLineChars="200"/>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依据：《</w:t>
      </w:r>
      <w:bookmarkStart w:id="300" w:name="OLE_LINK18"/>
      <w:bookmarkStart w:id="301" w:name="OLE_LINK17"/>
      <w:r>
        <w:rPr>
          <w:rFonts w:hint="eastAsia" w:ascii="宋体" w:hAnsi="宋体" w:eastAsia="宋体" w:cs="宋体"/>
          <w:b/>
          <w:color w:val="auto"/>
          <w:sz w:val="28"/>
          <w:szCs w:val="28"/>
          <w:highlight w:val="none"/>
        </w:rPr>
        <w:t>建筑市场信用管理暂行办法</w:t>
      </w:r>
      <w:bookmarkEnd w:id="300"/>
      <w:bookmarkEnd w:id="301"/>
      <w:r>
        <w:rPr>
          <w:rFonts w:hint="eastAsia" w:ascii="宋体" w:hAnsi="宋体" w:eastAsia="宋体" w:cs="宋体"/>
          <w:b/>
          <w:color w:val="auto"/>
          <w:sz w:val="28"/>
          <w:szCs w:val="28"/>
          <w:highlight w:val="none"/>
        </w:rPr>
        <w:t>》（建市〔2017〕241号）</w:t>
      </w:r>
    </w:p>
    <w:p w14:paraId="754EC6A7">
      <w:pPr>
        <w:adjustRightInd w:val="0"/>
        <w:snapToGrid w:val="0"/>
        <w:spacing w:line="560" w:lineRule="exact"/>
        <w:rPr>
          <w:rFonts w:hint="eastAsia" w:ascii="宋体" w:hAnsi="宋体" w:eastAsia="宋体" w:cs="宋体"/>
          <w:b/>
          <w:color w:val="auto"/>
          <w:sz w:val="28"/>
          <w:szCs w:val="28"/>
          <w:highlight w:val="none"/>
        </w:rPr>
      </w:pPr>
    </w:p>
    <w:p w14:paraId="27B14BC7">
      <w:pPr>
        <w:adjustRightInd w:val="0"/>
        <w:snapToGrid w:val="0"/>
        <w:spacing w:line="5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w:t>
      </w:r>
      <w:bookmarkStart w:id="302" w:name="OLE_LINK20"/>
      <w:bookmarkStart w:id="303" w:name="OLE_LINK19"/>
      <w:r>
        <w:rPr>
          <w:rFonts w:hint="eastAsia" w:ascii="宋体" w:hAnsi="宋体" w:eastAsia="宋体" w:cs="宋体"/>
          <w:b/>
          <w:color w:val="auto"/>
          <w:sz w:val="28"/>
          <w:szCs w:val="28"/>
          <w:highlight w:val="none"/>
        </w:rPr>
        <w:t>政府采购严重失信行为</w:t>
      </w:r>
      <w:bookmarkEnd w:id="302"/>
      <w:bookmarkEnd w:id="303"/>
    </w:p>
    <w:p w14:paraId="5B8B9F78">
      <w:pPr>
        <w:adjustRightInd w:val="0"/>
        <w:snapToGrid w:val="0"/>
        <w:spacing w:line="560" w:lineRule="exact"/>
        <w:ind w:firstLine="61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供应商、采购代理机构在三年内受到财政部门作出下列情形之一的行政处罚，列入政府采购严重违法失信行为记录名单。</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（一）三万元以上罚款；</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（二）在一至三年内禁止参加政府采购活动（处罚期限届满的除外）；</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（三）在一至三年内禁止代理政府采购业务（处罚期限届满的除外）；</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（四）撤销政府采购代理机构资格（仅针对《政府采购法》第78条修改前作出的处罚决定）。</w:t>
      </w:r>
    </w:p>
    <w:p w14:paraId="30FF54F9">
      <w:pPr>
        <w:adjustRightInd w:val="0"/>
        <w:snapToGrid w:val="0"/>
        <w:spacing w:line="560" w:lineRule="exact"/>
        <w:ind w:firstLine="562" w:firstLineChars="20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依据：《关于报送政府采购严重违法失信行为信息记录的通知》（财办库〔2014〕526号）</w:t>
      </w:r>
    </w:p>
    <w:p w14:paraId="1C575481">
      <w:pPr>
        <w:adjustRightInd w:val="0"/>
        <w:snapToGrid w:val="0"/>
        <w:spacing w:line="560" w:lineRule="exact"/>
        <w:rPr>
          <w:rFonts w:hint="eastAsia" w:ascii="宋体" w:hAnsi="宋体" w:eastAsia="宋体" w:cs="宋体"/>
          <w:b/>
          <w:color w:val="auto"/>
          <w:sz w:val="28"/>
          <w:szCs w:val="28"/>
          <w:highlight w:val="none"/>
        </w:rPr>
      </w:pPr>
    </w:p>
    <w:p w14:paraId="059E96FA">
      <w:pPr>
        <w:spacing w:line="360" w:lineRule="auto"/>
        <w:ind w:firstLine="435"/>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rPr>
        <w:t>未列出的其他类别严重失信行为，由招标人（代理机构）根据各类别行业主管部门下发的联合惩戒文件进行判</w:t>
      </w:r>
      <w:r>
        <w:rPr>
          <w:rFonts w:hint="eastAsia" w:ascii="宋体" w:hAnsi="宋体" w:eastAsia="宋体" w:cs="宋体"/>
          <w:b/>
          <w:color w:val="auto"/>
          <w:sz w:val="32"/>
          <w:szCs w:val="32"/>
          <w:highlight w:val="none"/>
        </w:rPr>
        <w:t>断。</w:t>
      </w:r>
    </w:p>
    <w:p w14:paraId="3BF1EDC8">
      <w:pPr>
        <w:pStyle w:val="4"/>
        <w:rPr>
          <w:color w:val="auto"/>
          <w:highlight w:val="none"/>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onospace">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8240E">
    <w:pPr>
      <w:pStyle w:val="16"/>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30447">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262AB">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1C262AB">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DA69">
    <w:pPr>
      <w:pStyle w:val="17"/>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服务类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1E58A">
    <w:pPr>
      <w:pStyle w:val="17"/>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214602E"/>
    <w:rsid w:val="03486B27"/>
    <w:rsid w:val="040A094E"/>
    <w:rsid w:val="04E36C96"/>
    <w:rsid w:val="056800F4"/>
    <w:rsid w:val="056F201D"/>
    <w:rsid w:val="05B664D4"/>
    <w:rsid w:val="06220667"/>
    <w:rsid w:val="07076C01"/>
    <w:rsid w:val="071C12AC"/>
    <w:rsid w:val="074E231E"/>
    <w:rsid w:val="07A934B3"/>
    <w:rsid w:val="08B15E54"/>
    <w:rsid w:val="0980799C"/>
    <w:rsid w:val="0A0F6376"/>
    <w:rsid w:val="0A1F29A5"/>
    <w:rsid w:val="0A353CEA"/>
    <w:rsid w:val="0A6A18DB"/>
    <w:rsid w:val="0AEF3828"/>
    <w:rsid w:val="0BBB665B"/>
    <w:rsid w:val="0CB7664E"/>
    <w:rsid w:val="0E816EC5"/>
    <w:rsid w:val="0EEA6FC1"/>
    <w:rsid w:val="0F4277C2"/>
    <w:rsid w:val="0F954485"/>
    <w:rsid w:val="0FBF344F"/>
    <w:rsid w:val="10505F32"/>
    <w:rsid w:val="105A27E6"/>
    <w:rsid w:val="119B0711"/>
    <w:rsid w:val="12197477"/>
    <w:rsid w:val="12F933E5"/>
    <w:rsid w:val="13587E2C"/>
    <w:rsid w:val="14321BC3"/>
    <w:rsid w:val="1466407E"/>
    <w:rsid w:val="14834E28"/>
    <w:rsid w:val="148E7D65"/>
    <w:rsid w:val="151D4243"/>
    <w:rsid w:val="15231BF9"/>
    <w:rsid w:val="15AD29D2"/>
    <w:rsid w:val="16027CCE"/>
    <w:rsid w:val="1629513E"/>
    <w:rsid w:val="179F5278"/>
    <w:rsid w:val="195C4203"/>
    <w:rsid w:val="1A3B68AA"/>
    <w:rsid w:val="1A3E1C1E"/>
    <w:rsid w:val="1C141836"/>
    <w:rsid w:val="1E6B6A14"/>
    <w:rsid w:val="1FC234F7"/>
    <w:rsid w:val="20550D9A"/>
    <w:rsid w:val="21714B53"/>
    <w:rsid w:val="218E2416"/>
    <w:rsid w:val="22573F07"/>
    <w:rsid w:val="226915FE"/>
    <w:rsid w:val="22A807F7"/>
    <w:rsid w:val="22E14C32"/>
    <w:rsid w:val="24B97929"/>
    <w:rsid w:val="24E8430B"/>
    <w:rsid w:val="2520252D"/>
    <w:rsid w:val="258540C1"/>
    <w:rsid w:val="26163BC1"/>
    <w:rsid w:val="262221C3"/>
    <w:rsid w:val="285F40CA"/>
    <w:rsid w:val="28C01ECB"/>
    <w:rsid w:val="28EC3ECC"/>
    <w:rsid w:val="29BF71E3"/>
    <w:rsid w:val="29FC0E24"/>
    <w:rsid w:val="2A127B63"/>
    <w:rsid w:val="2AAA4765"/>
    <w:rsid w:val="2AC21606"/>
    <w:rsid w:val="2AF63C5E"/>
    <w:rsid w:val="2B7E7608"/>
    <w:rsid w:val="2B7F04E9"/>
    <w:rsid w:val="2C305555"/>
    <w:rsid w:val="2C324425"/>
    <w:rsid w:val="2C9A21B9"/>
    <w:rsid w:val="2CE20523"/>
    <w:rsid w:val="2D4726E7"/>
    <w:rsid w:val="2D496D68"/>
    <w:rsid w:val="2E6672CB"/>
    <w:rsid w:val="2E7A48DE"/>
    <w:rsid w:val="2EDC3ED8"/>
    <w:rsid w:val="2F2D046C"/>
    <w:rsid w:val="2F6351B4"/>
    <w:rsid w:val="2FCF199E"/>
    <w:rsid w:val="30483E83"/>
    <w:rsid w:val="30AA0E97"/>
    <w:rsid w:val="334E4CD8"/>
    <w:rsid w:val="343C0775"/>
    <w:rsid w:val="34AA76A9"/>
    <w:rsid w:val="356C50EC"/>
    <w:rsid w:val="361108CD"/>
    <w:rsid w:val="3700166C"/>
    <w:rsid w:val="3727617F"/>
    <w:rsid w:val="375969FE"/>
    <w:rsid w:val="38694EE9"/>
    <w:rsid w:val="393C6E91"/>
    <w:rsid w:val="3AE724D1"/>
    <w:rsid w:val="3B365CC9"/>
    <w:rsid w:val="3B9A7B88"/>
    <w:rsid w:val="3BC114FF"/>
    <w:rsid w:val="3C2660C6"/>
    <w:rsid w:val="3D2C7AC8"/>
    <w:rsid w:val="3D855D12"/>
    <w:rsid w:val="3D8B42FF"/>
    <w:rsid w:val="3D8C02DD"/>
    <w:rsid w:val="3DC20089"/>
    <w:rsid w:val="3DD44846"/>
    <w:rsid w:val="3DF36A6E"/>
    <w:rsid w:val="3F1138E1"/>
    <w:rsid w:val="3F792F1E"/>
    <w:rsid w:val="40824826"/>
    <w:rsid w:val="40E63923"/>
    <w:rsid w:val="4140333C"/>
    <w:rsid w:val="41700A39"/>
    <w:rsid w:val="42545C34"/>
    <w:rsid w:val="42B443F4"/>
    <w:rsid w:val="42F43FD4"/>
    <w:rsid w:val="43A91E5B"/>
    <w:rsid w:val="44330E67"/>
    <w:rsid w:val="445B21D4"/>
    <w:rsid w:val="44BC3308"/>
    <w:rsid w:val="45AB4B14"/>
    <w:rsid w:val="45BA48DB"/>
    <w:rsid w:val="45BE11FB"/>
    <w:rsid w:val="463A3650"/>
    <w:rsid w:val="469F0116"/>
    <w:rsid w:val="475259B7"/>
    <w:rsid w:val="48831CF9"/>
    <w:rsid w:val="49A165B8"/>
    <w:rsid w:val="49B1408D"/>
    <w:rsid w:val="4A7D4FD2"/>
    <w:rsid w:val="4A913C9A"/>
    <w:rsid w:val="4AE22D2F"/>
    <w:rsid w:val="4B1F70AC"/>
    <w:rsid w:val="4B240F94"/>
    <w:rsid w:val="4B386AE5"/>
    <w:rsid w:val="4BA75287"/>
    <w:rsid w:val="4BED70D6"/>
    <w:rsid w:val="4C3C565C"/>
    <w:rsid w:val="4C936C5D"/>
    <w:rsid w:val="4CCC79C7"/>
    <w:rsid w:val="4D7555C7"/>
    <w:rsid w:val="4EA16BC3"/>
    <w:rsid w:val="4EAE6DA0"/>
    <w:rsid w:val="4FD037EF"/>
    <w:rsid w:val="50096F88"/>
    <w:rsid w:val="5016514B"/>
    <w:rsid w:val="502857C7"/>
    <w:rsid w:val="50476D3D"/>
    <w:rsid w:val="50D7696E"/>
    <w:rsid w:val="50F72CFD"/>
    <w:rsid w:val="51CB1C78"/>
    <w:rsid w:val="51FD6A51"/>
    <w:rsid w:val="526B680A"/>
    <w:rsid w:val="52C90BE7"/>
    <w:rsid w:val="53150D15"/>
    <w:rsid w:val="5352083E"/>
    <w:rsid w:val="541A5D30"/>
    <w:rsid w:val="547846DC"/>
    <w:rsid w:val="54F10566"/>
    <w:rsid w:val="54F24195"/>
    <w:rsid w:val="553E632F"/>
    <w:rsid w:val="55F068CD"/>
    <w:rsid w:val="566C3136"/>
    <w:rsid w:val="568A6531"/>
    <w:rsid w:val="568D04F2"/>
    <w:rsid w:val="57244AC3"/>
    <w:rsid w:val="588D6DD7"/>
    <w:rsid w:val="58943156"/>
    <w:rsid w:val="59BC506B"/>
    <w:rsid w:val="5A526582"/>
    <w:rsid w:val="5A5F5C77"/>
    <w:rsid w:val="5A933291"/>
    <w:rsid w:val="5BBE39CD"/>
    <w:rsid w:val="5BC11A60"/>
    <w:rsid w:val="5C7A4D54"/>
    <w:rsid w:val="5CD23B73"/>
    <w:rsid w:val="5F127819"/>
    <w:rsid w:val="5F63752A"/>
    <w:rsid w:val="60F1503F"/>
    <w:rsid w:val="61025188"/>
    <w:rsid w:val="61057D5F"/>
    <w:rsid w:val="614D4977"/>
    <w:rsid w:val="63C60FC0"/>
    <w:rsid w:val="64BA3D7A"/>
    <w:rsid w:val="64F179BC"/>
    <w:rsid w:val="65C94C55"/>
    <w:rsid w:val="665704D3"/>
    <w:rsid w:val="673148E2"/>
    <w:rsid w:val="675445CD"/>
    <w:rsid w:val="67C065A4"/>
    <w:rsid w:val="67D359C9"/>
    <w:rsid w:val="68FE36DD"/>
    <w:rsid w:val="694E60FC"/>
    <w:rsid w:val="69EF4042"/>
    <w:rsid w:val="6C410A63"/>
    <w:rsid w:val="6C675CE6"/>
    <w:rsid w:val="6CEF35AF"/>
    <w:rsid w:val="6D4F4321"/>
    <w:rsid w:val="6DCE74FE"/>
    <w:rsid w:val="6DFF7360"/>
    <w:rsid w:val="6E7A5F73"/>
    <w:rsid w:val="6F2B0C76"/>
    <w:rsid w:val="6F2E3798"/>
    <w:rsid w:val="6FA863B3"/>
    <w:rsid w:val="6FD74228"/>
    <w:rsid w:val="70B33744"/>
    <w:rsid w:val="70FE5EDF"/>
    <w:rsid w:val="71633091"/>
    <w:rsid w:val="73081CA5"/>
    <w:rsid w:val="73483525"/>
    <w:rsid w:val="736F7856"/>
    <w:rsid w:val="74545B7C"/>
    <w:rsid w:val="7487762D"/>
    <w:rsid w:val="75385498"/>
    <w:rsid w:val="769962BD"/>
    <w:rsid w:val="76BC207F"/>
    <w:rsid w:val="76EB4904"/>
    <w:rsid w:val="777378F5"/>
    <w:rsid w:val="777A2D3C"/>
    <w:rsid w:val="778F2AFC"/>
    <w:rsid w:val="78537BEA"/>
    <w:rsid w:val="79074B81"/>
    <w:rsid w:val="794F0939"/>
    <w:rsid w:val="79AF0FCA"/>
    <w:rsid w:val="79EF2560"/>
    <w:rsid w:val="7A307495"/>
    <w:rsid w:val="7AF9279C"/>
    <w:rsid w:val="7BA7602B"/>
    <w:rsid w:val="7CC51958"/>
    <w:rsid w:val="7CCB22B3"/>
    <w:rsid w:val="7CEC40B6"/>
    <w:rsid w:val="7E2936C3"/>
    <w:rsid w:val="7E2E365C"/>
    <w:rsid w:val="7E6411B9"/>
    <w:rsid w:val="7E855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qFormat="1" w:unhideWhenUsed="0" w:uiPriority="39" w:semiHidden="0"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autoRedefine/>
    <w:qFormat/>
    <w:uiPriority w:val="0"/>
    <w:pPr>
      <w:keepNext/>
      <w:keepLines/>
      <w:spacing w:before="280" w:after="290" w:line="376" w:lineRule="auto"/>
      <w:outlineLvl w:val="3"/>
    </w:pPr>
    <w:rPr>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7"/>
    <w:autoRedefine/>
    <w:qFormat/>
    <w:uiPriority w:val="0"/>
    <w:pPr>
      <w:jc w:val="left"/>
    </w:pPr>
    <w:rPr>
      <w:rFonts w:ascii="Arial" w:hAnsi="Arial" w:eastAsia="黑体" w:cs="Arial"/>
    </w:rPr>
  </w:style>
  <w:style w:type="paragraph" w:styleId="8">
    <w:name w:val="Body Text"/>
    <w:basedOn w:val="1"/>
    <w:autoRedefine/>
    <w:qFormat/>
    <w:uiPriority w:val="0"/>
    <w:pPr>
      <w:spacing w:after="120"/>
    </w:pPr>
    <w:rPr>
      <w:rFonts w:ascii="@微软简标宋" w:hAnsi="@微软简标宋" w:eastAsia="@微软简标宋" w:cs="@微软简标宋"/>
      <w:szCs w:val="24"/>
      <w:lang w:val="zh-CN"/>
    </w:rPr>
  </w:style>
  <w:style w:type="paragraph" w:styleId="9">
    <w:name w:val="Body Text Indent"/>
    <w:basedOn w:val="1"/>
    <w:next w:val="10"/>
    <w:unhideWhenUsed/>
    <w:qFormat/>
    <w:uiPriority w:val="0"/>
    <w:pPr>
      <w:spacing w:after="120"/>
      <w:ind w:left="420" w:leftChars="200"/>
    </w:pPr>
    <w:rPr>
      <w:rFonts w:asciiTheme="minorHAnsi" w:hAnsiTheme="minorHAnsi"/>
      <w:szCs w:val="22"/>
    </w:rPr>
  </w:style>
  <w:style w:type="paragraph" w:styleId="10">
    <w:name w:val="envelope return"/>
    <w:basedOn w:val="1"/>
    <w:qFormat/>
    <w:uiPriority w:val="0"/>
    <w:pPr>
      <w:snapToGrid w:val="0"/>
    </w:pPr>
    <w:rPr>
      <w:rFonts w:ascii="Arial" w:hAnsi="Arial"/>
    </w:r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47"/>
    <w:autoRedefine/>
    <w:qFormat/>
    <w:uiPriority w:val="99"/>
    <w:rPr>
      <w:rFonts w:ascii="宋体" w:hAnsi="Courier New" w:eastAsiaTheme="minorEastAsia" w:cstheme="minorBidi"/>
      <w:szCs w:val="22"/>
    </w:rPr>
  </w:style>
  <w:style w:type="paragraph" w:styleId="13">
    <w:name w:val="toc 8"/>
    <w:basedOn w:val="1"/>
    <w:next w:val="1"/>
    <w:qFormat/>
    <w:uiPriority w:val="39"/>
    <w:pPr>
      <w:ind w:left="1470"/>
      <w:jc w:val="left"/>
    </w:pPr>
    <w:rPr>
      <w:rFonts w:ascii="Calibri" w:hAnsi="Calibri"/>
      <w:sz w:val="18"/>
      <w:szCs w:val="18"/>
    </w:rPr>
  </w:style>
  <w:style w:type="paragraph" w:styleId="14">
    <w:name w:val="Date"/>
    <w:basedOn w:val="1"/>
    <w:next w:val="1"/>
    <w:link w:val="54"/>
    <w:autoRedefine/>
    <w:qFormat/>
    <w:uiPriority w:val="0"/>
    <w:rPr>
      <w:rFonts w:ascii="Arial" w:hAnsi="Arial" w:eastAsia="宋体" w:cs="Arial"/>
      <w:b/>
      <w:sz w:val="28"/>
    </w:r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46"/>
    <w:autoRedefine/>
    <w:unhideWhenUsed/>
    <w:qFormat/>
    <w:uiPriority w:val="99"/>
    <w:pPr>
      <w:tabs>
        <w:tab w:val="center" w:pos="4153"/>
        <w:tab w:val="right" w:pos="8306"/>
      </w:tabs>
      <w:snapToGrid w:val="0"/>
      <w:jc w:val="left"/>
    </w:pPr>
    <w:rPr>
      <w:sz w:val="18"/>
      <w:szCs w:val="18"/>
    </w:rPr>
  </w:style>
  <w:style w:type="paragraph" w:styleId="17">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autoRedefine/>
    <w:qFormat/>
    <w:uiPriority w:val="0"/>
    <w:pPr>
      <w:spacing w:before="100" w:beforeAutospacing="1" w:after="100" w:afterAutospacing="1"/>
      <w:jc w:val="left"/>
    </w:pPr>
    <w:rPr>
      <w:rFonts w:cs="Times New Roman"/>
      <w:kern w:val="0"/>
      <w:sz w:val="24"/>
    </w:rPr>
  </w:style>
  <w:style w:type="paragraph" w:styleId="21">
    <w:name w:val="index 1"/>
    <w:basedOn w:val="1"/>
    <w:next w:val="1"/>
    <w:autoRedefine/>
    <w:qFormat/>
    <w:uiPriority w:val="0"/>
    <w:pPr>
      <w:jc w:val="center"/>
    </w:pPr>
    <w:rPr>
      <w:rFonts w:ascii="Arial" w:hAnsi="Arial" w:eastAsia="Arial" w:cs="Arial"/>
      <w:b/>
      <w:bCs/>
      <w:sz w:val="28"/>
    </w:rPr>
  </w:style>
  <w:style w:type="paragraph" w:styleId="22">
    <w:name w:val="annotation subject"/>
    <w:basedOn w:val="7"/>
    <w:next w:val="7"/>
    <w:link w:val="68"/>
    <w:autoRedefine/>
    <w:semiHidden/>
    <w:unhideWhenUsed/>
    <w:qFormat/>
    <w:uiPriority w:val="99"/>
    <w:rPr>
      <w:rFonts w:ascii="@仿宋_GB2312" w:hAnsi="@仿宋_GB2312" w:eastAsia="@仿宋_GB2312" w:cs="@仿宋_GB2312"/>
      <w:b/>
      <w:bCs/>
    </w:rPr>
  </w:style>
  <w:style w:type="paragraph" w:styleId="23">
    <w:name w:val="Body Text First Indent"/>
    <w:basedOn w:val="8"/>
    <w:autoRedefine/>
    <w:unhideWhenUsed/>
    <w:qFormat/>
    <w:uiPriority w:val="99"/>
    <w:pPr>
      <w:ind w:firstLine="420" w:firstLineChars="100"/>
    </w:pPr>
  </w:style>
  <w:style w:type="paragraph" w:styleId="24">
    <w:name w:val="Body Text First Indent 2"/>
    <w:basedOn w:val="9"/>
    <w:next w:val="1"/>
    <w:qFormat/>
    <w:uiPriority w:val="0"/>
    <w:pPr>
      <w:spacing w:line="360" w:lineRule="auto"/>
      <w:ind w:firstLine="200"/>
    </w:pPr>
  </w:style>
  <w:style w:type="table" w:styleId="26">
    <w:name w:val="Table Grid"/>
    <w:basedOn w:val="2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0"/>
    <w:rPr>
      <w:b/>
      <w:bCs/>
    </w:rPr>
  </w:style>
  <w:style w:type="character" w:styleId="29">
    <w:name w:val="FollowedHyperlink"/>
    <w:basedOn w:val="27"/>
    <w:semiHidden/>
    <w:unhideWhenUsed/>
    <w:qFormat/>
    <w:uiPriority w:val="99"/>
    <w:rPr>
      <w:color w:val="5C5C5C"/>
      <w:u w:val="none"/>
    </w:rPr>
  </w:style>
  <w:style w:type="character" w:styleId="30">
    <w:name w:val="Emphasis"/>
    <w:basedOn w:val="27"/>
    <w:qFormat/>
    <w:uiPriority w:val="0"/>
    <w:rPr>
      <w:b/>
      <w:bCs/>
    </w:rPr>
  </w:style>
  <w:style w:type="character" w:styleId="31">
    <w:name w:val="HTML Definition"/>
    <w:basedOn w:val="27"/>
    <w:semiHidden/>
    <w:unhideWhenUsed/>
    <w:qFormat/>
    <w:uiPriority w:val="99"/>
  </w:style>
  <w:style w:type="character" w:styleId="32">
    <w:name w:val="HTML Typewriter"/>
    <w:basedOn w:val="27"/>
    <w:semiHidden/>
    <w:unhideWhenUsed/>
    <w:qFormat/>
    <w:uiPriority w:val="99"/>
    <w:rPr>
      <w:rFonts w:hint="default" w:ascii="monospace" w:hAnsi="monospace" w:eastAsia="monospace" w:cs="monospace"/>
      <w:sz w:val="20"/>
    </w:rPr>
  </w:style>
  <w:style w:type="character" w:styleId="33">
    <w:name w:val="HTML Acronym"/>
    <w:basedOn w:val="27"/>
    <w:semiHidden/>
    <w:unhideWhenUsed/>
    <w:qFormat/>
    <w:uiPriority w:val="99"/>
  </w:style>
  <w:style w:type="character" w:styleId="34">
    <w:name w:val="HTML Variable"/>
    <w:basedOn w:val="27"/>
    <w:semiHidden/>
    <w:unhideWhenUsed/>
    <w:qFormat/>
    <w:uiPriority w:val="99"/>
  </w:style>
  <w:style w:type="character" w:styleId="35">
    <w:name w:val="Hyperlink"/>
    <w:basedOn w:val="27"/>
    <w:autoRedefine/>
    <w:unhideWhenUsed/>
    <w:qFormat/>
    <w:uiPriority w:val="99"/>
    <w:rPr>
      <w:color w:val="0000FF" w:themeColor="hyperlink"/>
      <w:u w:val="single"/>
      <w14:textFill>
        <w14:solidFill>
          <w14:schemeClr w14:val="hlink"/>
        </w14:solidFill>
      </w14:textFill>
    </w:rPr>
  </w:style>
  <w:style w:type="character" w:styleId="36">
    <w:name w:val="HTML Code"/>
    <w:basedOn w:val="27"/>
    <w:semiHidden/>
    <w:unhideWhenUsed/>
    <w:qFormat/>
    <w:uiPriority w:val="99"/>
    <w:rPr>
      <w:rFonts w:ascii="monospace" w:hAnsi="monospace" w:eastAsia="monospace" w:cs="monospace"/>
      <w:sz w:val="20"/>
    </w:rPr>
  </w:style>
  <w:style w:type="character" w:styleId="37">
    <w:name w:val="annotation reference"/>
    <w:basedOn w:val="27"/>
    <w:autoRedefine/>
    <w:semiHidden/>
    <w:unhideWhenUsed/>
    <w:qFormat/>
    <w:uiPriority w:val="99"/>
    <w:rPr>
      <w:sz w:val="21"/>
      <w:szCs w:val="21"/>
    </w:rPr>
  </w:style>
  <w:style w:type="character" w:styleId="38">
    <w:name w:val="HTML Cite"/>
    <w:basedOn w:val="27"/>
    <w:semiHidden/>
    <w:unhideWhenUsed/>
    <w:qFormat/>
    <w:uiPriority w:val="99"/>
  </w:style>
  <w:style w:type="character" w:styleId="39">
    <w:name w:val="HTML Keyboard"/>
    <w:basedOn w:val="27"/>
    <w:semiHidden/>
    <w:unhideWhenUsed/>
    <w:qFormat/>
    <w:uiPriority w:val="99"/>
    <w:rPr>
      <w:rFonts w:hint="default" w:ascii="monospace" w:hAnsi="monospace" w:eastAsia="monospace" w:cs="monospace"/>
      <w:sz w:val="20"/>
      <w:bdr w:val="single" w:color="D6D6D6" w:sz="6" w:space="0"/>
      <w:shd w:val="clear" w:fill="FFFFFF"/>
    </w:rPr>
  </w:style>
  <w:style w:type="character" w:styleId="40">
    <w:name w:val="HTML Sample"/>
    <w:basedOn w:val="27"/>
    <w:semiHidden/>
    <w:unhideWhenUsed/>
    <w:qFormat/>
    <w:uiPriority w:val="99"/>
    <w:rPr>
      <w:rFonts w:hint="default" w:ascii="monospace" w:hAnsi="monospace" w:eastAsia="monospace" w:cs="monospace"/>
    </w:rPr>
  </w:style>
  <w:style w:type="character" w:customStyle="1" w:styleId="41">
    <w:name w:val="批注框文本 Char"/>
    <w:basedOn w:val="27"/>
    <w:link w:val="15"/>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Char"/>
    <w:basedOn w:val="27"/>
    <w:link w:val="17"/>
    <w:autoRedefine/>
    <w:qFormat/>
    <w:uiPriority w:val="99"/>
    <w:rPr>
      <w:rFonts w:ascii="@仿宋_GB2312" w:hAnsi="@仿宋_GB2312" w:eastAsia="@仿宋_GB2312" w:cs="@仿宋_GB2312"/>
      <w:sz w:val="18"/>
      <w:szCs w:val="18"/>
    </w:rPr>
  </w:style>
  <w:style w:type="character" w:customStyle="1" w:styleId="46">
    <w:name w:val="页脚 Char"/>
    <w:basedOn w:val="27"/>
    <w:link w:val="16"/>
    <w:autoRedefine/>
    <w:qFormat/>
    <w:uiPriority w:val="99"/>
    <w:rPr>
      <w:rFonts w:ascii="@仿宋_GB2312" w:hAnsi="@仿宋_GB2312" w:eastAsia="@仿宋_GB2312" w:cs="@仿宋_GB2312"/>
      <w:sz w:val="18"/>
      <w:szCs w:val="18"/>
    </w:rPr>
  </w:style>
  <w:style w:type="character" w:customStyle="1" w:styleId="47">
    <w:name w:val="纯文本 Char"/>
    <w:link w:val="12"/>
    <w:autoRedefine/>
    <w:qFormat/>
    <w:uiPriority w:val="0"/>
    <w:rPr>
      <w:rFonts w:ascii="宋体" w:hAnsi="Courier New"/>
    </w:rPr>
  </w:style>
  <w:style w:type="character" w:customStyle="1" w:styleId="48">
    <w:name w:val="纯文本 字符1"/>
    <w:basedOn w:val="27"/>
    <w:autoRedefine/>
    <w:semiHidden/>
    <w:qFormat/>
    <w:uiPriority w:val="99"/>
    <w:rPr>
      <w:rFonts w:hAnsi="Courier New" w:cs="Courier New" w:asciiTheme="minorEastAsia"/>
      <w:szCs w:val="20"/>
    </w:rPr>
  </w:style>
  <w:style w:type="character" w:customStyle="1" w:styleId="49">
    <w:name w:val="未处理的提及1"/>
    <w:basedOn w:val="27"/>
    <w:autoRedefine/>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7"/>
    <w:autoRedefine/>
    <w:semiHidden/>
    <w:qFormat/>
    <w:uiPriority w:val="99"/>
    <w:rPr>
      <w:rFonts w:ascii="@仿宋_GB2312" w:hAnsi="@仿宋_GB2312" w:eastAsia="@仿宋_GB2312" w:cs="@仿宋_GB2312"/>
      <w:szCs w:val="20"/>
    </w:rPr>
  </w:style>
  <w:style w:type="character" w:customStyle="1" w:styleId="54">
    <w:name w:val="日期 Char"/>
    <w:link w:val="14"/>
    <w:autoRedefine/>
    <w:qFormat/>
    <w:uiPriority w:val="0"/>
    <w:rPr>
      <w:rFonts w:ascii="Arial" w:hAnsi="Arial" w:eastAsia="宋体" w:cs="Arial"/>
      <w:b/>
      <w:sz w:val="28"/>
      <w:szCs w:val="20"/>
    </w:rPr>
  </w:style>
  <w:style w:type="character" w:customStyle="1" w:styleId="55">
    <w:name w:val="纯文本 Char1"/>
    <w:autoRedefine/>
    <w:qFormat/>
    <w:locked/>
    <w:uiPriority w:val="99"/>
    <w:rPr>
      <w:rFonts w:ascii="Arial" w:hAnsi="Arial" w:eastAsia="Arial"/>
      <w:kern w:val="2"/>
      <w:sz w:val="21"/>
      <w:lang w:val="en-US" w:eastAsia="zh-CN" w:bidi="ar-SA"/>
    </w:rPr>
  </w:style>
  <w:style w:type="character" w:customStyle="1" w:styleId="56">
    <w:name w:val="批注文字 Char"/>
    <w:basedOn w:val="27"/>
    <w:autoRedefine/>
    <w:semiHidden/>
    <w:qFormat/>
    <w:uiPriority w:val="99"/>
    <w:rPr>
      <w:rFonts w:ascii="@仿宋_GB2312" w:hAnsi="@仿宋_GB2312" w:eastAsia="@仿宋_GB2312" w:cs="@仿宋_GB2312"/>
      <w:szCs w:val="20"/>
    </w:rPr>
  </w:style>
  <w:style w:type="character" w:customStyle="1" w:styleId="57">
    <w:name w:val="批注文字 Char1"/>
    <w:link w:val="7"/>
    <w:autoRedefine/>
    <w:qFormat/>
    <w:uiPriority w:val="0"/>
    <w:rPr>
      <w:rFonts w:ascii="Arial" w:hAnsi="Arial" w:eastAsia="黑体" w:cs="Arial"/>
      <w:szCs w:val="20"/>
    </w:rPr>
  </w:style>
  <w:style w:type="character" w:customStyle="1" w:styleId="58">
    <w:name w:val="标题 1 Char"/>
    <w:basedOn w:val="27"/>
    <w:link w:val="2"/>
    <w:autoRedefine/>
    <w:qFormat/>
    <w:uiPriority w:val="9"/>
    <w:rPr>
      <w:rFonts w:ascii="@仿宋_GB2312" w:hAnsi="@仿宋_GB2312" w:eastAsia="@仿宋_GB2312" w:cs="@仿宋_GB2312"/>
      <w:b/>
      <w:bCs/>
      <w:kern w:val="44"/>
      <w:sz w:val="44"/>
      <w:szCs w:val="44"/>
    </w:rPr>
  </w:style>
  <w:style w:type="paragraph" w:customStyle="1" w:styleId="5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Char"/>
    <w:basedOn w:val="27"/>
    <w:link w:val="4"/>
    <w:autoRedefine/>
    <w:semiHidden/>
    <w:qFormat/>
    <w:uiPriority w:val="9"/>
    <w:rPr>
      <w:rFonts w:ascii="@仿宋_GB2312" w:hAnsi="@仿宋_GB2312" w:eastAsia="@仿宋_GB2312" w:cs="@仿宋_GB2312"/>
      <w:b/>
      <w:bCs/>
      <w:sz w:val="32"/>
      <w:szCs w:val="32"/>
    </w:rPr>
  </w:style>
  <w:style w:type="character" w:customStyle="1" w:styleId="61">
    <w:name w:val="fontstyle01"/>
    <w:basedOn w:val="27"/>
    <w:autoRedefine/>
    <w:qFormat/>
    <w:uiPriority w:val="0"/>
    <w:rPr>
      <w:rFonts w:hint="eastAsia" w:ascii="宋体" w:hAnsi="宋体" w:eastAsia="宋体"/>
      <w:color w:val="000000"/>
      <w:sz w:val="22"/>
      <w:szCs w:val="22"/>
    </w:rPr>
  </w:style>
  <w:style w:type="character" w:customStyle="1" w:styleId="62">
    <w:name w:val="fontstyle21"/>
    <w:basedOn w:val="27"/>
    <w:autoRedefine/>
    <w:qFormat/>
    <w:uiPriority w:val="0"/>
    <w:rPr>
      <w:rFonts w:hint="default" w:ascii="TimesNewRomanPSMT" w:hAnsi="TimesNewRomanPSMT"/>
      <w:color w:val="000000"/>
      <w:sz w:val="22"/>
      <w:szCs w:val="22"/>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7"/>
    <w:autoRedefine/>
    <w:semiHidden/>
    <w:qFormat/>
    <w:uiPriority w:val="9"/>
    <w:rPr>
      <w:rFonts w:asciiTheme="majorHAnsi" w:hAnsiTheme="majorHAnsi" w:eastAsiaTheme="majorEastAsia" w:cstheme="majorBidi"/>
      <w:b/>
      <w:bCs/>
      <w:sz w:val="28"/>
      <w:szCs w:val="28"/>
    </w:rPr>
  </w:style>
  <w:style w:type="character" w:customStyle="1" w:styleId="65">
    <w:name w:val="标题 4 Char1"/>
    <w:link w:val="5"/>
    <w:autoRedefine/>
    <w:qFormat/>
    <w:uiPriority w:val="0"/>
    <w:rPr>
      <w:rFonts w:ascii="@仿宋_GB2312" w:hAnsi="@仿宋_GB2312" w:eastAsia="@仿宋_GB2312" w:cs="@仿宋_GB2312"/>
      <w:b/>
      <w:bCs/>
      <w:sz w:val="28"/>
      <w:szCs w:val="28"/>
    </w:rPr>
  </w:style>
  <w:style w:type="character" w:customStyle="1" w:styleId="66">
    <w:name w:val="标题 4 Char"/>
    <w:autoRedefine/>
    <w:qFormat/>
    <w:uiPriority w:val="0"/>
    <w:rPr>
      <w:rFonts w:ascii="Arial" w:hAnsi="Arial" w:eastAsia="Arial"/>
      <w:b/>
      <w:bCs/>
      <w:kern w:val="2"/>
      <w:sz w:val="28"/>
      <w:szCs w:val="28"/>
      <w:lang w:val="en-US" w:eastAsia="zh-CN" w:bidi="ar-SA"/>
    </w:rPr>
  </w:style>
  <w:style w:type="table" w:customStyle="1" w:styleId="67">
    <w:name w:val="网格型1"/>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8">
    <w:name w:val="批注主题 Char"/>
    <w:basedOn w:val="57"/>
    <w:link w:val="22"/>
    <w:autoRedefine/>
    <w:semiHidden/>
    <w:qFormat/>
    <w:uiPriority w:val="99"/>
    <w:rPr>
      <w:rFonts w:ascii="@仿宋_GB2312" w:hAnsi="@仿宋_GB2312" w:eastAsia="@仿宋_GB2312" w:cs="@仿宋_GB2312"/>
      <w:b/>
      <w:bCs/>
      <w:szCs w:val="20"/>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 w:val="21"/>
      <w:szCs w:val="21"/>
      <w:lang w:val="en-US" w:eastAsia="en-US" w:bidi="ar-SA"/>
    </w:rPr>
  </w:style>
  <w:style w:type="paragraph" w:customStyle="1" w:styleId="7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72">
    <w:name w:val="hover"/>
    <w:basedOn w:val="27"/>
    <w:qFormat/>
    <w:uiPriority w:val="0"/>
    <w:rPr>
      <w:color w:val="2590EB"/>
    </w:rPr>
  </w:style>
  <w:style w:type="character" w:customStyle="1" w:styleId="73">
    <w:name w:val="hover1"/>
    <w:basedOn w:val="27"/>
    <w:qFormat/>
    <w:uiPriority w:val="0"/>
    <w:rPr>
      <w:color w:val="2590EB"/>
    </w:rPr>
  </w:style>
  <w:style w:type="character" w:customStyle="1" w:styleId="74">
    <w:name w:val="hover2"/>
    <w:basedOn w:val="27"/>
    <w:qFormat/>
    <w:uiPriority w:val="0"/>
  </w:style>
  <w:style w:type="character" w:customStyle="1" w:styleId="75">
    <w:name w:val="hover3"/>
    <w:basedOn w:val="27"/>
    <w:qFormat/>
    <w:uiPriority w:val="0"/>
    <w:rPr>
      <w:color w:val="2590EB"/>
      <w:shd w:val="clear" w:fill="E9F4FD"/>
    </w:rPr>
  </w:style>
  <w:style w:type="character" w:customStyle="1" w:styleId="76">
    <w:name w:val="hover4"/>
    <w:basedOn w:val="27"/>
    <w:qFormat/>
    <w:uiPriority w:val="0"/>
    <w:rPr>
      <w:color w:val="2590EB"/>
      <w:shd w:val="clear" w:fill="E9F4FD"/>
    </w:rPr>
  </w:style>
  <w:style w:type="character" w:customStyle="1" w:styleId="77">
    <w:name w:val="room"/>
    <w:basedOn w:val="27"/>
    <w:qFormat/>
    <w:uiPriority w:val="0"/>
  </w:style>
  <w:style w:type="character" w:customStyle="1" w:styleId="78">
    <w:name w:val="layui-layer-tabnow"/>
    <w:basedOn w:val="27"/>
    <w:qFormat/>
    <w:uiPriority w:val="0"/>
    <w:rPr>
      <w:bdr w:val="single" w:color="CCCCCC" w:sz="6" w:space="0"/>
      <w:shd w:val="clear" w:fill="FFFFFF"/>
    </w:rPr>
  </w:style>
  <w:style w:type="character" w:customStyle="1" w:styleId="79">
    <w:name w:val="timeaxis"/>
    <w:basedOn w:val="27"/>
    <w:qFormat/>
    <w:uiPriority w:val="0"/>
  </w:style>
  <w:style w:type="character" w:customStyle="1" w:styleId="80">
    <w:name w:val="first-child"/>
    <w:basedOn w:val="27"/>
    <w:qFormat/>
    <w:uiPriority w:val="0"/>
  </w:style>
  <w:style w:type="paragraph" w:customStyle="1" w:styleId="81">
    <w:name w:val="card-title"/>
    <w:basedOn w:val="1"/>
    <w:qFormat/>
    <w:uiPriority w:val="0"/>
    <w:pPr>
      <w:spacing w:line="600" w:lineRule="atLeast"/>
      <w:ind w:right="750"/>
      <w:jc w:val="left"/>
    </w:pPr>
    <w:rPr>
      <w:color w:val="666666"/>
      <w:kern w:val="0"/>
      <w:lang w:val="en-US" w:eastAsia="zh-CN" w:bidi="ar"/>
    </w:rPr>
  </w:style>
  <w:style w:type="character" w:customStyle="1" w:styleId="82">
    <w:name w:val="hover5"/>
    <w:basedOn w:val="27"/>
    <w:qFormat/>
    <w:uiPriority w:val="0"/>
    <w:rPr>
      <w:color w:val="2590EB"/>
    </w:rPr>
  </w:style>
  <w:style w:type="character" w:customStyle="1" w:styleId="83">
    <w:name w:val="hover6"/>
    <w:basedOn w:val="27"/>
    <w:qFormat/>
    <w:uiPriority w:val="0"/>
    <w:rPr>
      <w:color w:val="2590EB"/>
    </w:rPr>
  </w:style>
  <w:style w:type="paragraph" w:customStyle="1" w:styleId="84">
    <w:name w:val="表格文字"/>
    <w:basedOn w:val="9"/>
    <w:next w:val="8"/>
    <w:qFormat/>
    <w:uiPriority w:val="0"/>
    <w:pPr>
      <w:adjustRightInd w:val="0"/>
      <w:spacing w:line="420" w:lineRule="atLeast"/>
      <w:jc w:val="left"/>
      <w:textAlignment w:val="baseline"/>
    </w:pPr>
    <w:rPr>
      <w:kern w:val="0"/>
      <w:szCs w:val="20"/>
    </w:rPr>
  </w:style>
  <w:style w:type="character" w:customStyle="1" w:styleId="85">
    <w:name w:val="layui-this"/>
    <w:basedOn w:val="27"/>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80</Pages>
  <Words>2335</Words>
  <Characters>2677</Characters>
  <Lines>244</Lines>
  <Paragraphs>68</Paragraphs>
  <TotalTime>37</TotalTime>
  <ScaleCrop>false</ScaleCrop>
  <LinksUpToDate>false</LinksUpToDate>
  <CharactersWithSpaces>2762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NTKO</cp:lastModifiedBy>
  <cp:lastPrinted>2026-06-25T08:33:00Z</cp:lastPrinted>
  <dcterms:modified xsi:type="dcterms:W3CDTF">2026-07-03T06:44:59Z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A35E03ED0EA84A99B1A9A945A367F4B2_13</vt:lpwstr>
  </property>
  <property fmtid="{D5CDD505-2E9C-101B-9397-08002B2CF9AE}" pid="4" name="KSOTemplateDocerSaveRecord">
    <vt:lpwstr>eyJoZGlkIjoiZTQ4OTM2MTIyODI3Njc5MTE5MDBiNjA4NzIzYTUzZmEiLCJ1c2VySWQiOiI3MDAwNjg2OTUifQ==</vt:lpwstr>
  </property>
</Properties>
</file>